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6376C">
      <w:pPr>
        <w:ind w:firstLine="0" w:firstLineChars="0"/>
        <w:jc w:val="center"/>
        <w:rPr>
          <w:rFonts w:cs="Times New Roman"/>
          <w:b/>
          <w:sz w:val="44"/>
          <w:szCs w:val="44"/>
        </w:rPr>
      </w:pPr>
    </w:p>
    <w:p w14:paraId="12739EB5">
      <w:pPr>
        <w:ind w:firstLine="0" w:firstLineChars="0"/>
        <w:rPr>
          <w:rFonts w:eastAsia="仿宋_GB2312" w:cs="Times New Roman"/>
          <w:kern w:val="0"/>
          <w:sz w:val="24"/>
        </w:rPr>
      </w:pPr>
    </w:p>
    <w:p w14:paraId="30282D7A">
      <w:pPr>
        <w:ind w:firstLine="0" w:firstLineChars="0"/>
        <w:jc w:val="center"/>
        <w:rPr>
          <w:rFonts w:cs="Times New Roman"/>
          <w:b/>
          <w:sz w:val="44"/>
          <w:szCs w:val="44"/>
        </w:rPr>
      </w:pPr>
      <w:r>
        <w:rPr>
          <w:rFonts w:hint="eastAsia" w:cs="Times New Roman"/>
          <w:b/>
          <w:sz w:val="44"/>
          <w:szCs w:val="44"/>
        </w:rPr>
        <w:t>云南兴昆化工有限公司</w:t>
      </w:r>
    </w:p>
    <w:p w14:paraId="1211BE3F">
      <w:pPr>
        <w:ind w:firstLine="0" w:firstLineChars="0"/>
        <w:jc w:val="center"/>
        <w:rPr>
          <w:rFonts w:cs="Times New Roman"/>
          <w:b/>
          <w:sz w:val="44"/>
          <w:szCs w:val="44"/>
        </w:rPr>
      </w:pPr>
      <w:r>
        <w:rPr>
          <w:rFonts w:hint="eastAsia" w:cs="Times New Roman"/>
          <w:b/>
          <w:sz w:val="44"/>
          <w:szCs w:val="44"/>
        </w:rPr>
        <w:t>大坟箐磷石膏渣场堆存整治工程</w:t>
      </w:r>
    </w:p>
    <w:p w14:paraId="66145935">
      <w:pPr>
        <w:ind w:firstLine="0" w:firstLineChars="0"/>
        <w:rPr>
          <w:rFonts w:cs="Times New Roman"/>
        </w:rPr>
      </w:pPr>
    </w:p>
    <w:p w14:paraId="66642B62">
      <w:pPr>
        <w:ind w:firstLine="0" w:firstLineChars="0"/>
        <w:jc w:val="center"/>
        <w:rPr>
          <w:rFonts w:eastAsia="黑体" w:cs="Times New Roman"/>
          <w:b/>
          <w:sz w:val="52"/>
          <w:szCs w:val="52"/>
        </w:rPr>
      </w:pPr>
    </w:p>
    <w:p w14:paraId="30FDC77B">
      <w:pPr>
        <w:ind w:firstLine="0" w:firstLineChars="0"/>
        <w:jc w:val="center"/>
        <w:rPr>
          <w:rFonts w:eastAsia="黑体" w:cs="Times New Roman"/>
          <w:b/>
          <w:sz w:val="52"/>
          <w:szCs w:val="52"/>
        </w:rPr>
      </w:pPr>
    </w:p>
    <w:p w14:paraId="4DE43278">
      <w:pPr>
        <w:ind w:firstLine="560"/>
      </w:pPr>
    </w:p>
    <w:p w14:paraId="7C25712C">
      <w:pPr>
        <w:ind w:firstLine="0" w:firstLineChars="0"/>
        <w:jc w:val="center"/>
        <w:rPr>
          <w:rFonts w:eastAsia="黑体" w:cs="Times New Roman"/>
          <w:b/>
          <w:sz w:val="52"/>
          <w:szCs w:val="52"/>
        </w:rPr>
      </w:pPr>
      <w:r>
        <w:rPr>
          <w:rFonts w:eastAsia="黑体" w:cs="Times New Roman"/>
          <w:b/>
          <w:sz w:val="52"/>
          <w:szCs w:val="52"/>
        </w:rPr>
        <w:t>安全</w:t>
      </w:r>
      <w:r>
        <w:rPr>
          <w:rFonts w:hint="eastAsia" w:eastAsia="黑体" w:cs="Times New Roman"/>
          <w:b/>
          <w:sz w:val="52"/>
          <w:szCs w:val="52"/>
        </w:rPr>
        <w:t>预</w:t>
      </w:r>
      <w:r>
        <w:rPr>
          <w:rFonts w:eastAsia="黑体" w:cs="Times New Roman"/>
          <w:b/>
          <w:sz w:val="52"/>
          <w:szCs w:val="52"/>
        </w:rPr>
        <w:t>评价报告</w:t>
      </w:r>
    </w:p>
    <w:p w14:paraId="37595C12">
      <w:pPr>
        <w:ind w:firstLine="0" w:firstLineChars="0"/>
        <w:jc w:val="center"/>
        <w:rPr>
          <w:rFonts w:cs="Times New Roman"/>
          <w:b/>
          <w:sz w:val="32"/>
          <w:szCs w:val="32"/>
        </w:rPr>
      </w:pPr>
    </w:p>
    <w:p w14:paraId="731EF0CE">
      <w:pPr>
        <w:ind w:firstLine="0" w:firstLineChars="0"/>
        <w:rPr>
          <w:rFonts w:eastAsia="黑体" w:cs="Times New Roman"/>
          <w:sz w:val="44"/>
        </w:rPr>
      </w:pPr>
    </w:p>
    <w:p w14:paraId="7BD0C016">
      <w:pPr>
        <w:ind w:firstLine="0" w:firstLineChars="0"/>
        <w:rPr>
          <w:rFonts w:cs="Times New Roman"/>
        </w:rPr>
      </w:pPr>
    </w:p>
    <w:p w14:paraId="5F9BBAE0">
      <w:pPr>
        <w:ind w:firstLine="0" w:firstLineChars="0"/>
        <w:jc w:val="center"/>
        <w:rPr>
          <w:rFonts w:eastAsia="黑体" w:cs="Times New Roman"/>
          <w:sz w:val="44"/>
        </w:rPr>
      </w:pPr>
    </w:p>
    <w:p w14:paraId="144C57BD">
      <w:pPr>
        <w:ind w:firstLine="0" w:firstLineChars="0"/>
        <w:jc w:val="center"/>
        <w:rPr>
          <w:rFonts w:eastAsia="黑体" w:cs="Times New Roman"/>
          <w:sz w:val="44"/>
        </w:rPr>
      </w:pPr>
    </w:p>
    <w:p w14:paraId="1D0A546A">
      <w:pPr>
        <w:ind w:firstLine="0" w:firstLineChars="0"/>
        <w:jc w:val="center"/>
        <w:rPr>
          <w:rFonts w:eastAsia="黑体" w:cs="Times New Roman"/>
          <w:sz w:val="44"/>
        </w:rPr>
      </w:pPr>
    </w:p>
    <w:p w14:paraId="6B8FD877">
      <w:pPr>
        <w:ind w:firstLine="0" w:firstLineChars="0"/>
        <w:jc w:val="center"/>
        <w:rPr>
          <w:rFonts w:eastAsia="黑体" w:cs="Times New Roman"/>
          <w:sz w:val="44"/>
        </w:rPr>
      </w:pPr>
    </w:p>
    <w:p w14:paraId="07D8F23D">
      <w:pPr>
        <w:ind w:firstLine="0" w:firstLineChars="0"/>
        <w:jc w:val="center"/>
        <w:rPr>
          <w:rFonts w:cs="Times New Roman"/>
          <w:b/>
          <w:sz w:val="36"/>
          <w:szCs w:val="36"/>
        </w:rPr>
      </w:pPr>
      <w:r>
        <w:rPr>
          <w:rFonts w:cs="Times New Roman"/>
          <w:b/>
          <w:sz w:val="36"/>
          <w:szCs w:val="36"/>
        </w:rPr>
        <w:t>辽宁诺诚安全科技有限公司</w:t>
      </w:r>
    </w:p>
    <w:p w14:paraId="49B12EF1">
      <w:pPr>
        <w:ind w:firstLine="0" w:firstLineChars="0"/>
        <w:jc w:val="center"/>
        <w:rPr>
          <w:rFonts w:cs="Times New Roman"/>
          <w:b/>
          <w:sz w:val="32"/>
          <w:szCs w:val="32"/>
        </w:rPr>
      </w:pPr>
      <w:r>
        <w:rPr>
          <w:rFonts w:cs="Times New Roman"/>
          <w:b/>
          <w:sz w:val="32"/>
          <w:szCs w:val="32"/>
        </w:rPr>
        <w:t>资质证书编号：APJ-（辽）-021</w:t>
      </w:r>
    </w:p>
    <w:p w14:paraId="5049BB73">
      <w:pPr>
        <w:ind w:firstLine="0" w:firstLineChars="0"/>
        <w:jc w:val="center"/>
        <w:rPr>
          <w:rFonts w:cs="Times New Roman"/>
          <w:b/>
          <w:sz w:val="32"/>
          <w:szCs w:val="32"/>
        </w:rPr>
        <w:sectPr>
          <w:headerReference r:id="rId7" w:type="first"/>
          <w:footerReference r:id="rId10" w:type="first"/>
          <w:headerReference r:id="rId5" w:type="default"/>
          <w:footerReference r:id="rId8" w:type="default"/>
          <w:headerReference r:id="rId6" w:type="even"/>
          <w:footerReference r:id="rId9" w:type="even"/>
          <w:pgSz w:w="11905" w:h="16838"/>
          <w:pgMar w:top="1417" w:right="1134" w:bottom="1134" w:left="1587" w:header="851" w:footer="992" w:gutter="0"/>
          <w:pgNumType w:fmt="upperRoman" w:start="1"/>
          <w:cols w:space="0" w:num="1"/>
          <w:docGrid w:type="lines" w:linePitch="386" w:charSpace="0"/>
        </w:sectPr>
      </w:pPr>
      <w:r>
        <w:rPr>
          <w:rFonts w:cs="Times New Roman"/>
          <w:b/>
          <w:sz w:val="32"/>
          <w:szCs w:val="32"/>
        </w:rPr>
        <w:t>202</w:t>
      </w:r>
      <w:r>
        <w:rPr>
          <w:rFonts w:hint="eastAsia" w:cs="Times New Roman"/>
          <w:b/>
          <w:sz w:val="32"/>
          <w:szCs w:val="32"/>
        </w:rPr>
        <w:t>6</w:t>
      </w:r>
      <w:r>
        <w:rPr>
          <w:rFonts w:cs="Times New Roman"/>
          <w:b/>
          <w:sz w:val="32"/>
          <w:szCs w:val="32"/>
        </w:rPr>
        <w:t>年</w:t>
      </w:r>
      <w:r>
        <w:rPr>
          <w:rFonts w:hint="eastAsia" w:cs="Times New Roman"/>
          <w:b/>
          <w:sz w:val="32"/>
          <w:szCs w:val="32"/>
        </w:rPr>
        <w:t>01</w:t>
      </w:r>
      <w:r>
        <w:rPr>
          <w:rFonts w:cs="Times New Roman"/>
          <w:b/>
          <w:sz w:val="32"/>
          <w:szCs w:val="32"/>
        </w:rPr>
        <w:t>月</w:t>
      </w:r>
    </w:p>
    <w:p w14:paraId="5DE4402B">
      <w:pPr>
        <w:ind w:firstLine="0" w:firstLineChars="0"/>
        <w:jc w:val="right"/>
        <w:rPr>
          <w:rFonts w:cs="Times New Roman"/>
          <w:b/>
        </w:rPr>
      </w:pPr>
      <w:r>
        <w:rPr>
          <w:rFonts w:cs="Times New Roman"/>
          <w:b/>
        </w:rPr>
        <w:t>NCAP/KS-YP-2025-066</w:t>
      </w:r>
    </w:p>
    <w:p w14:paraId="6C1AC2E8">
      <w:pPr>
        <w:ind w:firstLine="0" w:firstLineChars="0"/>
        <w:jc w:val="center"/>
        <w:rPr>
          <w:rFonts w:cs="Times New Roman"/>
          <w:b/>
          <w:sz w:val="32"/>
          <w:szCs w:val="32"/>
        </w:rPr>
      </w:pPr>
    </w:p>
    <w:p w14:paraId="0D66371D">
      <w:pPr>
        <w:ind w:firstLine="0" w:firstLineChars="0"/>
        <w:rPr>
          <w:rFonts w:cs="Times New Roman"/>
        </w:rPr>
      </w:pPr>
    </w:p>
    <w:p w14:paraId="075CC1C7">
      <w:pPr>
        <w:ind w:firstLine="0" w:firstLineChars="0"/>
        <w:jc w:val="center"/>
        <w:rPr>
          <w:rFonts w:cs="Times New Roman"/>
          <w:b/>
          <w:sz w:val="32"/>
          <w:szCs w:val="32"/>
        </w:rPr>
      </w:pPr>
    </w:p>
    <w:p w14:paraId="2CFE4D81">
      <w:pPr>
        <w:ind w:firstLine="0" w:firstLineChars="0"/>
        <w:jc w:val="center"/>
        <w:rPr>
          <w:rFonts w:cs="Times New Roman"/>
          <w:b/>
          <w:sz w:val="32"/>
          <w:szCs w:val="32"/>
        </w:rPr>
      </w:pPr>
      <w:r>
        <w:rPr>
          <w:rFonts w:hint="eastAsia" w:cs="Times New Roman"/>
          <w:b/>
          <w:sz w:val="32"/>
          <w:szCs w:val="32"/>
        </w:rPr>
        <w:t>云南兴昆化工有限公司</w:t>
      </w:r>
    </w:p>
    <w:p w14:paraId="14795310">
      <w:pPr>
        <w:ind w:firstLine="0" w:firstLineChars="0"/>
        <w:jc w:val="center"/>
        <w:rPr>
          <w:rFonts w:cs="Times New Roman"/>
          <w:b/>
          <w:sz w:val="32"/>
          <w:szCs w:val="32"/>
        </w:rPr>
      </w:pPr>
      <w:r>
        <w:rPr>
          <w:rFonts w:hint="eastAsia" w:cs="Times New Roman"/>
          <w:b/>
          <w:sz w:val="32"/>
          <w:szCs w:val="32"/>
        </w:rPr>
        <w:t>大坟箐磷石膏渣场堆存整治工程</w:t>
      </w:r>
    </w:p>
    <w:p w14:paraId="7B06C660">
      <w:pPr>
        <w:ind w:firstLine="0" w:firstLineChars="0"/>
        <w:rPr>
          <w:rFonts w:cs="Times New Roman"/>
        </w:rPr>
      </w:pPr>
    </w:p>
    <w:p w14:paraId="6BB4D265">
      <w:pPr>
        <w:ind w:firstLine="0" w:firstLineChars="0"/>
        <w:jc w:val="center"/>
        <w:rPr>
          <w:rFonts w:cs="Times New Roman"/>
          <w:b/>
          <w:sz w:val="44"/>
          <w:szCs w:val="44"/>
        </w:rPr>
      </w:pPr>
    </w:p>
    <w:p w14:paraId="3ACD38D1">
      <w:pPr>
        <w:ind w:firstLine="0" w:firstLineChars="0"/>
        <w:jc w:val="center"/>
        <w:rPr>
          <w:rFonts w:cs="Times New Roman"/>
          <w:b/>
          <w:sz w:val="44"/>
          <w:szCs w:val="44"/>
        </w:rPr>
      </w:pPr>
    </w:p>
    <w:p w14:paraId="6702C6C9">
      <w:pPr>
        <w:ind w:firstLine="0" w:firstLineChars="0"/>
        <w:jc w:val="center"/>
        <w:rPr>
          <w:rFonts w:cs="Times New Roman"/>
          <w:b/>
          <w:sz w:val="44"/>
          <w:szCs w:val="44"/>
        </w:rPr>
      </w:pPr>
      <w:r>
        <w:rPr>
          <w:rFonts w:cs="Times New Roman"/>
          <w:b/>
          <w:sz w:val="44"/>
          <w:szCs w:val="44"/>
        </w:rPr>
        <w:t>安全预评价报告</w:t>
      </w:r>
    </w:p>
    <w:p w14:paraId="1F135E03">
      <w:pPr>
        <w:ind w:firstLine="0" w:firstLineChars="0"/>
        <w:jc w:val="center"/>
        <w:rPr>
          <w:rFonts w:eastAsia="黑体" w:cs="Times New Roman"/>
        </w:rPr>
      </w:pPr>
    </w:p>
    <w:p w14:paraId="702BE14F">
      <w:pPr>
        <w:ind w:firstLine="0" w:firstLineChars="0"/>
        <w:jc w:val="center"/>
        <w:rPr>
          <w:rFonts w:eastAsia="黑体" w:cs="Times New Roman"/>
        </w:rPr>
      </w:pPr>
    </w:p>
    <w:p w14:paraId="28D96F02">
      <w:pPr>
        <w:ind w:firstLine="0" w:firstLineChars="0"/>
        <w:jc w:val="center"/>
        <w:rPr>
          <w:rFonts w:eastAsia="黑体" w:cs="Times New Roman"/>
        </w:rPr>
      </w:pPr>
    </w:p>
    <w:p w14:paraId="34662CA5">
      <w:pPr>
        <w:ind w:firstLine="0" w:firstLineChars="0"/>
        <w:jc w:val="center"/>
        <w:rPr>
          <w:rFonts w:eastAsia="黑体" w:cs="Times New Roman"/>
        </w:rPr>
      </w:pPr>
    </w:p>
    <w:p w14:paraId="66674C3A">
      <w:pPr>
        <w:ind w:firstLine="0" w:firstLineChars="0"/>
        <w:jc w:val="center"/>
        <w:rPr>
          <w:rFonts w:eastAsia="黑体" w:cs="Times New Roman"/>
        </w:rPr>
      </w:pPr>
    </w:p>
    <w:p w14:paraId="6450E032">
      <w:pPr>
        <w:ind w:firstLine="0" w:firstLineChars="0"/>
        <w:jc w:val="center"/>
        <w:rPr>
          <w:rFonts w:eastAsia="黑体" w:cs="Times New Roman"/>
        </w:rPr>
      </w:pPr>
    </w:p>
    <w:p w14:paraId="60E11D14">
      <w:pPr>
        <w:ind w:firstLine="0" w:firstLineChars="0"/>
        <w:jc w:val="center"/>
        <w:rPr>
          <w:rFonts w:cs="Times New Roman"/>
        </w:rPr>
      </w:pPr>
      <w:r>
        <w:rPr>
          <w:rFonts w:cs="Times New Roman"/>
        </w:rPr>
        <w:t>法定代表人：孙同辉</w:t>
      </w:r>
    </w:p>
    <w:p w14:paraId="1B7E008D">
      <w:pPr>
        <w:ind w:firstLine="0" w:firstLineChars="0"/>
        <w:jc w:val="center"/>
        <w:rPr>
          <w:rFonts w:cs="Times New Roman"/>
        </w:rPr>
      </w:pPr>
      <w:r>
        <w:rPr>
          <w:rFonts w:cs="Times New Roman"/>
        </w:rPr>
        <w:t>技术负责人：张廷辉</w:t>
      </w:r>
    </w:p>
    <w:p w14:paraId="0F7BA030">
      <w:pPr>
        <w:ind w:firstLine="0" w:firstLineChars="0"/>
        <w:jc w:val="center"/>
        <w:rPr>
          <w:rFonts w:cs="Times New Roman"/>
        </w:rPr>
      </w:pPr>
      <w:r>
        <w:rPr>
          <w:rFonts w:cs="Times New Roman"/>
        </w:rPr>
        <w:t>评价项目负责人：杨会明</w:t>
      </w:r>
    </w:p>
    <w:p w14:paraId="2921F87D">
      <w:pPr>
        <w:ind w:firstLine="0" w:firstLineChars="0"/>
        <w:jc w:val="center"/>
        <w:rPr>
          <w:rFonts w:cs="Times New Roman"/>
          <w:b/>
          <w:sz w:val="32"/>
          <w:szCs w:val="32"/>
        </w:rPr>
      </w:pPr>
    </w:p>
    <w:p w14:paraId="26BB1FB7">
      <w:pPr>
        <w:ind w:firstLine="0" w:firstLineChars="0"/>
        <w:jc w:val="center"/>
        <w:rPr>
          <w:rFonts w:cs="Times New Roman"/>
          <w:b/>
          <w:sz w:val="24"/>
        </w:rPr>
      </w:pPr>
      <w:r>
        <w:rPr>
          <w:rFonts w:cs="Times New Roman"/>
          <w:b/>
          <w:sz w:val="24"/>
        </w:rPr>
        <w:t>202</w:t>
      </w:r>
      <w:r>
        <w:rPr>
          <w:rFonts w:hint="eastAsia" w:cs="Times New Roman"/>
          <w:b/>
          <w:sz w:val="24"/>
        </w:rPr>
        <w:t>6</w:t>
      </w:r>
      <w:r>
        <w:rPr>
          <w:rFonts w:cs="Times New Roman"/>
          <w:b/>
          <w:sz w:val="24"/>
        </w:rPr>
        <w:t>年</w:t>
      </w:r>
      <w:r>
        <w:rPr>
          <w:rFonts w:hint="eastAsia" w:cs="Times New Roman"/>
          <w:b/>
          <w:sz w:val="24"/>
        </w:rPr>
        <w:t>01</w:t>
      </w:r>
      <w:r>
        <w:rPr>
          <w:rFonts w:cs="Times New Roman"/>
          <w:b/>
          <w:sz w:val="24"/>
        </w:rPr>
        <w:t>月</w:t>
      </w:r>
    </w:p>
    <w:p w14:paraId="288C73E1">
      <w:pPr>
        <w:ind w:firstLine="0" w:firstLineChars="0"/>
        <w:jc w:val="center"/>
        <w:rPr>
          <w:rFonts w:cs="Times New Roman"/>
        </w:rPr>
        <w:sectPr>
          <w:footerReference r:id="rId11" w:type="default"/>
          <w:pgSz w:w="11905" w:h="16838"/>
          <w:pgMar w:top="1417" w:right="1134" w:bottom="1134" w:left="1587" w:header="851" w:footer="992" w:gutter="0"/>
          <w:pgNumType w:fmt="upperRoman" w:start="1"/>
          <w:cols w:space="0" w:num="1"/>
          <w:docGrid w:type="lines" w:linePitch="386" w:charSpace="0"/>
        </w:sectPr>
      </w:pPr>
      <w:r>
        <w:rPr>
          <w:rFonts w:cs="Times New Roman"/>
          <w:szCs w:val="21"/>
        </w:rPr>
        <w:t>（安全评价机构公章）</w:t>
      </w:r>
    </w:p>
    <w:p w14:paraId="1960C871">
      <w:pPr>
        <w:pageBreakBefore/>
        <w:ind w:firstLine="0" w:firstLineChars="0"/>
        <w:jc w:val="center"/>
        <w:rPr>
          <w:rFonts w:cs="Times New Roman"/>
          <w:b/>
          <w:sz w:val="32"/>
          <w:szCs w:val="32"/>
        </w:rPr>
      </w:pPr>
      <w:r>
        <w:rPr>
          <w:rFonts w:cs="Times New Roman"/>
          <w:b/>
          <w:kern w:val="0"/>
          <w:sz w:val="32"/>
          <w:szCs w:val="32"/>
        </w:rPr>
        <w:t>评价人员</w:t>
      </w:r>
    </w:p>
    <w:tbl>
      <w:tblPr>
        <w:tblStyle w:val="33"/>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4"/>
        <w:gridCol w:w="1236"/>
        <w:gridCol w:w="1387"/>
        <w:gridCol w:w="2300"/>
        <w:gridCol w:w="1880"/>
        <w:gridCol w:w="1594"/>
      </w:tblGrid>
      <w:tr w14:paraId="42B89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vAlign w:val="center"/>
          </w:tcPr>
          <w:p w14:paraId="5B51216A">
            <w:pPr>
              <w:spacing w:line="240" w:lineRule="auto"/>
              <w:ind w:firstLine="0" w:firstLineChars="0"/>
              <w:jc w:val="center"/>
              <w:rPr>
                <w:rFonts w:cs="Times New Roman"/>
                <w:sz w:val="24"/>
              </w:rPr>
            </w:pPr>
            <w:r>
              <w:rPr>
                <w:rFonts w:cs="Times New Roman"/>
                <w:sz w:val="24"/>
              </w:rPr>
              <w:t>评价单位</w:t>
            </w:r>
          </w:p>
        </w:tc>
        <w:tc>
          <w:tcPr>
            <w:tcW w:w="8397" w:type="dxa"/>
            <w:gridSpan w:val="5"/>
            <w:tcBorders>
              <w:top w:val="single" w:color="auto" w:sz="4" w:space="0"/>
              <w:left w:val="single" w:color="auto" w:sz="4" w:space="0"/>
              <w:bottom w:val="single" w:color="auto" w:sz="4" w:space="0"/>
              <w:right w:val="single" w:color="auto" w:sz="4" w:space="0"/>
            </w:tcBorders>
            <w:vAlign w:val="center"/>
          </w:tcPr>
          <w:p w14:paraId="70FF0D3F">
            <w:pPr>
              <w:spacing w:line="240" w:lineRule="auto"/>
              <w:ind w:firstLine="0" w:firstLineChars="0"/>
              <w:jc w:val="center"/>
              <w:rPr>
                <w:rFonts w:cs="Times New Roman"/>
                <w:sz w:val="24"/>
              </w:rPr>
            </w:pPr>
            <w:r>
              <w:rPr>
                <w:rFonts w:cs="Times New Roman"/>
                <w:sz w:val="24"/>
              </w:rPr>
              <w:t>辽宁诺诚安全科技有限公司</w:t>
            </w:r>
          </w:p>
        </w:tc>
      </w:tr>
      <w:tr w14:paraId="464E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vAlign w:val="center"/>
          </w:tcPr>
          <w:p w14:paraId="29069288">
            <w:pPr>
              <w:spacing w:line="240" w:lineRule="auto"/>
              <w:ind w:firstLine="0" w:firstLineChars="0"/>
              <w:jc w:val="center"/>
              <w:rPr>
                <w:rFonts w:cs="Times New Roman"/>
                <w:sz w:val="24"/>
              </w:rPr>
            </w:pPr>
            <w:r>
              <w:rPr>
                <w:rFonts w:cs="Times New Roman"/>
                <w:sz w:val="24"/>
              </w:rPr>
              <w:t>项目名称</w:t>
            </w:r>
          </w:p>
        </w:tc>
        <w:tc>
          <w:tcPr>
            <w:tcW w:w="8397" w:type="dxa"/>
            <w:gridSpan w:val="5"/>
            <w:tcBorders>
              <w:top w:val="single" w:color="auto" w:sz="4" w:space="0"/>
              <w:left w:val="single" w:color="auto" w:sz="4" w:space="0"/>
              <w:bottom w:val="single" w:color="auto" w:sz="4" w:space="0"/>
              <w:right w:val="single" w:color="auto" w:sz="4" w:space="0"/>
            </w:tcBorders>
            <w:vAlign w:val="center"/>
          </w:tcPr>
          <w:p w14:paraId="6226CAAD">
            <w:pPr>
              <w:spacing w:line="240" w:lineRule="auto"/>
              <w:ind w:firstLine="0" w:firstLineChars="0"/>
              <w:jc w:val="center"/>
              <w:rPr>
                <w:rFonts w:cs="Times New Roman"/>
                <w:sz w:val="24"/>
              </w:rPr>
            </w:pPr>
            <w:r>
              <w:rPr>
                <w:rFonts w:hint="eastAsia" w:cs="Times New Roman"/>
                <w:sz w:val="24"/>
                <w:szCs w:val="22"/>
              </w:rPr>
              <w:t>云南兴昆化工有限公司大坟箐磷石膏渣场堆存整治工程安全预评价</w:t>
            </w:r>
          </w:p>
        </w:tc>
      </w:tr>
      <w:tr w14:paraId="0186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vAlign w:val="center"/>
          </w:tcPr>
          <w:p w14:paraId="350367D0">
            <w:pPr>
              <w:spacing w:line="240" w:lineRule="auto"/>
              <w:ind w:firstLine="0" w:firstLineChars="0"/>
              <w:jc w:val="center"/>
              <w:rPr>
                <w:rFonts w:cs="Times New Roman"/>
                <w:sz w:val="24"/>
              </w:rPr>
            </w:pPr>
            <w:r>
              <w:rPr>
                <w:rFonts w:cs="Times New Roman"/>
                <w:sz w:val="24"/>
              </w:rPr>
              <w:t>评价人员</w:t>
            </w:r>
          </w:p>
        </w:tc>
        <w:tc>
          <w:tcPr>
            <w:tcW w:w="1236" w:type="dxa"/>
            <w:tcBorders>
              <w:top w:val="single" w:color="auto" w:sz="4" w:space="0"/>
              <w:left w:val="single" w:color="auto" w:sz="4" w:space="0"/>
              <w:bottom w:val="single" w:color="auto" w:sz="4" w:space="0"/>
              <w:right w:val="single" w:color="auto" w:sz="4" w:space="0"/>
            </w:tcBorders>
            <w:vAlign w:val="center"/>
          </w:tcPr>
          <w:p w14:paraId="4D319BA5">
            <w:pPr>
              <w:spacing w:line="240" w:lineRule="auto"/>
              <w:ind w:firstLine="0" w:firstLineChars="0"/>
              <w:jc w:val="center"/>
              <w:rPr>
                <w:rFonts w:cs="Times New Roman"/>
                <w:sz w:val="24"/>
              </w:rPr>
            </w:pPr>
            <w:r>
              <w:rPr>
                <w:rFonts w:cs="Times New Roman"/>
                <w:sz w:val="24"/>
              </w:rPr>
              <w:t>姓  名</w:t>
            </w:r>
          </w:p>
        </w:tc>
        <w:tc>
          <w:tcPr>
            <w:tcW w:w="1387" w:type="dxa"/>
            <w:tcBorders>
              <w:top w:val="single" w:color="auto" w:sz="4" w:space="0"/>
              <w:left w:val="single" w:color="auto" w:sz="4" w:space="0"/>
              <w:bottom w:val="single" w:color="auto" w:sz="4" w:space="0"/>
              <w:right w:val="single" w:color="auto" w:sz="4" w:space="0"/>
            </w:tcBorders>
            <w:vAlign w:val="center"/>
          </w:tcPr>
          <w:p w14:paraId="374D1524">
            <w:pPr>
              <w:spacing w:line="240" w:lineRule="auto"/>
              <w:ind w:firstLine="0" w:firstLineChars="0"/>
              <w:jc w:val="center"/>
              <w:rPr>
                <w:rFonts w:cs="Times New Roman"/>
                <w:sz w:val="24"/>
                <w:szCs w:val="22"/>
                <w:lang w:val="zh-CN" w:bidi="zh-CN"/>
              </w:rPr>
            </w:pPr>
            <w:r>
              <w:rPr>
                <w:rFonts w:cs="Times New Roman"/>
                <w:sz w:val="24"/>
              </w:rPr>
              <w:t>专业能力</w:t>
            </w:r>
          </w:p>
        </w:tc>
        <w:tc>
          <w:tcPr>
            <w:tcW w:w="2300" w:type="dxa"/>
            <w:tcBorders>
              <w:top w:val="single" w:color="auto" w:sz="4" w:space="0"/>
              <w:left w:val="single" w:color="auto" w:sz="4" w:space="0"/>
              <w:bottom w:val="single" w:color="auto" w:sz="4" w:space="0"/>
              <w:right w:val="single" w:color="auto" w:sz="4" w:space="0"/>
            </w:tcBorders>
            <w:vAlign w:val="center"/>
          </w:tcPr>
          <w:p w14:paraId="4CFCF1F6">
            <w:pPr>
              <w:spacing w:line="240" w:lineRule="auto"/>
              <w:ind w:firstLine="0" w:firstLineChars="0"/>
              <w:jc w:val="center"/>
              <w:rPr>
                <w:rFonts w:cs="Times New Roman"/>
                <w:sz w:val="24"/>
                <w:szCs w:val="22"/>
                <w:lang w:val="zh-CN" w:bidi="zh-CN"/>
              </w:rPr>
            </w:pPr>
            <w:r>
              <w:rPr>
                <w:rFonts w:cs="Times New Roman"/>
                <w:sz w:val="24"/>
              </w:rPr>
              <w:t>资格证书号</w:t>
            </w:r>
          </w:p>
        </w:tc>
        <w:tc>
          <w:tcPr>
            <w:tcW w:w="1880" w:type="dxa"/>
            <w:tcBorders>
              <w:top w:val="single" w:color="auto" w:sz="4" w:space="0"/>
              <w:left w:val="single" w:color="auto" w:sz="4" w:space="0"/>
              <w:bottom w:val="single" w:color="auto" w:sz="4" w:space="0"/>
              <w:right w:val="single" w:color="auto" w:sz="4" w:space="0"/>
            </w:tcBorders>
            <w:vAlign w:val="center"/>
          </w:tcPr>
          <w:p w14:paraId="5D3A7BA9">
            <w:pPr>
              <w:spacing w:line="240" w:lineRule="auto"/>
              <w:ind w:firstLine="0" w:firstLineChars="0"/>
              <w:jc w:val="center"/>
              <w:rPr>
                <w:rFonts w:cs="Times New Roman"/>
                <w:sz w:val="24"/>
                <w:szCs w:val="22"/>
                <w:lang w:val="zh-CN" w:bidi="zh-CN"/>
              </w:rPr>
            </w:pPr>
            <w:r>
              <w:rPr>
                <w:rFonts w:cs="Times New Roman"/>
                <w:sz w:val="24"/>
              </w:rPr>
              <w:t>从业登记编号</w:t>
            </w:r>
          </w:p>
        </w:tc>
        <w:tc>
          <w:tcPr>
            <w:tcW w:w="1594" w:type="dxa"/>
            <w:tcBorders>
              <w:top w:val="single" w:color="auto" w:sz="4" w:space="0"/>
              <w:left w:val="single" w:color="auto" w:sz="4" w:space="0"/>
              <w:bottom w:val="single" w:color="auto" w:sz="4" w:space="0"/>
              <w:right w:val="single" w:color="auto" w:sz="4" w:space="0"/>
            </w:tcBorders>
            <w:vAlign w:val="center"/>
          </w:tcPr>
          <w:p w14:paraId="623BA1D8">
            <w:pPr>
              <w:spacing w:line="240" w:lineRule="auto"/>
              <w:ind w:firstLine="0" w:firstLineChars="0"/>
              <w:jc w:val="center"/>
              <w:rPr>
                <w:rFonts w:cs="Times New Roman"/>
                <w:sz w:val="24"/>
              </w:rPr>
            </w:pPr>
            <w:r>
              <w:rPr>
                <w:rFonts w:cs="Times New Roman"/>
                <w:sz w:val="24"/>
              </w:rPr>
              <w:t>签  字</w:t>
            </w:r>
          </w:p>
        </w:tc>
      </w:tr>
      <w:tr w14:paraId="24A3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vAlign w:val="center"/>
          </w:tcPr>
          <w:p w14:paraId="5F577B73">
            <w:pPr>
              <w:spacing w:line="240" w:lineRule="auto"/>
              <w:ind w:firstLine="0" w:firstLineChars="0"/>
              <w:jc w:val="center"/>
              <w:rPr>
                <w:rFonts w:cs="Times New Roman"/>
                <w:sz w:val="24"/>
              </w:rPr>
            </w:pPr>
            <w:r>
              <w:rPr>
                <w:rFonts w:cs="Times New Roman"/>
                <w:sz w:val="24"/>
              </w:rPr>
              <w:t>项目负责人</w:t>
            </w:r>
          </w:p>
        </w:tc>
        <w:tc>
          <w:tcPr>
            <w:tcW w:w="1236" w:type="dxa"/>
            <w:tcBorders>
              <w:top w:val="single" w:color="auto" w:sz="4" w:space="0"/>
              <w:left w:val="single" w:color="auto" w:sz="4" w:space="0"/>
              <w:bottom w:val="single" w:color="auto" w:sz="4" w:space="0"/>
              <w:right w:val="single" w:color="auto" w:sz="4" w:space="0"/>
            </w:tcBorders>
            <w:vAlign w:val="center"/>
          </w:tcPr>
          <w:p w14:paraId="77A1E154">
            <w:pPr>
              <w:spacing w:line="240" w:lineRule="auto"/>
              <w:ind w:firstLine="0" w:firstLineChars="0"/>
              <w:jc w:val="center"/>
              <w:rPr>
                <w:rFonts w:cs="Times New Roman"/>
                <w:sz w:val="24"/>
              </w:rPr>
            </w:pPr>
            <w:r>
              <w:rPr>
                <w:rFonts w:cs="Times New Roman"/>
                <w:kern w:val="0"/>
                <w:sz w:val="24"/>
                <w:szCs w:val="24"/>
                <w:lang w:bidi="zh-CN"/>
              </w:rPr>
              <w:t>杨会明</w:t>
            </w:r>
          </w:p>
        </w:tc>
        <w:tc>
          <w:tcPr>
            <w:tcW w:w="1387" w:type="dxa"/>
            <w:tcBorders>
              <w:top w:val="single" w:color="auto" w:sz="4" w:space="0"/>
              <w:left w:val="single" w:color="auto" w:sz="4" w:space="0"/>
              <w:bottom w:val="single" w:color="auto" w:sz="4" w:space="0"/>
              <w:right w:val="single" w:color="auto" w:sz="4" w:space="0"/>
            </w:tcBorders>
            <w:vAlign w:val="center"/>
          </w:tcPr>
          <w:p w14:paraId="7E251979">
            <w:pPr>
              <w:spacing w:line="240" w:lineRule="auto"/>
              <w:ind w:firstLine="0" w:firstLineChars="0"/>
              <w:jc w:val="center"/>
              <w:rPr>
                <w:rFonts w:cs="Times New Roman"/>
                <w:sz w:val="24"/>
              </w:rPr>
            </w:pPr>
            <w:r>
              <w:rPr>
                <w:rFonts w:hint="eastAsia" w:cs="Times New Roman"/>
                <w:kern w:val="0"/>
                <w:sz w:val="24"/>
                <w:szCs w:val="24"/>
                <w:lang w:bidi="zh-CN"/>
              </w:rPr>
              <w:t>通风</w:t>
            </w:r>
          </w:p>
        </w:tc>
        <w:tc>
          <w:tcPr>
            <w:tcW w:w="2300" w:type="dxa"/>
            <w:tcBorders>
              <w:top w:val="single" w:color="auto" w:sz="4" w:space="0"/>
              <w:left w:val="single" w:color="auto" w:sz="4" w:space="0"/>
              <w:bottom w:val="single" w:color="auto" w:sz="4" w:space="0"/>
              <w:right w:val="single" w:color="auto" w:sz="4" w:space="0"/>
            </w:tcBorders>
            <w:vAlign w:val="center"/>
          </w:tcPr>
          <w:p w14:paraId="417DC018">
            <w:pPr>
              <w:spacing w:line="240" w:lineRule="auto"/>
              <w:ind w:firstLine="0" w:firstLineChars="0"/>
              <w:jc w:val="center"/>
              <w:rPr>
                <w:rFonts w:cs="Times New Roman"/>
                <w:sz w:val="24"/>
                <w:lang w:val="zh-CN"/>
              </w:rPr>
            </w:pPr>
            <w:r>
              <w:fldChar w:fldCharType="begin"/>
            </w:r>
            <w:r>
              <w:instrText xml:space="preserve"> HYPERLINK "http://cydj.5anquan.com/Admin/AprySearch/path=/Files/Image/ApryImg/Profession/Edit4239/" \o "http://cydj.5anquan.com/Admin/AprySearch/path=/Files/Image/ApryImg/Profession/Edit4239/" </w:instrText>
            </w:r>
            <w:r>
              <w:fldChar w:fldCharType="separate"/>
            </w:r>
            <w:r>
              <w:rPr>
                <w:rFonts w:cs="Times New Roman"/>
                <w:kern w:val="0"/>
                <w:sz w:val="24"/>
                <w:szCs w:val="24"/>
                <w:lang w:bidi="zh-CN"/>
              </w:rPr>
              <w:t>S011053000110192003194</w:t>
            </w:r>
            <w:r>
              <w:rPr>
                <w:rFonts w:cs="Times New Roman"/>
                <w:kern w:val="0"/>
                <w:sz w:val="24"/>
                <w:szCs w:val="24"/>
                <w:lang w:bidi="zh-CN"/>
              </w:rPr>
              <w:fldChar w:fldCharType="end"/>
            </w:r>
          </w:p>
        </w:tc>
        <w:tc>
          <w:tcPr>
            <w:tcW w:w="1880" w:type="dxa"/>
            <w:tcBorders>
              <w:top w:val="single" w:color="auto" w:sz="4" w:space="0"/>
              <w:left w:val="single" w:color="auto" w:sz="4" w:space="0"/>
              <w:bottom w:val="single" w:color="auto" w:sz="4" w:space="0"/>
              <w:right w:val="single" w:color="auto" w:sz="4" w:space="0"/>
            </w:tcBorders>
            <w:vAlign w:val="center"/>
          </w:tcPr>
          <w:p w14:paraId="3882C331">
            <w:pPr>
              <w:spacing w:line="240" w:lineRule="auto"/>
              <w:ind w:firstLine="0" w:firstLineChars="0"/>
              <w:jc w:val="center"/>
              <w:rPr>
                <w:rFonts w:cs="Times New Roman"/>
                <w:sz w:val="24"/>
                <w:lang w:val="zh-CN"/>
              </w:rPr>
            </w:pPr>
            <w:r>
              <w:rPr>
                <w:rFonts w:cs="Times New Roman"/>
                <w:kern w:val="0"/>
                <w:sz w:val="24"/>
                <w:szCs w:val="24"/>
                <w:lang w:bidi="zh-CN"/>
              </w:rPr>
              <w:t>024910</w:t>
            </w:r>
          </w:p>
        </w:tc>
        <w:tc>
          <w:tcPr>
            <w:tcW w:w="1594" w:type="dxa"/>
            <w:tcBorders>
              <w:top w:val="single" w:color="auto" w:sz="4" w:space="0"/>
              <w:left w:val="single" w:color="auto" w:sz="4" w:space="0"/>
              <w:bottom w:val="single" w:color="auto" w:sz="4" w:space="0"/>
              <w:right w:val="single" w:color="auto" w:sz="4" w:space="0"/>
            </w:tcBorders>
            <w:vAlign w:val="center"/>
          </w:tcPr>
          <w:p w14:paraId="1A2AAA9E">
            <w:pPr>
              <w:spacing w:line="240" w:lineRule="auto"/>
              <w:ind w:firstLine="0" w:firstLineChars="0"/>
              <w:jc w:val="center"/>
              <w:rPr>
                <w:rFonts w:cs="Times New Roman"/>
                <w:sz w:val="24"/>
              </w:rPr>
            </w:pPr>
          </w:p>
        </w:tc>
      </w:tr>
      <w:tr w14:paraId="37C4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restart"/>
            <w:tcBorders>
              <w:left w:val="single" w:color="auto" w:sz="4" w:space="0"/>
              <w:right w:val="single" w:color="auto" w:sz="4" w:space="0"/>
            </w:tcBorders>
            <w:vAlign w:val="center"/>
          </w:tcPr>
          <w:p w14:paraId="7A731126">
            <w:pPr>
              <w:spacing w:line="240" w:lineRule="auto"/>
              <w:ind w:firstLine="0" w:firstLineChars="0"/>
              <w:jc w:val="center"/>
              <w:rPr>
                <w:rFonts w:cs="Times New Roman"/>
                <w:sz w:val="24"/>
              </w:rPr>
            </w:pPr>
            <w:r>
              <w:rPr>
                <w:rFonts w:hint="eastAsia" w:cs="Times New Roman"/>
                <w:sz w:val="24"/>
              </w:rPr>
              <w:t>项目组成员</w:t>
            </w:r>
          </w:p>
        </w:tc>
        <w:tc>
          <w:tcPr>
            <w:tcW w:w="1236" w:type="dxa"/>
            <w:tcBorders>
              <w:top w:val="single" w:color="auto" w:sz="4" w:space="0"/>
              <w:left w:val="single" w:color="auto" w:sz="4" w:space="0"/>
              <w:bottom w:val="single" w:color="auto" w:sz="4" w:space="0"/>
              <w:right w:val="single" w:color="auto" w:sz="4" w:space="0"/>
            </w:tcBorders>
            <w:vAlign w:val="center"/>
          </w:tcPr>
          <w:p w14:paraId="272C12F7">
            <w:pPr>
              <w:spacing w:line="240" w:lineRule="auto"/>
              <w:ind w:firstLine="0" w:firstLineChars="0"/>
              <w:jc w:val="center"/>
              <w:rPr>
                <w:sz w:val="24"/>
                <w:szCs w:val="24"/>
                <w:lang w:val="zh-CN" w:bidi="zh-CN"/>
              </w:rPr>
            </w:pPr>
            <w:r>
              <w:rPr>
                <w:sz w:val="24"/>
                <w:szCs w:val="24"/>
                <w:lang w:val="zh-CN" w:bidi="zh-CN"/>
              </w:rPr>
              <w:t>刘</w:t>
            </w:r>
            <w:r>
              <w:rPr>
                <w:rFonts w:hint="eastAsia"/>
                <w:sz w:val="24"/>
                <w:szCs w:val="24"/>
                <w:lang w:val="zh-CN" w:bidi="zh-CN"/>
              </w:rPr>
              <w:t xml:space="preserve">  </w:t>
            </w:r>
            <w:r>
              <w:rPr>
                <w:sz w:val="24"/>
                <w:szCs w:val="24"/>
                <w:lang w:val="zh-CN" w:bidi="zh-CN"/>
              </w:rPr>
              <w:t>鑫</w:t>
            </w:r>
          </w:p>
        </w:tc>
        <w:tc>
          <w:tcPr>
            <w:tcW w:w="1387" w:type="dxa"/>
            <w:tcBorders>
              <w:top w:val="single" w:color="auto" w:sz="4" w:space="0"/>
              <w:left w:val="single" w:color="auto" w:sz="4" w:space="0"/>
              <w:bottom w:val="single" w:color="auto" w:sz="4" w:space="0"/>
              <w:right w:val="single" w:color="auto" w:sz="4" w:space="0"/>
            </w:tcBorders>
            <w:vAlign w:val="center"/>
          </w:tcPr>
          <w:p w14:paraId="717A6696">
            <w:pPr>
              <w:spacing w:line="240" w:lineRule="auto"/>
              <w:ind w:firstLine="0" w:firstLineChars="0"/>
              <w:jc w:val="center"/>
              <w:rPr>
                <w:sz w:val="24"/>
                <w:szCs w:val="24"/>
                <w:lang w:val="zh-CN" w:bidi="zh-CN"/>
              </w:rPr>
            </w:pPr>
            <w:r>
              <w:rPr>
                <w:sz w:val="24"/>
                <w:szCs w:val="24"/>
                <w:lang w:val="zh-CN" w:bidi="zh-CN"/>
              </w:rPr>
              <w:t>采矿</w:t>
            </w:r>
          </w:p>
        </w:tc>
        <w:tc>
          <w:tcPr>
            <w:tcW w:w="2300" w:type="dxa"/>
            <w:tcBorders>
              <w:top w:val="single" w:color="auto" w:sz="4" w:space="0"/>
              <w:left w:val="single" w:color="auto" w:sz="4" w:space="0"/>
              <w:bottom w:val="single" w:color="auto" w:sz="4" w:space="0"/>
              <w:right w:val="single" w:color="auto" w:sz="4" w:space="0"/>
            </w:tcBorders>
            <w:vAlign w:val="center"/>
          </w:tcPr>
          <w:p w14:paraId="2DAE6700">
            <w:pPr>
              <w:spacing w:line="240" w:lineRule="auto"/>
              <w:ind w:firstLine="0" w:firstLineChars="0"/>
              <w:jc w:val="center"/>
              <w:rPr>
                <w:sz w:val="24"/>
                <w:szCs w:val="24"/>
                <w:lang w:val="zh-CN" w:bidi="zh-CN"/>
              </w:rPr>
            </w:pPr>
            <w:r>
              <w:rPr>
                <w:sz w:val="24"/>
                <w:szCs w:val="24"/>
                <w:lang w:val="zh-CN" w:bidi="zh-CN"/>
              </w:rPr>
              <w:t>1500000000301577</w:t>
            </w:r>
          </w:p>
        </w:tc>
        <w:tc>
          <w:tcPr>
            <w:tcW w:w="1880" w:type="dxa"/>
            <w:tcBorders>
              <w:top w:val="single" w:color="auto" w:sz="4" w:space="0"/>
              <w:left w:val="single" w:color="auto" w:sz="4" w:space="0"/>
              <w:bottom w:val="single" w:color="auto" w:sz="4" w:space="0"/>
              <w:right w:val="single" w:color="auto" w:sz="4" w:space="0"/>
            </w:tcBorders>
            <w:vAlign w:val="center"/>
          </w:tcPr>
          <w:p w14:paraId="2F32FCCE">
            <w:pPr>
              <w:spacing w:line="240" w:lineRule="auto"/>
              <w:ind w:firstLine="0" w:firstLineChars="0"/>
              <w:jc w:val="center"/>
              <w:rPr>
                <w:sz w:val="24"/>
                <w:szCs w:val="24"/>
                <w:lang w:val="zh-CN" w:bidi="zh-CN"/>
              </w:rPr>
            </w:pPr>
            <w:r>
              <w:rPr>
                <w:sz w:val="24"/>
                <w:szCs w:val="24"/>
                <w:lang w:val="zh-CN" w:bidi="zh-CN"/>
              </w:rPr>
              <w:t>027423</w:t>
            </w:r>
          </w:p>
        </w:tc>
        <w:tc>
          <w:tcPr>
            <w:tcW w:w="1594" w:type="dxa"/>
            <w:tcBorders>
              <w:top w:val="single" w:color="auto" w:sz="4" w:space="0"/>
              <w:left w:val="single" w:color="auto" w:sz="4" w:space="0"/>
              <w:bottom w:val="single" w:color="auto" w:sz="4" w:space="0"/>
              <w:right w:val="single" w:color="auto" w:sz="4" w:space="0"/>
            </w:tcBorders>
            <w:vAlign w:val="center"/>
          </w:tcPr>
          <w:p w14:paraId="737F6127">
            <w:pPr>
              <w:spacing w:line="240" w:lineRule="auto"/>
              <w:ind w:firstLine="0" w:firstLineChars="0"/>
              <w:jc w:val="center"/>
              <w:rPr>
                <w:rFonts w:cs="Times New Roman"/>
                <w:sz w:val="24"/>
              </w:rPr>
            </w:pPr>
          </w:p>
        </w:tc>
      </w:tr>
      <w:tr w14:paraId="6251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vAlign w:val="center"/>
          </w:tcPr>
          <w:p w14:paraId="7B425A18">
            <w:pPr>
              <w:spacing w:line="240" w:lineRule="auto"/>
              <w:ind w:firstLine="0" w:firstLineChars="0"/>
              <w:jc w:val="center"/>
              <w:rPr>
                <w:rFonts w:cs="Times New Roman"/>
                <w:sz w:val="24"/>
              </w:rPr>
            </w:pPr>
          </w:p>
        </w:tc>
        <w:tc>
          <w:tcPr>
            <w:tcW w:w="1236" w:type="dxa"/>
            <w:tcBorders>
              <w:top w:val="single" w:color="auto" w:sz="4" w:space="0"/>
              <w:left w:val="single" w:color="auto" w:sz="4" w:space="0"/>
              <w:bottom w:val="single" w:color="auto" w:sz="4" w:space="0"/>
              <w:right w:val="single" w:color="auto" w:sz="4" w:space="0"/>
            </w:tcBorders>
            <w:vAlign w:val="center"/>
          </w:tcPr>
          <w:p w14:paraId="76248FDE">
            <w:pPr>
              <w:spacing w:line="240" w:lineRule="auto"/>
              <w:ind w:firstLine="0" w:firstLineChars="0"/>
              <w:jc w:val="center"/>
              <w:rPr>
                <w:sz w:val="24"/>
                <w:szCs w:val="24"/>
                <w:lang w:val="zh-CN" w:bidi="zh-CN"/>
              </w:rPr>
            </w:pPr>
            <w:r>
              <w:rPr>
                <w:sz w:val="24"/>
                <w:szCs w:val="24"/>
                <w:lang w:val="zh-CN" w:bidi="zh-CN"/>
              </w:rPr>
              <w:t>侯</w:t>
            </w:r>
            <w:r>
              <w:rPr>
                <w:rFonts w:hint="eastAsia"/>
                <w:sz w:val="24"/>
                <w:szCs w:val="24"/>
                <w:lang w:val="zh-CN" w:bidi="zh-CN"/>
              </w:rPr>
              <w:t xml:space="preserve">  </w:t>
            </w:r>
            <w:r>
              <w:rPr>
                <w:sz w:val="24"/>
                <w:szCs w:val="24"/>
                <w:lang w:val="zh-CN" w:bidi="zh-CN"/>
              </w:rPr>
              <w:t>岗</w:t>
            </w:r>
          </w:p>
        </w:tc>
        <w:tc>
          <w:tcPr>
            <w:tcW w:w="1387" w:type="dxa"/>
            <w:tcBorders>
              <w:top w:val="single" w:color="auto" w:sz="4" w:space="0"/>
              <w:left w:val="single" w:color="auto" w:sz="4" w:space="0"/>
              <w:bottom w:val="single" w:color="auto" w:sz="4" w:space="0"/>
              <w:right w:val="single" w:color="auto" w:sz="4" w:space="0"/>
            </w:tcBorders>
            <w:vAlign w:val="center"/>
          </w:tcPr>
          <w:p w14:paraId="784D3E4E">
            <w:pPr>
              <w:spacing w:line="240" w:lineRule="auto"/>
              <w:ind w:firstLine="0" w:firstLineChars="0"/>
              <w:jc w:val="center"/>
              <w:rPr>
                <w:sz w:val="24"/>
                <w:szCs w:val="24"/>
                <w:lang w:val="zh-CN" w:bidi="zh-CN"/>
              </w:rPr>
            </w:pPr>
            <w:r>
              <w:rPr>
                <w:sz w:val="24"/>
                <w:szCs w:val="24"/>
                <w:lang w:val="zh-CN" w:bidi="zh-CN"/>
              </w:rPr>
              <w:t>电气</w:t>
            </w:r>
          </w:p>
        </w:tc>
        <w:tc>
          <w:tcPr>
            <w:tcW w:w="2300" w:type="dxa"/>
            <w:tcBorders>
              <w:top w:val="single" w:color="auto" w:sz="4" w:space="0"/>
              <w:left w:val="single" w:color="auto" w:sz="4" w:space="0"/>
              <w:bottom w:val="single" w:color="auto" w:sz="4" w:space="0"/>
              <w:right w:val="single" w:color="auto" w:sz="4" w:space="0"/>
            </w:tcBorders>
            <w:vAlign w:val="center"/>
          </w:tcPr>
          <w:p w14:paraId="5DE9373B">
            <w:pPr>
              <w:spacing w:line="240" w:lineRule="auto"/>
              <w:ind w:firstLine="0" w:firstLineChars="0"/>
              <w:jc w:val="center"/>
              <w:rPr>
                <w:sz w:val="24"/>
                <w:szCs w:val="24"/>
                <w:lang w:val="zh-CN" w:bidi="zh-CN"/>
              </w:rPr>
            </w:pPr>
            <w:r>
              <w:rPr>
                <w:sz w:val="24"/>
                <w:szCs w:val="24"/>
                <w:lang w:val="zh-CN" w:bidi="zh-CN"/>
              </w:rPr>
              <w:t>1500000000302693</w:t>
            </w:r>
          </w:p>
        </w:tc>
        <w:tc>
          <w:tcPr>
            <w:tcW w:w="1880" w:type="dxa"/>
            <w:tcBorders>
              <w:top w:val="single" w:color="auto" w:sz="4" w:space="0"/>
              <w:left w:val="single" w:color="auto" w:sz="4" w:space="0"/>
              <w:bottom w:val="single" w:color="auto" w:sz="4" w:space="0"/>
              <w:right w:val="single" w:color="auto" w:sz="4" w:space="0"/>
            </w:tcBorders>
            <w:vAlign w:val="center"/>
          </w:tcPr>
          <w:p w14:paraId="5A4E265B">
            <w:pPr>
              <w:spacing w:line="240" w:lineRule="auto"/>
              <w:ind w:firstLine="0" w:firstLineChars="0"/>
              <w:jc w:val="center"/>
              <w:rPr>
                <w:sz w:val="24"/>
                <w:szCs w:val="24"/>
                <w:lang w:val="zh-CN" w:bidi="zh-CN"/>
              </w:rPr>
            </w:pPr>
            <w:r>
              <w:rPr>
                <w:sz w:val="24"/>
                <w:szCs w:val="24"/>
                <w:lang w:val="zh-CN" w:bidi="zh-CN"/>
              </w:rPr>
              <w:t>026194</w:t>
            </w:r>
          </w:p>
        </w:tc>
        <w:tc>
          <w:tcPr>
            <w:tcW w:w="1594" w:type="dxa"/>
            <w:tcBorders>
              <w:top w:val="single" w:color="auto" w:sz="4" w:space="0"/>
              <w:left w:val="single" w:color="auto" w:sz="4" w:space="0"/>
              <w:bottom w:val="single" w:color="auto" w:sz="4" w:space="0"/>
              <w:right w:val="single" w:color="auto" w:sz="4" w:space="0"/>
            </w:tcBorders>
            <w:vAlign w:val="center"/>
          </w:tcPr>
          <w:p w14:paraId="08FF7263">
            <w:pPr>
              <w:spacing w:line="240" w:lineRule="auto"/>
              <w:ind w:firstLine="0" w:firstLineChars="0"/>
              <w:jc w:val="center"/>
              <w:rPr>
                <w:rFonts w:cs="Times New Roman"/>
                <w:sz w:val="24"/>
              </w:rPr>
            </w:pPr>
          </w:p>
        </w:tc>
      </w:tr>
      <w:tr w14:paraId="24F4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vAlign w:val="center"/>
          </w:tcPr>
          <w:p w14:paraId="0BC4AF48">
            <w:pPr>
              <w:spacing w:line="240" w:lineRule="auto"/>
              <w:ind w:firstLine="0" w:firstLineChars="0"/>
              <w:jc w:val="center"/>
              <w:rPr>
                <w:rFonts w:cs="Times New Roman"/>
                <w:sz w:val="24"/>
              </w:rPr>
            </w:pPr>
          </w:p>
        </w:tc>
        <w:tc>
          <w:tcPr>
            <w:tcW w:w="1236" w:type="dxa"/>
            <w:tcBorders>
              <w:top w:val="single" w:color="auto" w:sz="4" w:space="0"/>
              <w:left w:val="single" w:color="auto" w:sz="4" w:space="0"/>
              <w:bottom w:val="single" w:color="auto" w:sz="4" w:space="0"/>
              <w:right w:val="single" w:color="auto" w:sz="4" w:space="0"/>
            </w:tcBorders>
            <w:vAlign w:val="center"/>
          </w:tcPr>
          <w:p w14:paraId="0BDD3170">
            <w:pPr>
              <w:spacing w:line="240" w:lineRule="auto"/>
              <w:ind w:firstLine="0" w:firstLineChars="0"/>
              <w:jc w:val="center"/>
              <w:rPr>
                <w:sz w:val="24"/>
                <w:szCs w:val="24"/>
                <w:lang w:val="zh-CN" w:bidi="zh-CN"/>
              </w:rPr>
            </w:pPr>
            <w:r>
              <w:rPr>
                <w:sz w:val="24"/>
                <w:szCs w:val="24"/>
                <w:lang w:val="zh-CN" w:bidi="zh-CN"/>
              </w:rPr>
              <w:t>杨  伍</w:t>
            </w:r>
          </w:p>
        </w:tc>
        <w:tc>
          <w:tcPr>
            <w:tcW w:w="1387" w:type="dxa"/>
            <w:tcBorders>
              <w:top w:val="single" w:color="auto" w:sz="4" w:space="0"/>
              <w:left w:val="single" w:color="auto" w:sz="4" w:space="0"/>
              <w:bottom w:val="single" w:color="auto" w:sz="4" w:space="0"/>
              <w:right w:val="single" w:color="auto" w:sz="4" w:space="0"/>
            </w:tcBorders>
            <w:vAlign w:val="center"/>
          </w:tcPr>
          <w:p w14:paraId="19D3522E">
            <w:pPr>
              <w:spacing w:line="240" w:lineRule="auto"/>
              <w:ind w:firstLine="0" w:firstLineChars="0"/>
              <w:jc w:val="center"/>
              <w:rPr>
                <w:sz w:val="24"/>
                <w:szCs w:val="24"/>
                <w:lang w:val="zh-CN" w:bidi="zh-CN"/>
              </w:rPr>
            </w:pPr>
            <w:r>
              <w:rPr>
                <w:sz w:val="24"/>
                <w:szCs w:val="24"/>
                <w:lang w:val="zh-CN" w:bidi="zh-CN"/>
              </w:rPr>
              <w:t>水工结构</w:t>
            </w:r>
          </w:p>
        </w:tc>
        <w:tc>
          <w:tcPr>
            <w:tcW w:w="2300" w:type="dxa"/>
            <w:tcBorders>
              <w:top w:val="single" w:color="auto" w:sz="4" w:space="0"/>
              <w:left w:val="single" w:color="auto" w:sz="4" w:space="0"/>
              <w:bottom w:val="single" w:color="auto" w:sz="4" w:space="0"/>
              <w:right w:val="single" w:color="auto" w:sz="4" w:space="0"/>
            </w:tcBorders>
            <w:vAlign w:val="center"/>
          </w:tcPr>
          <w:p w14:paraId="39A4929E">
            <w:pPr>
              <w:spacing w:line="240" w:lineRule="auto"/>
              <w:ind w:firstLine="0" w:firstLineChars="0"/>
              <w:jc w:val="center"/>
              <w:rPr>
                <w:sz w:val="24"/>
                <w:szCs w:val="24"/>
                <w:lang w:val="zh-CN" w:bidi="zh-CN"/>
              </w:rPr>
            </w:pPr>
            <w:r>
              <w:fldChar w:fldCharType="begin"/>
            </w:r>
            <w:r>
              <w:instrText xml:space="preserve"> HYPERLINK "http://cydj.5anquan.com/Admin/AprySearch/path=/Files/Image/ApryImg/Profession/Edit9607/" \o "http://cydj.5anquan.com/Admin/AprySearch/path=/Files/Image/ApryImg/Profession/Edit9607/" </w:instrText>
            </w:r>
            <w:r>
              <w:fldChar w:fldCharType="separate"/>
            </w:r>
            <w:r>
              <w:rPr>
                <w:sz w:val="24"/>
                <w:szCs w:val="24"/>
                <w:lang w:val="zh-CN" w:bidi="zh-CN"/>
              </w:rPr>
              <w:t>1100000000302455</w:t>
            </w:r>
            <w:r>
              <w:rPr>
                <w:sz w:val="24"/>
                <w:szCs w:val="24"/>
                <w:lang w:val="zh-CN" w:bidi="zh-CN"/>
              </w:rPr>
              <w:fldChar w:fldCharType="end"/>
            </w:r>
          </w:p>
        </w:tc>
        <w:tc>
          <w:tcPr>
            <w:tcW w:w="1880" w:type="dxa"/>
            <w:tcBorders>
              <w:top w:val="single" w:color="auto" w:sz="4" w:space="0"/>
              <w:left w:val="single" w:color="auto" w:sz="4" w:space="0"/>
              <w:bottom w:val="single" w:color="auto" w:sz="4" w:space="0"/>
              <w:right w:val="single" w:color="auto" w:sz="4" w:space="0"/>
            </w:tcBorders>
            <w:vAlign w:val="center"/>
          </w:tcPr>
          <w:p w14:paraId="4CD67667">
            <w:pPr>
              <w:spacing w:line="240" w:lineRule="auto"/>
              <w:ind w:firstLine="0" w:firstLineChars="0"/>
              <w:jc w:val="center"/>
              <w:rPr>
                <w:sz w:val="24"/>
                <w:szCs w:val="24"/>
                <w:lang w:val="zh-CN" w:bidi="zh-CN"/>
              </w:rPr>
            </w:pPr>
            <w:r>
              <w:rPr>
                <w:sz w:val="24"/>
                <w:szCs w:val="24"/>
                <w:lang w:val="zh-CN" w:bidi="zh-CN"/>
              </w:rPr>
              <w:t>020433</w:t>
            </w:r>
          </w:p>
        </w:tc>
        <w:tc>
          <w:tcPr>
            <w:tcW w:w="1594" w:type="dxa"/>
            <w:tcBorders>
              <w:top w:val="single" w:color="auto" w:sz="4" w:space="0"/>
              <w:left w:val="single" w:color="auto" w:sz="4" w:space="0"/>
              <w:bottom w:val="single" w:color="auto" w:sz="4" w:space="0"/>
              <w:right w:val="single" w:color="auto" w:sz="4" w:space="0"/>
            </w:tcBorders>
            <w:vAlign w:val="center"/>
          </w:tcPr>
          <w:p w14:paraId="274F26FC">
            <w:pPr>
              <w:spacing w:line="240" w:lineRule="auto"/>
              <w:ind w:firstLine="0" w:firstLineChars="0"/>
              <w:jc w:val="center"/>
              <w:rPr>
                <w:rFonts w:cs="Times New Roman"/>
                <w:sz w:val="24"/>
              </w:rPr>
            </w:pPr>
          </w:p>
        </w:tc>
      </w:tr>
      <w:tr w14:paraId="2A16B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vAlign w:val="center"/>
          </w:tcPr>
          <w:p w14:paraId="592755FE">
            <w:pPr>
              <w:spacing w:line="240" w:lineRule="auto"/>
              <w:ind w:firstLine="0" w:firstLineChars="0"/>
              <w:jc w:val="center"/>
              <w:rPr>
                <w:rFonts w:cs="Times New Roman"/>
                <w:sz w:val="24"/>
              </w:rPr>
            </w:pPr>
          </w:p>
        </w:tc>
        <w:tc>
          <w:tcPr>
            <w:tcW w:w="1236" w:type="dxa"/>
            <w:tcBorders>
              <w:top w:val="single" w:color="auto" w:sz="4" w:space="0"/>
              <w:left w:val="single" w:color="auto" w:sz="4" w:space="0"/>
              <w:bottom w:val="single" w:color="auto" w:sz="4" w:space="0"/>
              <w:right w:val="single" w:color="auto" w:sz="4" w:space="0"/>
            </w:tcBorders>
            <w:vAlign w:val="center"/>
          </w:tcPr>
          <w:p w14:paraId="396BEE31">
            <w:pPr>
              <w:spacing w:line="240" w:lineRule="auto"/>
              <w:ind w:firstLine="0" w:firstLineChars="0"/>
              <w:jc w:val="center"/>
              <w:rPr>
                <w:sz w:val="24"/>
                <w:szCs w:val="24"/>
                <w:lang w:val="zh-CN" w:bidi="zh-CN"/>
              </w:rPr>
            </w:pPr>
            <w:r>
              <w:rPr>
                <w:sz w:val="24"/>
                <w:szCs w:val="24"/>
                <w:lang w:val="zh-CN" w:bidi="zh-CN"/>
              </w:rPr>
              <w:t>王英楠</w:t>
            </w:r>
          </w:p>
        </w:tc>
        <w:tc>
          <w:tcPr>
            <w:tcW w:w="1387" w:type="dxa"/>
            <w:tcBorders>
              <w:top w:val="single" w:color="auto" w:sz="4" w:space="0"/>
              <w:left w:val="single" w:color="auto" w:sz="4" w:space="0"/>
              <w:bottom w:val="single" w:color="auto" w:sz="4" w:space="0"/>
              <w:right w:val="single" w:color="auto" w:sz="4" w:space="0"/>
            </w:tcBorders>
            <w:vAlign w:val="center"/>
          </w:tcPr>
          <w:p w14:paraId="3F4AA25C">
            <w:pPr>
              <w:spacing w:line="240" w:lineRule="auto"/>
              <w:ind w:firstLine="0" w:firstLineChars="0"/>
              <w:jc w:val="center"/>
              <w:rPr>
                <w:sz w:val="24"/>
                <w:szCs w:val="24"/>
                <w:lang w:val="zh-CN" w:bidi="zh-CN"/>
              </w:rPr>
            </w:pPr>
            <w:r>
              <w:rPr>
                <w:sz w:val="24"/>
                <w:szCs w:val="24"/>
                <w:lang w:val="zh-CN" w:bidi="zh-CN"/>
              </w:rPr>
              <w:t>地质</w:t>
            </w:r>
          </w:p>
        </w:tc>
        <w:tc>
          <w:tcPr>
            <w:tcW w:w="2300" w:type="dxa"/>
            <w:tcBorders>
              <w:top w:val="single" w:color="auto" w:sz="4" w:space="0"/>
              <w:left w:val="single" w:color="auto" w:sz="4" w:space="0"/>
              <w:bottom w:val="single" w:color="auto" w:sz="4" w:space="0"/>
              <w:right w:val="single" w:color="auto" w:sz="4" w:space="0"/>
            </w:tcBorders>
            <w:vAlign w:val="center"/>
          </w:tcPr>
          <w:p w14:paraId="00BED67A">
            <w:pPr>
              <w:spacing w:line="240" w:lineRule="auto"/>
              <w:ind w:firstLine="0" w:firstLineChars="0"/>
              <w:jc w:val="center"/>
              <w:rPr>
                <w:sz w:val="24"/>
                <w:szCs w:val="24"/>
                <w:lang w:val="zh-CN" w:bidi="zh-CN"/>
              </w:rPr>
            </w:pPr>
            <w:r>
              <w:rPr>
                <w:sz w:val="24"/>
                <w:szCs w:val="24"/>
                <w:lang w:val="zh-CN" w:bidi="zh-CN"/>
              </w:rPr>
              <w:t>1100000000302557</w:t>
            </w:r>
          </w:p>
        </w:tc>
        <w:tc>
          <w:tcPr>
            <w:tcW w:w="1880" w:type="dxa"/>
            <w:tcBorders>
              <w:top w:val="single" w:color="auto" w:sz="4" w:space="0"/>
              <w:left w:val="single" w:color="auto" w:sz="4" w:space="0"/>
              <w:bottom w:val="single" w:color="auto" w:sz="4" w:space="0"/>
              <w:right w:val="single" w:color="auto" w:sz="4" w:space="0"/>
            </w:tcBorders>
            <w:vAlign w:val="center"/>
          </w:tcPr>
          <w:p w14:paraId="4D48D1D3">
            <w:pPr>
              <w:spacing w:line="240" w:lineRule="auto"/>
              <w:ind w:firstLine="0" w:firstLineChars="0"/>
              <w:jc w:val="center"/>
              <w:rPr>
                <w:sz w:val="24"/>
                <w:szCs w:val="24"/>
                <w:lang w:val="zh-CN" w:bidi="zh-CN"/>
              </w:rPr>
            </w:pPr>
            <w:r>
              <w:rPr>
                <w:sz w:val="24"/>
                <w:szCs w:val="24"/>
                <w:lang w:val="zh-CN" w:bidi="zh-CN"/>
              </w:rPr>
              <w:t>020437</w:t>
            </w:r>
          </w:p>
        </w:tc>
        <w:tc>
          <w:tcPr>
            <w:tcW w:w="1594" w:type="dxa"/>
            <w:tcBorders>
              <w:top w:val="single" w:color="auto" w:sz="4" w:space="0"/>
              <w:left w:val="single" w:color="auto" w:sz="4" w:space="0"/>
              <w:bottom w:val="single" w:color="auto" w:sz="4" w:space="0"/>
              <w:right w:val="single" w:color="auto" w:sz="4" w:space="0"/>
            </w:tcBorders>
            <w:vAlign w:val="center"/>
          </w:tcPr>
          <w:p w14:paraId="5F080B70">
            <w:pPr>
              <w:spacing w:line="240" w:lineRule="auto"/>
              <w:ind w:firstLine="0" w:firstLineChars="0"/>
              <w:jc w:val="center"/>
              <w:rPr>
                <w:rFonts w:cs="Times New Roman"/>
                <w:sz w:val="24"/>
              </w:rPr>
            </w:pPr>
          </w:p>
        </w:tc>
      </w:tr>
      <w:tr w14:paraId="0EBF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vAlign w:val="center"/>
          </w:tcPr>
          <w:p w14:paraId="7126A78C">
            <w:pPr>
              <w:spacing w:line="240" w:lineRule="auto"/>
              <w:ind w:firstLine="0" w:firstLineChars="0"/>
              <w:jc w:val="center"/>
              <w:rPr>
                <w:rFonts w:cs="Times New Roman"/>
                <w:sz w:val="24"/>
              </w:rPr>
            </w:pPr>
          </w:p>
        </w:tc>
        <w:tc>
          <w:tcPr>
            <w:tcW w:w="1236" w:type="dxa"/>
            <w:tcBorders>
              <w:top w:val="single" w:color="auto" w:sz="4" w:space="0"/>
              <w:left w:val="single" w:color="auto" w:sz="4" w:space="0"/>
              <w:bottom w:val="single" w:color="auto" w:sz="4" w:space="0"/>
              <w:right w:val="single" w:color="auto" w:sz="4" w:space="0"/>
            </w:tcBorders>
            <w:vAlign w:val="center"/>
          </w:tcPr>
          <w:p w14:paraId="609C72B0">
            <w:pPr>
              <w:spacing w:line="240" w:lineRule="auto"/>
              <w:ind w:firstLine="0" w:firstLineChars="0"/>
              <w:jc w:val="center"/>
              <w:rPr>
                <w:sz w:val="24"/>
                <w:szCs w:val="24"/>
                <w:lang w:val="zh-CN" w:bidi="zh-CN"/>
              </w:rPr>
            </w:pPr>
            <w:r>
              <w:rPr>
                <w:sz w:val="24"/>
                <w:szCs w:val="24"/>
                <w:lang w:val="zh-CN" w:bidi="zh-CN"/>
              </w:rPr>
              <w:t>于贺苓</w:t>
            </w:r>
          </w:p>
        </w:tc>
        <w:tc>
          <w:tcPr>
            <w:tcW w:w="1387" w:type="dxa"/>
            <w:tcBorders>
              <w:top w:val="single" w:color="auto" w:sz="4" w:space="0"/>
              <w:left w:val="single" w:color="auto" w:sz="4" w:space="0"/>
              <w:bottom w:val="single" w:color="auto" w:sz="4" w:space="0"/>
              <w:right w:val="single" w:color="auto" w:sz="4" w:space="0"/>
            </w:tcBorders>
            <w:vAlign w:val="center"/>
          </w:tcPr>
          <w:p w14:paraId="24923A6A">
            <w:pPr>
              <w:spacing w:line="240" w:lineRule="auto"/>
              <w:ind w:firstLine="0" w:firstLineChars="0"/>
              <w:jc w:val="center"/>
              <w:rPr>
                <w:sz w:val="24"/>
                <w:szCs w:val="24"/>
                <w:lang w:val="zh-CN" w:bidi="zh-CN"/>
              </w:rPr>
            </w:pPr>
            <w:r>
              <w:rPr>
                <w:sz w:val="24"/>
                <w:szCs w:val="24"/>
                <w:lang w:val="zh-CN" w:bidi="zh-CN"/>
              </w:rPr>
              <w:t>机械</w:t>
            </w:r>
          </w:p>
        </w:tc>
        <w:tc>
          <w:tcPr>
            <w:tcW w:w="2300" w:type="dxa"/>
            <w:tcBorders>
              <w:top w:val="single" w:color="auto" w:sz="4" w:space="0"/>
              <w:left w:val="single" w:color="auto" w:sz="4" w:space="0"/>
              <w:bottom w:val="single" w:color="auto" w:sz="4" w:space="0"/>
              <w:right w:val="single" w:color="auto" w:sz="4" w:space="0"/>
            </w:tcBorders>
            <w:vAlign w:val="center"/>
          </w:tcPr>
          <w:p w14:paraId="4DF1EDA9">
            <w:pPr>
              <w:spacing w:line="240" w:lineRule="auto"/>
              <w:ind w:firstLine="0" w:firstLineChars="0"/>
              <w:jc w:val="center"/>
              <w:rPr>
                <w:sz w:val="24"/>
                <w:szCs w:val="24"/>
                <w:lang w:val="zh-CN" w:bidi="zh-CN"/>
              </w:rPr>
            </w:pPr>
            <w:r>
              <w:rPr>
                <w:sz w:val="24"/>
                <w:szCs w:val="24"/>
                <w:lang w:val="zh-CN" w:bidi="zh-CN"/>
              </w:rPr>
              <w:t>1500000000302540</w:t>
            </w:r>
          </w:p>
        </w:tc>
        <w:tc>
          <w:tcPr>
            <w:tcW w:w="1880" w:type="dxa"/>
            <w:tcBorders>
              <w:top w:val="single" w:color="auto" w:sz="4" w:space="0"/>
              <w:left w:val="single" w:color="auto" w:sz="4" w:space="0"/>
              <w:bottom w:val="single" w:color="auto" w:sz="4" w:space="0"/>
              <w:right w:val="single" w:color="auto" w:sz="4" w:space="0"/>
            </w:tcBorders>
            <w:vAlign w:val="center"/>
          </w:tcPr>
          <w:p w14:paraId="4121A298">
            <w:pPr>
              <w:spacing w:line="240" w:lineRule="auto"/>
              <w:ind w:firstLine="0" w:firstLineChars="0"/>
              <w:jc w:val="center"/>
              <w:rPr>
                <w:sz w:val="24"/>
                <w:szCs w:val="24"/>
                <w:lang w:val="zh-CN" w:bidi="zh-CN"/>
              </w:rPr>
            </w:pPr>
            <w:r>
              <w:rPr>
                <w:sz w:val="24"/>
                <w:szCs w:val="24"/>
                <w:lang w:val="zh-CN" w:bidi="zh-CN"/>
              </w:rPr>
              <w:t>026191</w:t>
            </w:r>
          </w:p>
        </w:tc>
        <w:tc>
          <w:tcPr>
            <w:tcW w:w="1594" w:type="dxa"/>
            <w:tcBorders>
              <w:top w:val="single" w:color="auto" w:sz="4" w:space="0"/>
              <w:left w:val="single" w:color="auto" w:sz="4" w:space="0"/>
              <w:bottom w:val="single" w:color="auto" w:sz="4" w:space="0"/>
              <w:right w:val="single" w:color="auto" w:sz="4" w:space="0"/>
            </w:tcBorders>
            <w:vAlign w:val="center"/>
          </w:tcPr>
          <w:p w14:paraId="434C09CC">
            <w:pPr>
              <w:spacing w:line="240" w:lineRule="auto"/>
              <w:ind w:firstLine="0" w:firstLineChars="0"/>
              <w:jc w:val="center"/>
              <w:rPr>
                <w:rFonts w:cs="Times New Roman"/>
                <w:sz w:val="24"/>
              </w:rPr>
            </w:pPr>
          </w:p>
        </w:tc>
      </w:tr>
      <w:tr w14:paraId="6F12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vAlign w:val="center"/>
          </w:tcPr>
          <w:p w14:paraId="12F23D87">
            <w:pPr>
              <w:spacing w:line="240" w:lineRule="auto"/>
              <w:ind w:firstLine="0" w:firstLineChars="0"/>
              <w:jc w:val="center"/>
              <w:rPr>
                <w:rFonts w:cs="Times New Roman"/>
                <w:sz w:val="24"/>
              </w:rPr>
            </w:pPr>
          </w:p>
        </w:tc>
        <w:tc>
          <w:tcPr>
            <w:tcW w:w="1236" w:type="dxa"/>
            <w:tcBorders>
              <w:top w:val="single" w:color="auto" w:sz="4" w:space="0"/>
              <w:left w:val="single" w:color="auto" w:sz="4" w:space="0"/>
              <w:bottom w:val="single" w:color="auto" w:sz="4" w:space="0"/>
              <w:right w:val="single" w:color="auto" w:sz="4" w:space="0"/>
            </w:tcBorders>
            <w:vAlign w:val="center"/>
          </w:tcPr>
          <w:p w14:paraId="53160B57">
            <w:pPr>
              <w:spacing w:line="240" w:lineRule="auto"/>
              <w:ind w:firstLine="0" w:firstLineChars="0"/>
              <w:jc w:val="center"/>
              <w:rPr>
                <w:sz w:val="24"/>
                <w:szCs w:val="24"/>
                <w:lang w:val="zh-CN" w:bidi="zh-CN"/>
              </w:rPr>
            </w:pPr>
            <w:r>
              <w:rPr>
                <w:sz w:val="24"/>
                <w:szCs w:val="24"/>
                <w:lang w:val="zh-CN" w:bidi="zh-CN"/>
              </w:rPr>
              <w:t>梁志强</w:t>
            </w:r>
          </w:p>
        </w:tc>
        <w:tc>
          <w:tcPr>
            <w:tcW w:w="1387" w:type="dxa"/>
            <w:tcBorders>
              <w:top w:val="single" w:color="auto" w:sz="4" w:space="0"/>
              <w:left w:val="single" w:color="auto" w:sz="4" w:space="0"/>
              <w:bottom w:val="single" w:color="auto" w:sz="4" w:space="0"/>
              <w:right w:val="single" w:color="auto" w:sz="4" w:space="0"/>
            </w:tcBorders>
            <w:vAlign w:val="center"/>
          </w:tcPr>
          <w:p w14:paraId="5A800D7D">
            <w:pPr>
              <w:spacing w:line="240" w:lineRule="auto"/>
              <w:ind w:firstLine="0" w:firstLineChars="0"/>
              <w:jc w:val="center"/>
              <w:rPr>
                <w:sz w:val="24"/>
                <w:szCs w:val="24"/>
                <w:lang w:val="zh-CN" w:bidi="zh-CN"/>
              </w:rPr>
            </w:pPr>
            <w:r>
              <w:rPr>
                <w:sz w:val="24"/>
                <w:szCs w:val="24"/>
                <w:lang w:val="zh-CN" w:bidi="zh-CN"/>
              </w:rPr>
              <w:t>安全</w:t>
            </w:r>
          </w:p>
        </w:tc>
        <w:tc>
          <w:tcPr>
            <w:tcW w:w="2300" w:type="dxa"/>
            <w:tcBorders>
              <w:top w:val="single" w:color="auto" w:sz="4" w:space="0"/>
              <w:left w:val="single" w:color="auto" w:sz="4" w:space="0"/>
              <w:bottom w:val="single" w:color="auto" w:sz="4" w:space="0"/>
              <w:right w:val="single" w:color="auto" w:sz="4" w:space="0"/>
            </w:tcBorders>
            <w:vAlign w:val="center"/>
          </w:tcPr>
          <w:p w14:paraId="245EF2A2">
            <w:pPr>
              <w:spacing w:line="240" w:lineRule="auto"/>
              <w:ind w:firstLine="0" w:firstLineChars="0"/>
              <w:jc w:val="center"/>
              <w:rPr>
                <w:sz w:val="24"/>
                <w:szCs w:val="24"/>
                <w:lang w:val="zh-CN" w:bidi="zh-CN"/>
              </w:rPr>
            </w:pPr>
            <w:r>
              <w:rPr>
                <w:sz w:val="24"/>
                <w:szCs w:val="24"/>
                <w:lang w:val="zh-CN" w:bidi="zh-CN"/>
              </w:rPr>
              <w:t>20231004653000000020</w:t>
            </w:r>
          </w:p>
        </w:tc>
        <w:tc>
          <w:tcPr>
            <w:tcW w:w="1880" w:type="dxa"/>
            <w:tcBorders>
              <w:top w:val="single" w:color="auto" w:sz="4" w:space="0"/>
              <w:left w:val="single" w:color="auto" w:sz="4" w:space="0"/>
              <w:bottom w:val="single" w:color="auto" w:sz="4" w:space="0"/>
              <w:right w:val="single" w:color="auto" w:sz="4" w:space="0"/>
            </w:tcBorders>
            <w:vAlign w:val="center"/>
          </w:tcPr>
          <w:p w14:paraId="4FBB7F31">
            <w:pPr>
              <w:spacing w:line="240" w:lineRule="auto"/>
              <w:ind w:firstLine="0" w:firstLineChars="0"/>
              <w:jc w:val="center"/>
              <w:rPr>
                <w:sz w:val="24"/>
                <w:szCs w:val="24"/>
                <w:lang w:val="zh-CN" w:bidi="zh-CN"/>
              </w:rPr>
            </w:pPr>
            <w:r>
              <w:rPr>
                <w:sz w:val="24"/>
                <w:szCs w:val="24"/>
                <w:lang w:val="zh-CN" w:bidi="zh-CN"/>
              </w:rPr>
              <w:t>21250411615</w:t>
            </w:r>
          </w:p>
        </w:tc>
        <w:tc>
          <w:tcPr>
            <w:tcW w:w="1594" w:type="dxa"/>
            <w:tcBorders>
              <w:top w:val="single" w:color="auto" w:sz="4" w:space="0"/>
              <w:left w:val="single" w:color="auto" w:sz="4" w:space="0"/>
              <w:bottom w:val="single" w:color="auto" w:sz="4" w:space="0"/>
              <w:right w:val="single" w:color="auto" w:sz="4" w:space="0"/>
            </w:tcBorders>
            <w:vAlign w:val="center"/>
          </w:tcPr>
          <w:p w14:paraId="2970774A">
            <w:pPr>
              <w:spacing w:line="240" w:lineRule="auto"/>
              <w:ind w:firstLine="0" w:firstLineChars="0"/>
              <w:jc w:val="center"/>
              <w:rPr>
                <w:rFonts w:cs="Times New Roman"/>
                <w:sz w:val="24"/>
              </w:rPr>
            </w:pPr>
          </w:p>
        </w:tc>
      </w:tr>
      <w:tr w14:paraId="2B01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restart"/>
            <w:tcBorders>
              <w:top w:val="single" w:color="auto" w:sz="4" w:space="0"/>
              <w:left w:val="single" w:color="auto" w:sz="4" w:space="0"/>
              <w:right w:val="single" w:color="auto" w:sz="4" w:space="0"/>
            </w:tcBorders>
            <w:vAlign w:val="center"/>
          </w:tcPr>
          <w:p w14:paraId="22978BC7">
            <w:pPr>
              <w:spacing w:line="240" w:lineRule="auto"/>
              <w:ind w:firstLine="0" w:firstLineChars="0"/>
              <w:jc w:val="center"/>
              <w:rPr>
                <w:rFonts w:cs="Times New Roman"/>
                <w:sz w:val="24"/>
              </w:rPr>
            </w:pPr>
            <w:r>
              <w:rPr>
                <w:rFonts w:cs="Times New Roman"/>
                <w:sz w:val="24"/>
              </w:rPr>
              <w:t>报告编制人</w:t>
            </w:r>
          </w:p>
        </w:tc>
        <w:tc>
          <w:tcPr>
            <w:tcW w:w="1236" w:type="dxa"/>
            <w:tcBorders>
              <w:top w:val="single" w:color="auto" w:sz="4" w:space="0"/>
              <w:left w:val="single" w:color="auto" w:sz="4" w:space="0"/>
              <w:bottom w:val="single" w:color="auto" w:sz="4" w:space="0"/>
              <w:right w:val="single" w:color="auto" w:sz="4" w:space="0"/>
            </w:tcBorders>
            <w:vAlign w:val="center"/>
          </w:tcPr>
          <w:p w14:paraId="1AD09A14">
            <w:pPr>
              <w:spacing w:line="240" w:lineRule="auto"/>
              <w:ind w:firstLine="0" w:firstLineChars="0"/>
              <w:jc w:val="center"/>
              <w:rPr>
                <w:rFonts w:cs="Times New Roman"/>
                <w:sz w:val="24"/>
              </w:rPr>
            </w:pPr>
            <w:r>
              <w:rPr>
                <w:rFonts w:cs="Times New Roman"/>
                <w:kern w:val="0"/>
                <w:sz w:val="24"/>
                <w:szCs w:val="24"/>
                <w:lang w:bidi="zh-CN"/>
              </w:rPr>
              <w:t>杨会明</w:t>
            </w:r>
          </w:p>
        </w:tc>
        <w:tc>
          <w:tcPr>
            <w:tcW w:w="1387" w:type="dxa"/>
            <w:tcBorders>
              <w:top w:val="single" w:color="auto" w:sz="4" w:space="0"/>
              <w:left w:val="single" w:color="auto" w:sz="4" w:space="0"/>
              <w:bottom w:val="single" w:color="auto" w:sz="4" w:space="0"/>
              <w:right w:val="single" w:color="auto" w:sz="4" w:space="0"/>
            </w:tcBorders>
            <w:vAlign w:val="center"/>
          </w:tcPr>
          <w:p w14:paraId="6F69382A">
            <w:pPr>
              <w:spacing w:line="240" w:lineRule="auto"/>
              <w:ind w:firstLine="0" w:firstLineChars="0"/>
              <w:jc w:val="center"/>
              <w:rPr>
                <w:rFonts w:cs="Times New Roman"/>
                <w:sz w:val="24"/>
                <w:lang w:val="zh-CN"/>
              </w:rPr>
            </w:pPr>
            <w:r>
              <w:rPr>
                <w:rFonts w:hint="eastAsia" w:cs="Times New Roman"/>
                <w:kern w:val="0"/>
                <w:sz w:val="24"/>
                <w:szCs w:val="24"/>
                <w:lang w:bidi="zh-CN"/>
              </w:rPr>
              <w:t>通风</w:t>
            </w:r>
          </w:p>
        </w:tc>
        <w:tc>
          <w:tcPr>
            <w:tcW w:w="2300" w:type="dxa"/>
            <w:tcBorders>
              <w:top w:val="single" w:color="auto" w:sz="4" w:space="0"/>
              <w:left w:val="single" w:color="auto" w:sz="4" w:space="0"/>
              <w:bottom w:val="single" w:color="auto" w:sz="4" w:space="0"/>
              <w:right w:val="single" w:color="auto" w:sz="4" w:space="0"/>
            </w:tcBorders>
            <w:vAlign w:val="center"/>
          </w:tcPr>
          <w:p w14:paraId="60C0DB8B">
            <w:pPr>
              <w:spacing w:line="240" w:lineRule="auto"/>
              <w:ind w:firstLine="0" w:firstLineChars="0"/>
              <w:jc w:val="center"/>
              <w:rPr>
                <w:rFonts w:cs="Times New Roman"/>
                <w:sz w:val="24"/>
                <w:lang w:val="zh-CN"/>
              </w:rPr>
            </w:pPr>
            <w:r>
              <w:fldChar w:fldCharType="begin"/>
            </w:r>
            <w:r>
              <w:instrText xml:space="preserve"> HYPERLINK "http://cydj.5anquan.com/Admin/AprySearch/path=/Files/Image/ApryImg/Profession/Edit4239/" \o "http://cydj.5anquan.com/Admin/AprySearch/path=/Files/Image/ApryImg/Profession/Edit4239/" </w:instrText>
            </w:r>
            <w:r>
              <w:fldChar w:fldCharType="separate"/>
            </w:r>
            <w:r>
              <w:rPr>
                <w:rFonts w:cs="Times New Roman"/>
                <w:kern w:val="0"/>
                <w:sz w:val="24"/>
                <w:szCs w:val="24"/>
                <w:lang w:bidi="zh-CN"/>
              </w:rPr>
              <w:t>S011053000110192003194</w:t>
            </w:r>
            <w:r>
              <w:rPr>
                <w:rFonts w:cs="Times New Roman"/>
                <w:kern w:val="0"/>
                <w:sz w:val="24"/>
                <w:szCs w:val="24"/>
                <w:lang w:bidi="zh-CN"/>
              </w:rPr>
              <w:fldChar w:fldCharType="end"/>
            </w:r>
          </w:p>
        </w:tc>
        <w:tc>
          <w:tcPr>
            <w:tcW w:w="1880" w:type="dxa"/>
            <w:tcBorders>
              <w:top w:val="single" w:color="auto" w:sz="4" w:space="0"/>
              <w:left w:val="single" w:color="auto" w:sz="4" w:space="0"/>
              <w:bottom w:val="single" w:color="auto" w:sz="4" w:space="0"/>
              <w:right w:val="single" w:color="auto" w:sz="4" w:space="0"/>
            </w:tcBorders>
            <w:vAlign w:val="center"/>
          </w:tcPr>
          <w:p w14:paraId="1EF15E43">
            <w:pPr>
              <w:spacing w:line="240" w:lineRule="auto"/>
              <w:ind w:firstLine="0" w:firstLineChars="0"/>
              <w:jc w:val="center"/>
              <w:rPr>
                <w:rFonts w:cs="Times New Roman"/>
                <w:sz w:val="24"/>
                <w:lang w:val="zh-CN"/>
              </w:rPr>
            </w:pPr>
            <w:r>
              <w:rPr>
                <w:rFonts w:cs="Times New Roman"/>
                <w:kern w:val="0"/>
                <w:sz w:val="24"/>
                <w:szCs w:val="24"/>
                <w:lang w:bidi="zh-CN"/>
              </w:rPr>
              <w:t>024910</w:t>
            </w:r>
          </w:p>
        </w:tc>
        <w:tc>
          <w:tcPr>
            <w:tcW w:w="1594" w:type="dxa"/>
            <w:tcBorders>
              <w:top w:val="single" w:color="auto" w:sz="4" w:space="0"/>
              <w:left w:val="single" w:color="auto" w:sz="4" w:space="0"/>
              <w:bottom w:val="single" w:color="auto" w:sz="4" w:space="0"/>
              <w:right w:val="single" w:color="auto" w:sz="4" w:space="0"/>
            </w:tcBorders>
            <w:vAlign w:val="center"/>
          </w:tcPr>
          <w:p w14:paraId="156D2DA8">
            <w:pPr>
              <w:spacing w:line="240" w:lineRule="auto"/>
              <w:ind w:firstLine="0" w:firstLineChars="0"/>
              <w:jc w:val="center"/>
              <w:rPr>
                <w:rFonts w:cs="Times New Roman"/>
                <w:sz w:val="24"/>
              </w:rPr>
            </w:pPr>
          </w:p>
        </w:tc>
      </w:tr>
      <w:tr w14:paraId="52A9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bottom w:val="single" w:color="auto" w:sz="4" w:space="0"/>
              <w:right w:val="single" w:color="auto" w:sz="4" w:space="0"/>
            </w:tcBorders>
            <w:vAlign w:val="center"/>
          </w:tcPr>
          <w:p w14:paraId="0A03F575">
            <w:pPr>
              <w:spacing w:line="240" w:lineRule="auto"/>
              <w:ind w:firstLine="0" w:firstLineChars="0"/>
              <w:jc w:val="center"/>
              <w:rPr>
                <w:rFonts w:cs="Times New Roman"/>
                <w:sz w:val="24"/>
              </w:rPr>
            </w:pPr>
          </w:p>
        </w:tc>
        <w:tc>
          <w:tcPr>
            <w:tcW w:w="1236" w:type="dxa"/>
            <w:tcBorders>
              <w:top w:val="single" w:color="auto" w:sz="4" w:space="0"/>
              <w:left w:val="single" w:color="auto" w:sz="4" w:space="0"/>
              <w:bottom w:val="single" w:color="auto" w:sz="4" w:space="0"/>
              <w:right w:val="single" w:color="auto" w:sz="4" w:space="0"/>
            </w:tcBorders>
            <w:vAlign w:val="center"/>
          </w:tcPr>
          <w:p w14:paraId="2FBC0BA3">
            <w:pPr>
              <w:spacing w:line="240" w:lineRule="auto"/>
              <w:ind w:firstLine="0" w:firstLineChars="0"/>
              <w:jc w:val="center"/>
              <w:rPr>
                <w:sz w:val="24"/>
                <w:szCs w:val="24"/>
                <w:lang w:val="zh-CN" w:bidi="zh-CN"/>
              </w:rPr>
            </w:pPr>
            <w:r>
              <w:rPr>
                <w:sz w:val="24"/>
                <w:szCs w:val="24"/>
                <w:lang w:val="zh-CN" w:bidi="zh-CN"/>
              </w:rPr>
              <w:t>梁志强</w:t>
            </w:r>
          </w:p>
        </w:tc>
        <w:tc>
          <w:tcPr>
            <w:tcW w:w="1387" w:type="dxa"/>
            <w:tcBorders>
              <w:top w:val="single" w:color="auto" w:sz="4" w:space="0"/>
              <w:left w:val="single" w:color="auto" w:sz="4" w:space="0"/>
              <w:bottom w:val="single" w:color="auto" w:sz="4" w:space="0"/>
              <w:right w:val="single" w:color="auto" w:sz="4" w:space="0"/>
            </w:tcBorders>
            <w:vAlign w:val="center"/>
          </w:tcPr>
          <w:p w14:paraId="035052E6">
            <w:pPr>
              <w:spacing w:line="240" w:lineRule="auto"/>
              <w:ind w:firstLine="0" w:firstLineChars="0"/>
              <w:jc w:val="center"/>
              <w:rPr>
                <w:sz w:val="24"/>
                <w:szCs w:val="24"/>
                <w:lang w:val="zh-CN" w:bidi="zh-CN"/>
              </w:rPr>
            </w:pPr>
            <w:r>
              <w:rPr>
                <w:sz w:val="24"/>
                <w:szCs w:val="24"/>
                <w:lang w:val="zh-CN" w:bidi="zh-CN"/>
              </w:rPr>
              <w:t>安全</w:t>
            </w:r>
          </w:p>
        </w:tc>
        <w:tc>
          <w:tcPr>
            <w:tcW w:w="2300" w:type="dxa"/>
            <w:tcBorders>
              <w:top w:val="single" w:color="auto" w:sz="4" w:space="0"/>
              <w:left w:val="single" w:color="auto" w:sz="4" w:space="0"/>
              <w:bottom w:val="single" w:color="auto" w:sz="4" w:space="0"/>
              <w:right w:val="single" w:color="auto" w:sz="4" w:space="0"/>
            </w:tcBorders>
            <w:vAlign w:val="center"/>
          </w:tcPr>
          <w:p w14:paraId="69C42D7B">
            <w:pPr>
              <w:spacing w:line="240" w:lineRule="auto"/>
              <w:ind w:firstLine="0" w:firstLineChars="0"/>
              <w:jc w:val="center"/>
              <w:rPr>
                <w:sz w:val="24"/>
                <w:szCs w:val="24"/>
                <w:lang w:val="zh-CN" w:bidi="zh-CN"/>
              </w:rPr>
            </w:pPr>
            <w:r>
              <w:rPr>
                <w:sz w:val="24"/>
                <w:szCs w:val="24"/>
                <w:lang w:val="zh-CN" w:bidi="zh-CN"/>
              </w:rPr>
              <w:t>20231004653000000020</w:t>
            </w:r>
          </w:p>
        </w:tc>
        <w:tc>
          <w:tcPr>
            <w:tcW w:w="1880" w:type="dxa"/>
            <w:tcBorders>
              <w:top w:val="single" w:color="auto" w:sz="4" w:space="0"/>
              <w:left w:val="single" w:color="auto" w:sz="4" w:space="0"/>
              <w:bottom w:val="single" w:color="auto" w:sz="4" w:space="0"/>
              <w:right w:val="single" w:color="auto" w:sz="4" w:space="0"/>
            </w:tcBorders>
            <w:vAlign w:val="center"/>
          </w:tcPr>
          <w:p w14:paraId="244FC2F9">
            <w:pPr>
              <w:spacing w:line="240" w:lineRule="auto"/>
              <w:ind w:firstLine="0" w:firstLineChars="0"/>
              <w:jc w:val="center"/>
              <w:rPr>
                <w:sz w:val="24"/>
                <w:szCs w:val="24"/>
                <w:lang w:val="zh-CN" w:bidi="zh-CN"/>
              </w:rPr>
            </w:pPr>
            <w:r>
              <w:rPr>
                <w:sz w:val="24"/>
                <w:szCs w:val="24"/>
                <w:lang w:val="zh-CN" w:bidi="zh-CN"/>
              </w:rPr>
              <w:t>21250411615</w:t>
            </w:r>
          </w:p>
        </w:tc>
        <w:tc>
          <w:tcPr>
            <w:tcW w:w="1594" w:type="dxa"/>
            <w:tcBorders>
              <w:top w:val="single" w:color="auto" w:sz="4" w:space="0"/>
              <w:left w:val="single" w:color="auto" w:sz="4" w:space="0"/>
              <w:bottom w:val="single" w:color="auto" w:sz="4" w:space="0"/>
              <w:right w:val="single" w:color="auto" w:sz="4" w:space="0"/>
            </w:tcBorders>
            <w:vAlign w:val="center"/>
          </w:tcPr>
          <w:p w14:paraId="7FE9AAED">
            <w:pPr>
              <w:spacing w:line="240" w:lineRule="auto"/>
              <w:ind w:firstLine="0" w:firstLineChars="0"/>
              <w:jc w:val="center"/>
              <w:rPr>
                <w:rFonts w:cs="Times New Roman"/>
                <w:sz w:val="24"/>
              </w:rPr>
            </w:pPr>
          </w:p>
        </w:tc>
      </w:tr>
      <w:tr w14:paraId="48E7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vAlign w:val="center"/>
          </w:tcPr>
          <w:p w14:paraId="2A8CC5B0">
            <w:pPr>
              <w:spacing w:line="240" w:lineRule="auto"/>
              <w:ind w:firstLine="0" w:firstLineChars="0"/>
              <w:jc w:val="center"/>
              <w:rPr>
                <w:rFonts w:cs="Times New Roman"/>
                <w:sz w:val="24"/>
              </w:rPr>
            </w:pPr>
            <w:r>
              <w:rPr>
                <w:rFonts w:cs="Times New Roman"/>
                <w:sz w:val="24"/>
              </w:rPr>
              <w:t>报告审核人</w:t>
            </w:r>
          </w:p>
        </w:tc>
        <w:tc>
          <w:tcPr>
            <w:tcW w:w="1236" w:type="dxa"/>
            <w:tcBorders>
              <w:top w:val="single" w:color="auto" w:sz="4" w:space="0"/>
              <w:left w:val="single" w:color="auto" w:sz="4" w:space="0"/>
              <w:bottom w:val="single" w:color="auto" w:sz="4" w:space="0"/>
              <w:right w:val="single" w:color="auto" w:sz="4" w:space="0"/>
            </w:tcBorders>
            <w:vAlign w:val="center"/>
          </w:tcPr>
          <w:p w14:paraId="49E3DBBB">
            <w:pPr>
              <w:spacing w:line="240" w:lineRule="auto"/>
              <w:ind w:firstLine="0" w:firstLineChars="0"/>
              <w:jc w:val="center"/>
              <w:rPr>
                <w:rFonts w:cs="Times New Roman"/>
                <w:sz w:val="24"/>
              </w:rPr>
            </w:pPr>
            <w:r>
              <w:rPr>
                <w:rFonts w:cs="Times New Roman"/>
                <w:kern w:val="0"/>
                <w:sz w:val="24"/>
                <w:szCs w:val="24"/>
                <w:lang w:bidi="zh-CN"/>
              </w:rPr>
              <w:t>李</w:t>
            </w:r>
            <w:r>
              <w:rPr>
                <w:rFonts w:hint="eastAsia" w:cs="Times New Roman"/>
                <w:kern w:val="0"/>
                <w:sz w:val="24"/>
                <w:szCs w:val="24"/>
                <w:lang w:bidi="zh-CN"/>
              </w:rPr>
              <w:t xml:space="preserve">  </w:t>
            </w:r>
            <w:r>
              <w:rPr>
                <w:rFonts w:cs="Times New Roman"/>
                <w:kern w:val="0"/>
                <w:sz w:val="24"/>
                <w:szCs w:val="24"/>
                <w:lang w:bidi="zh-CN"/>
              </w:rPr>
              <w:t>超</w:t>
            </w:r>
          </w:p>
        </w:tc>
        <w:tc>
          <w:tcPr>
            <w:tcW w:w="1387" w:type="dxa"/>
            <w:tcBorders>
              <w:top w:val="single" w:color="auto" w:sz="4" w:space="0"/>
              <w:left w:val="single" w:color="auto" w:sz="4" w:space="0"/>
              <w:bottom w:val="single" w:color="auto" w:sz="4" w:space="0"/>
              <w:right w:val="single" w:color="auto" w:sz="4" w:space="0"/>
            </w:tcBorders>
            <w:vAlign w:val="center"/>
          </w:tcPr>
          <w:p w14:paraId="69DCB555">
            <w:pPr>
              <w:spacing w:line="240" w:lineRule="auto"/>
              <w:ind w:firstLine="0" w:firstLineChars="0"/>
              <w:jc w:val="center"/>
              <w:rPr>
                <w:rFonts w:cs="Times New Roman"/>
                <w:sz w:val="24"/>
                <w:szCs w:val="22"/>
                <w:lang w:bidi="zh-CN"/>
              </w:rPr>
            </w:pPr>
            <w:r>
              <w:rPr>
                <w:rFonts w:cs="Times New Roman"/>
                <w:kern w:val="0"/>
                <w:sz w:val="24"/>
                <w:szCs w:val="24"/>
                <w:lang w:bidi="zh-CN"/>
              </w:rPr>
              <w:t>安全</w:t>
            </w:r>
          </w:p>
        </w:tc>
        <w:tc>
          <w:tcPr>
            <w:tcW w:w="2300" w:type="dxa"/>
            <w:tcBorders>
              <w:top w:val="single" w:color="auto" w:sz="4" w:space="0"/>
              <w:left w:val="single" w:color="auto" w:sz="4" w:space="0"/>
              <w:bottom w:val="single" w:color="auto" w:sz="4" w:space="0"/>
              <w:right w:val="single" w:color="auto" w:sz="4" w:space="0"/>
            </w:tcBorders>
            <w:vAlign w:val="center"/>
          </w:tcPr>
          <w:p w14:paraId="5B6EB514">
            <w:pPr>
              <w:spacing w:line="240" w:lineRule="auto"/>
              <w:ind w:firstLine="0" w:firstLineChars="0"/>
              <w:jc w:val="center"/>
              <w:rPr>
                <w:rFonts w:cs="Times New Roman"/>
                <w:sz w:val="24"/>
                <w:szCs w:val="22"/>
                <w:lang w:val="zh-CN" w:bidi="zh-CN"/>
              </w:rPr>
            </w:pPr>
            <w:r>
              <w:rPr>
                <w:rFonts w:cs="Times New Roman"/>
                <w:kern w:val="0"/>
                <w:sz w:val="24"/>
                <w:szCs w:val="24"/>
                <w:lang w:bidi="zh-CN"/>
              </w:rPr>
              <w:t>S011021000110202000521</w:t>
            </w:r>
          </w:p>
        </w:tc>
        <w:tc>
          <w:tcPr>
            <w:tcW w:w="1880" w:type="dxa"/>
            <w:tcBorders>
              <w:top w:val="single" w:color="auto" w:sz="4" w:space="0"/>
              <w:left w:val="single" w:color="auto" w:sz="4" w:space="0"/>
              <w:bottom w:val="single" w:color="auto" w:sz="4" w:space="0"/>
              <w:right w:val="single" w:color="auto" w:sz="4" w:space="0"/>
            </w:tcBorders>
            <w:vAlign w:val="center"/>
          </w:tcPr>
          <w:p w14:paraId="7C1F375A">
            <w:pPr>
              <w:spacing w:line="240" w:lineRule="auto"/>
              <w:ind w:firstLine="0" w:firstLineChars="0"/>
              <w:jc w:val="center"/>
              <w:rPr>
                <w:rFonts w:cs="Times New Roman"/>
                <w:sz w:val="24"/>
                <w:szCs w:val="22"/>
                <w:lang w:val="zh-CN" w:bidi="zh-CN"/>
              </w:rPr>
            </w:pPr>
            <w:r>
              <w:rPr>
                <w:rFonts w:cs="Times New Roman"/>
                <w:kern w:val="0"/>
                <w:sz w:val="24"/>
                <w:szCs w:val="24"/>
                <w:lang w:bidi="zh-CN"/>
              </w:rPr>
              <w:t>041289</w:t>
            </w:r>
          </w:p>
        </w:tc>
        <w:tc>
          <w:tcPr>
            <w:tcW w:w="1594" w:type="dxa"/>
            <w:tcBorders>
              <w:top w:val="single" w:color="auto" w:sz="4" w:space="0"/>
              <w:left w:val="single" w:color="auto" w:sz="4" w:space="0"/>
              <w:bottom w:val="single" w:color="auto" w:sz="4" w:space="0"/>
              <w:right w:val="single" w:color="auto" w:sz="4" w:space="0"/>
            </w:tcBorders>
            <w:vAlign w:val="center"/>
          </w:tcPr>
          <w:p w14:paraId="036747D9">
            <w:pPr>
              <w:spacing w:line="240" w:lineRule="auto"/>
              <w:ind w:firstLine="0" w:firstLineChars="0"/>
              <w:jc w:val="center"/>
              <w:rPr>
                <w:rFonts w:cs="Times New Roman"/>
                <w:sz w:val="24"/>
              </w:rPr>
            </w:pPr>
          </w:p>
        </w:tc>
      </w:tr>
      <w:tr w14:paraId="62D3A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vAlign w:val="center"/>
          </w:tcPr>
          <w:p w14:paraId="47C67677">
            <w:pPr>
              <w:spacing w:line="240" w:lineRule="auto"/>
              <w:ind w:firstLine="0" w:firstLineChars="0"/>
              <w:jc w:val="center"/>
              <w:rPr>
                <w:rFonts w:cs="Times New Roman"/>
                <w:sz w:val="24"/>
              </w:rPr>
            </w:pPr>
            <w:r>
              <w:rPr>
                <w:rFonts w:cs="Times New Roman"/>
                <w:sz w:val="24"/>
              </w:rPr>
              <w:t>过程控制</w:t>
            </w:r>
          </w:p>
          <w:p w14:paraId="33EC7B4C">
            <w:pPr>
              <w:spacing w:line="240" w:lineRule="auto"/>
              <w:ind w:firstLine="0" w:firstLineChars="0"/>
              <w:jc w:val="center"/>
              <w:rPr>
                <w:rFonts w:cs="Times New Roman"/>
                <w:sz w:val="24"/>
              </w:rPr>
            </w:pPr>
            <w:r>
              <w:rPr>
                <w:rFonts w:cs="Times New Roman"/>
                <w:sz w:val="24"/>
              </w:rPr>
              <w:t>负责人</w:t>
            </w:r>
          </w:p>
        </w:tc>
        <w:tc>
          <w:tcPr>
            <w:tcW w:w="1236" w:type="dxa"/>
            <w:tcBorders>
              <w:top w:val="single" w:color="auto" w:sz="4" w:space="0"/>
              <w:left w:val="single" w:color="auto" w:sz="4" w:space="0"/>
              <w:bottom w:val="single" w:color="auto" w:sz="4" w:space="0"/>
              <w:right w:val="single" w:color="auto" w:sz="4" w:space="0"/>
            </w:tcBorders>
            <w:vAlign w:val="center"/>
          </w:tcPr>
          <w:p w14:paraId="3E369A07">
            <w:pPr>
              <w:spacing w:line="240" w:lineRule="auto"/>
              <w:ind w:firstLine="0" w:firstLineChars="0"/>
              <w:jc w:val="center"/>
              <w:rPr>
                <w:rFonts w:cs="Times New Roman"/>
                <w:kern w:val="0"/>
                <w:sz w:val="24"/>
                <w:szCs w:val="24"/>
                <w:lang w:bidi="zh-CN"/>
              </w:rPr>
            </w:pPr>
            <w:r>
              <w:rPr>
                <w:rFonts w:cs="Times New Roman"/>
                <w:kern w:val="0"/>
                <w:sz w:val="24"/>
                <w:szCs w:val="24"/>
                <w:lang w:bidi="zh-CN"/>
              </w:rPr>
              <w:t>吴家辉</w:t>
            </w:r>
          </w:p>
        </w:tc>
        <w:tc>
          <w:tcPr>
            <w:tcW w:w="1387" w:type="dxa"/>
            <w:tcBorders>
              <w:top w:val="single" w:color="auto" w:sz="4" w:space="0"/>
              <w:left w:val="single" w:color="auto" w:sz="4" w:space="0"/>
              <w:bottom w:val="single" w:color="auto" w:sz="4" w:space="0"/>
              <w:right w:val="single" w:color="auto" w:sz="4" w:space="0"/>
            </w:tcBorders>
            <w:vAlign w:val="center"/>
          </w:tcPr>
          <w:p w14:paraId="0C9FA2D0">
            <w:pPr>
              <w:spacing w:line="240" w:lineRule="auto"/>
              <w:ind w:firstLine="0" w:firstLineChars="0"/>
              <w:jc w:val="center"/>
              <w:rPr>
                <w:rFonts w:cs="Times New Roman"/>
                <w:kern w:val="0"/>
                <w:sz w:val="24"/>
                <w:szCs w:val="24"/>
                <w:lang w:bidi="zh-CN"/>
              </w:rPr>
            </w:pPr>
            <w:r>
              <w:rPr>
                <w:rFonts w:cs="Times New Roman"/>
                <w:kern w:val="0"/>
                <w:sz w:val="24"/>
                <w:szCs w:val="24"/>
                <w:lang w:bidi="zh-CN"/>
              </w:rPr>
              <w:t>/</w:t>
            </w:r>
          </w:p>
        </w:tc>
        <w:tc>
          <w:tcPr>
            <w:tcW w:w="2300" w:type="dxa"/>
            <w:tcBorders>
              <w:top w:val="single" w:color="auto" w:sz="4" w:space="0"/>
              <w:left w:val="single" w:color="auto" w:sz="4" w:space="0"/>
              <w:bottom w:val="single" w:color="auto" w:sz="4" w:space="0"/>
              <w:right w:val="single" w:color="auto" w:sz="4" w:space="0"/>
            </w:tcBorders>
            <w:vAlign w:val="center"/>
          </w:tcPr>
          <w:p w14:paraId="2C63E178">
            <w:pPr>
              <w:spacing w:line="240" w:lineRule="auto"/>
              <w:ind w:firstLine="0" w:firstLineChars="0"/>
              <w:jc w:val="center"/>
              <w:rPr>
                <w:rFonts w:cs="Times New Roman"/>
                <w:kern w:val="0"/>
                <w:sz w:val="24"/>
                <w:szCs w:val="24"/>
                <w:lang w:val="zh-CN" w:bidi="zh-CN"/>
              </w:rPr>
            </w:pPr>
            <w:r>
              <w:rPr>
                <w:rFonts w:cs="Times New Roman"/>
                <w:kern w:val="0"/>
                <w:sz w:val="24"/>
                <w:szCs w:val="24"/>
                <w:lang w:val="zh-CN" w:bidi="zh-CN"/>
              </w:rPr>
              <w:t>CAWS210000230300034</w:t>
            </w:r>
          </w:p>
        </w:tc>
        <w:tc>
          <w:tcPr>
            <w:tcW w:w="1880" w:type="dxa"/>
            <w:tcBorders>
              <w:top w:val="single" w:color="auto" w:sz="4" w:space="0"/>
              <w:left w:val="single" w:color="auto" w:sz="4" w:space="0"/>
              <w:bottom w:val="single" w:color="auto" w:sz="4" w:space="0"/>
              <w:right w:val="single" w:color="auto" w:sz="4" w:space="0"/>
            </w:tcBorders>
            <w:vAlign w:val="center"/>
          </w:tcPr>
          <w:p w14:paraId="6F56E811">
            <w:pPr>
              <w:spacing w:line="240" w:lineRule="auto"/>
              <w:ind w:firstLine="0" w:firstLineChars="0"/>
              <w:jc w:val="center"/>
              <w:rPr>
                <w:rFonts w:cs="Times New Roman"/>
                <w:kern w:val="0"/>
                <w:sz w:val="24"/>
                <w:szCs w:val="24"/>
                <w:lang w:val="zh-CN" w:bidi="zh-CN"/>
              </w:rPr>
            </w:pPr>
            <w:r>
              <w:rPr>
                <w:rFonts w:cs="Times New Roman"/>
                <w:kern w:val="0"/>
                <w:sz w:val="24"/>
                <w:szCs w:val="24"/>
                <w:lang w:val="zh-CN" w:bidi="zh-CN"/>
              </w:rPr>
              <w:t>043015</w:t>
            </w:r>
          </w:p>
        </w:tc>
        <w:tc>
          <w:tcPr>
            <w:tcW w:w="1594" w:type="dxa"/>
            <w:tcBorders>
              <w:top w:val="single" w:color="auto" w:sz="4" w:space="0"/>
              <w:left w:val="single" w:color="auto" w:sz="4" w:space="0"/>
              <w:bottom w:val="single" w:color="auto" w:sz="4" w:space="0"/>
              <w:right w:val="single" w:color="auto" w:sz="4" w:space="0"/>
            </w:tcBorders>
            <w:vAlign w:val="center"/>
          </w:tcPr>
          <w:p w14:paraId="06164EC2">
            <w:pPr>
              <w:spacing w:line="240" w:lineRule="auto"/>
              <w:ind w:firstLine="0" w:firstLineChars="0"/>
              <w:jc w:val="center"/>
              <w:rPr>
                <w:rFonts w:cs="Times New Roman"/>
                <w:kern w:val="0"/>
                <w:sz w:val="24"/>
                <w:szCs w:val="24"/>
                <w:lang w:bidi="zh-CN"/>
              </w:rPr>
            </w:pPr>
          </w:p>
        </w:tc>
      </w:tr>
      <w:tr w14:paraId="143C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vAlign w:val="center"/>
          </w:tcPr>
          <w:p w14:paraId="05B9DEDA">
            <w:pPr>
              <w:spacing w:line="240" w:lineRule="auto"/>
              <w:ind w:firstLine="0" w:firstLineChars="0"/>
              <w:jc w:val="center"/>
              <w:rPr>
                <w:rFonts w:cs="Times New Roman"/>
                <w:sz w:val="24"/>
              </w:rPr>
            </w:pPr>
            <w:r>
              <w:rPr>
                <w:rFonts w:cs="Times New Roman"/>
                <w:sz w:val="24"/>
              </w:rPr>
              <w:t>技术负责人</w:t>
            </w:r>
          </w:p>
        </w:tc>
        <w:tc>
          <w:tcPr>
            <w:tcW w:w="1236" w:type="dxa"/>
            <w:tcBorders>
              <w:top w:val="single" w:color="auto" w:sz="4" w:space="0"/>
              <w:left w:val="single" w:color="auto" w:sz="4" w:space="0"/>
              <w:bottom w:val="single" w:color="auto" w:sz="4" w:space="0"/>
              <w:right w:val="single" w:color="auto" w:sz="4" w:space="0"/>
            </w:tcBorders>
            <w:vAlign w:val="center"/>
          </w:tcPr>
          <w:p w14:paraId="10B02031">
            <w:pPr>
              <w:spacing w:line="240" w:lineRule="auto"/>
              <w:ind w:firstLine="0" w:firstLineChars="0"/>
              <w:jc w:val="center"/>
              <w:rPr>
                <w:rFonts w:cs="Times New Roman"/>
                <w:sz w:val="24"/>
                <w:szCs w:val="22"/>
                <w:lang w:bidi="zh-CN"/>
              </w:rPr>
            </w:pPr>
            <w:r>
              <w:rPr>
                <w:rFonts w:cs="Times New Roman"/>
                <w:kern w:val="0"/>
                <w:sz w:val="24"/>
                <w:szCs w:val="24"/>
                <w:lang w:bidi="zh-CN"/>
              </w:rPr>
              <w:t>张廷辉</w:t>
            </w:r>
          </w:p>
        </w:tc>
        <w:tc>
          <w:tcPr>
            <w:tcW w:w="1387" w:type="dxa"/>
            <w:tcBorders>
              <w:top w:val="single" w:color="auto" w:sz="4" w:space="0"/>
              <w:left w:val="single" w:color="auto" w:sz="4" w:space="0"/>
              <w:bottom w:val="single" w:color="auto" w:sz="4" w:space="0"/>
              <w:right w:val="single" w:color="auto" w:sz="4" w:space="0"/>
            </w:tcBorders>
            <w:vAlign w:val="center"/>
          </w:tcPr>
          <w:p w14:paraId="657FD420">
            <w:pPr>
              <w:spacing w:line="240" w:lineRule="auto"/>
              <w:ind w:firstLine="0" w:firstLineChars="0"/>
              <w:jc w:val="center"/>
              <w:rPr>
                <w:rFonts w:cs="Times New Roman"/>
                <w:sz w:val="24"/>
                <w:szCs w:val="22"/>
                <w:lang w:bidi="zh-CN"/>
              </w:rPr>
            </w:pPr>
            <w:r>
              <w:rPr>
                <w:rFonts w:hint="eastAsia" w:cs="Times New Roman"/>
                <w:kern w:val="0"/>
                <w:sz w:val="24"/>
                <w:szCs w:val="24"/>
                <w:lang w:bidi="zh-CN"/>
              </w:rPr>
              <w:t>安全</w:t>
            </w:r>
          </w:p>
        </w:tc>
        <w:tc>
          <w:tcPr>
            <w:tcW w:w="2300" w:type="dxa"/>
            <w:tcBorders>
              <w:top w:val="single" w:color="auto" w:sz="4" w:space="0"/>
              <w:left w:val="single" w:color="auto" w:sz="4" w:space="0"/>
              <w:bottom w:val="single" w:color="auto" w:sz="4" w:space="0"/>
              <w:right w:val="single" w:color="auto" w:sz="4" w:space="0"/>
            </w:tcBorders>
            <w:vAlign w:val="center"/>
          </w:tcPr>
          <w:p w14:paraId="6E699EBB">
            <w:pPr>
              <w:spacing w:line="240" w:lineRule="auto"/>
              <w:ind w:firstLine="0" w:firstLineChars="0"/>
              <w:jc w:val="center"/>
              <w:rPr>
                <w:rFonts w:cs="Times New Roman"/>
                <w:sz w:val="24"/>
                <w:szCs w:val="22"/>
                <w:lang w:bidi="zh-CN"/>
              </w:rPr>
            </w:pPr>
            <w:r>
              <w:rPr>
                <w:rFonts w:cs="Times New Roman"/>
                <w:kern w:val="0"/>
                <w:sz w:val="24"/>
                <w:szCs w:val="24"/>
                <w:lang w:bidi="zh-CN"/>
              </w:rPr>
              <w:t>1200000000100119</w:t>
            </w:r>
          </w:p>
        </w:tc>
        <w:tc>
          <w:tcPr>
            <w:tcW w:w="1880" w:type="dxa"/>
            <w:tcBorders>
              <w:top w:val="single" w:color="auto" w:sz="4" w:space="0"/>
              <w:left w:val="single" w:color="auto" w:sz="4" w:space="0"/>
              <w:bottom w:val="single" w:color="auto" w:sz="4" w:space="0"/>
              <w:right w:val="single" w:color="auto" w:sz="4" w:space="0"/>
            </w:tcBorders>
            <w:vAlign w:val="center"/>
          </w:tcPr>
          <w:p w14:paraId="53DEE42D">
            <w:pPr>
              <w:spacing w:line="240" w:lineRule="auto"/>
              <w:ind w:firstLine="0" w:firstLineChars="0"/>
              <w:jc w:val="center"/>
              <w:rPr>
                <w:rFonts w:cs="Times New Roman"/>
                <w:sz w:val="24"/>
                <w:szCs w:val="22"/>
                <w:lang w:bidi="zh-CN"/>
              </w:rPr>
            </w:pPr>
            <w:r>
              <w:rPr>
                <w:rFonts w:cs="Times New Roman"/>
                <w:kern w:val="0"/>
                <w:sz w:val="24"/>
                <w:szCs w:val="24"/>
                <w:lang w:bidi="zh-CN"/>
              </w:rPr>
              <w:t>009798</w:t>
            </w:r>
          </w:p>
        </w:tc>
        <w:tc>
          <w:tcPr>
            <w:tcW w:w="1594" w:type="dxa"/>
            <w:tcBorders>
              <w:top w:val="single" w:color="auto" w:sz="4" w:space="0"/>
              <w:left w:val="single" w:color="auto" w:sz="4" w:space="0"/>
              <w:bottom w:val="single" w:color="auto" w:sz="4" w:space="0"/>
              <w:right w:val="single" w:color="auto" w:sz="4" w:space="0"/>
            </w:tcBorders>
            <w:vAlign w:val="center"/>
          </w:tcPr>
          <w:p w14:paraId="02EE8F38">
            <w:pPr>
              <w:spacing w:line="240" w:lineRule="auto"/>
              <w:ind w:firstLine="0" w:firstLineChars="0"/>
              <w:jc w:val="center"/>
              <w:rPr>
                <w:rFonts w:cs="Times New Roman"/>
                <w:sz w:val="24"/>
              </w:rPr>
            </w:pPr>
          </w:p>
        </w:tc>
      </w:tr>
    </w:tbl>
    <w:p w14:paraId="7A93173A">
      <w:pPr>
        <w:ind w:firstLine="560"/>
      </w:pPr>
    </w:p>
    <w:p w14:paraId="0BD39F2C">
      <w:pPr>
        <w:ind w:firstLine="560"/>
        <w:sectPr>
          <w:pgSz w:w="11905" w:h="16838"/>
          <w:pgMar w:top="1417" w:right="1134" w:bottom="1134" w:left="1587" w:header="851" w:footer="992" w:gutter="0"/>
          <w:pgNumType w:fmt="upperRoman" w:start="1"/>
          <w:cols w:space="0" w:num="1"/>
          <w:docGrid w:type="lines" w:linePitch="386" w:charSpace="0"/>
        </w:sectPr>
      </w:pPr>
    </w:p>
    <w:p w14:paraId="0E6F30BE">
      <w:pPr>
        <w:ind w:firstLine="0" w:firstLineChars="0"/>
        <w:jc w:val="center"/>
        <w:rPr>
          <w:rFonts w:eastAsia="黑体"/>
          <w:sz w:val="32"/>
        </w:rPr>
      </w:pPr>
      <w:r>
        <w:rPr>
          <w:rFonts w:hint="eastAsia" w:eastAsia="黑体"/>
          <w:sz w:val="32"/>
        </w:rPr>
        <w:t>前言</w:t>
      </w:r>
    </w:p>
    <w:p w14:paraId="6DB36726">
      <w:pPr>
        <w:ind w:firstLine="560"/>
      </w:pPr>
      <w:r>
        <w:rPr>
          <w:rFonts w:hint="eastAsia"/>
        </w:rPr>
        <w:t>“安全第一、预防为主、综合治理”是我们党和国家始终不渝的安全生产方针。各行各业开展安全评价正是突出“安全第一”、体现“预防为主”的一项重要工作，是“安全第一，预防为主”方针在安全生产上的具体体现。</w:t>
      </w:r>
    </w:p>
    <w:p w14:paraId="2D08F219">
      <w:pPr>
        <w:ind w:firstLine="560"/>
      </w:pPr>
      <w:r>
        <w:t>云南兴昆化工有限公司位于云南省昆明市晋宁县二街工业园区</w:t>
      </w:r>
      <w:r>
        <w:rPr>
          <w:rFonts w:hint="eastAsia"/>
          <w:lang w:eastAsia="zh-CN"/>
        </w:rPr>
        <w:t>……</w:t>
      </w:r>
      <w:r>
        <w:t>。2006年6月12日晋宁县发展改革和经济贸易局以晋发改经贸综〔2006〕48号《关于对云南兴昆化工有限公司技改扩能项目立项的批复》，同意云南兴昆化工有限公司新增生产能力5万t/a的粒状重钙生产装置、配套建设3万t/a粒状饲料磷酸盐生产装置、配套3万t/a五氧化二磷（P</w:t>
      </w:r>
      <w:r>
        <w:rPr>
          <w:vertAlign w:val="subscript"/>
        </w:rPr>
        <w:t>2</w:t>
      </w:r>
      <w:r>
        <w:t>O</w:t>
      </w:r>
      <w:r>
        <w:rPr>
          <w:vertAlign w:val="subscript"/>
        </w:rPr>
        <w:t>5</w:t>
      </w:r>
      <w:r>
        <w:t>）的湿法磷酸装置，2008年6月4日晋宁县发展改革和经济贸易局以《关于对云南兴昆化工有限公司技改扩能项目立项的批复(晋发改经贸综〔2006〕48号)的补充说明》同意对磷石膏渣场建设补充到建设规模中，并将磷石膏渣场列入备案，同意磷石膏渣场进行建设。磷石膏渣场由持水保丙级资质的晋宁春禾生态环境工程有限公司（资质证书号：（云）水保资证丙字第200406号）2007年11月编制设计，由云南兴昆化工有限公司于2007年11月自主建设，设计初期坝高20m，堆积坝高30m，总库容：</w:t>
      </w:r>
      <w:r>
        <w:rPr>
          <w:rFonts w:hint="eastAsia"/>
        </w:rPr>
        <w:t>148.0</w:t>
      </w:r>
      <w:r>
        <w:t>万m</w:t>
      </w:r>
      <w:r>
        <w:rPr>
          <w:vertAlign w:val="superscript"/>
        </w:rPr>
        <w:t>3</w:t>
      </w:r>
      <w:r>
        <w:t>；2017年5月由昆明阳光安全科技有限公司对云南兴昆化工有限公司磷石膏库进行安全现状评价，经评价组现场评价后确定为病库；2017年6月28日，昆明市晋宁区安全生产监督管理局对现场进行检查，并以（晋）安监责改〔2017〕24号安全生产行政执法文书责令限期整改；2017年9月，企业委托昆钢集团设计院有限公司2017年8月进行了云南兴昆化工有限公司磷石膏渣场整改设计。</w:t>
      </w:r>
      <w:r>
        <w:rPr>
          <w:rFonts w:hint="eastAsia"/>
        </w:rPr>
        <w:t>2021年，由于综合利用需求，需要在渣库内回采磷石膏，</w:t>
      </w:r>
      <w:r>
        <w:t>云南兴昆化工有限公司</w:t>
      </w:r>
      <w:r>
        <w:rPr>
          <w:rFonts w:hint="eastAsia"/>
        </w:rPr>
        <w:t>委托昆明坤泽矿业技术有限责任公司进行回采设计，渣库回采从渣库顶部分层开挖，回采的同时新入场的磷石膏堆存在场区东南侧。</w:t>
      </w:r>
    </w:p>
    <w:p w14:paraId="5E5D5E90">
      <w:pPr>
        <w:ind w:firstLine="560"/>
      </w:pPr>
      <w:r>
        <w:t>至202</w:t>
      </w:r>
      <w:r>
        <w:rPr>
          <w:rFonts w:hint="eastAsia"/>
        </w:rPr>
        <w:t>5</w:t>
      </w:r>
      <w:r>
        <w:t>年</w:t>
      </w:r>
      <w:r>
        <w:rPr>
          <w:rFonts w:hint="eastAsia"/>
        </w:rPr>
        <w:t>11</w:t>
      </w:r>
      <w:r>
        <w:t>月底，磷石膏渣场堆存量</w:t>
      </w:r>
      <w:r>
        <w:rPr>
          <w:rFonts w:hint="eastAsia"/>
        </w:rPr>
        <w:t>69.62万m</w:t>
      </w:r>
      <w:r>
        <w:rPr>
          <w:rFonts w:hint="eastAsia"/>
          <w:vertAlign w:val="superscript"/>
        </w:rPr>
        <w:t>3</w:t>
      </w:r>
      <w:r>
        <w:t>，现状</w:t>
      </w:r>
      <w:r>
        <w:rPr>
          <w:rFonts w:hint="eastAsia"/>
        </w:rPr>
        <w:t>拦渣坝</w:t>
      </w:r>
      <w:r>
        <w:t>高</w:t>
      </w:r>
      <w:r>
        <w:rPr>
          <w:rFonts w:hint="eastAsia"/>
        </w:rPr>
        <w:t>7</w:t>
      </w:r>
      <w:r>
        <w:t>m，堆积坝高约</w:t>
      </w:r>
      <w:r>
        <w:rPr>
          <w:rFonts w:hint="eastAsia"/>
        </w:rPr>
        <w:t>44.5</w:t>
      </w:r>
      <w:r>
        <w:t>m，总坝高约</w:t>
      </w:r>
      <w:r>
        <w:rPr>
          <w:rFonts w:hint="eastAsia"/>
        </w:rPr>
        <w:t>51.5</w:t>
      </w:r>
      <w:r>
        <w:t>m，堆积坝顶标高20</w:t>
      </w:r>
      <w:r>
        <w:rPr>
          <w:rFonts w:hint="eastAsia"/>
        </w:rPr>
        <w:t>62</w:t>
      </w:r>
      <w:r>
        <w:t>m。根据《磷石膏库安全技术规程》（AQ2059-2016），该磷石膏渣场现状为</w:t>
      </w:r>
      <w:r>
        <w:rPr>
          <w:bCs/>
        </w:rPr>
        <w:t>四等</w:t>
      </w:r>
      <w:r>
        <w:t>库。</w:t>
      </w:r>
    </w:p>
    <w:p w14:paraId="727943E4">
      <w:pPr>
        <w:ind w:firstLine="560"/>
      </w:pPr>
      <w:r>
        <w:rPr>
          <w:lang w:val="zh-CN"/>
        </w:rPr>
        <w:t>根据《磷石膏库环境风险隐患排查整治工作指南》</w:t>
      </w:r>
      <w:r>
        <w:t>要求，云南兴昆化工有限公司大坟箐磷石膏渣库</w:t>
      </w:r>
      <w:r>
        <w:rPr>
          <w:rFonts w:hint="eastAsia"/>
        </w:rPr>
        <w:t>开展了</w:t>
      </w:r>
      <w:r>
        <w:t>环境风险隐患排查</w:t>
      </w:r>
      <w:r>
        <w:rPr>
          <w:rFonts w:hint="eastAsia"/>
        </w:rPr>
        <w:t>和</w:t>
      </w:r>
      <w:r>
        <w:t>环境风险隐患</w:t>
      </w:r>
      <w:r>
        <w:rPr>
          <w:rFonts w:hint="eastAsia"/>
        </w:rPr>
        <w:t>“一库一策”整治实施方案的编制，大坟箐磷石膏渣场环境风险隐患整治项目针对磷石膏污染问题，采取渣场现状边坡修整、渣场东侧地表清理及防渗、接收甘松箐磷石膏渣库改性磷石膏进场堆存、堆存完后渣场表层防渗及覆土复绿、完善截排水设施、监测设施建设等措施进行封场治理的思路，解决渣场磷石膏堆存对地下水环境的影响，切断污染扩散途径，改善项目区及周边区域的环境。因此，结合环保“一库一策”整治要求，确保渣库接收甘松箐无害化磷石膏堆存的安全稳定，2025年12月</w:t>
      </w:r>
      <w:r>
        <w:t>云南兴昆化工有限公司委托昆明坤泽矿业技术有限责任公司开展云南兴昆化工有限公司大坟箐磷石膏渣场</w:t>
      </w:r>
      <w:r>
        <w:rPr>
          <w:rFonts w:hint="eastAsia"/>
          <w:bCs/>
        </w:rPr>
        <w:t>堆存整治</w:t>
      </w:r>
      <w:r>
        <w:t>设计工作，于</w:t>
      </w:r>
      <w:r>
        <w:rPr>
          <w:rFonts w:hint="eastAsia"/>
        </w:rPr>
        <w:t>2026年1月出具</w:t>
      </w:r>
      <w:r>
        <w:t>了《云南兴昆化工有限公司大坟箐磷石膏渣场</w:t>
      </w:r>
      <w:r>
        <w:rPr>
          <w:rFonts w:hint="eastAsia"/>
          <w:bCs/>
        </w:rPr>
        <w:t>堆存整治</w:t>
      </w:r>
      <w:r>
        <w:t>设计》</w:t>
      </w:r>
      <w:r>
        <w:rPr>
          <w:rFonts w:hint="eastAsia"/>
        </w:rPr>
        <w:t>。</w:t>
      </w:r>
    </w:p>
    <w:p w14:paraId="4E972F89">
      <w:pPr>
        <w:ind w:firstLine="560"/>
      </w:pPr>
      <w:r>
        <w:rPr>
          <w:rFonts w:hint="eastAsia"/>
        </w:rPr>
        <w:t>根据《中华人民共和国安全生产法》（中华人民共和国主席令〔2021〕88号修订，2021年9月1日实施）、《建设项目安全设施“三同时”监督管理办法》（原国家安全监管总局令第77号修订，2015年5月1日实施）等国家有关安全生产法律、法规，受云南兴昆化工有限公司的委托，辽宁诺诚安全科技有限公司承担了云南兴昆化工有限公司大坟箐磷石膏渣场堆存整治工程安全预评价工作。</w:t>
      </w:r>
    </w:p>
    <w:p w14:paraId="1D26FD91">
      <w:pPr>
        <w:ind w:firstLine="560"/>
      </w:pPr>
      <w:r>
        <w:rPr>
          <w:rFonts w:hint="eastAsia"/>
        </w:rPr>
        <w:t>在接受云南兴昆化工有限公司大坟箐磷石膏渣场堆存整治工程安全评价工作的委托之后，辽宁诺诚安全科技有限公司立即组成安全评价组投入项目安全预评价工作。评价组于2026年01月04日进场对云南兴昆化工有限公司大坟箐磷石膏渣场堆存整治工程进行初步现场调查和资料收集工作。评价组在系统调查分析的基础上，对照国家或行业有关安全法律法规、标准和规范，对该项目的危险、有害因素进行分析和评价，采用可靠、适用的评价方法对项目进行安全预评价，得出评价结论，并提出科学、合理、可行的安全技术和管理措施，为该项目建设生产提供依据，最后编制成《云南兴昆化工有限公司大坟箐磷石膏渣场堆存整治工程安全预评价报告》。</w:t>
      </w:r>
    </w:p>
    <w:p w14:paraId="0D87B5A4">
      <w:pPr>
        <w:ind w:firstLine="560"/>
        <w:sectPr>
          <w:pgSz w:w="11905" w:h="16838"/>
          <w:pgMar w:top="1417" w:right="1134" w:bottom="1134" w:left="1587" w:header="851" w:footer="992" w:gutter="0"/>
          <w:cols w:space="0" w:num="1"/>
          <w:docGrid w:type="lines" w:linePitch="386" w:charSpace="0"/>
        </w:sectPr>
      </w:pPr>
      <w:r>
        <w:rPr>
          <w:rFonts w:hint="eastAsia"/>
        </w:rPr>
        <w:t>在该项目的安全预评价过程中得到了云南兴昆化工有限公司等有关领导和技术人员的大力支持，同时在报告中引用了一些专家学者的研究成果和技术资料，在此一并表示感谢！</w:t>
      </w:r>
    </w:p>
    <w:p w14:paraId="193BB497">
      <w:pPr>
        <w:ind w:firstLine="0" w:firstLineChars="0"/>
        <w:jc w:val="center"/>
        <w:rPr>
          <w:rFonts w:eastAsia="黑体"/>
          <w:sz w:val="32"/>
        </w:rPr>
      </w:pPr>
      <w:r>
        <w:rPr>
          <w:rFonts w:hint="eastAsia" w:eastAsia="黑体"/>
          <w:sz w:val="32"/>
        </w:rPr>
        <w:t>目录</w:t>
      </w:r>
    </w:p>
    <w:p w14:paraId="6E84FBFE">
      <w:pPr>
        <w:pStyle w:val="29"/>
        <w:tabs>
          <w:tab w:val="right" w:leader="dot" w:pos="9174"/>
        </w:tabs>
        <w:ind w:firstLine="480"/>
        <w:rPr>
          <w:rFonts w:asciiTheme="minorHAnsi" w:hAnsiTheme="minorHAnsi" w:eastAsiaTheme="minorEastAsia"/>
          <w:sz w:val="21"/>
          <w:szCs w:val="22"/>
        </w:rPr>
      </w:pPr>
      <w:r>
        <w:rPr>
          <w:rFonts w:hint="eastAsia"/>
          <w:sz w:val="24"/>
          <w:szCs w:val="24"/>
        </w:rPr>
        <w:fldChar w:fldCharType="begin"/>
      </w:r>
      <w:r>
        <w:rPr>
          <w:rFonts w:hint="eastAsia"/>
          <w:sz w:val="24"/>
          <w:szCs w:val="24"/>
        </w:rPr>
        <w:instrText xml:space="preserve">TOC \o "1-3" \h \u </w:instrText>
      </w:r>
      <w:r>
        <w:rPr>
          <w:rFonts w:hint="eastAsia"/>
          <w:sz w:val="24"/>
          <w:szCs w:val="24"/>
        </w:rPr>
        <w:fldChar w:fldCharType="separate"/>
      </w:r>
      <w:r>
        <w:fldChar w:fldCharType="begin"/>
      </w:r>
      <w:r>
        <w:instrText xml:space="preserve"> HYPERLINK \l "_Toc230699539" </w:instrText>
      </w:r>
      <w:r>
        <w:fldChar w:fldCharType="separate"/>
      </w:r>
      <w:r>
        <w:rPr>
          <w:rStyle w:val="37"/>
          <w:color w:val="auto"/>
        </w:rPr>
        <w:t xml:space="preserve">1 </w:t>
      </w:r>
      <w:r>
        <w:rPr>
          <w:rStyle w:val="37"/>
          <w:rFonts w:hint="eastAsia"/>
          <w:color w:val="auto"/>
        </w:rPr>
        <w:t>评价目的、范围、依据及程序</w:t>
      </w:r>
      <w:r>
        <w:tab/>
      </w:r>
      <w:r>
        <w:fldChar w:fldCharType="begin"/>
      </w:r>
      <w:r>
        <w:instrText xml:space="preserve"> PAGEREF _Toc230699539 \h </w:instrText>
      </w:r>
      <w:r>
        <w:fldChar w:fldCharType="separate"/>
      </w:r>
      <w:r>
        <w:t>1</w:t>
      </w:r>
      <w:r>
        <w:fldChar w:fldCharType="end"/>
      </w:r>
      <w:r>
        <w:fldChar w:fldCharType="end"/>
      </w:r>
    </w:p>
    <w:p w14:paraId="24991480">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"_Toc230699540" </w:instrText>
      </w:r>
      <w:r>
        <w:fldChar w:fldCharType="separate"/>
      </w:r>
      <w:r>
        <w:rPr>
          <w:rStyle w:val="37"/>
          <w:color w:val="auto"/>
        </w:rPr>
        <w:t xml:space="preserve">1.1 </w:t>
      </w:r>
      <w:r>
        <w:rPr>
          <w:rStyle w:val="37"/>
          <w:rFonts w:hint="eastAsia"/>
          <w:color w:val="auto"/>
        </w:rPr>
        <w:t>评价目的及范围</w:t>
      </w:r>
      <w:r>
        <w:tab/>
      </w:r>
      <w:r>
        <w:fldChar w:fldCharType="begin"/>
      </w:r>
      <w:r>
        <w:instrText xml:space="preserve"> PAGEREF _Toc230699540 \h </w:instrText>
      </w:r>
      <w:r>
        <w:fldChar w:fldCharType="separate"/>
      </w:r>
      <w:r>
        <w:t>1</w:t>
      </w:r>
      <w:r>
        <w:fldChar w:fldCharType="end"/>
      </w:r>
      <w:r>
        <w:fldChar w:fldCharType="end"/>
      </w:r>
    </w:p>
    <w:p w14:paraId="5D2D5608">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"_Toc230699541" </w:instrText>
      </w:r>
      <w:r>
        <w:fldChar w:fldCharType="separate"/>
      </w:r>
      <w:r>
        <w:rPr>
          <w:rStyle w:val="37"/>
          <w:color w:val="auto"/>
        </w:rPr>
        <w:t xml:space="preserve">1.1.1 </w:t>
      </w:r>
      <w:r>
        <w:rPr>
          <w:rStyle w:val="37"/>
          <w:rFonts w:hint="eastAsia"/>
          <w:color w:val="auto"/>
        </w:rPr>
        <w:t>评价目的</w:t>
      </w:r>
      <w:r>
        <w:tab/>
      </w:r>
      <w:r>
        <w:fldChar w:fldCharType="begin"/>
      </w:r>
      <w:r>
        <w:instrText xml:space="preserve"> PAGEREF _Toc230699541 \h </w:instrText>
      </w:r>
      <w:r>
        <w:fldChar w:fldCharType="separate"/>
      </w:r>
      <w:r>
        <w:t>1</w:t>
      </w:r>
      <w:r>
        <w:fldChar w:fldCharType="end"/>
      </w:r>
      <w:r>
        <w:fldChar w:fldCharType="end"/>
      </w:r>
    </w:p>
    <w:p w14:paraId="7E8F4489">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"_Toc230699542" </w:instrText>
      </w:r>
      <w:r>
        <w:fldChar w:fldCharType="separate"/>
      </w:r>
      <w:r>
        <w:rPr>
          <w:rStyle w:val="37"/>
          <w:color w:val="auto"/>
        </w:rPr>
        <w:t xml:space="preserve">1.1.2 </w:t>
      </w:r>
      <w:r>
        <w:rPr>
          <w:rStyle w:val="37"/>
          <w:rFonts w:hint="eastAsia"/>
          <w:color w:val="auto"/>
        </w:rPr>
        <w:t>评价范围</w:t>
      </w:r>
      <w:r>
        <w:tab/>
      </w:r>
      <w:r>
        <w:fldChar w:fldCharType="begin"/>
      </w:r>
      <w:r>
        <w:instrText xml:space="preserve"> PAGEREF _Toc230699542 \h </w:instrText>
      </w:r>
      <w:r>
        <w:fldChar w:fldCharType="separate"/>
      </w:r>
      <w:r>
        <w:t>1</w:t>
      </w:r>
      <w:r>
        <w:fldChar w:fldCharType="end"/>
      </w:r>
      <w:r>
        <w:fldChar w:fldCharType="end"/>
      </w:r>
    </w:p>
    <w:p w14:paraId="517955DF">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"_Toc230699543" </w:instrText>
      </w:r>
      <w:r>
        <w:fldChar w:fldCharType="separate"/>
      </w:r>
      <w:r>
        <w:rPr>
          <w:rStyle w:val="37"/>
          <w:color w:val="auto"/>
        </w:rPr>
        <w:t xml:space="preserve">1.1.3 </w:t>
      </w:r>
      <w:r>
        <w:rPr>
          <w:rStyle w:val="37"/>
          <w:rFonts w:hint="eastAsia"/>
          <w:color w:val="auto"/>
        </w:rPr>
        <w:t>评价原则</w:t>
      </w:r>
      <w:r>
        <w:tab/>
      </w:r>
      <w:r>
        <w:fldChar w:fldCharType="begin"/>
      </w:r>
      <w:r>
        <w:instrText xml:space="preserve"> PAGEREF _Toc230699543 \h </w:instrText>
      </w:r>
      <w:r>
        <w:fldChar w:fldCharType="separate"/>
      </w:r>
      <w:r>
        <w:t>2</w:t>
      </w:r>
      <w:r>
        <w:fldChar w:fldCharType="end"/>
      </w:r>
      <w:r>
        <w:fldChar w:fldCharType="end"/>
      </w:r>
    </w:p>
    <w:p w14:paraId="04CEDC84">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"_Toc230699544" </w:instrText>
      </w:r>
      <w:r>
        <w:fldChar w:fldCharType="separate"/>
      </w:r>
      <w:r>
        <w:rPr>
          <w:rStyle w:val="37"/>
          <w:color w:val="auto"/>
        </w:rPr>
        <w:t xml:space="preserve">1.2 </w:t>
      </w:r>
      <w:r>
        <w:rPr>
          <w:rStyle w:val="37"/>
          <w:rFonts w:hint="eastAsia"/>
          <w:color w:val="auto"/>
        </w:rPr>
        <w:t>评价依据</w:t>
      </w:r>
      <w:r>
        <w:tab/>
      </w:r>
      <w:r>
        <w:fldChar w:fldCharType="begin"/>
      </w:r>
      <w:r>
        <w:instrText xml:space="preserve"> PAGEREF _Toc230699544 \h </w:instrText>
      </w:r>
      <w:r>
        <w:fldChar w:fldCharType="separate"/>
      </w:r>
      <w:r>
        <w:t>2</w:t>
      </w:r>
      <w:r>
        <w:fldChar w:fldCharType="end"/>
      </w:r>
      <w:r>
        <w:fldChar w:fldCharType="end"/>
      </w:r>
    </w:p>
    <w:p w14:paraId="6332EAA9">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"_Toc230699545" </w:instrText>
      </w:r>
      <w:r>
        <w:fldChar w:fldCharType="separate"/>
      </w:r>
      <w:r>
        <w:rPr>
          <w:rStyle w:val="37"/>
          <w:color w:val="auto"/>
        </w:rPr>
        <w:t xml:space="preserve">1.2.1 </w:t>
      </w:r>
      <w:r>
        <w:rPr>
          <w:rStyle w:val="37"/>
          <w:rFonts w:hint="eastAsia"/>
          <w:color w:val="auto"/>
        </w:rPr>
        <w:t>国家法律</w:t>
      </w:r>
      <w:r>
        <w:tab/>
      </w:r>
      <w:r>
        <w:fldChar w:fldCharType="begin"/>
      </w:r>
      <w:r>
        <w:instrText xml:space="preserve"> PAGEREF _Toc230699545 \h </w:instrText>
      </w:r>
      <w:r>
        <w:fldChar w:fldCharType="separate"/>
      </w:r>
      <w:r>
        <w:t>2</w:t>
      </w:r>
      <w:r>
        <w:fldChar w:fldCharType="end"/>
      </w:r>
      <w:r>
        <w:fldChar w:fldCharType="end"/>
      </w:r>
    </w:p>
    <w:p w14:paraId="3481CC25">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"_Toc230699546" </w:instrText>
      </w:r>
      <w:r>
        <w:fldChar w:fldCharType="separate"/>
      </w:r>
      <w:r>
        <w:rPr>
          <w:rStyle w:val="37"/>
          <w:color w:val="auto"/>
        </w:rPr>
        <w:t xml:space="preserve">1.2.2 </w:t>
      </w:r>
      <w:r>
        <w:rPr>
          <w:rStyle w:val="37"/>
          <w:rFonts w:hint="eastAsia"/>
          <w:color w:val="auto"/>
        </w:rPr>
        <w:t>行政法规</w:t>
      </w:r>
      <w:r>
        <w:tab/>
      </w:r>
      <w:r>
        <w:fldChar w:fldCharType="begin"/>
      </w:r>
      <w:r>
        <w:instrText xml:space="preserve"> PAGEREF _Toc230699546 \h </w:instrText>
      </w:r>
      <w:r>
        <w:fldChar w:fldCharType="separate"/>
      </w:r>
      <w:r>
        <w:t>4</w:t>
      </w:r>
      <w:r>
        <w:fldChar w:fldCharType="end"/>
      </w:r>
      <w:r>
        <w:fldChar w:fldCharType="end"/>
      </w:r>
    </w:p>
    <w:p w14:paraId="7B4BAB3D">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"_Toc230699547" </w:instrText>
      </w:r>
      <w:r>
        <w:fldChar w:fldCharType="separate"/>
      </w:r>
      <w:r>
        <w:rPr>
          <w:rStyle w:val="37"/>
          <w:color w:val="auto"/>
        </w:rPr>
        <w:t xml:space="preserve">1.2.3 </w:t>
      </w:r>
      <w:r>
        <w:rPr>
          <w:rStyle w:val="37"/>
          <w:rFonts w:hint="eastAsia"/>
          <w:color w:val="auto"/>
        </w:rPr>
        <w:t>部门规章</w:t>
      </w:r>
      <w:r>
        <w:tab/>
      </w:r>
      <w:r>
        <w:fldChar w:fldCharType="begin"/>
      </w:r>
      <w:r>
        <w:instrText xml:space="preserve"> PAGEREF _Toc230699547 \h </w:instrText>
      </w:r>
      <w:r>
        <w:fldChar w:fldCharType="separate"/>
      </w:r>
      <w:r>
        <w:t>5</w:t>
      </w:r>
      <w:r>
        <w:fldChar w:fldCharType="end"/>
      </w:r>
      <w:r>
        <w:fldChar w:fldCharType="end"/>
      </w:r>
    </w:p>
    <w:p w14:paraId="5CBBEF96">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"_Toc230699548" </w:instrText>
      </w:r>
      <w:r>
        <w:fldChar w:fldCharType="separate"/>
      </w:r>
      <w:r>
        <w:rPr>
          <w:rStyle w:val="37"/>
          <w:color w:val="auto"/>
        </w:rPr>
        <w:t xml:space="preserve">1.2.4 </w:t>
      </w:r>
      <w:r>
        <w:rPr>
          <w:rStyle w:val="37"/>
          <w:rFonts w:hint="eastAsia"/>
          <w:color w:val="auto"/>
        </w:rPr>
        <w:t>地方性法规及文件</w:t>
      </w:r>
      <w:r>
        <w:tab/>
      </w:r>
      <w:r>
        <w:fldChar w:fldCharType="begin"/>
      </w:r>
      <w:r>
        <w:instrText xml:space="preserve"> PAGEREF _Toc230699548 \h </w:instrText>
      </w:r>
      <w:r>
        <w:fldChar w:fldCharType="separate"/>
      </w:r>
      <w:r>
        <w:t>6</w:t>
      </w:r>
      <w:r>
        <w:fldChar w:fldCharType="end"/>
      </w:r>
      <w:r>
        <w:fldChar w:fldCharType="end"/>
      </w:r>
    </w:p>
    <w:p w14:paraId="0D176EE6">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"_Toc230699549" </w:instrText>
      </w:r>
      <w:r>
        <w:fldChar w:fldCharType="separate"/>
      </w:r>
      <w:r>
        <w:rPr>
          <w:rStyle w:val="37"/>
          <w:color w:val="auto"/>
        </w:rPr>
        <w:t xml:space="preserve">1.2.5 </w:t>
      </w:r>
      <w:r>
        <w:rPr>
          <w:rStyle w:val="37"/>
          <w:rFonts w:hint="eastAsia"/>
          <w:color w:val="auto"/>
        </w:rPr>
        <w:t>标准规范</w:t>
      </w:r>
      <w:r>
        <w:tab/>
      </w:r>
      <w:r>
        <w:fldChar w:fldCharType="begin"/>
      </w:r>
      <w:r>
        <w:instrText xml:space="preserve"> PAGEREF _Toc230699549 \h </w:instrText>
      </w:r>
      <w:r>
        <w:fldChar w:fldCharType="separate"/>
      </w:r>
      <w:r>
        <w:t>7</w:t>
      </w:r>
      <w:r>
        <w:fldChar w:fldCharType="end"/>
      </w:r>
      <w:r>
        <w:fldChar w:fldCharType="end"/>
      </w:r>
    </w:p>
    <w:p w14:paraId="740C60AA">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"_Toc230699550" </w:instrText>
      </w:r>
      <w:r>
        <w:fldChar w:fldCharType="separate"/>
      </w:r>
      <w:r>
        <w:rPr>
          <w:rStyle w:val="37"/>
          <w:color w:val="auto"/>
        </w:rPr>
        <w:t xml:space="preserve">1.2.6 </w:t>
      </w:r>
      <w:r>
        <w:rPr>
          <w:rStyle w:val="37"/>
          <w:rFonts w:hint="eastAsia"/>
          <w:color w:val="auto"/>
        </w:rPr>
        <w:t>行业规范</w:t>
      </w:r>
      <w:r>
        <w:tab/>
      </w:r>
      <w:r>
        <w:fldChar w:fldCharType="begin"/>
      </w:r>
      <w:r>
        <w:instrText xml:space="preserve"> PAGEREF _Toc230699550 \h </w:instrText>
      </w:r>
      <w:r>
        <w:fldChar w:fldCharType="separate"/>
      </w:r>
      <w:r>
        <w:t>9</w:t>
      </w:r>
      <w:r>
        <w:fldChar w:fldCharType="end"/>
      </w:r>
      <w:r>
        <w:fldChar w:fldCharType="end"/>
      </w:r>
    </w:p>
    <w:p w14:paraId="5657D545">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"_Toc230699551" </w:instrText>
      </w:r>
      <w:r>
        <w:fldChar w:fldCharType="separate"/>
      </w:r>
      <w:r>
        <w:rPr>
          <w:rStyle w:val="37"/>
          <w:color w:val="auto"/>
        </w:rPr>
        <w:t xml:space="preserve">1.2.7 </w:t>
      </w:r>
      <w:r>
        <w:rPr>
          <w:rStyle w:val="37"/>
          <w:rFonts w:hint="eastAsia"/>
          <w:color w:val="auto"/>
        </w:rPr>
        <w:t>技术文件及有关资料</w:t>
      </w:r>
      <w:r>
        <w:tab/>
      </w:r>
      <w:r>
        <w:fldChar w:fldCharType="begin"/>
      </w:r>
      <w:r>
        <w:instrText xml:space="preserve"> PAGEREF _Toc230699551 \h </w:instrText>
      </w:r>
      <w:r>
        <w:fldChar w:fldCharType="separate"/>
      </w:r>
      <w:r>
        <w:t>10</w:t>
      </w:r>
      <w:r>
        <w:fldChar w:fldCharType="end"/>
      </w:r>
      <w:r>
        <w:fldChar w:fldCharType="end"/>
      </w:r>
    </w:p>
    <w:p w14:paraId="226775E9">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"_Toc230699552" </w:instrText>
      </w:r>
      <w:r>
        <w:fldChar w:fldCharType="separate"/>
      </w:r>
      <w:r>
        <w:rPr>
          <w:rStyle w:val="37"/>
          <w:color w:val="auto"/>
        </w:rPr>
        <w:t xml:space="preserve">1.3 </w:t>
      </w:r>
      <w:r>
        <w:rPr>
          <w:rStyle w:val="37"/>
          <w:rFonts w:hint="eastAsia"/>
          <w:color w:val="auto"/>
        </w:rPr>
        <w:t>评价程序</w:t>
      </w:r>
      <w:r>
        <w:tab/>
      </w:r>
      <w:r>
        <w:fldChar w:fldCharType="begin"/>
      </w:r>
      <w:r>
        <w:instrText xml:space="preserve"> PAGEREF _Toc230699552 \h </w:instrText>
      </w:r>
      <w:r>
        <w:fldChar w:fldCharType="separate"/>
      </w:r>
      <w:r>
        <w:t>10</w:t>
      </w:r>
      <w:r>
        <w:fldChar w:fldCharType="end"/>
      </w:r>
      <w:r>
        <w:fldChar w:fldCharType="end"/>
      </w:r>
    </w:p>
    <w:p w14:paraId="347FCF0F">
      <w:pPr>
        <w:pStyle w:val="29"/>
        <w:tabs>
          <w:tab w:val="right" w:leader="dot" w:pos="9174"/>
        </w:tabs>
        <w:ind w:firstLine="560"/>
        <w:rPr>
          <w:rFonts w:asciiTheme="minorHAnsi" w:hAnsiTheme="minorHAnsi" w:eastAsiaTheme="minorEastAsia"/>
          <w:sz w:val="21"/>
          <w:szCs w:val="22"/>
        </w:rPr>
      </w:pPr>
      <w:r>
        <w:fldChar w:fldCharType="begin"/>
      </w:r>
      <w:r>
        <w:instrText xml:space="preserve"> HYPERLINK \l "_Toc230699553" </w:instrText>
      </w:r>
      <w:r>
        <w:fldChar w:fldCharType="separate"/>
      </w:r>
      <w:r>
        <w:rPr>
          <w:rStyle w:val="37"/>
          <w:color w:val="auto"/>
        </w:rPr>
        <w:t xml:space="preserve">2 </w:t>
      </w:r>
      <w:r>
        <w:rPr>
          <w:rStyle w:val="37"/>
          <w:rFonts w:hint="eastAsia"/>
          <w:color w:val="auto"/>
        </w:rPr>
        <w:t>建设项目概述</w:t>
      </w:r>
      <w:r>
        <w:tab/>
      </w:r>
      <w:r>
        <w:fldChar w:fldCharType="begin"/>
      </w:r>
      <w:r>
        <w:instrText xml:space="preserve"> PAGEREF _Toc230699553 \h </w:instrText>
      </w:r>
      <w:r>
        <w:fldChar w:fldCharType="separate"/>
      </w:r>
      <w:r>
        <w:t>12</w:t>
      </w:r>
      <w:r>
        <w:fldChar w:fldCharType="end"/>
      </w:r>
      <w:r>
        <w:fldChar w:fldCharType="end"/>
      </w:r>
    </w:p>
    <w:p w14:paraId="42913451">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"_Toc230699554" </w:instrText>
      </w:r>
      <w:r>
        <w:fldChar w:fldCharType="separate"/>
      </w:r>
      <w:r>
        <w:rPr>
          <w:rStyle w:val="37"/>
          <w:color w:val="auto"/>
        </w:rPr>
        <w:t xml:space="preserve">2.1 </w:t>
      </w:r>
      <w:r>
        <w:rPr>
          <w:rStyle w:val="37"/>
          <w:rFonts w:hint="eastAsia"/>
          <w:color w:val="auto"/>
        </w:rPr>
        <w:t>建设单位及磷石膏渣库简述</w:t>
      </w:r>
      <w:r>
        <w:tab/>
      </w:r>
      <w:r>
        <w:fldChar w:fldCharType="begin"/>
      </w:r>
      <w:r>
        <w:instrText xml:space="preserve"> PAGEREF _Toc230699554 \h </w:instrText>
      </w:r>
      <w:r>
        <w:fldChar w:fldCharType="separate"/>
      </w:r>
      <w:r>
        <w:t>15</w:t>
      </w:r>
      <w:r>
        <w:fldChar w:fldCharType="end"/>
      </w:r>
      <w:r>
        <w:fldChar w:fldCharType="end"/>
      </w:r>
    </w:p>
    <w:p w14:paraId="58CDB2CF">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"_Toc230699555" </w:instrText>
      </w:r>
      <w:r>
        <w:fldChar w:fldCharType="separate"/>
      </w:r>
      <w:r>
        <w:rPr>
          <w:rStyle w:val="37"/>
          <w:color w:val="auto"/>
        </w:rPr>
        <w:t xml:space="preserve">2.1.1 </w:t>
      </w:r>
      <w:r>
        <w:rPr>
          <w:rStyle w:val="37"/>
          <w:rFonts w:hint="eastAsia"/>
          <w:color w:val="auto"/>
        </w:rPr>
        <w:t>建设单位简介</w:t>
      </w:r>
      <w:r>
        <w:tab/>
      </w:r>
      <w:r>
        <w:fldChar w:fldCharType="begin"/>
      </w:r>
      <w:r>
        <w:instrText xml:space="preserve"> PAGEREF _Toc230699555 \h </w:instrText>
      </w:r>
      <w:r>
        <w:fldChar w:fldCharType="separate"/>
      </w:r>
      <w:r>
        <w:t>15</w:t>
      </w:r>
      <w:r>
        <w:fldChar w:fldCharType="end"/>
      </w:r>
      <w:r>
        <w:fldChar w:fldCharType="end"/>
      </w:r>
    </w:p>
    <w:p w14:paraId="5A73EB5D">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"_Toc230699556" </w:instrText>
      </w:r>
      <w:r>
        <w:fldChar w:fldCharType="separate"/>
      </w:r>
      <w:r>
        <w:rPr>
          <w:rStyle w:val="37"/>
          <w:color w:val="auto"/>
        </w:rPr>
        <w:t xml:space="preserve">2.1.2 </w:t>
      </w:r>
      <w:r>
        <w:rPr>
          <w:rStyle w:val="37"/>
          <w:rFonts w:hint="eastAsia"/>
          <w:color w:val="auto"/>
        </w:rPr>
        <w:t>磷石膏渣库简述</w:t>
      </w:r>
      <w:r>
        <w:tab/>
      </w:r>
      <w:r>
        <w:fldChar w:fldCharType="begin"/>
      </w:r>
      <w:r>
        <w:instrText xml:space="preserve"> PAGEREF _Toc230699556 \h </w:instrText>
      </w:r>
      <w:r>
        <w:fldChar w:fldCharType="separate"/>
      </w:r>
      <w:r>
        <w:t>17</w:t>
      </w:r>
      <w:r>
        <w:fldChar w:fldCharType="end"/>
      </w:r>
      <w:r>
        <w:fldChar w:fldCharType="end"/>
      </w:r>
    </w:p>
    <w:p w14:paraId="4619DB0F">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"_Toc230699557" </w:instrText>
      </w:r>
      <w:r>
        <w:fldChar w:fldCharType="separate"/>
      </w:r>
      <w:r>
        <w:rPr>
          <w:rStyle w:val="37"/>
          <w:color w:val="auto"/>
        </w:rPr>
        <w:t xml:space="preserve">2.1.3 </w:t>
      </w:r>
      <w:r>
        <w:rPr>
          <w:rStyle w:val="37"/>
          <w:rFonts w:hint="eastAsia"/>
          <w:color w:val="auto"/>
        </w:rPr>
        <w:t>项目地理位置及交通情况</w:t>
      </w:r>
      <w:r>
        <w:tab/>
      </w:r>
      <w:r>
        <w:fldChar w:fldCharType="begin"/>
      </w:r>
      <w:r>
        <w:instrText xml:space="preserve"> PAGEREF _Toc230699557 \h </w:instrText>
      </w:r>
      <w:r>
        <w:fldChar w:fldCharType="separate"/>
      </w:r>
      <w:r>
        <w:t>21</w:t>
      </w:r>
      <w:r>
        <w:fldChar w:fldCharType="end"/>
      </w:r>
      <w:r>
        <w:fldChar w:fldCharType="end"/>
      </w:r>
    </w:p>
    <w:p w14:paraId="508C1388">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"_Toc230699558" </w:instrText>
      </w:r>
      <w:r>
        <w:fldChar w:fldCharType="separate"/>
      </w:r>
      <w:r>
        <w:rPr>
          <w:rStyle w:val="37"/>
          <w:color w:val="auto"/>
        </w:rPr>
        <w:t xml:space="preserve">2.1.4 </w:t>
      </w:r>
      <w:r>
        <w:rPr>
          <w:rStyle w:val="37"/>
          <w:rFonts w:hint="eastAsia"/>
          <w:color w:val="auto"/>
        </w:rPr>
        <w:t>项目周边环境</w:t>
      </w:r>
      <w:r>
        <w:tab/>
      </w:r>
      <w:r>
        <w:fldChar w:fldCharType="begin"/>
      </w:r>
      <w:r>
        <w:instrText xml:space="preserve"> PAGEREF _Toc230699558 \h </w:instrText>
      </w:r>
      <w:r>
        <w:fldChar w:fldCharType="separate"/>
      </w:r>
      <w:r>
        <w:t>23</w:t>
      </w:r>
      <w:r>
        <w:fldChar w:fldCharType="end"/>
      </w:r>
      <w:r>
        <w:fldChar w:fldCharType="end"/>
      </w:r>
    </w:p>
    <w:p w14:paraId="04342EDE">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"_Toc230699559" </w:instrText>
      </w:r>
      <w:r>
        <w:fldChar w:fldCharType="separate"/>
      </w:r>
      <w:r>
        <w:rPr>
          <w:rStyle w:val="37"/>
          <w:color w:val="auto"/>
        </w:rPr>
        <w:t xml:space="preserve">2.2 </w:t>
      </w:r>
      <w:r>
        <w:rPr>
          <w:rStyle w:val="37"/>
          <w:rFonts w:hint="eastAsia"/>
          <w:color w:val="auto"/>
        </w:rPr>
        <w:t>自然环境</w:t>
      </w:r>
      <w:r>
        <w:tab/>
      </w:r>
      <w:r>
        <w:fldChar w:fldCharType="begin"/>
      </w:r>
      <w:r>
        <w:instrText xml:space="preserve"> PAGEREF _Toc230699559 \h </w:instrText>
      </w:r>
      <w:r>
        <w:fldChar w:fldCharType="separate"/>
      </w:r>
      <w:r>
        <w:t>31</w:t>
      </w:r>
      <w:r>
        <w:fldChar w:fldCharType="end"/>
      </w:r>
      <w:r>
        <w:fldChar w:fldCharType="end"/>
      </w:r>
    </w:p>
    <w:p w14:paraId="628E294A">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"_Toc230699560" </w:instrText>
      </w:r>
      <w:r>
        <w:fldChar w:fldCharType="separate"/>
      </w:r>
      <w:r>
        <w:rPr>
          <w:rStyle w:val="37"/>
          <w:color w:val="auto"/>
        </w:rPr>
        <w:t xml:space="preserve">2.2.1 </w:t>
      </w:r>
      <w:r>
        <w:rPr>
          <w:rStyle w:val="37"/>
          <w:rFonts w:hint="eastAsia"/>
          <w:color w:val="auto"/>
        </w:rPr>
        <w:t>气候</w:t>
      </w:r>
      <w:r>
        <w:tab/>
      </w:r>
      <w:r>
        <w:fldChar w:fldCharType="begin"/>
      </w:r>
      <w:r>
        <w:instrText xml:space="preserve"> PAGEREF _Toc230699560 \h </w:instrText>
      </w:r>
      <w:r>
        <w:fldChar w:fldCharType="separate"/>
      </w:r>
      <w:r>
        <w:t>31</w:t>
      </w:r>
      <w:r>
        <w:fldChar w:fldCharType="end"/>
      </w:r>
      <w:r>
        <w:fldChar w:fldCharType="end"/>
      </w:r>
    </w:p>
    <w:p w14:paraId="6A8C9367">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"_Toc230699561" </w:instrText>
      </w:r>
      <w:r>
        <w:fldChar w:fldCharType="separate"/>
      </w:r>
      <w:r>
        <w:rPr>
          <w:rStyle w:val="37"/>
          <w:color w:val="auto"/>
        </w:rPr>
        <w:t xml:space="preserve">2.2.2 </w:t>
      </w:r>
      <w:r>
        <w:rPr>
          <w:rStyle w:val="37"/>
          <w:rFonts w:hint="eastAsia"/>
          <w:color w:val="auto"/>
        </w:rPr>
        <w:t>水文</w:t>
      </w:r>
      <w:r>
        <w:tab/>
      </w:r>
      <w:r>
        <w:fldChar w:fldCharType="begin"/>
      </w:r>
      <w:r>
        <w:instrText xml:space="preserve"> PAGEREF _Toc230699561 \h </w:instrText>
      </w:r>
      <w:r>
        <w:fldChar w:fldCharType="separate"/>
      </w:r>
      <w:r>
        <w:t>32</w:t>
      </w:r>
      <w:r>
        <w:fldChar w:fldCharType="end"/>
      </w:r>
      <w:r>
        <w:fldChar w:fldCharType="end"/>
      </w:r>
    </w:p>
    <w:p w14:paraId="321781CF">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"_Toc230699562" </w:instrText>
      </w:r>
      <w:r>
        <w:fldChar w:fldCharType="separate"/>
      </w:r>
      <w:r>
        <w:rPr>
          <w:rStyle w:val="37"/>
          <w:color w:val="auto"/>
        </w:rPr>
        <w:t xml:space="preserve">2.2.3 </w:t>
      </w:r>
      <w:r>
        <w:rPr>
          <w:rStyle w:val="37"/>
          <w:rFonts w:hint="eastAsia"/>
          <w:color w:val="auto"/>
        </w:rPr>
        <w:t>区域地貌</w:t>
      </w:r>
      <w:r>
        <w:tab/>
      </w:r>
      <w:r>
        <w:fldChar w:fldCharType="begin"/>
      </w:r>
      <w:r>
        <w:instrText xml:space="preserve"> PAGEREF _Toc230699562 \h </w:instrText>
      </w:r>
      <w:r>
        <w:fldChar w:fldCharType="separate"/>
      </w:r>
      <w:r>
        <w:t>34</w:t>
      </w:r>
      <w:r>
        <w:fldChar w:fldCharType="end"/>
      </w:r>
      <w:r>
        <w:fldChar w:fldCharType="end"/>
      </w:r>
    </w:p>
    <w:p w14:paraId="75A35924">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"_Toc230699563" </w:instrText>
      </w:r>
      <w:r>
        <w:fldChar w:fldCharType="separate"/>
      </w:r>
      <w:r>
        <w:rPr>
          <w:rStyle w:val="37"/>
          <w:color w:val="auto"/>
        </w:rPr>
        <w:t xml:space="preserve">2.2.4 </w:t>
      </w:r>
      <w:r>
        <w:rPr>
          <w:rStyle w:val="37"/>
          <w:rFonts w:hint="eastAsia"/>
          <w:color w:val="auto"/>
        </w:rPr>
        <w:t>土壤</w:t>
      </w:r>
      <w:r>
        <w:tab/>
      </w:r>
      <w:r>
        <w:fldChar w:fldCharType="begin"/>
      </w:r>
      <w:r>
        <w:instrText xml:space="preserve"> PAGEREF _Toc230699563 \h </w:instrText>
      </w:r>
      <w:r>
        <w:fldChar w:fldCharType="separate"/>
      </w:r>
      <w:r>
        <w:t>35</w:t>
      </w:r>
      <w:r>
        <w:fldChar w:fldCharType="end"/>
      </w:r>
      <w:r>
        <w:fldChar w:fldCharType="end"/>
      </w:r>
    </w:p>
    <w:p w14:paraId="1E8AA07E">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"_Toc230699564" </w:instrText>
      </w:r>
      <w:r>
        <w:fldChar w:fldCharType="separate"/>
      </w:r>
      <w:r>
        <w:rPr>
          <w:rStyle w:val="37"/>
          <w:color w:val="auto"/>
        </w:rPr>
        <w:t xml:space="preserve">2.2.5 </w:t>
      </w:r>
      <w:r>
        <w:rPr>
          <w:rStyle w:val="37"/>
          <w:rFonts w:hint="eastAsia"/>
          <w:color w:val="auto"/>
        </w:rPr>
        <w:t>植被</w:t>
      </w:r>
      <w:r>
        <w:tab/>
      </w:r>
      <w:r>
        <w:fldChar w:fldCharType="begin"/>
      </w:r>
      <w:r>
        <w:instrText xml:space="preserve"> PAGEREF _Toc230699564 \h </w:instrText>
      </w:r>
      <w:r>
        <w:fldChar w:fldCharType="separate"/>
      </w:r>
      <w:r>
        <w:t>35</w:t>
      </w:r>
      <w:r>
        <w:fldChar w:fldCharType="end"/>
      </w:r>
      <w:r>
        <w:fldChar w:fldCharType="end"/>
      </w:r>
    </w:p>
    <w:p w14:paraId="48B00C4D">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"_Toc230699565" </w:instrText>
      </w:r>
      <w:r>
        <w:fldChar w:fldCharType="separate"/>
      </w:r>
      <w:r>
        <w:rPr>
          <w:rStyle w:val="37"/>
          <w:color w:val="auto"/>
        </w:rPr>
        <w:t xml:space="preserve">2.3 </w:t>
      </w:r>
      <w:r>
        <w:rPr>
          <w:rStyle w:val="37"/>
          <w:rFonts w:hint="eastAsia"/>
          <w:color w:val="auto"/>
        </w:rPr>
        <w:t>地质环境条件</w:t>
      </w:r>
      <w:r>
        <w:tab/>
      </w:r>
      <w:r>
        <w:fldChar w:fldCharType="begin"/>
      </w:r>
      <w:r>
        <w:instrText xml:space="preserve"> PAGEREF _Toc230699565 \h </w:instrText>
      </w:r>
      <w:r>
        <w:fldChar w:fldCharType="separate"/>
      </w:r>
      <w:r>
        <w:t>36</w:t>
      </w:r>
      <w:r>
        <w:fldChar w:fldCharType="end"/>
      </w:r>
      <w:r>
        <w:fldChar w:fldCharType="end"/>
      </w:r>
    </w:p>
    <w:p w14:paraId="5393B2FA">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"_Toc230699566" </w:instrText>
      </w:r>
      <w:r>
        <w:fldChar w:fldCharType="separate"/>
      </w:r>
      <w:r>
        <w:rPr>
          <w:rStyle w:val="37"/>
          <w:color w:val="auto"/>
        </w:rPr>
        <w:t xml:space="preserve">2.3.1 </w:t>
      </w:r>
      <w:r>
        <w:rPr>
          <w:rStyle w:val="37"/>
          <w:rFonts w:hint="eastAsia"/>
          <w:color w:val="auto"/>
        </w:rPr>
        <w:t>区域地质概况</w:t>
      </w:r>
      <w:r>
        <w:tab/>
      </w:r>
      <w:r>
        <w:fldChar w:fldCharType="begin"/>
      </w:r>
      <w:r>
        <w:instrText xml:space="preserve"> PAGEREF _Toc230699566 \h </w:instrText>
      </w:r>
      <w:r>
        <w:fldChar w:fldCharType="separate"/>
      </w:r>
      <w:r>
        <w:t>36</w:t>
      </w:r>
      <w:r>
        <w:fldChar w:fldCharType="end"/>
      </w:r>
      <w:r>
        <w:fldChar w:fldCharType="end"/>
      </w:r>
    </w:p>
    <w:p w14:paraId="5E5E2C80">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"_Toc230699567" </w:instrText>
      </w:r>
      <w:r>
        <w:fldChar w:fldCharType="separate"/>
      </w:r>
      <w:r>
        <w:rPr>
          <w:rStyle w:val="37"/>
          <w:color w:val="auto"/>
        </w:rPr>
        <w:t xml:space="preserve">2.3.2 </w:t>
      </w:r>
      <w:r>
        <w:rPr>
          <w:rStyle w:val="37"/>
          <w:rFonts w:hint="eastAsia"/>
          <w:color w:val="auto"/>
        </w:rPr>
        <w:t>工程地质条件</w:t>
      </w:r>
      <w:r>
        <w:tab/>
      </w:r>
      <w:r>
        <w:fldChar w:fldCharType="begin"/>
      </w:r>
      <w:r>
        <w:instrText xml:space="preserve"> PAGEREF _Toc230699567 \h </w:instrText>
      </w:r>
      <w:r>
        <w:fldChar w:fldCharType="separate"/>
      </w:r>
      <w:r>
        <w:t>42</w:t>
      </w:r>
      <w:r>
        <w:fldChar w:fldCharType="end"/>
      </w:r>
      <w:r>
        <w:fldChar w:fldCharType="end"/>
      </w:r>
    </w:p>
    <w:p w14:paraId="1619B7DE">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"_Toc230699568" </w:instrText>
      </w:r>
      <w:r>
        <w:fldChar w:fldCharType="separate"/>
      </w:r>
      <w:r>
        <w:rPr>
          <w:rStyle w:val="37"/>
          <w:color w:val="auto"/>
        </w:rPr>
        <w:t xml:space="preserve">2.3.3 </w:t>
      </w:r>
      <w:r>
        <w:rPr>
          <w:rStyle w:val="37"/>
          <w:rFonts w:hint="eastAsia"/>
          <w:color w:val="auto"/>
        </w:rPr>
        <w:t>水文地质条件</w:t>
      </w:r>
      <w:r>
        <w:tab/>
      </w:r>
      <w:r>
        <w:fldChar w:fldCharType="begin"/>
      </w:r>
      <w:r>
        <w:instrText xml:space="preserve"> PAGEREF _Toc230699568 \h </w:instrText>
      </w:r>
      <w:r>
        <w:fldChar w:fldCharType="separate"/>
      </w:r>
      <w:r>
        <w:t>48</w:t>
      </w:r>
      <w:r>
        <w:fldChar w:fldCharType="end"/>
      </w:r>
      <w:r>
        <w:fldChar w:fldCharType="end"/>
      </w:r>
    </w:p>
    <w:p w14:paraId="41FBB10D">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"_Toc230699569" </w:instrText>
      </w:r>
      <w:r>
        <w:fldChar w:fldCharType="separate"/>
      </w:r>
      <w:r>
        <w:rPr>
          <w:rStyle w:val="37"/>
          <w:color w:val="auto"/>
        </w:rPr>
        <w:t xml:space="preserve">2.3.4 </w:t>
      </w:r>
      <w:r>
        <w:rPr>
          <w:rStyle w:val="37"/>
          <w:rFonts w:hint="eastAsia"/>
          <w:color w:val="auto"/>
        </w:rPr>
        <w:t>场地岩土工程条件评价</w:t>
      </w:r>
      <w:r>
        <w:tab/>
      </w:r>
      <w:r>
        <w:fldChar w:fldCharType="begin"/>
      </w:r>
      <w:r>
        <w:instrText xml:space="preserve"> PAGEREF _Toc230699569 \h </w:instrText>
      </w:r>
      <w:r>
        <w:fldChar w:fldCharType="separate"/>
      </w:r>
      <w:r>
        <w:t>50</w:t>
      </w:r>
      <w:r>
        <w:fldChar w:fldCharType="end"/>
      </w:r>
      <w:r>
        <w:fldChar w:fldCharType="end"/>
      </w:r>
    </w:p>
    <w:p w14:paraId="195F4714">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"_Toc230699570" </w:instrText>
      </w:r>
      <w:r>
        <w:fldChar w:fldCharType="separate"/>
      </w:r>
      <w:r>
        <w:rPr>
          <w:rStyle w:val="37"/>
          <w:color w:val="auto"/>
        </w:rPr>
        <w:t xml:space="preserve">2.3.5 </w:t>
      </w:r>
      <w:r>
        <w:rPr>
          <w:rStyle w:val="37"/>
          <w:rFonts w:hint="eastAsia"/>
          <w:color w:val="auto"/>
        </w:rPr>
        <w:t>磷石膏库现状稳定性分析及评价</w:t>
      </w:r>
      <w:r>
        <w:tab/>
      </w:r>
      <w:r>
        <w:fldChar w:fldCharType="begin"/>
      </w:r>
      <w:r>
        <w:instrText xml:space="preserve"> PAGEREF _Toc230699570 \h </w:instrText>
      </w:r>
      <w:r>
        <w:fldChar w:fldCharType="separate"/>
      </w:r>
      <w:r>
        <w:t>55</w:t>
      </w:r>
      <w:r>
        <w:fldChar w:fldCharType="end"/>
      </w:r>
      <w:r>
        <w:fldChar w:fldCharType="end"/>
      </w:r>
    </w:p>
    <w:p w14:paraId="616C38B4">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"_Toc230699571" </w:instrText>
      </w:r>
      <w:r>
        <w:fldChar w:fldCharType="separate"/>
      </w:r>
      <w:r>
        <w:rPr>
          <w:rStyle w:val="37"/>
          <w:color w:val="auto"/>
        </w:rPr>
        <w:t xml:space="preserve">2.3.6 </w:t>
      </w:r>
      <w:r>
        <w:rPr>
          <w:rStyle w:val="37"/>
          <w:rFonts w:hint="eastAsia"/>
          <w:color w:val="auto"/>
        </w:rPr>
        <w:t>勘察结论</w:t>
      </w:r>
      <w:r>
        <w:tab/>
      </w:r>
      <w:r>
        <w:fldChar w:fldCharType="begin"/>
      </w:r>
      <w:r>
        <w:instrText xml:space="preserve"> PAGEREF _Toc230699571 \h </w:instrText>
      </w:r>
      <w:r>
        <w:fldChar w:fldCharType="separate"/>
      </w:r>
      <w:r>
        <w:t>58</w:t>
      </w:r>
      <w:r>
        <w:fldChar w:fldCharType="end"/>
      </w:r>
      <w:r>
        <w:fldChar w:fldCharType="end"/>
      </w:r>
    </w:p>
    <w:p w14:paraId="3086BA90">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"_Toc230699572" </w:instrText>
      </w:r>
      <w:r>
        <w:fldChar w:fldCharType="separate"/>
      </w:r>
      <w:r>
        <w:rPr>
          <w:rStyle w:val="37"/>
          <w:color w:val="auto"/>
        </w:rPr>
        <w:t xml:space="preserve">2.4 </w:t>
      </w:r>
      <w:r>
        <w:rPr>
          <w:rStyle w:val="37"/>
          <w:rFonts w:hint="eastAsia"/>
          <w:color w:val="auto"/>
        </w:rPr>
        <w:t>磷石膏渣库基本情况</w:t>
      </w:r>
      <w:r>
        <w:tab/>
      </w:r>
      <w:r>
        <w:fldChar w:fldCharType="begin"/>
      </w:r>
      <w:r>
        <w:instrText xml:space="preserve"> PAGEREF _Toc230699572 \h </w:instrText>
      </w:r>
      <w:r>
        <w:fldChar w:fldCharType="separate"/>
      </w:r>
      <w:r>
        <w:t>60</w:t>
      </w:r>
      <w:r>
        <w:fldChar w:fldCharType="end"/>
      </w:r>
      <w:r>
        <w:fldChar w:fldCharType="end"/>
      </w:r>
    </w:p>
    <w:p w14:paraId="2AE77FDE">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"_Toc230699573" </w:instrText>
      </w:r>
      <w:r>
        <w:fldChar w:fldCharType="separate"/>
      </w:r>
      <w:r>
        <w:rPr>
          <w:rStyle w:val="37"/>
          <w:color w:val="auto"/>
        </w:rPr>
        <w:t xml:space="preserve">2.4.1 </w:t>
      </w:r>
      <w:r>
        <w:rPr>
          <w:rStyle w:val="37"/>
          <w:rFonts w:hint="eastAsia"/>
          <w:color w:val="auto"/>
        </w:rPr>
        <w:t>渣场原设计概述</w:t>
      </w:r>
      <w:r>
        <w:tab/>
      </w:r>
      <w:r>
        <w:fldChar w:fldCharType="begin"/>
      </w:r>
      <w:r>
        <w:instrText xml:space="preserve"> PAGEREF _Toc230699573 \h </w:instrText>
      </w:r>
      <w:r>
        <w:fldChar w:fldCharType="separate"/>
      </w:r>
      <w:r>
        <w:t>60</w:t>
      </w:r>
      <w:r>
        <w:fldChar w:fldCharType="end"/>
      </w:r>
      <w:r>
        <w:fldChar w:fldCharType="end"/>
      </w:r>
    </w:p>
    <w:p w14:paraId="73C24E7A">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"_Toc230699574" </w:instrText>
      </w:r>
      <w:r>
        <w:fldChar w:fldCharType="separate"/>
      </w:r>
      <w:r>
        <w:rPr>
          <w:rStyle w:val="37"/>
          <w:color w:val="auto"/>
        </w:rPr>
        <w:t xml:space="preserve">2.4.2 </w:t>
      </w:r>
      <w:r>
        <w:rPr>
          <w:rStyle w:val="37"/>
          <w:rFonts w:hint="eastAsia"/>
          <w:color w:val="auto"/>
        </w:rPr>
        <w:t>渣场原设计施工概况</w:t>
      </w:r>
      <w:r>
        <w:tab/>
      </w:r>
      <w:r>
        <w:fldChar w:fldCharType="begin"/>
      </w:r>
      <w:r>
        <w:instrText xml:space="preserve"> PAGEREF _Toc230699574 \h </w:instrText>
      </w:r>
      <w:r>
        <w:fldChar w:fldCharType="separate"/>
      </w:r>
      <w:r>
        <w:t>62</w:t>
      </w:r>
      <w:r>
        <w:fldChar w:fldCharType="end"/>
      </w:r>
      <w:r>
        <w:fldChar w:fldCharType="end"/>
      </w:r>
    </w:p>
    <w:p w14:paraId="5FFAB981">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"_Toc230699575" </w:instrText>
      </w:r>
      <w:r>
        <w:fldChar w:fldCharType="separate"/>
      </w:r>
      <w:r>
        <w:rPr>
          <w:rStyle w:val="37"/>
          <w:color w:val="auto"/>
        </w:rPr>
        <w:t xml:space="preserve">2.4.3 </w:t>
      </w:r>
      <w:r>
        <w:rPr>
          <w:rStyle w:val="37"/>
          <w:rFonts w:hint="eastAsia"/>
          <w:color w:val="auto"/>
        </w:rPr>
        <w:t>渣场整改设计概况</w:t>
      </w:r>
      <w:r>
        <w:tab/>
      </w:r>
      <w:r>
        <w:fldChar w:fldCharType="begin"/>
      </w:r>
      <w:r>
        <w:instrText xml:space="preserve"> PAGEREF _Toc230699575 \h </w:instrText>
      </w:r>
      <w:r>
        <w:fldChar w:fldCharType="separate"/>
      </w:r>
      <w:r>
        <w:t>62</w:t>
      </w:r>
      <w:r>
        <w:fldChar w:fldCharType="end"/>
      </w:r>
      <w:r>
        <w:fldChar w:fldCharType="end"/>
      </w:r>
    </w:p>
    <w:p w14:paraId="4D310484">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"_Toc230699576" </w:instrText>
      </w:r>
      <w:r>
        <w:fldChar w:fldCharType="separate"/>
      </w:r>
      <w:r>
        <w:rPr>
          <w:rStyle w:val="37"/>
          <w:color w:val="auto"/>
        </w:rPr>
        <w:t xml:space="preserve">2.4.4 </w:t>
      </w:r>
      <w:r>
        <w:rPr>
          <w:rStyle w:val="37"/>
          <w:rFonts w:hint="eastAsia"/>
          <w:color w:val="auto"/>
        </w:rPr>
        <w:t>渣场回采设计概况</w:t>
      </w:r>
      <w:r>
        <w:tab/>
      </w:r>
      <w:r>
        <w:fldChar w:fldCharType="begin"/>
      </w:r>
      <w:r>
        <w:instrText xml:space="preserve"> PAGEREF _Toc230699576 \h </w:instrText>
      </w:r>
      <w:r>
        <w:fldChar w:fldCharType="separate"/>
      </w:r>
      <w:r>
        <w:t>64</w:t>
      </w:r>
      <w:r>
        <w:fldChar w:fldCharType="end"/>
      </w:r>
      <w:r>
        <w:fldChar w:fldCharType="end"/>
      </w:r>
    </w:p>
    <w:p w14:paraId="59C06A25">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"_Toc230699577" </w:instrText>
      </w:r>
      <w:r>
        <w:fldChar w:fldCharType="separate"/>
      </w:r>
      <w:r>
        <w:rPr>
          <w:rStyle w:val="37"/>
          <w:color w:val="auto"/>
        </w:rPr>
        <w:t xml:space="preserve">2.4.5 </w:t>
      </w:r>
      <w:r>
        <w:rPr>
          <w:rStyle w:val="37"/>
          <w:rFonts w:hint="eastAsia"/>
          <w:color w:val="auto"/>
        </w:rPr>
        <w:t>渣场现状概况</w:t>
      </w:r>
      <w:r>
        <w:tab/>
      </w:r>
      <w:r>
        <w:fldChar w:fldCharType="begin"/>
      </w:r>
      <w:r>
        <w:instrText xml:space="preserve"> PAGEREF _Toc230699577 \h </w:instrText>
      </w:r>
      <w:r>
        <w:fldChar w:fldCharType="separate"/>
      </w:r>
      <w:r>
        <w:t>64</w:t>
      </w:r>
      <w:r>
        <w:fldChar w:fldCharType="end"/>
      </w:r>
      <w:r>
        <w:fldChar w:fldCharType="end"/>
      </w:r>
    </w:p>
    <w:p w14:paraId="75991AB4">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"_Toc230699578" </w:instrText>
      </w:r>
      <w:r>
        <w:fldChar w:fldCharType="separate"/>
      </w:r>
      <w:r>
        <w:rPr>
          <w:rStyle w:val="37"/>
          <w:color w:val="auto"/>
        </w:rPr>
        <w:t xml:space="preserve">2.4.6 </w:t>
      </w:r>
      <w:r>
        <w:rPr>
          <w:rStyle w:val="37"/>
          <w:rFonts w:hint="eastAsia"/>
          <w:color w:val="auto"/>
        </w:rPr>
        <w:t>库址和堆存方式适宜性分析</w:t>
      </w:r>
      <w:r>
        <w:tab/>
      </w:r>
      <w:r>
        <w:fldChar w:fldCharType="begin"/>
      </w:r>
      <w:r>
        <w:instrText xml:space="preserve"> PAGEREF _Toc230699578 \h </w:instrText>
      </w:r>
      <w:r>
        <w:fldChar w:fldCharType="separate"/>
      </w:r>
      <w:r>
        <w:t>66</w:t>
      </w:r>
      <w:r>
        <w:fldChar w:fldCharType="end"/>
      </w:r>
      <w:r>
        <w:fldChar w:fldCharType="end"/>
      </w:r>
    </w:p>
    <w:p w14:paraId="31852B29">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"_Toc230699579" </w:instrText>
      </w:r>
      <w:r>
        <w:fldChar w:fldCharType="separate"/>
      </w:r>
      <w:r>
        <w:rPr>
          <w:rStyle w:val="37"/>
          <w:color w:val="auto"/>
        </w:rPr>
        <w:t xml:space="preserve">2.5 </w:t>
      </w:r>
      <w:r>
        <w:rPr>
          <w:rStyle w:val="37"/>
          <w:rFonts w:hint="eastAsia"/>
          <w:color w:val="auto"/>
        </w:rPr>
        <w:t>渣场堆存整治设计</w:t>
      </w:r>
      <w:r>
        <w:tab/>
      </w:r>
      <w:r>
        <w:fldChar w:fldCharType="begin"/>
      </w:r>
      <w:r>
        <w:instrText xml:space="preserve"> PAGEREF _Toc230699579 \h </w:instrText>
      </w:r>
      <w:r>
        <w:fldChar w:fldCharType="separate"/>
      </w:r>
      <w:r>
        <w:t>67</w:t>
      </w:r>
      <w:r>
        <w:fldChar w:fldCharType="end"/>
      </w:r>
      <w:r>
        <w:fldChar w:fldCharType="end"/>
      </w:r>
    </w:p>
    <w:p w14:paraId="04828A49">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"_Toc230699580" </w:instrText>
      </w:r>
      <w:r>
        <w:fldChar w:fldCharType="separate"/>
      </w:r>
      <w:r>
        <w:rPr>
          <w:rStyle w:val="37"/>
          <w:color w:val="auto"/>
        </w:rPr>
        <w:t xml:space="preserve">2.5.1 </w:t>
      </w:r>
      <w:r>
        <w:rPr>
          <w:rStyle w:val="37"/>
          <w:rFonts w:hint="eastAsia"/>
          <w:color w:val="auto"/>
        </w:rPr>
        <w:t>渣场堆存整治设计主要内容</w:t>
      </w:r>
      <w:r>
        <w:tab/>
      </w:r>
      <w:r>
        <w:fldChar w:fldCharType="begin"/>
      </w:r>
      <w:r>
        <w:instrText xml:space="preserve"> PAGEREF _Toc230699580 \h </w:instrText>
      </w:r>
      <w:r>
        <w:fldChar w:fldCharType="separate"/>
      </w:r>
      <w:r>
        <w:t>67</w:t>
      </w:r>
      <w:r>
        <w:fldChar w:fldCharType="end"/>
      </w:r>
      <w:r>
        <w:fldChar w:fldCharType="end"/>
      </w:r>
    </w:p>
    <w:p w14:paraId="1EA23E75">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"_Toc230699581" </w:instrText>
      </w:r>
      <w:r>
        <w:fldChar w:fldCharType="separate"/>
      </w:r>
      <w:r>
        <w:rPr>
          <w:rStyle w:val="37"/>
          <w:color w:val="auto"/>
        </w:rPr>
        <w:t>2.5.2</w:t>
      </w:r>
      <w:r>
        <w:rPr>
          <w:rStyle w:val="37"/>
          <w:rFonts w:hint="eastAsia"/>
          <w:color w:val="auto"/>
        </w:rPr>
        <w:t>渣场现状边坡修整</w:t>
      </w:r>
      <w:r>
        <w:tab/>
      </w:r>
      <w:r>
        <w:fldChar w:fldCharType="begin"/>
      </w:r>
      <w:r>
        <w:instrText xml:space="preserve"> PAGEREF _Toc230699581 \h </w:instrText>
      </w:r>
      <w:r>
        <w:fldChar w:fldCharType="separate"/>
      </w:r>
      <w:r>
        <w:t>67</w:t>
      </w:r>
      <w:r>
        <w:fldChar w:fldCharType="end"/>
      </w:r>
      <w:r>
        <w:fldChar w:fldCharType="end"/>
      </w:r>
    </w:p>
    <w:p w14:paraId="409BD1E5">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"_Toc230699582" </w:instrText>
      </w:r>
      <w:r>
        <w:fldChar w:fldCharType="separate"/>
      </w:r>
      <w:r>
        <w:rPr>
          <w:rStyle w:val="37"/>
          <w:color w:val="auto"/>
        </w:rPr>
        <w:t>2.5.3</w:t>
      </w:r>
      <w:r>
        <w:rPr>
          <w:rStyle w:val="37"/>
          <w:rFonts w:hint="eastAsia"/>
          <w:color w:val="auto"/>
        </w:rPr>
        <w:t>渣场东南侧地表清理及防渗</w:t>
      </w:r>
      <w:r>
        <w:tab/>
      </w:r>
      <w:r>
        <w:fldChar w:fldCharType="begin"/>
      </w:r>
      <w:r>
        <w:instrText xml:space="preserve"> PAGEREF _Toc230699582 \h </w:instrText>
      </w:r>
      <w:r>
        <w:fldChar w:fldCharType="separate"/>
      </w:r>
      <w:r>
        <w:t>69</w:t>
      </w:r>
      <w:r>
        <w:fldChar w:fldCharType="end"/>
      </w:r>
      <w:r>
        <w:fldChar w:fldCharType="end"/>
      </w:r>
    </w:p>
    <w:p w14:paraId="6AE877F9">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"_Toc230699583" </w:instrText>
      </w:r>
      <w:r>
        <w:fldChar w:fldCharType="separate"/>
      </w:r>
      <w:r>
        <w:rPr>
          <w:rStyle w:val="37"/>
          <w:color w:val="auto"/>
        </w:rPr>
        <w:t>2.5.4</w:t>
      </w:r>
      <w:r>
        <w:rPr>
          <w:rStyle w:val="37"/>
          <w:rFonts w:hint="eastAsia"/>
          <w:color w:val="auto"/>
        </w:rPr>
        <w:t>改性磷石膏堆存</w:t>
      </w:r>
      <w:r>
        <w:tab/>
      </w:r>
      <w:r>
        <w:fldChar w:fldCharType="begin"/>
      </w:r>
      <w:r>
        <w:instrText xml:space="preserve"> PAGEREF _Toc230699583 \h </w:instrText>
      </w:r>
      <w:r>
        <w:fldChar w:fldCharType="separate"/>
      </w:r>
      <w:r>
        <w:t>71</w:t>
      </w:r>
      <w:r>
        <w:fldChar w:fldCharType="end"/>
      </w:r>
      <w:r>
        <w:fldChar w:fldCharType="end"/>
      </w:r>
    </w:p>
    <w:p w14:paraId="6E260317">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"_Toc230699584" </w:instrText>
      </w:r>
      <w:r>
        <w:fldChar w:fldCharType="separate"/>
      </w:r>
      <w:r>
        <w:rPr>
          <w:rStyle w:val="37"/>
          <w:color w:val="auto"/>
        </w:rPr>
        <w:t xml:space="preserve">2.5.5 </w:t>
      </w:r>
      <w:r>
        <w:rPr>
          <w:rStyle w:val="37"/>
          <w:rFonts w:hint="eastAsia"/>
          <w:color w:val="auto"/>
        </w:rPr>
        <w:t>封场表层防渗及覆土复绿</w:t>
      </w:r>
      <w:r>
        <w:tab/>
      </w:r>
      <w:r>
        <w:fldChar w:fldCharType="begin"/>
      </w:r>
      <w:r>
        <w:instrText xml:space="preserve"> PAGEREF _Toc230699584 \h </w:instrText>
      </w:r>
      <w:r>
        <w:fldChar w:fldCharType="separate"/>
      </w:r>
      <w:r>
        <w:t>74</w:t>
      </w:r>
      <w:r>
        <w:fldChar w:fldCharType="end"/>
      </w:r>
      <w:r>
        <w:fldChar w:fldCharType="end"/>
      </w:r>
    </w:p>
    <w:p w14:paraId="2721B66D">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"_Toc230699585" </w:instrText>
      </w:r>
      <w:r>
        <w:fldChar w:fldCharType="separate"/>
      </w:r>
      <w:r>
        <w:rPr>
          <w:rStyle w:val="37"/>
          <w:color w:val="auto"/>
        </w:rPr>
        <w:t>2.5.6</w:t>
      </w:r>
      <w:r>
        <w:rPr>
          <w:rStyle w:val="37"/>
          <w:rFonts w:hint="eastAsia"/>
          <w:color w:val="auto"/>
        </w:rPr>
        <w:t>完善截排水设施</w:t>
      </w:r>
      <w:r>
        <w:tab/>
      </w:r>
      <w:r>
        <w:fldChar w:fldCharType="begin"/>
      </w:r>
      <w:r>
        <w:instrText xml:space="preserve"> PAGEREF _Toc230699585 \h </w:instrText>
      </w:r>
      <w:r>
        <w:fldChar w:fldCharType="separate"/>
      </w:r>
      <w:r>
        <w:t>75</w:t>
      </w:r>
      <w:r>
        <w:fldChar w:fldCharType="end"/>
      </w:r>
      <w:r>
        <w:fldChar w:fldCharType="end"/>
      </w:r>
    </w:p>
    <w:p w14:paraId="1BCB5FDA">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"_Toc230699586" </w:instrText>
      </w:r>
      <w:r>
        <w:fldChar w:fldCharType="separate"/>
      </w:r>
      <w:r>
        <w:rPr>
          <w:rStyle w:val="37"/>
          <w:color w:val="auto"/>
        </w:rPr>
        <w:t xml:space="preserve">2.5.7 </w:t>
      </w:r>
      <w:r>
        <w:rPr>
          <w:rStyle w:val="37"/>
          <w:rFonts w:hint="eastAsia"/>
          <w:color w:val="auto"/>
        </w:rPr>
        <w:t>监测设施建设</w:t>
      </w:r>
      <w:r>
        <w:tab/>
      </w:r>
      <w:r>
        <w:fldChar w:fldCharType="begin"/>
      </w:r>
      <w:r>
        <w:instrText xml:space="preserve"> PAGEREF _Toc230699586 \h </w:instrText>
      </w:r>
      <w:r>
        <w:fldChar w:fldCharType="separate"/>
      </w:r>
      <w:r>
        <w:t>83</w:t>
      </w:r>
      <w:r>
        <w:fldChar w:fldCharType="end"/>
      </w:r>
      <w:r>
        <w:fldChar w:fldCharType="end"/>
      </w:r>
    </w:p>
    <w:p w14:paraId="5491F6E7">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"_Toc230699587" </w:instrText>
      </w:r>
      <w:r>
        <w:fldChar w:fldCharType="separate"/>
      </w:r>
      <w:r>
        <w:rPr>
          <w:rStyle w:val="37"/>
          <w:color w:val="auto"/>
        </w:rPr>
        <w:t>2.5.8</w:t>
      </w:r>
      <w:r>
        <w:rPr>
          <w:rStyle w:val="37"/>
          <w:rFonts w:hint="eastAsia"/>
          <w:color w:val="auto"/>
        </w:rPr>
        <w:t>高压电线迁改</w:t>
      </w:r>
      <w:r>
        <w:tab/>
      </w:r>
      <w:r>
        <w:fldChar w:fldCharType="begin"/>
      </w:r>
      <w:r>
        <w:instrText xml:space="preserve"> PAGEREF _Toc230699587 \h </w:instrText>
      </w:r>
      <w:r>
        <w:fldChar w:fldCharType="separate"/>
      </w:r>
      <w:r>
        <w:t>84</w:t>
      </w:r>
      <w:r>
        <w:fldChar w:fldCharType="end"/>
      </w:r>
      <w:r>
        <w:fldChar w:fldCharType="end"/>
      </w:r>
    </w:p>
    <w:p w14:paraId="32256FDF">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"_Toc230699588" </w:instrText>
      </w:r>
      <w:r>
        <w:fldChar w:fldCharType="separate"/>
      </w:r>
      <w:r>
        <w:rPr>
          <w:rStyle w:val="37"/>
          <w:color w:val="auto"/>
        </w:rPr>
        <w:t>2.5.9</w:t>
      </w:r>
      <w:r>
        <w:rPr>
          <w:rStyle w:val="37"/>
          <w:rFonts w:hint="eastAsia"/>
          <w:color w:val="auto"/>
        </w:rPr>
        <w:t>渣场道路</w:t>
      </w:r>
      <w:r>
        <w:tab/>
      </w:r>
      <w:r>
        <w:fldChar w:fldCharType="begin"/>
      </w:r>
      <w:r>
        <w:instrText xml:space="preserve"> PAGEREF _Toc230699588 \h </w:instrText>
      </w:r>
      <w:r>
        <w:fldChar w:fldCharType="separate"/>
      </w:r>
      <w:r>
        <w:t>85</w:t>
      </w:r>
      <w:r>
        <w:fldChar w:fldCharType="end"/>
      </w:r>
      <w:r>
        <w:fldChar w:fldCharType="end"/>
      </w:r>
    </w:p>
    <w:p w14:paraId="3C95A1B2">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"_Toc230699589" </w:instrText>
      </w:r>
      <w:r>
        <w:fldChar w:fldCharType="separate"/>
      </w:r>
      <w:r>
        <w:rPr>
          <w:rStyle w:val="37"/>
          <w:color w:val="auto"/>
        </w:rPr>
        <w:t>2.5.10</w:t>
      </w:r>
      <w:r>
        <w:rPr>
          <w:rStyle w:val="37"/>
          <w:rFonts w:hint="eastAsia"/>
          <w:color w:val="auto"/>
        </w:rPr>
        <w:t>辅助设施</w:t>
      </w:r>
      <w:r>
        <w:tab/>
      </w:r>
      <w:r>
        <w:fldChar w:fldCharType="begin"/>
      </w:r>
      <w:r>
        <w:instrText xml:space="preserve"> PAGEREF _Toc230699589 \h </w:instrText>
      </w:r>
      <w:r>
        <w:fldChar w:fldCharType="separate"/>
      </w:r>
      <w:r>
        <w:t>86</w:t>
      </w:r>
      <w:r>
        <w:fldChar w:fldCharType="end"/>
      </w:r>
      <w:r>
        <w:fldChar w:fldCharType="end"/>
      </w:r>
    </w:p>
    <w:p w14:paraId="2B385212">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"_Toc230699590" </w:instrText>
      </w:r>
      <w:r>
        <w:fldChar w:fldCharType="separate"/>
      </w:r>
      <w:r>
        <w:rPr>
          <w:rStyle w:val="37"/>
          <w:color w:val="auto"/>
        </w:rPr>
        <w:t xml:space="preserve">2.6 </w:t>
      </w:r>
      <w:r>
        <w:rPr>
          <w:rStyle w:val="37"/>
          <w:rFonts w:hint="eastAsia"/>
          <w:color w:val="auto"/>
        </w:rPr>
        <w:t>安全管理</w:t>
      </w:r>
      <w:r>
        <w:tab/>
      </w:r>
      <w:r>
        <w:fldChar w:fldCharType="begin"/>
      </w:r>
      <w:r>
        <w:instrText xml:space="preserve"> PAGEREF _Toc230699590 \h </w:instrText>
      </w:r>
      <w:r>
        <w:fldChar w:fldCharType="separate"/>
      </w:r>
      <w:r>
        <w:t>88</w:t>
      </w:r>
      <w:r>
        <w:fldChar w:fldCharType="end"/>
      </w:r>
      <w:r>
        <w:fldChar w:fldCharType="end"/>
      </w:r>
    </w:p>
    <w:p w14:paraId="01233919">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"_Toc230699591" </w:instrText>
      </w:r>
      <w:r>
        <w:fldChar w:fldCharType="separate"/>
      </w:r>
      <w:r>
        <w:rPr>
          <w:rStyle w:val="37"/>
          <w:color w:val="auto"/>
        </w:rPr>
        <w:t>2.6.1</w:t>
      </w:r>
      <w:r>
        <w:rPr>
          <w:rStyle w:val="37"/>
          <w:rFonts w:hint="eastAsia"/>
          <w:color w:val="auto"/>
        </w:rPr>
        <w:t>安全生产制度管理及要求</w:t>
      </w:r>
      <w:r>
        <w:tab/>
      </w:r>
      <w:r>
        <w:fldChar w:fldCharType="begin"/>
      </w:r>
      <w:r>
        <w:instrText xml:space="preserve"> PAGEREF _Toc230699591 \h </w:instrText>
      </w:r>
      <w:r>
        <w:fldChar w:fldCharType="separate"/>
      </w:r>
      <w:r>
        <w:t>88</w:t>
      </w:r>
      <w:r>
        <w:fldChar w:fldCharType="end"/>
      </w:r>
      <w:r>
        <w:fldChar w:fldCharType="end"/>
      </w:r>
    </w:p>
    <w:p w14:paraId="0915B684">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"_Toc230699592" </w:instrText>
      </w:r>
      <w:r>
        <w:fldChar w:fldCharType="separate"/>
      </w:r>
      <w:r>
        <w:rPr>
          <w:rStyle w:val="37"/>
          <w:color w:val="auto"/>
        </w:rPr>
        <w:t xml:space="preserve">2.6.2 </w:t>
      </w:r>
      <w:r>
        <w:rPr>
          <w:rStyle w:val="37"/>
          <w:rFonts w:hint="eastAsia"/>
          <w:color w:val="auto"/>
        </w:rPr>
        <w:t>管理机构及劳动定员</w:t>
      </w:r>
      <w:r>
        <w:tab/>
      </w:r>
      <w:r>
        <w:fldChar w:fldCharType="begin"/>
      </w:r>
      <w:r>
        <w:instrText xml:space="preserve"> PAGEREF _Toc230699592 \h </w:instrText>
      </w:r>
      <w:r>
        <w:fldChar w:fldCharType="separate"/>
      </w:r>
      <w:r>
        <w:t>89</w:t>
      </w:r>
      <w:r>
        <w:fldChar w:fldCharType="end"/>
      </w:r>
      <w:r>
        <w:fldChar w:fldCharType="end"/>
      </w:r>
    </w:p>
    <w:p w14:paraId="049EE0E2">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"_Toc230699593" </w:instrText>
      </w:r>
      <w:r>
        <w:fldChar w:fldCharType="separate"/>
      </w:r>
      <w:r>
        <w:rPr>
          <w:rStyle w:val="37"/>
          <w:color w:val="auto"/>
        </w:rPr>
        <w:t xml:space="preserve">2.6.3 </w:t>
      </w:r>
      <w:r>
        <w:rPr>
          <w:rStyle w:val="37"/>
          <w:rFonts w:hint="eastAsia"/>
          <w:color w:val="auto"/>
        </w:rPr>
        <w:t>应急救援预案</w:t>
      </w:r>
      <w:r>
        <w:tab/>
      </w:r>
      <w:r>
        <w:fldChar w:fldCharType="begin"/>
      </w:r>
      <w:r>
        <w:instrText xml:space="preserve"> PAGEREF _Toc230699593 \h </w:instrText>
      </w:r>
      <w:r>
        <w:fldChar w:fldCharType="separate"/>
      </w:r>
      <w:r>
        <w:t>89</w:t>
      </w:r>
      <w:r>
        <w:fldChar w:fldCharType="end"/>
      </w:r>
      <w:r>
        <w:fldChar w:fldCharType="end"/>
      </w:r>
    </w:p>
    <w:p w14:paraId="538DEBF1">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"_Toc230699594" </w:instrText>
      </w:r>
      <w:r>
        <w:fldChar w:fldCharType="separate"/>
      </w:r>
      <w:r>
        <w:rPr>
          <w:rStyle w:val="37"/>
          <w:color w:val="auto"/>
        </w:rPr>
        <w:t>2.6.4</w:t>
      </w:r>
      <w:r>
        <w:rPr>
          <w:rStyle w:val="37"/>
          <w:rFonts w:hint="eastAsia"/>
          <w:color w:val="auto"/>
        </w:rPr>
        <w:t>安全生产</w:t>
      </w:r>
      <w:r>
        <w:tab/>
      </w:r>
      <w:r>
        <w:fldChar w:fldCharType="begin"/>
      </w:r>
      <w:r>
        <w:instrText xml:space="preserve"> PAGEREF _Toc230699594 \h </w:instrText>
      </w:r>
      <w:r>
        <w:fldChar w:fldCharType="separate"/>
      </w:r>
      <w:r>
        <w:t>89</w:t>
      </w:r>
      <w:r>
        <w:fldChar w:fldCharType="end"/>
      </w:r>
      <w:r>
        <w:fldChar w:fldCharType="end"/>
      </w:r>
    </w:p>
    <w:p w14:paraId="36D4856A">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"_Toc230699595" </w:instrText>
      </w:r>
      <w:r>
        <w:fldChar w:fldCharType="separate"/>
      </w:r>
      <w:r>
        <w:rPr>
          <w:rStyle w:val="37"/>
          <w:color w:val="auto"/>
        </w:rPr>
        <w:t xml:space="preserve">2.7 </w:t>
      </w:r>
      <w:r>
        <w:rPr>
          <w:rStyle w:val="37"/>
          <w:rFonts w:hint="eastAsia"/>
          <w:color w:val="auto"/>
        </w:rPr>
        <w:t>项目总投资</w:t>
      </w:r>
      <w:r>
        <w:tab/>
      </w:r>
      <w:r>
        <w:fldChar w:fldCharType="begin"/>
      </w:r>
      <w:r>
        <w:instrText xml:space="preserve"> PAGEREF _Toc230699595 \h </w:instrText>
      </w:r>
      <w:r>
        <w:fldChar w:fldCharType="separate"/>
      </w:r>
      <w:r>
        <w:t>91</w:t>
      </w:r>
      <w:r>
        <w:fldChar w:fldCharType="end"/>
      </w:r>
      <w:r>
        <w:fldChar w:fldCharType="end"/>
      </w:r>
    </w:p>
    <w:p w14:paraId="561ECD9F">
      <w:pPr>
        <w:pStyle w:val="29"/>
        <w:tabs>
          <w:tab w:val="right" w:leader="dot" w:pos="9174"/>
        </w:tabs>
        <w:ind w:firstLine="560"/>
        <w:rPr>
          <w:rFonts w:asciiTheme="minorHAnsi" w:hAnsiTheme="minorHAnsi" w:eastAsiaTheme="minorEastAsia"/>
          <w:sz w:val="21"/>
          <w:szCs w:val="22"/>
        </w:rPr>
      </w:pPr>
      <w:r>
        <w:fldChar w:fldCharType="begin"/>
      </w:r>
      <w:r>
        <w:instrText xml:space="preserve"> HYPERLINK \l "_Toc230699596" </w:instrText>
      </w:r>
      <w:r>
        <w:fldChar w:fldCharType="separate"/>
      </w:r>
      <w:r>
        <w:rPr>
          <w:rStyle w:val="37"/>
          <w:rFonts w:hint="eastAsia"/>
          <w:color w:val="auto"/>
        </w:rPr>
        <w:t>第</w:t>
      </w:r>
      <w:r>
        <w:rPr>
          <w:rStyle w:val="37"/>
          <w:color w:val="auto"/>
        </w:rPr>
        <w:t>3</w:t>
      </w:r>
      <w:r>
        <w:rPr>
          <w:rStyle w:val="37"/>
          <w:rFonts w:hint="eastAsia"/>
          <w:color w:val="auto"/>
        </w:rPr>
        <w:t>章</w:t>
      </w:r>
      <w:r>
        <w:rPr>
          <w:rStyle w:val="37"/>
          <w:color w:val="auto"/>
        </w:rPr>
        <w:t xml:space="preserve"> </w:t>
      </w:r>
      <w:r>
        <w:rPr>
          <w:rStyle w:val="37"/>
          <w:rFonts w:hint="eastAsia"/>
          <w:color w:val="auto"/>
        </w:rPr>
        <w:t>定性定量评价</w:t>
      </w:r>
      <w:r>
        <w:tab/>
      </w:r>
      <w:r>
        <w:fldChar w:fldCharType="begin"/>
      </w:r>
      <w:r>
        <w:instrText xml:space="preserve"> PAGEREF _Toc230699596 \h </w:instrText>
      </w:r>
      <w:r>
        <w:fldChar w:fldCharType="separate"/>
      </w:r>
      <w:r>
        <w:t>94</w:t>
      </w:r>
      <w:r>
        <w:fldChar w:fldCharType="end"/>
      </w:r>
      <w:r>
        <w:fldChar w:fldCharType="end"/>
      </w:r>
    </w:p>
    <w:p w14:paraId="17EFF976">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"_Toc230699597" </w:instrText>
      </w:r>
      <w:r>
        <w:fldChar w:fldCharType="separate"/>
      </w:r>
      <w:r>
        <w:rPr>
          <w:rStyle w:val="37"/>
          <w:color w:val="auto"/>
        </w:rPr>
        <w:t xml:space="preserve">3.1 </w:t>
      </w:r>
      <w:r>
        <w:rPr>
          <w:rStyle w:val="37"/>
          <w:rFonts w:hint="eastAsia"/>
          <w:color w:val="auto"/>
        </w:rPr>
        <w:t>场址及总平面布置评价单元</w:t>
      </w:r>
      <w:r>
        <w:tab/>
      </w:r>
      <w:r>
        <w:fldChar w:fldCharType="begin"/>
      </w:r>
      <w:r>
        <w:instrText xml:space="preserve"> PAGEREF _Toc230699597 \h </w:instrText>
      </w:r>
      <w:r>
        <w:fldChar w:fldCharType="separate"/>
      </w:r>
      <w:r>
        <w:t>95</w:t>
      </w:r>
      <w:r>
        <w:fldChar w:fldCharType="end"/>
      </w:r>
      <w:r>
        <w:fldChar w:fldCharType="end"/>
      </w:r>
    </w:p>
    <w:p w14:paraId="46F765E5">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"_Toc230699598" </w:instrText>
      </w:r>
      <w:r>
        <w:fldChar w:fldCharType="separate"/>
      </w:r>
      <w:r>
        <w:rPr>
          <w:rStyle w:val="37"/>
          <w:color w:val="auto"/>
        </w:rPr>
        <w:t xml:space="preserve">3.1.1 </w:t>
      </w:r>
      <w:r>
        <w:rPr>
          <w:rStyle w:val="37"/>
          <w:rFonts w:hint="eastAsia"/>
          <w:color w:val="auto"/>
        </w:rPr>
        <w:t>场址及总平面布置评价单元安全检查表</w:t>
      </w:r>
      <w:r>
        <w:tab/>
      </w:r>
      <w:r>
        <w:fldChar w:fldCharType="begin"/>
      </w:r>
      <w:r>
        <w:instrText xml:space="preserve"> PAGEREF _Toc230699598 \h </w:instrText>
      </w:r>
      <w:r>
        <w:fldChar w:fldCharType="separate"/>
      </w:r>
      <w:r>
        <w:t>95</w:t>
      </w:r>
      <w:r>
        <w:fldChar w:fldCharType="end"/>
      </w:r>
      <w:r>
        <w:fldChar w:fldCharType="end"/>
      </w:r>
    </w:p>
    <w:p w14:paraId="04E3EB4E">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"_Toc230699599" </w:instrText>
      </w:r>
      <w:r>
        <w:fldChar w:fldCharType="separate"/>
      </w:r>
      <w:r>
        <w:rPr>
          <w:rStyle w:val="37"/>
          <w:color w:val="auto"/>
        </w:rPr>
        <w:t xml:space="preserve">3.1.2 </w:t>
      </w:r>
      <w:r>
        <w:rPr>
          <w:rStyle w:val="37"/>
          <w:rFonts w:hint="eastAsia"/>
          <w:color w:val="auto"/>
        </w:rPr>
        <w:t>厂址及总平面布置设计</w:t>
      </w:r>
      <w:r>
        <w:tab/>
      </w:r>
      <w:r>
        <w:fldChar w:fldCharType="begin"/>
      </w:r>
      <w:r>
        <w:instrText xml:space="preserve"> PAGEREF _Toc230699599 \h </w:instrText>
      </w:r>
      <w:r>
        <w:fldChar w:fldCharType="separate"/>
      </w:r>
      <w:r>
        <w:t>97</w:t>
      </w:r>
      <w:r>
        <w:fldChar w:fldCharType="end"/>
      </w:r>
      <w:r>
        <w:fldChar w:fldCharType="end"/>
      </w:r>
    </w:p>
    <w:p w14:paraId="38B97B41">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"_Toc230699600" </w:instrText>
      </w:r>
      <w:r>
        <w:fldChar w:fldCharType="separate"/>
      </w:r>
      <w:r>
        <w:rPr>
          <w:rStyle w:val="37"/>
          <w:color w:val="auto"/>
        </w:rPr>
        <w:t xml:space="preserve">3.1.3 </w:t>
      </w:r>
      <w:r>
        <w:rPr>
          <w:rStyle w:val="37"/>
          <w:rFonts w:hint="eastAsia"/>
          <w:color w:val="auto"/>
        </w:rPr>
        <w:t>渣场现状稳定性分析</w:t>
      </w:r>
      <w:r>
        <w:tab/>
      </w:r>
      <w:r>
        <w:fldChar w:fldCharType="begin"/>
      </w:r>
      <w:r>
        <w:instrText xml:space="preserve"> PAGEREF _Toc230699600 \h </w:instrText>
      </w:r>
      <w:r>
        <w:fldChar w:fldCharType="separate"/>
      </w:r>
      <w:r>
        <w:t>97</w:t>
      </w:r>
      <w:r>
        <w:fldChar w:fldCharType="end"/>
      </w:r>
      <w:r>
        <w:fldChar w:fldCharType="end"/>
      </w:r>
    </w:p>
    <w:p w14:paraId="09D3658F">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"_Toc230699601" </w:instrText>
      </w:r>
      <w:r>
        <w:fldChar w:fldCharType="separate"/>
      </w:r>
      <w:r>
        <w:rPr>
          <w:rStyle w:val="37"/>
          <w:color w:val="auto"/>
        </w:rPr>
        <w:t xml:space="preserve">3.1.4 </w:t>
      </w:r>
      <w:r>
        <w:rPr>
          <w:rStyle w:val="37"/>
          <w:rFonts w:hint="eastAsia"/>
          <w:color w:val="auto"/>
        </w:rPr>
        <w:t>高压电线迁改</w:t>
      </w:r>
      <w:r>
        <w:tab/>
      </w:r>
      <w:r>
        <w:fldChar w:fldCharType="begin"/>
      </w:r>
      <w:r>
        <w:instrText xml:space="preserve"> PAGEREF _Toc230699601 \h </w:instrText>
      </w:r>
      <w:r>
        <w:fldChar w:fldCharType="separate"/>
      </w:r>
      <w:r>
        <w:t>106</w:t>
      </w:r>
      <w:r>
        <w:fldChar w:fldCharType="end"/>
      </w:r>
      <w:r>
        <w:fldChar w:fldCharType="end"/>
      </w:r>
    </w:p>
    <w:p w14:paraId="65DD45E3">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"_Toc230699602" </w:instrText>
      </w:r>
      <w:r>
        <w:fldChar w:fldCharType="separate"/>
      </w:r>
      <w:r>
        <w:rPr>
          <w:rStyle w:val="37"/>
          <w:color w:val="auto"/>
        </w:rPr>
        <w:t xml:space="preserve">3.1.5 </w:t>
      </w:r>
      <w:r>
        <w:rPr>
          <w:rStyle w:val="37"/>
          <w:rFonts w:hint="eastAsia"/>
          <w:color w:val="auto"/>
        </w:rPr>
        <w:t>存在主要问题及建议</w:t>
      </w:r>
      <w:r>
        <w:tab/>
      </w:r>
      <w:r>
        <w:fldChar w:fldCharType="begin"/>
      </w:r>
      <w:r>
        <w:instrText xml:space="preserve"> PAGEREF _Toc230699602 \h </w:instrText>
      </w:r>
      <w:r>
        <w:fldChar w:fldCharType="separate"/>
      </w:r>
      <w:r>
        <w:t>107</w:t>
      </w:r>
      <w:r>
        <w:fldChar w:fldCharType="end"/>
      </w:r>
      <w:r>
        <w:fldChar w:fldCharType="end"/>
      </w:r>
    </w:p>
    <w:p w14:paraId="3AB85B5F">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"_Toc230699603" </w:instrText>
      </w:r>
      <w:r>
        <w:fldChar w:fldCharType="separate"/>
      </w:r>
      <w:r>
        <w:rPr>
          <w:rStyle w:val="37"/>
          <w:color w:val="auto"/>
        </w:rPr>
        <w:t>3.1.6</w:t>
      </w:r>
      <w:r>
        <w:rPr>
          <w:rStyle w:val="37"/>
          <w:rFonts w:hint="eastAsia"/>
          <w:color w:val="auto"/>
        </w:rPr>
        <w:t>单元小结</w:t>
      </w:r>
      <w:r>
        <w:tab/>
      </w:r>
      <w:r>
        <w:fldChar w:fldCharType="begin"/>
      </w:r>
      <w:r>
        <w:instrText xml:space="preserve"> PAGEREF _Toc230699603 \h </w:instrText>
      </w:r>
      <w:r>
        <w:fldChar w:fldCharType="separate"/>
      </w:r>
      <w:r>
        <w:t>109</w:t>
      </w:r>
      <w:r>
        <w:fldChar w:fldCharType="end"/>
      </w:r>
      <w:r>
        <w:fldChar w:fldCharType="end"/>
      </w:r>
    </w:p>
    <w:p w14:paraId="769CE4BE">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"_Toc230699604" </w:instrText>
      </w:r>
      <w:r>
        <w:fldChar w:fldCharType="separate"/>
      </w:r>
      <w:r>
        <w:rPr>
          <w:rStyle w:val="37"/>
          <w:color w:val="auto"/>
        </w:rPr>
        <w:t xml:space="preserve">3.2 </w:t>
      </w:r>
      <w:r>
        <w:rPr>
          <w:rStyle w:val="37"/>
          <w:rFonts w:hint="eastAsia"/>
          <w:color w:val="auto"/>
        </w:rPr>
        <w:t>堆填及整治工艺单元</w:t>
      </w:r>
      <w:r>
        <w:tab/>
      </w:r>
      <w:r>
        <w:fldChar w:fldCharType="begin"/>
      </w:r>
      <w:r>
        <w:instrText xml:space="preserve"> PAGEREF _Toc230699604 \h </w:instrText>
      </w:r>
      <w:r>
        <w:fldChar w:fldCharType="separate"/>
      </w:r>
      <w:r>
        <w:t>109</w:t>
      </w:r>
      <w:r>
        <w:fldChar w:fldCharType="end"/>
      </w:r>
      <w:r>
        <w:fldChar w:fldCharType="end"/>
      </w:r>
    </w:p>
    <w:p w14:paraId="06B72DB9">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"_Toc230699605" </w:instrText>
      </w:r>
      <w:r>
        <w:fldChar w:fldCharType="separate"/>
      </w:r>
      <w:r>
        <w:rPr>
          <w:rStyle w:val="37"/>
          <w:color w:val="auto"/>
        </w:rPr>
        <w:t xml:space="preserve">3.2.1 </w:t>
      </w:r>
      <w:r>
        <w:rPr>
          <w:rStyle w:val="37"/>
          <w:rFonts w:hint="eastAsia"/>
          <w:color w:val="auto"/>
        </w:rPr>
        <w:t>预先危险性分析</w:t>
      </w:r>
      <w:r>
        <w:tab/>
      </w:r>
      <w:r>
        <w:fldChar w:fldCharType="begin"/>
      </w:r>
      <w:r>
        <w:instrText xml:space="preserve"> PAGEREF _Toc230699605 \h </w:instrText>
      </w:r>
      <w:r>
        <w:fldChar w:fldCharType="separate"/>
      </w:r>
      <w:r>
        <w:t>109</w:t>
      </w:r>
      <w:r>
        <w:fldChar w:fldCharType="end"/>
      </w:r>
      <w:r>
        <w:fldChar w:fldCharType="end"/>
      </w:r>
    </w:p>
    <w:p w14:paraId="7CD27D15">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"_Toc230699606" </w:instrText>
      </w:r>
      <w:r>
        <w:fldChar w:fldCharType="separate"/>
      </w:r>
      <w:r>
        <w:rPr>
          <w:rStyle w:val="37"/>
          <w:color w:val="auto"/>
        </w:rPr>
        <w:t xml:space="preserve">3.2.2 </w:t>
      </w:r>
      <w:r>
        <w:rPr>
          <w:rStyle w:val="37"/>
          <w:rFonts w:hint="eastAsia"/>
          <w:color w:val="auto"/>
        </w:rPr>
        <w:t>堆填及整治工艺单元安全检查表</w:t>
      </w:r>
      <w:r>
        <w:tab/>
      </w:r>
      <w:r>
        <w:fldChar w:fldCharType="begin"/>
      </w:r>
      <w:r>
        <w:instrText xml:space="preserve"> PAGEREF _Toc230699606 \h </w:instrText>
      </w:r>
      <w:r>
        <w:fldChar w:fldCharType="separate"/>
      </w:r>
      <w:r>
        <w:t>111</w:t>
      </w:r>
      <w:r>
        <w:fldChar w:fldCharType="end"/>
      </w:r>
      <w:r>
        <w:fldChar w:fldCharType="end"/>
      </w:r>
    </w:p>
    <w:p w14:paraId="7486B851">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"_Toc230699607" </w:instrText>
      </w:r>
      <w:r>
        <w:fldChar w:fldCharType="separate"/>
      </w:r>
      <w:r>
        <w:rPr>
          <w:rStyle w:val="37"/>
          <w:color w:val="auto"/>
        </w:rPr>
        <w:t xml:space="preserve">3.2.3 </w:t>
      </w:r>
      <w:r>
        <w:rPr>
          <w:rStyle w:val="37"/>
          <w:rFonts w:hint="eastAsia"/>
          <w:color w:val="auto"/>
        </w:rPr>
        <w:t>无害化磷石膏堆存后坝体稳定性分析</w:t>
      </w:r>
      <w:r>
        <w:tab/>
      </w:r>
      <w:r>
        <w:fldChar w:fldCharType="begin"/>
      </w:r>
      <w:r>
        <w:instrText xml:space="preserve"> PAGEREF _Toc230699607 \h </w:instrText>
      </w:r>
      <w:r>
        <w:fldChar w:fldCharType="separate"/>
      </w:r>
      <w:r>
        <w:t>115</w:t>
      </w:r>
      <w:r>
        <w:fldChar w:fldCharType="end"/>
      </w:r>
      <w:r>
        <w:fldChar w:fldCharType="end"/>
      </w:r>
    </w:p>
    <w:p w14:paraId="66A1E7F9">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"_Toc230699608" </w:instrText>
      </w:r>
      <w:r>
        <w:fldChar w:fldCharType="separate"/>
      </w:r>
      <w:r>
        <w:rPr>
          <w:rStyle w:val="37"/>
          <w:color w:val="auto"/>
        </w:rPr>
        <w:t xml:space="preserve">3.2.4 </w:t>
      </w:r>
      <w:r>
        <w:rPr>
          <w:rStyle w:val="37"/>
          <w:rFonts w:hint="eastAsia"/>
          <w:color w:val="auto"/>
        </w:rPr>
        <w:t>渣场东南侧防渗、排渗设施设计</w:t>
      </w:r>
      <w:r>
        <w:tab/>
      </w:r>
      <w:r>
        <w:fldChar w:fldCharType="begin"/>
      </w:r>
      <w:r>
        <w:instrText xml:space="preserve"> PAGEREF _Toc230699608 \h </w:instrText>
      </w:r>
      <w:r>
        <w:fldChar w:fldCharType="separate"/>
      </w:r>
      <w:r>
        <w:t>118</w:t>
      </w:r>
      <w:r>
        <w:fldChar w:fldCharType="end"/>
      </w:r>
      <w:r>
        <w:fldChar w:fldCharType="end"/>
      </w:r>
    </w:p>
    <w:p w14:paraId="05609E2D">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"_Toc230699609" </w:instrText>
      </w:r>
      <w:r>
        <w:fldChar w:fldCharType="separate"/>
      </w:r>
      <w:r>
        <w:rPr>
          <w:rStyle w:val="37"/>
          <w:color w:val="auto"/>
        </w:rPr>
        <w:t>3.2.5</w:t>
      </w:r>
      <w:r>
        <w:rPr>
          <w:rStyle w:val="37"/>
          <w:rFonts w:hint="eastAsia"/>
          <w:color w:val="auto"/>
        </w:rPr>
        <w:t>渣场道路及辅助设施设计</w:t>
      </w:r>
      <w:r>
        <w:tab/>
      </w:r>
      <w:r>
        <w:fldChar w:fldCharType="begin"/>
      </w:r>
      <w:r>
        <w:instrText xml:space="preserve"> PAGEREF _Toc230699609 \h </w:instrText>
      </w:r>
      <w:r>
        <w:fldChar w:fldCharType="separate"/>
      </w:r>
      <w:r>
        <w:t>119</w:t>
      </w:r>
      <w:r>
        <w:fldChar w:fldCharType="end"/>
      </w:r>
      <w:r>
        <w:fldChar w:fldCharType="end"/>
      </w:r>
    </w:p>
    <w:p w14:paraId="297AF0B3">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"_Toc230699610" </w:instrText>
      </w:r>
      <w:r>
        <w:fldChar w:fldCharType="separate"/>
      </w:r>
      <w:r>
        <w:rPr>
          <w:rStyle w:val="37"/>
          <w:color w:val="auto"/>
        </w:rPr>
        <w:t xml:space="preserve">3.2.6 </w:t>
      </w:r>
      <w:r>
        <w:rPr>
          <w:rStyle w:val="37"/>
          <w:rFonts w:hint="eastAsia"/>
          <w:color w:val="auto"/>
        </w:rPr>
        <w:t>存在主要问题及建议</w:t>
      </w:r>
      <w:r>
        <w:tab/>
      </w:r>
      <w:r>
        <w:fldChar w:fldCharType="begin"/>
      </w:r>
      <w:r>
        <w:instrText xml:space="preserve"> PAGEREF _Toc230699610 \h </w:instrText>
      </w:r>
      <w:r>
        <w:fldChar w:fldCharType="separate"/>
      </w:r>
      <w:r>
        <w:t>120</w:t>
      </w:r>
      <w:r>
        <w:fldChar w:fldCharType="end"/>
      </w:r>
      <w:r>
        <w:fldChar w:fldCharType="end"/>
      </w:r>
    </w:p>
    <w:p w14:paraId="74C15945">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"_Toc230699611" </w:instrText>
      </w:r>
      <w:r>
        <w:fldChar w:fldCharType="separate"/>
      </w:r>
      <w:r>
        <w:rPr>
          <w:rStyle w:val="37"/>
          <w:color w:val="auto"/>
        </w:rPr>
        <w:t xml:space="preserve">3.2.7 </w:t>
      </w:r>
      <w:r>
        <w:rPr>
          <w:rStyle w:val="37"/>
          <w:rFonts w:hint="eastAsia"/>
          <w:color w:val="auto"/>
        </w:rPr>
        <w:t>单元小结</w:t>
      </w:r>
      <w:r>
        <w:tab/>
      </w:r>
      <w:r>
        <w:fldChar w:fldCharType="begin"/>
      </w:r>
      <w:r>
        <w:instrText xml:space="preserve"> PAGEREF _Toc230699611 \h </w:instrText>
      </w:r>
      <w:r>
        <w:fldChar w:fldCharType="separate"/>
      </w:r>
      <w:r>
        <w:t>121</w:t>
      </w:r>
      <w:r>
        <w:fldChar w:fldCharType="end"/>
      </w:r>
      <w:r>
        <w:fldChar w:fldCharType="end"/>
      </w:r>
    </w:p>
    <w:p w14:paraId="33DCF6F5">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"_Toc230699612" </w:instrText>
      </w:r>
      <w:r>
        <w:fldChar w:fldCharType="separate"/>
      </w:r>
      <w:r>
        <w:rPr>
          <w:rStyle w:val="37"/>
          <w:color w:val="auto"/>
        </w:rPr>
        <w:t xml:space="preserve">3.3 </w:t>
      </w:r>
      <w:r>
        <w:rPr>
          <w:rStyle w:val="37"/>
          <w:rFonts w:hint="eastAsia"/>
          <w:color w:val="auto"/>
        </w:rPr>
        <w:t>防排水单元</w:t>
      </w:r>
      <w:r>
        <w:tab/>
      </w:r>
      <w:r>
        <w:fldChar w:fldCharType="begin"/>
      </w:r>
      <w:r>
        <w:instrText xml:space="preserve"> PAGEREF _Toc230699612 \h </w:instrText>
      </w:r>
      <w:r>
        <w:fldChar w:fldCharType="separate"/>
      </w:r>
      <w:r>
        <w:t>122</w:t>
      </w:r>
      <w:r>
        <w:fldChar w:fldCharType="end"/>
      </w:r>
      <w:r>
        <w:fldChar w:fldCharType="end"/>
      </w:r>
    </w:p>
    <w:p w14:paraId="1AA0E311">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"_Toc230699613" </w:instrText>
      </w:r>
      <w:r>
        <w:fldChar w:fldCharType="separate"/>
      </w:r>
      <w:r>
        <w:rPr>
          <w:rStyle w:val="37"/>
          <w:color w:val="auto"/>
        </w:rPr>
        <w:t xml:space="preserve">3.3.1 </w:t>
      </w:r>
      <w:r>
        <w:rPr>
          <w:rStyle w:val="37"/>
          <w:rFonts w:hint="eastAsia"/>
          <w:color w:val="auto"/>
        </w:rPr>
        <w:t>防排水危险性分析</w:t>
      </w:r>
      <w:r>
        <w:tab/>
      </w:r>
      <w:r>
        <w:fldChar w:fldCharType="begin"/>
      </w:r>
      <w:r>
        <w:instrText xml:space="preserve"> PAGEREF _Toc230699613 \h </w:instrText>
      </w:r>
      <w:r>
        <w:fldChar w:fldCharType="separate"/>
      </w:r>
      <w:r>
        <w:t>122</w:t>
      </w:r>
      <w:r>
        <w:fldChar w:fldCharType="end"/>
      </w:r>
      <w:r>
        <w:fldChar w:fldCharType="end"/>
      </w:r>
    </w:p>
    <w:p w14:paraId="668D4153">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"_Toc230699614" </w:instrText>
      </w:r>
      <w:r>
        <w:fldChar w:fldCharType="separate"/>
      </w:r>
      <w:r>
        <w:rPr>
          <w:rStyle w:val="37"/>
          <w:color w:val="auto"/>
        </w:rPr>
        <w:t xml:space="preserve">3.3.2 </w:t>
      </w:r>
      <w:r>
        <w:rPr>
          <w:rStyle w:val="37"/>
          <w:rFonts w:hint="eastAsia"/>
          <w:color w:val="auto"/>
        </w:rPr>
        <w:t>防排水安全检查表</w:t>
      </w:r>
      <w:r>
        <w:tab/>
      </w:r>
      <w:r>
        <w:fldChar w:fldCharType="begin"/>
      </w:r>
      <w:r>
        <w:instrText xml:space="preserve"> PAGEREF _Toc230699614 \h </w:instrText>
      </w:r>
      <w:r>
        <w:fldChar w:fldCharType="separate"/>
      </w:r>
      <w:r>
        <w:t>122</w:t>
      </w:r>
      <w:r>
        <w:fldChar w:fldCharType="end"/>
      </w:r>
      <w:r>
        <w:fldChar w:fldCharType="end"/>
      </w:r>
    </w:p>
    <w:p w14:paraId="58D491B9">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"_Toc230699615" </w:instrText>
      </w:r>
      <w:r>
        <w:fldChar w:fldCharType="separate"/>
      </w:r>
      <w:r>
        <w:rPr>
          <w:rStyle w:val="37"/>
          <w:color w:val="auto"/>
        </w:rPr>
        <w:t xml:space="preserve">3.3.3 </w:t>
      </w:r>
      <w:r>
        <w:rPr>
          <w:rStyle w:val="37"/>
          <w:rFonts w:hint="eastAsia"/>
          <w:color w:val="auto"/>
        </w:rPr>
        <w:t>渣场排洪能力设计分析</w:t>
      </w:r>
      <w:r>
        <w:tab/>
      </w:r>
      <w:r>
        <w:fldChar w:fldCharType="begin"/>
      </w:r>
      <w:r>
        <w:instrText xml:space="preserve"> PAGEREF _Toc230699615 \h </w:instrText>
      </w:r>
      <w:r>
        <w:fldChar w:fldCharType="separate"/>
      </w:r>
      <w:r>
        <w:t>124</w:t>
      </w:r>
      <w:r>
        <w:fldChar w:fldCharType="end"/>
      </w:r>
      <w:r>
        <w:fldChar w:fldCharType="end"/>
      </w:r>
    </w:p>
    <w:p w14:paraId="6A28AA80">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"_Toc230699616" </w:instrText>
      </w:r>
      <w:r>
        <w:fldChar w:fldCharType="separate"/>
      </w:r>
      <w:r>
        <w:rPr>
          <w:rStyle w:val="37"/>
          <w:color w:val="auto"/>
        </w:rPr>
        <w:t xml:space="preserve">3.3.4 </w:t>
      </w:r>
      <w:r>
        <w:rPr>
          <w:rStyle w:val="37"/>
          <w:rFonts w:hint="eastAsia"/>
          <w:color w:val="auto"/>
        </w:rPr>
        <w:t>存在主要问题及建议</w:t>
      </w:r>
      <w:r>
        <w:tab/>
      </w:r>
      <w:r>
        <w:fldChar w:fldCharType="begin"/>
      </w:r>
      <w:r>
        <w:instrText xml:space="preserve"> PAGEREF _Toc230699616 \h </w:instrText>
      </w:r>
      <w:r>
        <w:fldChar w:fldCharType="separate"/>
      </w:r>
      <w:r>
        <w:t>133</w:t>
      </w:r>
      <w:r>
        <w:fldChar w:fldCharType="end"/>
      </w:r>
      <w:r>
        <w:fldChar w:fldCharType="end"/>
      </w:r>
    </w:p>
    <w:p w14:paraId="439E10C9">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"_Toc230699617" </w:instrText>
      </w:r>
      <w:r>
        <w:fldChar w:fldCharType="separate"/>
      </w:r>
      <w:r>
        <w:rPr>
          <w:rStyle w:val="37"/>
          <w:color w:val="auto"/>
        </w:rPr>
        <w:t xml:space="preserve">3.3.5 </w:t>
      </w:r>
      <w:r>
        <w:rPr>
          <w:rStyle w:val="37"/>
          <w:rFonts w:hint="eastAsia"/>
          <w:color w:val="auto"/>
        </w:rPr>
        <w:t>单元小结</w:t>
      </w:r>
      <w:r>
        <w:tab/>
      </w:r>
      <w:r>
        <w:fldChar w:fldCharType="begin"/>
      </w:r>
      <w:r>
        <w:instrText xml:space="preserve"> PAGEREF _Toc230699617 \h </w:instrText>
      </w:r>
      <w:r>
        <w:fldChar w:fldCharType="separate"/>
      </w:r>
      <w:r>
        <w:t>133</w:t>
      </w:r>
      <w:r>
        <w:fldChar w:fldCharType="end"/>
      </w:r>
      <w:r>
        <w:fldChar w:fldCharType="end"/>
      </w:r>
    </w:p>
    <w:p w14:paraId="116ABDA1">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"_Toc230699618" </w:instrText>
      </w:r>
      <w:r>
        <w:fldChar w:fldCharType="separate"/>
      </w:r>
      <w:r>
        <w:rPr>
          <w:rStyle w:val="37"/>
          <w:color w:val="auto"/>
        </w:rPr>
        <w:t xml:space="preserve">3.4 </w:t>
      </w:r>
      <w:r>
        <w:rPr>
          <w:rStyle w:val="37"/>
          <w:rFonts w:hint="eastAsia"/>
          <w:color w:val="auto"/>
        </w:rPr>
        <w:t>安全监测设施单元</w:t>
      </w:r>
      <w:r>
        <w:tab/>
      </w:r>
      <w:r>
        <w:fldChar w:fldCharType="begin"/>
      </w:r>
      <w:r>
        <w:instrText xml:space="preserve"> PAGEREF _Toc230699618 \h </w:instrText>
      </w:r>
      <w:r>
        <w:fldChar w:fldCharType="separate"/>
      </w:r>
      <w:r>
        <w:t>133</w:t>
      </w:r>
      <w:r>
        <w:fldChar w:fldCharType="end"/>
      </w:r>
      <w:r>
        <w:fldChar w:fldCharType="end"/>
      </w:r>
    </w:p>
    <w:p w14:paraId="5A7BABDE">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"_Toc230699619" </w:instrText>
      </w:r>
      <w:r>
        <w:fldChar w:fldCharType="separate"/>
      </w:r>
      <w:r>
        <w:rPr>
          <w:rStyle w:val="37"/>
          <w:color w:val="auto"/>
        </w:rPr>
        <w:t xml:space="preserve">3.4.1 </w:t>
      </w:r>
      <w:r>
        <w:rPr>
          <w:rStyle w:val="37"/>
          <w:rFonts w:hint="eastAsia"/>
          <w:color w:val="auto"/>
        </w:rPr>
        <w:t>安全监测设施安全检查表</w:t>
      </w:r>
      <w:r>
        <w:tab/>
      </w:r>
      <w:r>
        <w:fldChar w:fldCharType="begin"/>
      </w:r>
      <w:r>
        <w:instrText xml:space="preserve"> PAGEREF _Toc230699619 \h </w:instrText>
      </w:r>
      <w:r>
        <w:fldChar w:fldCharType="separate"/>
      </w:r>
      <w:r>
        <w:t>133</w:t>
      </w:r>
      <w:r>
        <w:fldChar w:fldCharType="end"/>
      </w:r>
      <w:r>
        <w:fldChar w:fldCharType="end"/>
      </w:r>
    </w:p>
    <w:p w14:paraId="25B54D8B">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"_Toc230699620" </w:instrText>
      </w:r>
      <w:r>
        <w:fldChar w:fldCharType="separate"/>
      </w:r>
      <w:r>
        <w:rPr>
          <w:rStyle w:val="37"/>
          <w:color w:val="auto"/>
        </w:rPr>
        <w:t xml:space="preserve">3.4.2 </w:t>
      </w:r>
      <w:r>
        <w:rPr>
          <w:rStyle w:val="37"/>
          <w:rFonts w:hint="eastAsia"/>
          <w:color w:val="auto"/>
        </w:rPr>
        <w:t>单元小结</w:t>
      </w:r>
      <w:r>
        <w:tab/>
      </w:r>
      <w:r>
        <w:fldChar w:fldCharType="begin"/>
      </w:r>
      <w:r>
        <w:instrText xml:space="preserve"> PAGEREF _Toc230699620 \h </w:instrText>
      </w:r>
      <w:r>
        <w:fldChar w:fldCharType="separate"/>
      </w:r>
      <w:r>
        <w:t>135</w:t>
      </w:r>
      <w:r>
        <w:fldChar w:fldCharType="end"/>
      </w:r>
      <w:r>
        <w:fldChar w:fldCharType="end"/>
      </w:r>
    </w:p>
    <w:p w14:paraId="7196BC63">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"_Toc230699621" </w:instrText>
      </w:r>
      <w:r>
        <w:fldChar w:fldCharType="separate"/>
      </w:r>
      <w:r>
        <w:rPr>
          <w:rStyle w:val="37"/>
          <w:color w:val="auto"/>
        </w:rPr>
        <w:t xml:space="preserve">3.5 </w:t>
      </w:r>
      <w:r>
        <w:rPr>
          <w:rStyle w:val="37"/>
          <w:rFonts w:hint="eastAsia"/>
          <w:color w:val="auto"/>
        </w:rPr>
        <w:t>安全管理单元</w:t>
      </w:r>
      <w:r>
        <w:tab/>
      </w:r>
      <w:r>
        <w:fldChar w:fldCharType="begin"/>
      </w:r>
      <w:r>
        <w:instrText xml:space="preserve"> PAGEREF _Toc230699621 \h </w:instrText>
      </w:r>
      <w:r>
        <w:fldChar w:fldCharType="separate"/>
      </w:r>
      <w:r>
        <w:t>135</w:t>
      </w:r>
      <w:r>
        <w:fldChar w:fldCharType="end"/>
      </w:r>
      <w:r>
        <w:fldChar w:fldCharType="end"/>
      </w:r>
    </w:p>
    <w:p w14:paraId="6B1CBA55">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"_Toc230699622" </w:instrText>
      </w:r>
      <w:r>
        <w:fldChar w:fldCharType="separate"/>
      </w:r>
      <w:r>
        <w:rPr>
          <w:rStyle w:val="37"/>
          <w:color w:val="auto"/>
        </w:rPr>
        <w:t xml:space="preserve">3.5.1 </w:t>
      </w:r>
      <w:r>
        <w:rPr>
          <w:rStyle w:val="37"/>
          <w:rFonts w:hint="eastAsia"/>
          <w:color w:val="auto"/>
        </w:rPr>
        <w:t>安全管理单元预先危险性分析</w:t>
      </w:r>
      <w:r>
        <w:tab/>
      </w:r>
      <w:r>
        <w:fldChar w:fldCharType="begin"/>
      </w:r>
      <w:r>
        <w:instrText xml:space="preserve"> PAGEREF _Toc230699622 \h </w:instrText>
      </w:r>
      <w:r>
        <w:fldChar w:fldCharType="separate"/>
      </w:r>
      <w:r>
        <w:t>135</w:t>
      </w:r>
      <w:r>
        <w:fldChar w:fldCharType="end"/>
      </w:r>
      <w:r>
        <w:fldChar w:fldCharType="end"/>
      </w:r>
    </w:p>
    <w:p w14:paraId="1D6BD95F">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"_Toc230699623" </w:instrText>
      </w:r>
      <w:r>
        <w:fldChar w:fldCharType="separate"/>
      </w:r>
      <w:r>
        <w:rPr>
          <w:rStyle w:val="37"/>
          <w:color w:val="auto"/>
        </w:rPr>
        <w:t xml:space="preserve">3.5.2 </w:t>
      </w:r>
      <w:r>
        <w:rPr>
          <w:rStyle w:val="37"/>
          <w:rFonts w:hint="eastAsia"/>
          <w:color w:val="auto"/>
        </w:rPr>
        <w:t>安全管理</w:t>
      </w:r>
      <w:r>
        <w:tab/>
      </w:r>
      <w:r>
        <w:fldChar w:fldCharType="begin"/>
      </w:r>
      <w:r>
        <w:instrText xml:space="preserve"> PAGEREF _Toc230699623 \h </w:instrText>
      </w:r>
      <w:r>
        <w:fldChar w:fldCharType="separate"/>
      </w:r>
      <w:r>
        <w:t>137</w:t>
      </w:r>
      <w:r>
        <w:fldChar w:fldCharType="end"/>
      </w:r>
      <w:r>
        <w:fldChar w:fldCharType="end"/>
      </w:r>
    </w:p>
    <w:p w14:paraId="0B8D0DF6">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"_Toc230699624" </w:instrText>
      </w:r>
      <w:r>
        <w:fldChar w:fldCharType="separate"/>
      </w:r>
      <w:r>
        <w:rPr>
          <w:rStyle w:val="37"/>
          <w:color w:val="auto"/>
        </w:rPr>
        <w:t xml:space="preserve">3.5.3 </w:t>
      </w:r>
      <w:r>
        <w:rPr>
          <w:rStyle w:val="37"/>
          <w:rFonts w:hint="eastAsia"/>
          <w:color w:val="auto"/>
        </w:rPr>
        <w:t>单元小结</w:t>
      </w:r>
      <w:r>
        <w:tab/>
      </w:r>
      <w:r>
        <w:fldChar w:fldCharType="begin"/>
      </w:r>
      <w:r>
        <w:instrText xml:space="preserve"> PAGEREF _Toc230699624 \h </w:instrText>
      </w:r>
      <w:r>
        <w:fldChar w:fldCharType="separate"/>
      </w:r>
      <w:r>
        <w:t>138</w:t>
      </w:r>
      <w:r>
        <w:fldChar w:fldCharType="end"/>
      </w:r>
      <w:r>
        <w:fldChar w:fldCharType="end"/>
      </w:r>
    </w:p>
    <w:p w14:paraId="3F8CC0D3">
      <w:pPr>
        <w:pStyle w:val="29"/>
        <w:tabs>
          <w:tab w:val="right" w:leader="dot" w:pos="9174"/>
        </w:tabs>
        <w:ind w:firstLine="560"/>
        <w:rPr>
          <w:rFonts w:asciiTheme="minorHAnsi" w:hAnsiTheme="minorHAnsi" w:eastAsiaTheme="minorEastAsia"/>
          <w:sz w:val="21"/>
          <w:szCs w:val="22"/>
        </w:rPr>
      </w:pPr>
      <w:r>
        <w:fldChar w:fldCharType="begin"/>
      </w:r>
      <w:r>
        <w:instrText xml:space="preserve"> HYPERLINK \l "_Toc230699625" </w:instrText>
      </w:r>
      <w:r>
        <w:fldChar w:fldCharType="separate"/>
      </w:r>
      <w:r>
        <w:rPr>
          <w:rStyle w:val="37"/>
          <w:rFonts w:hint="eastAsia"/>
          <w:color w:val="auto"/>
        </w:rPr>
        <w:t>第</w:t>
      </w:r>
      <w:r>
        <w:rPr>
          <w:rStyle w:val="37"/>
          <w:color w:val="auto"/>
        </w:rPr>
        <w:t>4</w:t>
      </w:r>
      <w:r>
        <w:rPr>
          <w:rStyle w:val="37"/>
          <w:rFonts w:hint="eastAsia"/>
          <w:color w:val="auto"/>
        </w:rPr>
        <w:t>章</w:t>
      </w:r>
      <w:r>
        <w:rPr>
          <w:rStyle w:val="37"/>
          <w:color w:val="auto"/>
        </w:rPr>
        <w:t xml:space="preserve"> </w:t>
      </w:r>
      <w:r>
        <w:rPr>
          <w:rStyle w:val="37"/>
          <w:rFonts w:hint="eastAsia"/>
          <w:color w:val="auto"/>
        </w:rPr>
        <w:t>安全对策措施建议</w:t>
      </w:r>
      <w:r>
        <w:tab/>
      </w:r>
      <w:r>
        <w:fldChar w:fldCharType="begin"/>
      </w:r>
      <w:r>
        <w:instrText xml:space="preserve"> PAGEREF _Toc230699625 \h </w:instrText>
      </w:r>
      <w:r>
        <w:fldChar w:fldCharType="separate"/>
      </w:r>
      <w:r>
        <w:t>139</w:t>
      </w:r>
      <w:r>
        <w:fldChar w:fldCharType="end"/>
      </w:r>
      <w:r>
        <w:fldChar w:fldCharType="end"/>
      </w:r>
    </w:p>
    <w:p w14:paraId="21D657C7">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"_Toc230699626" </w:instrText>
      </w:r>
      <w:r>
        <w:fldChar w:fldCharType="separate"/>
      </w:r>
      <w:r>
        <w:rPr>
          <w:rStyle w:val="37"/>
          <w:color w:val="auto"/>
        </w:rPr>
        <w:t xml:space="preserve">4.1 </w:t>
      </w:r>
      <w:r>
        <w:rPr>
          <w:rStyle w:val="37"/>
          <w:rFonts w:hint="eastAsia"/>
          <w:color w:val="auto"/>
        </w:rPr>
        <w:t>安全对策措施建议的依据</w:t>
      </w:r>
      <w:r>
        <w:tab/>
      </w:r>
      <w:r>
        <w:fldChar w:fldCharType="begin"/>
      </w:r>
      <w:r>
        <w:instrText xml:space="preserve"> PAGEREF _Toc230699626 \h </w:instrText>
      </w:r>
      <w:r>
        <w:fldChar w:fldCharType="separate"/>
      </w:r>
      <w:r>
        <w:t>139</w:t>
      </w:r>
      <w:r>
        <w:fldChar w:fldCharType="end"/>
      </w:r>
      <w:r>
        <w:fldChar w:fldCharType="end"/>
      </w:r>
    </w:p>
    <w:p w14:paraId="50ABD33A">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"_Toc230699627" </w:instrText>
      </w:r>
      <w:r>
        <w:fldChar w:fldCharType="separate"/>
      </w:r>
      <w:r>
        <w:rPr>
          <w:rStyle w:val="37"/>
          <w:color w:val="auto"/>
        </w:rPr>
        <w:t xml:space="preserve">4.2 </w:t>
      </w:r>
      <w:r>
        <w:rPr>
          <w:rStyle w:val="37"/>
          <w:rFonts w:hint="eastAsia"/>
          <w:color w:val="auto"/>
        </w:rPr>
        <w:t>安全对策措施建议的主要原则</w:t>
      </w:r>
      <w:r>
        <w:tab/>
      </w:r>
      <w:r>
        <w:fldChar w:fldCharType="begin"/>
      </w:r>
      <w:r>
        <w:instrText xml:space="preserve"> PAGEREF _Toc230699627 \h </w:instrText>
      </w:r>
      <w:r>
        <w:fldChar w:fldCharType="separate"/>
      </w:r>
      <w:r>
        <w:t>139</w:t>
      </w:r>
      <w:r>
        <w:fldChar w:fldCharType="end"/>
      </w:r>
      <w:r>
        <w:fldChar w:fldCharType="end"/>
      </w:r>
    </w:p>
    <w:p w14:paraId="5CD99933">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"_Toc230699628" </w:instrText>
      </w:r>
      <w:r>
        <w:fldChar w:fldCharType="separate"/>
      </w:r>
      <w:r>
        <w:rPr>
          <w:rStyle w:val="37"/>
          <w:color w:val="auto"/>
        </w:rPr>
        <w:t xml:space="preserve">4.2.1 </w:t>
      </w:r>
      <w:r>
        <w:rPr>
          <w:rStyle w:val="37"/>
          <w:rFonts w:hint="eastAsia"/>
          <w:color w:val="auto"/>
        </w:rPr>
        <w:t>安全对策措施建议的基本要求</w:t>
      </w:r>
      <w:r>
        <w:tab/>
      </w:r>
      <w:r>
        <w:fldChar w:fldCharType="begin"/>
      </w:r>
      <w:r>
        <w:instrText xml:space="preserve"> PAGEREF _Toc230699628 \h </w:instrText>
      </w:r>
      <w:r>
        <w:fldChar w:fldCharType="separate"/>
      </w:r>
      <w:r>
        <w:t>139</w:t>
      </w:r>
      <w:r>
        <w:fldChar w:fldCharType="end"/>
      </w:r>
      <w:r>
        <w:fldChar w:fldCharType="end"/>
      </w:r>
    </w:p>
    <w:p w14:paraId="2766671B">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"_Toc230699629" </w:instrText>
      </w:r>
      <w:r>
        <w:fldChar w:fldCharType="separate"/>
      </w:r>
      <w:r>
        <w:rPr>
          <w:rStyle w:val="37"/>
          <w:color w:val="auto"/>
        </w:rPr>
        <w:t xml:space="preserve">4.2.2 </w:t>
      </w:r>
      <w:r>
        <w:rPr>
          <w:rStyle w:val="37"/>
          <w:rFonts w:hint="eastAsia"/>
          <w:color w:val="auto"/>
        </w:rPr>
        <w:t>制定安全对策措施建议的原则</w:t>
      </w:r>
      <w:r>
        <w:tab/>
      </w:r>
      <w:r>
        <w:fldChar w:fldCharType="begin"/>
      </w:r>
      <w:r>
        <w:instrText xml:space="preserve"> PAGEREF _Toc230699629 \h </w:instrText>
      </w:r>
      <w:r>
        <w:fldChar w:fldCharType="separate"/>
      </w:r>
      <w:r>
        <w:t>139</w:t>
      </w:r>
      <w:r>
        <w:fldChar w:fldCharType="end"/>
      </w:r>
      <w:r>
        <w:fldChar w:fldCharType="end"/>
      </w:r>
    </w:p>
    <w:p w14:paraId="302109B3">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"_Toc230699630" </w:instrText>
      </w:r>
      <w:r>
        <w:fldChar w:fldCharType="separate"/>
      </w:r>
      <w:r>
        <w:rPr>
          <w:rStyle w:val="37"/>
          <w:color w:val="auto"/>
        </w:rPr>
        <w:t xml:space="preserve">4.3 </w:t>
      </w:r>
      <w:r>
        <w:rPr>
          <w:rStyle w:val="37"/>
          <w:rFonts w:hint="eastAsia"/>
          <w:color w:val="auto"/>
        </w:rPr>
        <w:t>安全对策措施建议</w:t>
      </w:r>
      <w:r>
        <w:tab/>
      </w:r>
      <w:r>
        <w:fldChar w:fldCharType="begin"/>
      </w:r>
      <w:r>
        <w:instrText xml:space="preserve"> PAGEREF _Toc230699630 \h </w:instrText>
      </w:r>
      <w:r>
        <w:fldChar w:fldCharType="separate"/>
      </w:r>
      <w:r>
        <w:t>140</w:t>
      </w:r>
      <w:r>
        <w:fldChar w:fldCharType="end"/>
      </w:r>
      <w:r>
        <w:fldChar w:fldCharType="end"/>
      </w:r>
    </w:p>
    <w:p w14:paraId="195CA173">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"_Toc230699631" </w:instrText>
      </w:r>
      <w:r>
        <w:fldChar w:fldCharType="separate"/>
      </w:r>
      <w:r>
        <w:rPr>
          <w:rStyle w:val="37"/>
          <w:color w:val="auto"/>
        </w:rPr>
        <w:t xml:space="preserve">4.3.1 </w:t>
      </w:r>
      <w:r>
        <w:rPr>
          <w:rStyle w:val="37"/>
          <w:rFonts w:hint="eastAsia"/>
          <w:color w:val="auto"/>
        </w:rPr>
        <w:t>场址及总平面布置安全对策措施</w:t>
      </w:r>
      <w:r>
        <w:tab/>
      </w:r>
      <w:r>
        <w:fldChar w:fldCharType="begin"/>
      </w:r>
      <w:r>
        <w:instrText xml:space="preserve"> PAGEREF _Toc230699631 \h </w:instrText>
      </w:r>
      <w:r>
        <w:fldChar w:fldCharType="separate"/>
      </w:r>
      <w:r>
        <w:t>140</w:t>
      </w:r>
      <w:r>
        <w:fldChar w:fldCharType="end"/>
      </w:r>
      <w:r>
        <w:fldChar w:fldCharType="end"/>
      </w:r>
    </w:p>
    <w:p w14:paraId="25EB1013">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"_Toc230699632" </w:instrText>
      </w:r>
      <w:r>
        <w:fldChar w:fldCharType="separate"/>
      </w:r>
      <w:r>
        <w:rPr>
          <w:rStyle w:val="37"/>
          <w:color w:val="auto"/>
        </w:rPr>
        <w:t xml:space="preserve">4.3.2 </w:t>
      </w:r>
      <w:r>
        <w:rPr>
          <w:rStyle w:val="37"/>
          <w:rFonts w:hint="eastAsia"/>
          <w:color w:val="auto"/>
        </w:rPr>
        <w:t>堆填及整治工艺安全对策措施</w:t>
      </w:r>
      <w:r>
        <w:tab/>
      </w:r>
      <w:r>
        <w:fldChar w:fldCharType="begin"/>
      </w:r>
      <w:r>
        <w:instrText xml:space="preserve"> PAGEREF _Toc230699632 \h </w:instrText>
      </w:r>
      <w:r>
        <w:fldChar w:fldCharType="separate"/>
      </w:r>
      <w:r>
        <w:t>141</w:t>
      </w:r>
      <w:r>
        <w:fldChar w:fldCharType="end"/>
      </w:r>
      <w:r>
        <w:fldChar w:fldCharType="end"/>
      </w:r>
    </w:p>
    <w:p w14:paraId="40A729DF">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"_Toc230699633" </w:instrText>
      </w:r>
      <w:r>
        <w:fldChar w:fldCharType="separate"/>
      </w:r>
      <w:r>
        <w:rPr>
          <w:rStyle w:val="37"/>
          <w:color w:val="auto"/>
        </w:rPr>
        <w:t xml:space="preserve">4.3.3 </w:t>
      </w:r>
      <w:r>
        <w:rPr>
          <w:rStyle w:val="37"/>
          <w:rFonts w:hint="eastAsia"/>
          <w:color w:val="auto"/>
        </w:rPr>
        <w:t>防排水安全对策措施</w:t>
      </w:r>
      <w:r>
        <w:tab/>
      </w:r>
      <w:r>
        <w:fldChar w:fldCharType="begin"/>
      </w:r>
      <w:r>
        <w:instrText xml:space="preserve"> PAGEREF _Toc230699633 \h </w:instrText>
      </w:r>
      <w:r>
        <w:fldChar w:fldCharType="separate"/>
      </w:r>
      <w:r>
        <w:t>142</w:t>
      </w:r>
      <w:r>
        <w:fldChar w:fldCharType="end"/>
      </w:r>
      <w:r>
        <w:fldChar w:fldCharType="end"/>
      </w:r>
    </w:p>
    <w:p w14:paraId="22648E0C">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"_Toc230699634" </w:instrText>
      </w:r>
      <w:r>
        <w:fldChar w:fldCharType="separate"/>
      </w:r>
      <w:r>
        <w:rPr>
          <w:rStyle w:val="37"/>
          <w:color w:val="auto"/>
        </w:rPr>
        <w:t xml:space="preserve">4.3.4 </w:t>
      </w:r>
      <w:r>
        <w:rPr>
          <w:rStyle w:val="37"/>
          <w:rFonts w:hint="eastAsia"/>
          <w:color w:val="auto"/>
        </w:rPr>
        <w:t>安全管理对策措施</w:t>
      </w:r>
      <w:r>
        <w:tab/>
      </w:r>
      <w:r>
        <w:fldChar w:fldCharType="begin"/>
      </w:r>
      <w:r>
        <w:instrText xml:space="preserve"> PAGEREF _Toc230699634 \h </w:instrText>
      </w:r>
      <w:r>
        <w:fldChar w:fldCharType="separate"/>
      </w:r>
      <w:r>
        <w:t>143</w:t>
      </w:r>
      <w:r>
        <w:fldChar w:fldCharType="end"/>
      </w:r>
      <w:r>
        <w:fldChar w:fldCharType="end"/>
      </w:r>
    </w:p>
    <w:p w14:paraId="5C49BBC6">
      <w:pPr>
        <w:pStyle w:val="29"/>
        <w:tabs>
          <w:tab w:val="right" w:leader="dot" w:pos="9174"/>
        </w:tabs>
        <w:ind w:firstLine="560"/>
        <w:rPr>
          <w:rFonts w:asciiTheme="minorHAnsi" w:hAnsiTheme="minorHAnsi" w:eastAsiaTheme="minorEastAsia"/>
          <w:sz w:val="21"/>
          <w:szCs w:val="22"/>
        </w:rPr>
      </w:pPr>
      <w:r>
        <w:fldChar w:fldCharType="begin"/>
      </w:r>
      <w:r>
        <w:instrText xml:space="preserve"> HYPERLINK \l "_Toc230699635" </w:instrText>
      </w:r>
      <w:r>
        <w:fldChar w:fldCharType="separate"/>
      </w:r>
      <w:r>
        <w:rPr>
          <w:rStyle w:val="37"/>
          <w:rFonts w:hint="eastAsia"/>
          <w:color w:val="auto"/>
        </w:rPr>
        <w:t>第</w:t>
      </w:r>
      <w:r>
        <w:rPr>
          <w:rStyle w:val="37"/>
          <w:color w:val="auto"/>
        </w:rPr>
        <w:t>5</w:t>
      </w:r>
      <w:r>
        <w:rPr>
          <w:rStyle w:val="37"/>
          <w:rFonts w:hint="eastAsia"/>
          <w:color w:val="auto"/>
        </w:rPr>
        <w:t>章</w:t>
      </w:r>
      <w:r>
        <w:rPr>
          <w:rStyle w:val="37"/>
          <w:color w:val="auto"/>
        </w:rPr>
        <w:t xml:space="preserve"> </w:t>
      </w:r>
      <w:r>
        <w:rPr>
          <w:rStyle w:val="37"/>
          <w:rFonts w:hint="eastAsia"/>
          <w:color w:val="auto"/>
        </w:rPr>
        <w:t>评价结论</w:t>
      </w:r>
      <w:r>
        <w:tab/>
      </w:r>
      <w:r>
        <w:fldChar w:fldCharType="begin"/>
      </w:r>
      <w:r>
        <w:instrText xml:space="preserve"> PAGEREF _Toc230699635 \h </w:instrText>
      </w:r>
      <w:r>
        <w:fldChar w:fldCharType="separate"/>
      </w:r>
      <w:r>
        <w:t>145</w:t>
      </w:r>
      <w:r>
        <w:fldChar w:fldCharType="end"/>
      </w:r>
      <w:r>
        <w:fldChar w:fldCharType="end"/>
      </w:r>
    </w:p>
    <w:p w14:paraId="6E295D4C">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"_Toc230699636" </w:instrText>
      </w:r>
      <w:r>
        <w:fldChar w:fldCharType="separate"/>
      </w:r>
      <w:r>
        <w:rPr>
          <w:rStyle w:val="37"/>
          <w:color w:val="auto"/>
        </w:rPr>
        <w:t xml:space="preserve">5.1 </w:t>
      </w:r>
      <w:r>
        <w:rPr>
          <w:rStyle w:val="37"/>
          <w:rFonts w:hint="eastAsia"/>
          <w:color w:val="auto"/>
        </w:rPr>
        <w:t>主要危险、有害因素评价结果</w:t>
      </w:r>
      <w:r>
        <w:tab/>
      </w:r>
      <w:r>
        <w:fldChar w:fldCharType="begin"/>
      </w:r>
      <w:r>
        <w:instrText xml:space="preserve"> PAGEREF _Toc230699636 \h </w:instrText>
      </w:r>
      <w:r>
        <w:fldChar w:fldCharType="separate"/>
      </w:r>
      <w:r>
        <w:t>145</w:t>
      </w:r>
      <w:r>
        <w:fldChar w:fldCharType="end"/>
      </w:r>
      <w:r>
        <w:fldChar w:fldCharType="end"/>
      </w:r>
    </w:p>
    <w:p w14:paraId="31172B09">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"_Toc230699637" </w:instrText>
      </w:r>
      <w:r>
        <w:fldChar w:fldCharType="separate"/>
      </w:r>
      <w:r>
        <w:rPr>
          <w:rStyle w:val="37"/>
          <w:color w:val="auto"/>
        </w:rPr>
        <w:t xml:space="preserve">5.1.1 </w:t>
      </w:r>
      <w:r>
        <w:rPr>
          <w:rStyle w:val="37"/>
          <w:rFonts w:hint="eastAsia"/>
          <w:color w:val="auto"/>
        </w:rPr>
        <w:t>本项目存在的主要危险、有害因素</w:t>
      </w:r>
      <w:r>
        <w:tab/>
      </w:r>
      <w:r>
        <w:fldChar w:fldCharType="begin"/>
      </w:r>
      <w:r>
        <w:instrText xml:space="preserve"> PAGEREF _Toc230699637 \h </w:instrText>
      </w:r>
      <w:r>
        <w:fldChar w:fldCharType="separate"/>
      </w:r>
      <w:r>
        <w:t>145</w:t>
      </w:r>
      <w:r>
        <w:fldChar w:fldCharType="end"/>
      </w:r>
      <w:r>
        <w:fldChar w:fldCharType="end"/>
      </w:r>
    </w:p>
    <w:p w14:paraId="22693CBE">
      <w:pPr>
        <w:pStyle w:val="18"/>
        <w:tabs>
          <w:tab w:val="right" w:leader="dot" w:pos="9174"/>
        </w:tabs>
        <w:ind w:left="1120" w:firstLine="560"/>
        <w:rPr>
          <w:rFonts w:asciiTheme="minorHAnsi" w:hAnsiTheme="minorHAnsi" w:eastAsiaTheme="minorEastAsia"/>
          <w:sz w:val="21"/>
          <w:szCs w:val="22"/>
        </w:rPr>
      </w:pPr>
      <w:r>
        <w:fldChar w:fldCharType="begin"/>
      </w:r>
      <w:r>
        <w:instrText xml:space="preserve"> HYPERLINK \l "_Toc230699638" </w:instrText>
      </w:r>
      <w:r>
        <w:fldChar w:fldCharType="separate"/>
      </w:r>
      <w:r>
        <w:rPr>
          <w:rStyle w:val="37"/>
          <w:color w:val="auto"/>
        </w:rPr>
        <w:t xml:space="preserve">5.1.2 </w:t>
      </w:r>
      <w:r>
        <w:rPr>
          <w:rStyle w:val="37"/>
          <w:rFonts w:hint="eastAsia"/>
          <w:color w:val="auto"/>
        </w:rPr>
        <w:t>本项目存在的主要危险、有害因素存在的部位</w:t>
      </w:r>
      <w:r>
        <w:tab/>
      </w:r>
      <w:r>
        <w:fldChar w:fldCharType="begin"/>
      </w:r>
      <w:r>
        <w:instrText xml:space="preserve"> PAGEREF _Toc230699638 \h </w:instrText>
      </w:r>
      <w:r>
        <w:fldChar w:fldCharType="separate"/>
      </w:r>
      <w:r>
        <w:t>145</w:t>
      </w:r>
      <w:r>
        <w:fldChar w:fldCharType="end"/>
      </w:r>
      <w:r>
        <w:fldChar w:fldCharType="end"/>
      </w:r>
    </w:p>
    <w:p w14:paraId="621FD086">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"_Toc230699639" </w:instrText>
      </w:r>
      <w:r>
        <w:fldChar w:fldCharType="separate"/>
      </w:r>
      <w:r>
        <w:rPr>
          <w:rStyle w:val="37"/>
          <w:color w:val="auto"/>
        </w:rPr>
        <w:t xml:space="preserve">5.2 </w:t>
      </w:r>
      <w:r>
        <w:rPr>
          <w:rStyle w:val="37"/>
          <w:rFonts w:hint="eastAsia"/>
          <w:color w:val="auto"/>
        </w:rPr>
        <w:t>应重点防范的危险、有害因素</w:t>
      </w:r>
      <w:r>
        <w:tab/>
      </w:r>
      <w:r>
        <w:fldChar w:fldCharType="begin"/>
      </w:r>
      <w:r>
        <w:instrText xml:space="preserve"> PAGEREF _Toc230699639 \h </w:instrText>
      </w:r>
      <w:r>
        <w:fldChar w:fldCharType="separate"/>
      </w:r>
      <w:r>
        <w:t>145</w:t>
      </w:r>
      <w:r>
        <w:fldChar w:fldCharType="end"/>
      </w:r>
      <w:r>
        <w:fldChar w:fldCharType="end"/>
      </w:r>
    </w:p>
    <w:p w14:paraId="38480C05">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"_Toc230699640" </w:instrText>
      </w:r>
      <w:r>
        <w:fldChar w:fldCharType="separate"/>
      </w:r>
      <w:r>
        <w:rPr>
          <w:rStyle w:val="37"/>
          <w:color w:val="auto"/>
        </w:rPr>
        <w:t xml:space="preserve">5.3 </w:t>
      </w:r>
      <w:r>
        <w:rPr>
          <w:rStyle w:val="37"/>
          <w:rFonts w:hint="eastAsia"/>
          <w:color w:val="auto"/>
        </w:rPr>
        <w:t>应重视的安全对策措施建议</w:t>
      </w:r>
      <w:r>
        <w:tab/>
      </w:r>
      <w:r>
        <w:fldChar w:fldCharType="begin"/>
      </w:r>
      <w:r>
        <w:instrText xml:space="preserve"> PAGEREF _Toc230699640 \h </w:instrText>
      </w:r>
      <w:r>
        <w:fldChar w:fldCharType="separate"/>
      </w:r>
      <w:r>
        <w:t>146</w:t>
      </w:r>
      <w:r>
        <w:fldChar w:fldCharType="end"/>
      </w:r>
      <w:r>
        <w:fldChar w:fldCharType="end"/>
      </w:r>
    </w:p>
    <w:p w14:paraId="18590DEA">
      <w:pPr>
        <w:pStyle w:val="24"/>
        <w:tabs>
          <w:tab w:val="right" w:leader="dot" w:pos="9174"/>
        </w:tabs>
        <w:ind w:left="560" w:firstLine="560"/>
        <w:rPr>
          <w:rFonts w:asciiTheme="minorHAnsi" w:hAnsiTheme="minorHAnsi" w:eastAsiaTheme="minorEastAsia"/>
          <w:sz w:val="21"/>
          <w:szCs w:val="22"/>
        </w:rPr>
      </w:pPr>
      <w:r>
        <w:fldChar w:fldCharType="begin"/>
      </w:r>
      <w:r>
        <w:instrText xml:space="preserve"> HYPERLINK \l "_Toc230699641" </w:instrText>
      </w:r>
      <w:r>
        <w:fldChar w:fldCharType="separate"/>
      </w:r>
      <w:r>
        <w:rPr>
          <w:rStyle w:val="37"/>
          <w:color w:val="auto"/>
        </w:rPr>
        <w:t xml:space="preserve">5.4 </w:t>
      </w:r>
      <w:r>
        <w:rPr>
          <w:rStyle w:val="37"/>
          <w:rFonts w:hint="eastAsia"/>
          <w:color w:val="auto"/>
        </w:rPr>
        <w:t>安全预评价结论</w:t>
      </w:r>
      <w:r>
        <w:tab/>
      </w:r>
      <w:r>
        <w:fldChar w:fldCharType="begin"/>
      </w:r>
      <w:r>
        <w:instrText xml:space="preserve"> PAGEREF _Toc230699641 \h </w:instrText>
      </w:r>
      <w:r>
        <w:fldChar w:fldCharType="separate"/>
      </w:r>
      <w:r>
        <w:t>147</w:t>
      </w:r>
      <w:r>
        <w:fldChar w:fldCharType="end"/>
      </w:r>
      <w:r>
        <w:fldChar w:fldCharType="end"/>
      </w:r>
    </w:p>
    <w:p w14:paraId="69341B56">
      <w:pPr>
        <w:pStyle w:val="29"/>
        <w:tabs>
          <w:tab w:val="right" w:leader="dot" w:pos="9174"/>
        </w:tabs>
        <w:ind w:firstLine="560"/>
        <w:rPr>
          <w:rFonts w:asciiTheme="minorHAnsi" w:hAnsiTheme="minorHAnsi" w:eastAsiaTheme="minorEastAsia"/>
          <w:sz w:val="21"/>
          <w:szCs w:val="22"/>
        </w:rPr>
      </w:pPr>
      <w:r>
        <w:fldChar w:fldCharType="begin"/>
      </w:r>
      <w:r>
        <w:instrText xml:space="preserve"> HYPERLINK \l "_Toc230699642" </w:instrText>
      </w:r>
      <w:r>
        <w:fldChar w:fldCharType="separate"/>
      </w:r>
      <w:r>
        <w:rPr>
          <w:rStyle w:val="37"/>
          <w:rFonts w:hint="eastAsia"/>
          <w:color w:val="auto"/>
        </w:rPr>
        <w:t>附件</w:t>
      </w:r>
      <w:r>
        <w:tab/>
      </w:r>
      <w:r>
        <w:fldChar w:fldCharType="begin"/>
      </w:r>
      <w:r>
        <w:instrText xml:space="preserve"> PAGEREF _Toc230699642 \h </w:instrText>
      </w:r>
      <w:r>
        <w:fldChar w:fldCharType="separate"/>
      </w:r>
      <w:r>
        <w:t>149</w:t>
      </w:r>
      <w:r>
        <w:fldChar w:fldCharType="end"/>
      </w:r>
      <w:r>
        <w:fldChar w:fldCharType="end"/>
      </w:r>
    </w:p>
    <w:p w14:paraId="243FD1BD">
      <w:pPr>
        <w:pStyle w:val="29"/>
        <w:tabs>
          <w:tab w:val="right" w:leader="dot" w:pos="9174"/>
        </w:tabs>
        <w:ind w:firstLine="560"/>
        <w:rPr>
          <w:rFonts w:asciiTheme="minorHAnsi" w:hAnsiTheme="minorHAnsi" w:eastAsiaTheme="minorEastAsia"/>
          <w:sz w:val="21"/>
          <w:szCs w:val="22"/>
        </w:rPr>
      </w:pPr>
      <w:r>
        <w:fldChar w:fldCharType="begin"/>
      </w:r>
      <w:r>
        <w:instrText xml:space="preserve"> HYPERLINK \l "_Toc230699643" </w:instrText>
      </w:r>
      <w:r>
        <w:fldChar w:fldCharType="separate"/>
      </w:r>
      <w:r>
        <w:rPr>
          <w:rStyle w:val="37"/>
          <w:rFonts w:hint="eastAsia"/>
          <w:color w:val="auto"/>
        </w:rPr>
        <w:t>附图</w:t>
      </w:r>
      <w:r>
        <w:tab/>
      </w:r>
      <w:r>
        <w:fldChar w:fldCharType="begin"/>
      </w:r>
      <w:r>
        <w:instrText xml:space="preserve"> PAGEREF _Toc230699643 \h </w:instrText>
      </w:r>
      <w:r>
        <w:fldChar w:fldCharType="separate"/>
      </w:r>
      <w:r>
        <w:t>150</w:t>
      </w:r>
      <w:r>
        <w:fldChar w:fldCharType="end"/>
      </w:r>
      <w:r>
        <w:fldChar w:fldCharType="end"/>
      </w:r>
    </w:p>
    <w:p w14:paraId="5D0190BE">
      <w:pPr>
        <w:spacing w:line="400" w:lineRule="exact"/>
        <w:ind w:firstLine="0" w:firstLineChars="0"/>
        <w:rPr>
          <w:sz w:val="24"/>
          <w:szCs w:val="24"/>
        </w:rPr>
      </w:pPr>
      <w:r>
        <w:rPr>
          <w:rFonts w:hint="eastAsia"/>
          <w:sz w:val="24"/>
          <w:szCs w:val="24"/>
        </w:rPr>
        <w:fldChar w:fldCharType="end"/>
      </w:r>
    </w:p>
    <w:p w14:paraId="1332A5EB">
      <w:pPr>
        <w:ind w:firstLine="560"/>
        <w:sectPr>
          <w:headerReference r:id="rId12" w:type="default"/>
          <w:footerReference r:id="rId13" w:type="default"/>
          <w:pgSz w:w="11905" w:h="16838"/>
          <w:pgMar w:top="1417" w:right="1134" w:bottom="1134" w:left="1587" w:header="851" w:footer="992" w:gutter="0"/>
          <w:pgBorders>
            <w:top w:val="thinThickSmallGap" w:color="auto" w:sz="12" w:space="1"/>
            <w:bottom w:val="thickThinSmallGap" w:color="auto" w:sz="12" w:space="1"/>
          </w:pgBorders>
          <w:pgNumType w:fmt="upperRoman" w:start="1"/>
          <w:cols w:space="0" w:num="1"/>
          <w:docGrid w:type="lines" w:linePitch="386" w:charSpace="0"/>
        </w:sectPr>
      </w:pPr>
    </w:p>
    <w:p w14:paraId="2092B7B6">
      <w:pPr>
        <w:pStyle w:val="2"/>
      </w:pPr>
      <w:bookmarkStart w:id="0" w:name="_Toc230699539"/>
      <w:r>
        <w:rPr>
          <w:rFonts w:hint="eastAsia"/>
        </w:rPr>
        <w:t>1 评价目的、范围、依据及程序</w:t>
      </w:r>
      <w:bookmarkEnd w:id="0"/>
    </w:p>
    <w:p w14:paraId="581F928E">
      <w:pPr>
        <w:pStyle w:val="3"/>
      </w:pPr>
      <w:bookmarkStart w:id="1" w:name="_Toc230699540"/>
      <w:r>
        <w:rPr>
          <w:rFonts w:hint="eastAsia"/>
        </w:rPr>
        <w:t>1.1 评价目的及范围</w:t>
      </w:r>
      <w:bookmarkEnd w:id="1"/>
    </w:p>
    <w:p w14:paraId="13C388CE">
      <w:pPr>
        <w:pStyle w:val="4"/>
      </w:pPr>
      <w:bookmarkStart w:id="2" w:name="_Toc230699541"/>
      <w:r>
        <w:rPr>
          <w:rFonts w:hint="eastAsia"/>
        </w:rPr>
        <w:t>1.1.1 评价目的</w:t>
      </w:r>
      <w:bookmarkEnd w:id="2"/>
    </w:p>
    <w:p w14:paraId="3D076C52">
      <w:pPr>
        <w:ind w:firstLine="560"/>
      </w:pPr>
      <w:r>
        <w:rPr>
          <w:rFonts w:hint="eastAsia"/>
        </w:rPr>
        <w:t>为贯彻“安全第一、预防为主、综合治理”的方针，通过评价查找其存在的危险、有害因素并确定危险程度，提出合理可行的安全对策措施及建议。</w:t>
      </w:r>
    </w:p>
    <w:p w14:paraId="76FF3BB9">
      <w:pPr>
        <w:ind w:firstLine="560"/>
      </w:pPr>
      <w:r>
        <w:rPr>
          <w:rFonts w:hint="eastAsia"/>
        </w:rPr>
        <w:t>1、促进实现系统本质安全化生产；</w:t>
      </w:r>
    </w:p>
    <w:p w14:paraId="4CDB8425">
      <w:pPr>
        <w:ind w:firstLine="560"/>
      </w:pPr>
      <w:r>
        <w:rPr>
          <w:rFonts w:hint="eastAsia"/>
        </w:rPr>
        <w:t>2、实现系统全过程安全控制；</w:t>
      </w:r>
    </w:p>
    <w:p w14:paraId="11AFA38E">
      <w:pPr>
        <w:ind w:firstLine="560"/>
      </w:pPr>
      <w:r>
        <w:rPr>
          <w:rFonts w:hint="eastAsia"/>
        </w:rPr>
        <w:t>3、建立系统安全最优方案，为管理者提供安全管理依据；</w:t>
      </w:r>
    </w:p>
    <w:p w14:paraId="05BC9D46">
      <w:pPr>
        <w:ind w:firstLine="560"/>
      </w:pPr>
      <w:r>
        <w:rPr>
          <w:rFonts w:hint="eastAsia"/>
        </w:rPr>
        <w:t>4、为实现安全技术、安全管理的标准化和科学化创造条件。</w:t>
      </w:r>
    </w:p>
    <w:p w14:paraId="6ADBDB56">
      <w:pPr>
        <w:ind w:firstLine="560"/>
      </w:pPr>
      <w:r>
        <w:rPr>
          <w:rFonts w:hint="eastAsia"/>
        </w:rPr>
        <w:t>本项目为云南兴昆化工有限公司大坟箐磷石膏渣场堆存整治工程安全预评价，根据渣场整治设计，通过辨识和分析大坟箐磷石膏渣场堆存整治过程中可能存在的各种危险、有害因素，</w:t>
      </w:r>
      <w:r>
        <w:rPr>
          <w:rFonts w:hint="eastAsia" w:ascii="宋体" w:hAnsi="宋体" w:cs="宋体"/>
          <w:kern w:val="0"/>
        </w:rPr>
        <w:t>对场址及总平面布置、堆填及整治工艺、防排水、安全监测设施及安全管理方面存在危险、有害因素导致事故发生的可能性及其严重程度进行评价</w:t>
      </w:r>
      <w:r>
        <w:rPr>
          <w:rFonts w:hint="eastAsia"/>
        </w:rPr>
        <w:t>，有针对性的提出保障大坟箐磷石膏渣场堆存整治工程实施过程中及实施后安全运行的对策措施，作出云南兴昆化工有限公司大坟箐磷石膏渣场堆存整治工程实施期间或实施后能否安全运行的结论。</w:t>
      </w:r>
    </w:p>
    <w:p w14:paraId="359B1FE7">
      <w:pPr>
        <w:pStyle w:val="4"/>
      </w:pPr>
      <w:bookmarkStart w:id="3" w:name="_Toc230699542"/>
      <w:r>
        <w:rPr>
          <w:rFonts w:hint="eastAsia"/>
        </w:rPr>
        <w:t>1.1.2 评价范围</w:t>
      </w:r>
      <w:bookmarkEnd w:id="3"/>
    </w:p>
    <w:p w14:paraId="4FD2C9FE">
      <w:pPr>
        <w:ind w:firstLine="560"/>
      </w:pPr>
      <w:r>
        <w:rPr>
          <w:rFonts w:hint="eastAsia"/>
        </w:rPr>
        <w:t>根据云南兴昆化工有限公司与辽宁诺诚安全科技有限公司签订的安全预评价技术服务合同和安全评价委托书的约定，本次评价范围为云南兴昆化工有限公司大坟箐磷石膏渣场堆存整治工程项目现状边坡修整、东南侧地表清理及防渗、改性磷石膏堆存、渣场封场防渗及覆土复绿、截排水设施、监测设施、高压电线迁改、渣场道路、辅助设施及安全管理等方面。</w:t>
      </w:r>
    </w:p>
    <w:p w14:paraId="6FD41DEE">
      <w:pPr>
        <w:ind w:firstLine="560"/>
      </w:pPr>
      <w:r>
        <w:rPr>
          <w:rFonts w:hint="eastAsia"/>
        </w:rPr>
        <w:t>凡涉及本工程项目消防、环保、地质灾害、职业卫生等方面，不在本次安全评价范围内，但评价报告中会涉及相关内容。</w:t>
      </w:r>
    </w:p>
    <w:p w14:paraId="6209D0E6">
      <w:pPr>
        <w:pStyle w:val="4"/>
      </w:pPr>
      <w:bookmarkStart w:id="4" w:name="_Toc230699543"/>
      <w:r>
        <w:rPr>
          <w:rFonts w:hint="eastAsia"/>
        </w:rPr>
        <w:t>1.1.3 评价原则</w:t>
      </w:r>
      <w:bookmarkEnd w:id="4"/>
    </w:p>
    <w:p w14:paraId="5413E16B">
      <w:pPr>
        <w:ind w:firstLine="560"/>
      </w:pPr>
      <w:r>
        <w:rPr>
          <w:rFonts w:hint="eastAsia"/>
        </w:rPr>
        <w:t>《安全评价通则》第4条规定，安全评价基本原则是具备国家规定资质的安全评价机构科学、公正和合法地自主开展安全评价。</w:t>
      </w:r>
    </w:p>
    <w:p w14:paraId="36739CBD">
      <w:pPr>
        <w:ind w:firstLine="560"/>
      </w:pPr>
      <w:r>
        <w:rPr>
          <w:rFonts w:hint="eastAsia"/>
        </w:rPr>
        <w:t>本报告将按国家现行有关劳动安全的法律、法规和标准要求对该项目进行安全评价，同时遵循下列原则：</w:t>
      </w:r>
    </w:p>
    <w:p w14:paraId="18427A03">
      <w:pPr>
        <w:ind w:firstLine="560"/>
      </w:pPr>
      <w:r>
        <w:rPr>
          <w:rFonts w:hint="eastAsia"/>
        </w:rPr>
        <w:t>（1）严格执行国家现行有关法律、法规、标准和规范的要求，对该企业应具备的安全生产条件进行科学、公正、合法、自主地评价；</w:t>
      </w:r>
    </w:p>
    <w:p w14:paraId="4B081D12">
      <w:pPr>
        <w:ind w:firstLine="560"/>
      </w:pPr>
      <w:r>
        <w:rPr>
          <w:rFonts w:hint="eastAsia"/>
        </w:rPr>
        <w:t>（2）执行行业现行有关法规、标准、规范和政策的要求；</w:t>
      </w:r>
    </w:p>
    <w:p w14:paraId="0CD2A05A">
      <w:pPr>
        <w:ind w:firstLine="560"/>
      </w:pPr>
      <w:r>
        <w:rPr>
          <w:rFonts w:hint="eastAsia"/>
        </w:rPr>
        <w:t>（3）采用适用、可靠的评价技术和评价方法，保证评价的针对性，确保评价质量；</w:t>
      </w:r>
    </w:p>
    <w:p w14:paraId="50EAD98A">
      <w:pPr>
        <w:ind w:firstLine="560"/>
      </w:pPr>
      <w:r>
        <w:rPr>
          <w:rFonts w:hint="eastAsia"/>
        </w:rPr>
        <w:t>（4）恪守职业道德，遵循诚实守信的原则，对被评价企业的技术资料和商业运作保密。</w:t>
      </w:r>
    </w:p>
    <w:p w14:paraId="15F75F8A">
      <w:pPr>
        <w:pStyle w:val="3"/>
      </w:pPr>
      <w:bookmarkStart w:id="5" w:name="_Toc230699544"/>
      <w:r>
        <w:rPr>
          <w:rFonts w:hint="eastAsia"/>
        </w:rPr>
        <w:t>1.2 评价依据</w:t>
      </w:r>
      <w:bookmarkEnd w:id="5"/>
    </w:p>
    <w:p w14:paraId="303DD511">
      <w:pPr>
        <w:ind w:firstLine="560"/>
      </w:pPr>
      <w:r>
        <w:rPr>
          <w:rFonts w:hint="eastAsia"/>
        </w:rPr>
        <w:t>本次评价主要依据以下国家有关安全生产方面的法律、法规、规章、规范性文件、标准、规范。</w:t>
      </w:r>
    </w:p>
    <w:p w14:paraId="0D3EA409">
      <w:pPr>
        <w:pStyle w:val="4"/>
      </w:pPr>
      <w:bookmarkStart w:id="6" w:name="_Toc230699545"/>
      <w:r>
        <w:rPr>
          <w:rFonts w:hint="eastAsia"/>
        </w:rPr>
        <w:t>1.2.1 国家法律</w:t>
      </w:r>
      <w:bookmarkEnd w:id="6"/>
    </w:p>
    <w:p w14:paraId="112FABC7">
      <w:pPr>
        <w:ind w:firstLine="560"/>
      </w:pPr>
      <w:r>
        <w:rPr>
          <w:rFonts w:hint="eastAsia"/>
        </w:rPr>
        <w:t>1、《中华人民共和国安全生产法》（中华人民共和国主席令第88号公布，根据2021年6月10日第十三届全国人民代表大会常务委员会第二十九次会议《关于修改〈中华人民共和国安全生产法〉的决定》第三次修正，自2021年9月1日起施行）；</w:t>
      </w:r>
    </w:p>
    <w:p w14:paraId="413154A8">
      <w:pPr>
        <w:ind w:firstLine="560"/>
      </w:pPr>
      <w:r>
        <w:rPr>
          <w:rFonts w:hint="eastAsia"/>
        </w:rPr>
        <w:t>2、《中华人民共和国消防法》（1998年4月29日第九届全国人民代表大会常务委员会第二次会议通过；2008年10月28日第十一届全国人民代表大会常务委员会第五次会议第一次修订，2019年4月23日第十三届全国人民代表大会常务委员会第十次会议《全国人民代表大会常务委员会关于修改〈中华人民共和国建筑法〉等八部法律的决定》第二次修订；2021年4月29日第十三届全国人民代表大会常务委员会第二十八次会议通过的《全国人民代表大会常务委员会关于修改〈中华人民共和国道路交通安全法〉等八部法律的决定》第三次修正）；</w:t>
      </w:r>
    </w:p>
    <w:p w14:paraId="00605BC0">
      <w:pPr>
        <w:ind w:firstLine="560"/>
      </w:pPr>
      <w:r>
        <w:rPr>
          <w:rFonts w:hint="eastAsia"/>
        </w:rPr>
        <w:t>3、《中华人民共和国职业病防治法》（中华人民共和国主席令〔2018〕第二十四号，2018年12月29日施行）；</w:t>
      </w:r>
    </w:p>
    <w:p w14:paraId="0ACFAC18">
      <w:pPr>
        <w:ind w:firstLine="560"/>
      </w:pPr>
      <w:r>
        <w:rPr>
          <w:rFonts w:hint="eastAsia"/>
        </w:rPr>
        <w:t>4、《中华人民共和国水土保持法》（中华人民共和国主席令〔2010〕第三十九号，自2011年3月1日起施行）；</w:t>
      </w:r>
    </w:p>
    <w:p w14:paraId="47D79F0E">
      <w:pPr>
        <w:ind w:firstLine="560"/>
      </w:pPr>
      <w:r>
        <w:rPr>
          <w:rFonts w:hint="eastAsia"/>
        </w:rPr>
        <w:t>5、《中华人民共和国环境保护法》（中华人民共和国主席令〔2014〕第九号，2015年1月1日实施）；</w:t>
      </w:r>
    </w:p>
    <w:p w14:paraId="725A1C64">
      <w:pPr>
        <w:ind w:firstLine="560"/>
      </w:pPr>
      <w:r>
        <w:rPr>
          <w:rFonts w:hint="eastAsia"/>
        </w:rPr>
        <w:t>6、《中华人民共和国防震减灾法》（中华人民共和国主席令〔2008〕第七号，中华人民共和国第十一届全国人民代表大会常务委员会第六次会议修订通过，自2009年5月1日起施行）；</w:t>
      </w:r>
    </w:p>
    <w:p w14:paraId="520BF82A">
      <w:pPr>
        <w:ind w:firstLine="560"/>
      </w:pPr>
      <w:r>
        <w:rPr>
          <w:rFonts w:hint="eastAsia"/>
        </w:rPr>
        <w:t>7、《中华人民共和国突发事件应对法》（中华人民共和国主席令〔2007〕第六十九号，2024年6月28日第十四届全国人民代表大会常务委员会第十次会议修订，自2024年11月1日起施行）；</w:t>
      </w:r>
    </w:p>
    <w:p w14:paraId="66977F9E">
      <w:pPr>
        <w:ind w:firstLine="560"/>
      </w:pPr>
      <w:r>
        <w:rPr>
          <w:rFonts w:hint="eastAsia"/>
        </w:rPr>
        <w:t>8、《中华人民共和国特种设备安全法》（中华人民共和国主席令〔2013〕第四号，2014年1月1日实施）；</w:t>
      </w:r>
    </w:p>
    <w:p w14:paraId="6F0FD89B">
      <w:pPr>
        <w:ind w:firstLine="560"/>
      </w:pPr>
      <w:r>
        <w:rPr>
          <w:rFonts w:hint="eastAsia"/>
        </w:rPr>
        <w:t>9、《中华人民共和国气象法（2016年版）》（中华人民共和国主席令第23号，中华人民共和国主席令〔2016〕第五十七号修订，2016年11月7日）；</w:t>
      </w:r>
    </w:p>
    <w:p w14:paraId="0F990147">
      <w:pPr>
        <w:ind w:firstLine="560"/>
      </w:pPr>
      <w:r>
        <w:rPr>
          <w:rFonts w:hint="eastAsia"/>
        </w:rPr>
        <w:t>10、《中华人民共和国劳动法》（中华人民共和国主席令第28号，1995年1月1日施行；2009年中华人民共和国主席令第18号修改，2009年8月27日施行，2018年12月29日第十三届全国人民代表大会常务委员会第七次会议修改）；</w:t>
      </w:r>
    </w:p>
    <w:p w14:paraId="78E30924">
      <w:pPr>
        <w:ind w:firstLine="560"/>
      </w:pPr>
      <w:r>
        <w:rPr>
          <w:rFonts w:hint="eastAsia"/>
        </w:rPr>
        <w:t>11、《中华人民共和国防洪法》（中华人民共和国主席令第48号，2016年7月2日起施行）。</w:t>
      </w:r>
    </w:p>
    <w:p w14:paraId="66163306">
      <w:pPr>
        <w:pStyle w:val="4"/>
      </w:pPr>
      <w:bookmarkStart w:id="7" w:name="_Toc230699546"/>
      <w:r>
        <w:t>1.2.2 行政法规</w:t>
      </w:r>
      <w:bookmarkEnd w:id="7"/>
    </w:p>
    <w:p w14:paraId="6946E484">
      <w:pPr>
        <w:ind w:firstLine="560"/>
      </w:pPr>
      <w:r>
        <w:t>1、《中共中央国务院关于推进安全生产领域改革发展的意见》（中共中央国务院，自2016年12月18日起施行）；</w:t>
      </w:r>
    </w:p>
    <w:p w14:paraId="4B3F5006">
      <w:pPr>
        <w:ind w:firstLine="560"/>
      </w:pPr>
      <w:r>
        <w:t>2、《特种设备安全监察条例》（中华人民共和国国务院令〔2009〕第549号，2009年5月1日起施行）；</w:t>
      </w:r>
    </w:p>
    <w:p w14:paraId="2F0947B5">
      <w:pPr>
        <w:ind w:firstLine="560"/>
      </w:pPr>
      <w:r>
        <w:t>3、《工伤保险条例》（中华人民共和国国务院令〔2010〕第586号，2011年1月1日实施）；</w:t>
      </w:r>
    </w:p>
    <w:p w14:paraId="52BE4D71">
      <w:pPr>
        <w:ind w:firstLine="560"/>
      </w:pPr>
      <w:r>
        <w:t>4、《建设工程安全生产管理条例》（中华人民共和国国务院令〔2003〕第393号，2004年2月1日起施行）；</w:t>
      </w:r>
    </w:p>
    <w:p w14:paraId="7AA7AFB0">
      <w:pPr>
        <w:ind w:firstLine="560"/>
      </w:pPr>
      <w:r>
        <w:t>5、《生产安全事故报告和调查处理条例》（中华人民共和国国务院令〔2007〕第493号，20</w:t>
      </w:r>
      <w:r>
        <w:rPr>
          <w:rFonts w:hint="eastAsia"/>
        </w:rPr>
        <w:t>0</w:t>
      </w:r>
      <w:r>
        <w:t>7年6月1日起施行）；</w:t>
      </w:r>
    </w:p>
    <w:p w14:paraId="47DE7384">
      <w:pPr>
        <w:ind w:firstLine="560"/>
      </w:pPr>
      <w:r>
        <w:t>6、《建设工程质量管理条例（2019修正）》（中华人民共和国国务院令〔2019〕第709号修订）；</w:t>
      </w:r>
    </w:p>
    <w:p w14:paraId="339A6DF8">
      <w:pPr>
        <w:ind w:firstLine="560"/>
      </w:pPr>
      <w:r>
        <w:t>7、《生产安全事故应急条例》（中华人民共和国国务院令第708号，2019年4月1日施行）；</w:t>
      </w:r>
    </w:p>
    <w:p w14:paraId="56AB9E5F">
      <w:pPr>
        <w:ind w:firstLine="560"/>
      </w:pPr>
      <w:r>
        <w:t>8、《劳动保障监察条例》（中华人民共和国国务院令〔2004〕第423号，自2004年12月1日起施行）。</w:t>
      </w:r>
    </w:p>
    <w:p w14:paraId="1B9F3A4A">
      <w:pPr>
        <w:pStyle w:val="4"/>
      </w:pPr>
      <w:bookmarkStart w:id="8" w:name="_Toc230699547"/>
      <w:r>
        <w:rPr>
          <w:rFonts w:hint="eastAsia"/>
        </w:rPr>
        <w:t>1.2.3 部门规章</w:t>
      </w:r>
      <w:bookmarkEnd w:id="8"/>
    </w:p>
    <w:p w14:paraId="57ECAFF3">
      <w:pPr>
        <w:ind w:firstLine="560"/>
      </w:pPr>
      <w:r>
        <w:rPr>
          <w:rFonts w:hint="eastAsia"/>
        </w:rPr>
        <w:t>1、《建设项目安全设施“三同时”监督管理办法》（原国家安全生产监管总局令〔2010〕第36号，原国家安全生产监管总局令〔2015〕第77号修订，2015年5月1日起实施）；</w:t>
      </w:r>
    </w:p>
    <w:p w14:paraId="36A94A77">
      <w:pPr>
        <w:ind w:firstLine="560"/>
      </w:pPr>
      <w:r>
        <w:rPr>
          <w:rFonts w:hint="eastAsia"/>
        </w:rPr>
        <w:t>2、《国家安全监管总局关于废止和修改劳动防护用品和安全培训等领域十部规章的决定》（原国家安全生产监督管理总局令〔2015〕第80号，2015年7月1日实施）；</w:t>
      </w:r>
    </w:p>
    <w:p w14:paraId="2B46FC28">
      <w:pPr>
        <w:ind w:firstLine="560"/>
      </w:pPr>
      <w:r>
        <w:rPr>
          <w:rFonts w:hint="eastAsia"/>
        </w:rPr>
        <w:t>3、《生产经营单位安全培训规定》（原国家安全生产监督管理总局令第3号，根据80号令修改，2015年7月1日起实施）；</w:t>
      </w:r>
    </w:p>
    <w:p w14:paraId="6802C0F8">
      <w:pPr>
        <w:ind w:firstLine="560"/>
      </w:pPr>
      <w:r>
        <w:rPr>
          <w:rFonts w:hint="eastAsia"/>
        </w:rPr>
        <w:t>4、《生产安全事故应急预案管理办法》（原国家安全生产监督管理总局令第88号，中华人民共和国应急管理部令第2号修改，自2019年9月1日起施行）；</w:t>
      </w:r>
    </w:p>
    <w:p w14:paraId="674249EA">
      <w:pPr>
        <w:ind w:firstLine="560"/>
      </w:pPr>
      <w:r>
        <w:rPr>
          <w:rFonts w:hint="eastAsia"/>
        </w:rPr>
        <w:t>5、《工作场所职业卫生管理规定》（中华人民共和国国家卫生健康委员会令第5号，自2021年2月1日起施行）；</w:t>
      </w:r>
    </w:p>
    <w:p w14:paraId="634273A8">
      <w:pPr>
        <w:ind w:firstLine="560"/>
      </w:pPr>
      <w:r>
        <w:rPr>
          <w:rFonts w:hint="eastAsia"/>
        </w:rPr>
        <w:t>6、《职业病分类和目录》（国卫职健发〔2024〕39号）；</w:t>
      </w:r>
    </w:p>
    <w:p w14:paraId="5AC65F90">
      <w:pPr>
        <w:ind w:firstLine="560"/>
      </w:pPr>
      <w:r>
        <w:rPr>
          <w:rFonts w:hint="eastAsia"/>
        </w:rPr>
        <w:t>7、《特种作业人员安全技术培训考核管理规定》（中华人民共和国应急管理部令〔2025〕第19号，自2026年6月1日施行）；</w:t>
      </w:r>
    </w:p>
    <w:p w14:paraId="6B28386C">
      <w:pPr>
        <w:ind w:firstLine="560"/>
      </w:pPr>
      <w:r>
        <w:rPr>
          <w:rFonts w:hint="eastAsia"/>
        </w:rPr>
        <w:t>8、《安全生产培训管理办法》（原国家安全生产监督管理总局令第44号，国家安全生产监督管理总局令〔2015〕第80号令修订，自2015年7月1日起施行）；</w:t>
      </w:r>
    </w:p>
    <w:p w14:paraId="5DE7EDC9">
      <w:pPr>
        <w:ind w:firstLine="560"/>
      </w:pPr>
      <w:r>
        <w:rPr>
          <w:rFonts w:hint="eastAsia"/>
        </w:rPr>
        <w:t>9、《产业结构调整指导目录（2024年本）》（经2023年12月1日第6次委务会议审议通过，自2024年2月1日起施行）；</w:t>
      </w:r>
    </w:p>
    <w:p w14:paraId="295C2A8F">
      <w:pPr>
        <w:ind w:firstLine="560"/>
      </w:pPr>
      <w:r>
        <w:rPr>
          <w:rFonts w:hint="eastAsia"/>
        </w:rPr>
        <w:t>10、《关于印发&lt;企业安全生产费用提取和使用管理办法&gt;的通知》（财资〔2022〕136号）；</w:t>
      </w:r>
    </w:p>
    <w:p w14:paraId="162D493D">
      <w:pPr>
        <w:ind w:firstLine="560"/>
      </w:pPr>
      <w:r>
        <w:rPr>
          <w:rFonts w:hint="eastAsia"/>
        </w:rPr>
        <w:t>11、《工贸企业有限空间作业安全规定》（应急管理部令第13号，自2024年1月1日起施行）；</w:t>
      </w:r>
    </w:p>
    <w:p w14:paraId="6BB76E02">
      <w:pPr>
        <w:ind w:firstLine="560"/>
      </w:pPr>
      <w:r>
        <w:rPr>
          <w:rFonts w:hint="eastAsia"/>
        </w:rPr>
        <w:t>12、《国务院安委会办公室关于印发标本兼治遏制重特大事故工作指南的通知》（安委办〔2016〕3号）；</w:t>
      </w:r>
    </w:p>
    <w:p w14:paraId="6F2F671F">
      <w:pPr>
        <w:ind w:firstLine="560"/>
      </w:pPr>
      <w:r>
        <w:rPr>
          <w:rFonts w:hint="eastAsia"/>
        </w:rPr>
        <w:t>13、《国务院安委会办公室关于实施遏制重特大事故工作指南构建双重预防机制的意见》（安委办〔2016〕11号）；</w:t>
      </w:r>
    </w:p>
    <w:p w14:paraId="2E6A7BB7">
      <w:pPr>
        <w:ind w:firstLine="560"/>
      </w:pPr>
      <w:r>
        <w:rPr>
          <w:rFonts w:hint="eastAsia"/>
        </w:rPr>
        <w:t>14、</w:t>
      </w:r>
      <w:r>
        <w:t>《尾矿库安全监督管理规定》（原国家安全生产监督管理总局令第38号，2015</w:t>
      </w:r>
      <w:r>
        <w:rPr>
          <w:rFonts w:hint="eastAsia"/>
        </w:rPr>
        <w:t>年</w:t>
      </w:r>
      <w:r>
        <w:t>5</w:t>
      </w:r>
      <w:r>
        <w:rPr>
          <w:rFonts w:hint="eastAsia"/>
        </w:rPr>
        <w:t>月</w:t>
      </w:r>
      <w:r>
        <w:t>26</w:t>
      </w:r>
      <w:r>
        <w:rPr>
          <w:rFonts w:hint="eastAsia"/>
        </w:rPr>
        <w:t>日原国家安全生产监督管理总局令第</w:t>
      </w:r>
      <w:r>
        <w:t>78</w:t>
      </w:r>
      <w:r>
        <w:rPr>
          <w:rFonts w:hint="eastAsia"/>
        </w:rPr>
        <w:t>号修正</w:t>
      </w:r>
      <w:r>
        <w:t>）</w:t>
      </w:r>
      <w:r>
        <w:rPr>
          <w:rFonts w:hint="eastAsia"/>
        </w:rPr>
        <w:t>；</w:t>
      </w:r>
    </w:p>
    <w:p w14:paraId="6062DD52">
      <w:pPr>
        <w:ind w:firstLine="560"/>
      </w:pPr>
      <w:r>
        <w:rPr>
          <w:rFonts w:hint="eastAsia"/>
        </w:rPr>
        <w:t>15、《矿山地质环境保护规定》（原国土资源部令第44号，自2009年5月1日起施行，根据2019年7月16日自然资源部第2次部务会议《自然资源部关于第一批废止修改的部门规章的决定》第三次修正）；</w:t>
      </w:r>
    </w:p>
    <w:p w14:paraId="41CC78E5">
      <w:pPr>
        <w:ind w:firstLine="560"/>
        <w:rPr>
          <w:lang w:val="zh-CN"/>
        </w:rPr>
      </w:pPr>
      <w:r>
        <w:rPr>
          <w:rFonts w:hint="eastAsia"/>
        </w:rPr>
        <w:t>16、</w:t>
      </w:r>
      <w:r>
        <w:rPr>
          <w:lang w:val="zh-CN"/>
        </w:rPr>
        <w:t>《生态环境部关于印发＜</w:t>
      </w:r>
      <w:r>
        <w:rPr>
          <w:rFonts w:hint="eastAsia"/>
          <w:lang w:val="zh-CN"/>
        </w:rPr>
        <w:t>磷石膏库环境风险隐患排查整治工作指南＞的通知》（环办固体函〔2025〕164号）</w:t>
      </w:r>
      <w:r>
        <w:rPr>
          <w:lang w:val="zh-CN"/>
        </w:rPr>
        <w:t>；</w:t>
      </w:r>
    </w:p>
    <w:p w14:paraId="5646AE0D">
      <w:pPr>
        <w:ind w:firstLine="560"/>
        <w:rPr>
          <w:lang w:val="zh-CN"/>
        </w:rPr>
      </w:pPr>
      <w:r>
        <w:rPr>
          <w:rFonts w:hint="eastAsia"/>
          <w:lang w:val="zh-CN"/>
        </w:rPr>
        <w:t>17、《</w:t>
      </w:r>
      <w:r>
        <w:rPr>
          <w:lang w:val="zh-CN"/>
        </w:rPr>
        <w:t>生态环境部印发</w:t>
      </w:r>
      <w:r>
        <w:rPr>
          <w:rFonts w:hint="eastAsia"/>
          <w:lang w:val="zh-CN"/>
        </w:rPr>
        <w:t>&lt;长江“三磷”专项排查整治行动实施方案&gt;》</w:t>
      </w:r>
      <w:r>
        <w:rPr>
          <w:lang w:val="zh-CN"/>
        </w:rPr>
        <w:t>。</w:t>
      </w:r>
    </w:p>
    <w:p w14:paraId="3BE77910">
      <w:pPr>
        <w:pStyle w:val="4"/>
      </w:pPr>
      <w:bookmarkStart w:id="9" w:name="_Toc230699548"/>
      <w:r>
        <w:rPr>
          <w:rFonts w:hint="eastAsia"/>
        </w:rPr>
        <w:t>1.2.4 地方性法规及文件</w:t>
      </w:r>
      <w:bookmarkEnd w:id="9"/>
    </w:p>
    <w:p w14:paraId="47278187">
      <w:pPr>
        <w:ind w:firstLine="560"/>
      </w:pPr>
      <w:r>
        <w:rPr>
          <w:rFonts w:hint="eastAsia"/>
        </w:rPr>
        <w:t>1、《云南省安全生产条例》（2017年11月30日云南省第十二届人民代表大会常务委员会第三十八次会议通过，2018年1月1日起施行）；</w:t>
      </w:r>
    </w:p>
    <w:p w14:paraId="053E9CB6">
      <w:pPr>
        <w:ind w:firstLine="560"/>
      </w:pPr>
      <w:r>
        <w:rPr>
          <w:rFonts w:hint="eastAsia"/>
        </w:rPr>
        <w:t>2、</w:t>
      </w:r>
      <w:r>
        <w:t>《云南省安全生产委员会关于印发</w:t>
      </w:r>
      <w:r>
        <w:rPr>
          <w:rFonts w:hint="eastAsia"/>
        </w:rPr>
        <w:t>〈</w:t>
      </w:r>
      <w:r>
        <w:t>云南省安全生产治本攻坚三年行动方案（2024</w:t>
      </w:r>
      <w:r>
        <w:rPr>
          <w:rFonts w:hint="eastAsia"/>
        </w:rPr>
        <w:t>—</w:t>
      </w:r>
      <w:r>
        <w:t>2026年）</w:t>
      </w:r>
      <w:r>
        <w:rPr>
          <w:rFonts w:hint="eastAsia"/>
        </w:rPr>
        <w:t>〉</w:t>
      </w:r>
      <w:r>
        <w:t>的通知》（云安〔2024〕3号）；</w:t>
      </w:r>
    </w:p>
    <w:p w14:paraId="483FEF7F">
      <w:pPr>
        <w:ind w:firstLine="560"/>
      </w:pPr>
      <w:r>
        <w:rPr>
          <w:rFonts w:hint="eastAsia"/>
        </w:rPr>
        <w:t>3、</w:t>
      </w:r>
      <w:r>
        <w:t>《云南省人民政府关于印发云南省生产经营单位安全生产主体责任规定的通知》（云政规〔2022〕4号）；</w:t>
      </w:r>
    </w:p>
    <w:p w14:paraId="7D92A5B1">
      <w:pPr>
        <w:tabs>
          <w:tab w:val="left" w:pos="530"/>
          <w:tab w:val="left" w:pos="728"/>
          <w:tab w:val="left" w:pos="840"/>
          <w:tab w:val="left" w:pos="4188"/>
        </w:tabs>
        <w:ind w:firstLine="560"/>
      </w:pPr>
      <w:r>
        <w:rPr>
          <w:rFonts w:hint="eastAsia"/>
        </w:rPr>
        <w:t>4、</w:t>
      </w:r>
      <w:r>
        <w:t>《云南安全生产委员会关于建立完善安全风险分级管控和隐患排查治理双重预防机制的指导意见》（云安〔2021〕3号）；</w:t>
      </w:r>
    </w:p>
    <w:p w14:paraId="51BC1B84">
      <w:pPr>
        <w:ind w:firstLine="560"/>
      </w:pPr>
      <w:r>
        <w:rPr>
          <w:rFonts w:hint="eastAsia"/>
        </w:rPr>
        <w:t>5、其他地方性法规。</w:t>
      </w:r>
    </w:p>
    <w:p w14:paraId="06FC66BC">
      <w:pPr>
        <w:pStyle w:val="4"/>
      </w:pPr>
      <w:bookmarkStart w:id="10" w:name="_Toc230699549"/>
      <w:r>
        <w:rPr>
          <w:rFonts w:hint="eastAsia"/>
        </w:rPr>
        <w:t>1.2.5 标准规范</w:t>
      </w:r>
      <w:bookmarkEnd w:id="10"/>
    </w:p>
    <w:p w14:paraId="7FD5933F">
      <w:pPr>
        <w:ind w:firstLine="560"/>
      </w:pPr>
      <w:r>
        <w:rPr>
          <w:rFonts w:hint="eastAsia"/>
        </w:rPr>
        <w:t>1、《防洪标准》（GB50201-2014，自2015年05月01日起施行）；</w:t>
      </w:r>
    </w:p>
    <w:p w14:paraId="5704E111">
      <w:pPr>
        <w:ind w:firstLine="560"/>
      </w:pPr>
      <w:r>
        <w:rPr>
          <w:rFonts w:hint="eastAsia"/>
        </w:rPr>
        <w:t>2、《电气设备安全设计导则》（GB /T 25295-2010，2011年5月1日实施）；</w:t>
      </w:r>
    </w:p>
    <w:p w14:paraId="5842940A">
      <w:pPr>
        <w:ind w:firstLine="560"/>
      </w:pPr>
      <w:r>
        <w:rPr>
          <w:rFonts w:hint="eastAsia"/>
        </w:rPr>
        <w:t>3、《混凝土结构设计标准（2024年版）》（GB/T50010-2010，自2024年8月1日起实施）；</w:t>
      </w:r>
    </w:p>
    <w:p w14:paraId="3257AD0C">
      <w:pPr>
        <w:ind w:firstLine="560"/>
      </w:pPr>
      <w:r>
        <w:rPr>
          <w:rFonts w:hint="eastAsia"/>
        </w:rPr>
        <w:t>4、《给水排水工程管道结构设计规范》（GB50332-2002，自2003年03月01日起施行）；</w:t>
      </w:r>
    </w:p>
    <w:p w14:paraId="470BD060">
      <w:pPr>
        <w:ind w:firstLine="560"/>
      </w:pPr>
      <w:r>
        <w:rPr>
          <w:rFonts w:hint="eastAsia"/>
        </w:rPr>
        <w:t>5、《土木合成材料 防渗性能 第1部分：耐静水压的测定》（GB/T19979.1-2005，自2006年05月01日起施行）；</w:t>
      </w:r>
    </w:p>
    <w:p w14:paraId="2AAC0762">
      <w:pPr>
        <w:ind w:firstLine="560"/>
      </w:pPr>
      <w:r>
        <w:rPr>
          <w:rFonts w:hint="eastAsia"/>
        </w:rPr>
        <w:t>6、《土工合成材料 防渗性能 第2部分：渗透系数的测定》（GB/T19979.2-2006，自2006年07月01日起施行）；</w:t>
      </w:r>
    </w:p>
    <w:p w14:paraId="712BE42C">
      <w:pPr>
        <w:ind w:firstLine="560"/>
      </w:pPr>
      <w:r>
        <w:rPr>
          <w:rFonts w:hint="eastAsia"/>
        </w:rPr>
        <w:t>7、《生产经营单位生产安全事故应急预案编制导则》（GB /T 29639-2020，自2021年4月1日实施）；</w:t>
      </w:r>
    </w:p>
    <w:p w14:paraId="69456834">
      <w:pPr>
        <w:ind w:firstLine="560"/>
      </w:pPr>
      <w:r>
        <w:rPr>
          <w:rFonts w:hint="eastAsia"/>
        </w:rPr>
        <w:t>8、《土工合成材料应用技术规范》（GB/T 50290-2014，自2015年08月01日起施行）；</w:t>
      </w:r>
    </w:p>
    <w:p w14:paraId="4941289D">
      <w:pPr>
        <w:ind w:firstLine="560"/>
      </w:pPr>
      <w:r>
        <w:rPr>
          <w:rFonts w:hint="eastAsia"/>
        </w:rPr>
        <w:t>9、《砌体结构设计规范》（GB50003-2011，自2012年08月01日起施行）；</w:t>
      </w:r>
    </w:p>
    <w:p w14:paraId="447B4093">
      <w:pPr>
        <w:ind w:firstLine="560"/>
      </w:pPr>
      <w:r>
        <w:rPr>
          <w:rFonts w:hint="eastAsia"/>
        </w:rPr>
        <w:t>10、《企业职工伤亡事故分类标准》（GB 6441-1986，1987年2月1日实施）；</w:t>
      </w:r>
    </w:p>
    <w:p w14:paraId="21DF8533">
      <w:pPr>
        <w:ind w:firstLine="560"/>
      </w:pPr>
      <w:r>
        <w:rPr>
          <w:rFonts w:hint="eastAsia"/>
        </w:rPr>
        <w:t>11、《生产过程危险和有害因素分类与代码》（GB /T 13861-2022，2022年10月1日实施）；</w:t>
      </w:r>
    </w:p>
    <w:p w14:paraId="092184DE">
      <w:pPr>
        <w:ind w:firstLine="560"/>
      </w:pPr>
      <w:r>
        <w:rPr>
          <w:rFonts w:hint="eastAsia"/>
        </w:rPr>
        <w:t>12、《工业企业总平面设计规范》（GB 50187-2012，2012年08月01日实施）；</w:t>
      </w:r>
    </w:p>
    <w:p w14:paraId="17C62E80">
      <w:pPr>
        <w:ind w:firstLine="560"/>
      </w:pPr>
      <w:r>
        <w:rPr>
          <w:rFonts w:hint="eastAsia"/>
        </w:rPr>
        <w:t>13、《建筑设计防火规范》（2018版）（GB 0016-2014，2015年05月01日实施）；</w:t>
      </w:r>
    </w:p>
    <w:p w14:paraId="01C63A4D">
      <w:pPr>
        <w:ind w:firstLine="560"/>
      </w:pPr>
      <w:r>
        <w:rPr>
          <w:rFonts w:hint="eastAsia"/>
        </w:rPr>
        <w:t>14、《生产设备安全卫生设计总则》（GB 5083-2023，2025年1月1日实施）；</w:t>
      </w:r>
    </w:p>
    <w:p w14:paraId="13BF2F17">
      <w:pPr>
        <w:ind w:firstLine="560"/>
      </w:pPr>
      <w:r>
        <w:rPr>
          <w:rFonts w:hint="eastAsia"/>
        </w:rPr>
        <w:t>15、《生产过程安全卫生要求总则》（GB /T 12801-2008，2009年10月01日实施）；</w:t>
      </w:r>
    </w:p>
    <w:p w14:paraId="13E5E871">
      <w:pPr>
        <w:ind w:firstLine="560"/>
      </w:pPr>
      <w:r>
        <w:rPr>
          <w:rFonts w:hint="eastAsia"/>
        </w:rPr>
        <w:t>16、《建筑抗震设计标准（2024年版）》（GB/T 50011-2010，2024年08月01日实施）；</w:t>
      </w:r>
    </w:p>
    <w:p w14:paraId="5A137C5D">
      <w:pPr>
        <w:ind w:firstLine="560"/>
      </w:pPr>
      <w:r>
        <w:rPr>
          <w:rFonts w:hint="eastAsia"/>
        </w:rPr>
        <w:t>17、《厂矿道路设计规范》（GB J 22-1987，1988年08月01日实施）；</w:t>
      </w:r>
    </w:p>
    <w:p w14:paraId="5D4B5291">
      <w:pPr>
        <w:ind w:firstLine="560"/>
      </w:pPr>
      <w:r>
        <w:rPr>
          <w:rFonts w:hint="eastAsia"/>
        </w:rPr>
        <w:t>18、《安全色和安全标志》（GB 2894-2025，2026年03月01日实施）；</w:t>
      </w:r>
    </w:p>
    <w:p w14:paraId="36096526">
      <w:pPr>
        <w:ind w:firstLine="560"/>
      </w:pPr>
      <w:r>
        <w:rPr>
          <w:rFonts w:hint="eastAsia"/>
        </w:rPr>
        <w:t>19、《高处作业分级》（GB 3608-2025，2026年05月01日施行）；</w:t>
      </w:r>
    </w:p>
    <w:p w14:paraId="1C856C64">
      <w:pPr>
        <w:ind w:firstLine="560"/>
      </w:pPr>
      <w:r>
        <w:rPr>
          <w:rFonts w:hint="eastAsia"/>
        </w:rPr>
        <w:t>20、《头部防护 安全帽》（GB2811-2019，2020年07月01日施行）；</w:t>
      </w:r>
    </w:p>
    <w:p w14:paraId="5D7E75E0">
      <w:pPr>
        <w:ind w:firstLine="560"/>
      </w:pPr>
      <w:r>
        <w:rPr>
          <w:rFonts w:hint="eastAsia"/>
        </w:rPr>
        <w:t>21、《一般工业固体废物贮存和填埋污染控制标准》（GB 18599-2020，2021年7月1日施行）；</w:t>
      </w:r>
    </w:p>
    <w:p w14:paraId="46381466">
      <w:pPr>
        <w:ind w:firstLine="560"/>
      </w:pPr>
      <w:r>
        <w:rPr>
          <w:rFonts w:hint="eastAsia"/>
        </w:rPr>
        <w:t>22、《工作场所有害因素职业接触限值第一部分：化学有害因素》（GB Z2.1-2019，第1号修改单，2022年11月28日实施）；</w:t>
      </w:r>
    </w:p>
    <w:p w14:paraId="1A0615C1">
      <w:pPr>
        <w:ind w:firstLine="560"/>
      </w:pPr>
      <w:r>
        <w:rPr>
          <w:rFonts w:hint="eastAsia"/>
        </w:rPr>
        <w:t>23、《工作场所有害因素职业接触限值第二部分：物理因素》（GB Z2.2-2007，2007年11月01日实施）；</w:t>
      </w:r>
    </w:p>
    <w:p w14:paraId="77AA998C">
      <w:pPr>
        <w:ind w:firstLine="560"/>
      </w:pPr>
      <w:r>
        <w:rPr>
          <w:rFonts w:hint="eastAsia"/>
        </w:rPr>
        <w:t>24、《工业企业厂内铁路、道路运输安全规程》（GB 4387-2008，2009年10月01日实施）；</w:t>
      </w:r>
    </w:p>
    <w:p w14:paraId="2D8467B3">
      <w:pPr>
        <w:ind w:firstLine="560"/>
      </w:pPr>
      <w:r>
        <w:rPr>
          <w:rFonts w:hint="eastAsia"/>
        </w:rPr>
        <w:t>25、《低压配电设计规范》（GB50054-2011，2012年06月01日施行）；</w:t>
      </w:r>
    </w:p>
    <w:p w14:paraId="0E490A91">
      <w:pPr>
        <w:ind w:firstLine="560"/>
      </w:pPr>
      <w:r>
        <w:rPr>
          <w:rFonts w:hint="eastAsia"/>
        </w:rPr>
        <w:t>26、《工业企业设计卫生标准》（GB Z 1-2010，2010年08月01日施行）；</w:t>
      </w:r>
    </w:p>
    <w:p w14:paraId="0DE076E0">
      <w:pPr>
        <w:ind w:firstLine="560"/>
      </w:pPr>
      <w:r>
        <w:rPr>
          <w:rFonts w:hint="eastAsia"/>
        </w:rPr>
        <w:t>27、《中国地震动参数区划图》（GB18306-2015，自2016年06月01日起实施）；</w:t>
      </w:r>
    </w:p>
    <w:p w14:paraId="474789AE">
      <w:pPr>
        <w:ind w:firstLine="560"/>
      </w:pPr>
      <w:r>
        <w:rPr>
          <w:rFonts w:hint="eastAsia"/>
        </w:rPr>
        <w:t>28、《建筑边坡工程技术规范》（GB50330-2013，自2014年06月01日起施行）；</w:t>
      </w:r>
    </w:p>
    <w:p w14:paraId="01B3C14A">
      <w:pPr>
        <w:ind w:firstLine="560"/>
      </w:pPr>
      <w:r>
        <w:rPr>
          <w:rFonts w:hint="eastAsia"/>
        </w:rPr>
        <w:t>29、《生产建设项目水土保持技术标准》（GB50433-2018，自2019年04月01日起施行）；</w:t>
      </w:r>
    </w:p>
    <w:p w14:paraId="07836755">
      <w:pPr>
        <w:ind w:firstLine="560"/>
      </w:pPr>
      <w:r>
        <w:rPr>
          <w:rFonts w:hint="eastAsia"/>
        </w:rPr>
        <w:t>30、《水土保持工程设计规范》（GB51018-2014，自2015年08月01日起施行）；</w:t>
      </w:r>
    </w:p>
    <w:p w14:paraId="61964E15">
      <w:pPr>
        <w:ind w:firstLine="560"/>
      </w:pPr>
      <w:r>
        <w:rPr>
          <w:rFonts w:hint="eastAsia"/>
        </w:rPr>
        <w:t>31、《道路交通标志和标线第1部分：总则》（GB5768.1-2025，自2025年11月01日施行）；</w:t>
      </w:r>
    </w:p>
    <w:p w14:paraId="0E9C8490">
      <w:pPr>
        <w:ind w:firstLine="560"/>
      </w:pPr>
      <w:r>
        <w:rPr>
          <w:rFonts w:hint="eastAsia"/>
        </w:rPr>
        <w:t>32、</w:t>
      </w:r>
      <w:r>
        <w:rPr>
          <w:bCs/>
          <w:kern w:val="0"/>
        </w:rPr>
        <w:t>《尾矿堆积坝岩土工程技术标准》（GB</w:t>
      </w:r>
      <w:r>
        <w:rPr>
          <w:rFonts w:hint="eastAsia"/>
          <w:bCs/>
          <w:kern w:val="0"/>
        </w:rPr>
        <w:t xml:space="preserve">/T </w:t>
      </w:r>
      <w:r>
        <w:rPr>
          <w:bCs/>
          <w:kern w:val="0"/>
        </w:rPr>
        <w:t>50547-20</w:t>
      </w:r>
      <w:r>
        <w:rPr>
          <w:rFonts w:hint="eastAsia"/>
          <w:bCs/>
          <w:kern w:val="0"/>
        </w:rPr>
        <w:t>22</w:t>
      </w:r>
      <w:r>
        <w:rPr>
          <w:bCs/>
          <w:kern w:val="0"/>
        </w:rPr>
        <w:t>，</w:t>
      </w:r>
      <w:r>
        <w:rPr>
          <w:rFonts w:hint="eastAsia"/>
          <w:bCs/>
          <w:kern w:val="0"/>
        </w:rPr>
        <w:t>自2022年12月01日起施行</w:t>
      </w:r>
      <w:r>
        <w:rPr>
          <w:bCs/>
          <w:kern w:val="0"/>
        </w:rPr>
        <w:t>）</w:t>
      </w:r>
      <w:r>
        <w:rPr>
          <w:rFonts w:hint="eastAsia"/>
        </w:rPr>
        <w:t>。</w:t>
      </w:r>
    </w:p>
    <w:p w14:paraId="34B8F362">
      <w:pPr>
        <w:pStyle w:val="4"/>
      </w:pPr>
      <w:bookmarkStart w:id="11" w:name="_Toc230699550"/>
      <w:r>
        <w:rPr>
          <w:rFonts w:hint="eastAsia"/>
        </w:rPr>
        <w:t>1.2.6 行业规范</w:t>
      </w:r>
      <w:bookmarkEnd w:id="11"/>
    </w:p>
    <w:p w14:paraId="10B6635E">
      <w:pPr>
        <w:ind w:firstLine="560"/>
      </w:pPr>
      <w:r>
        <w:rPr>
          <w:rFonts w:hint="eastAsia"/>
        </w:rPr>
        <w:t>1、《安全评价通则》（AQ 8001-2007，2007年04月01日）；</w:t>
      </w:r>
    </w:p>
    <w:p w14:paraId="2C1704DE">
      <w:pPr>
        <w:ind w:firstLine="560"/>
      </w:pPr>
      <w:r>
        <w:rPr>
          <w:rFonts w:hint="eastAsia"/>
        </w:rPr>
        <w:t>2、《安全预评价导则》（AQ 8002-2007，2007年04月01日实施）；</w:t>
      </w:r>
    </w:p>
    <w:p w14:paraId="13C0108F">
      <w:pPr>
        <w:ind w:firstLine="560"/>
      </w:pPr>
      <w:r>
        <w:rPr>
          <w:rFonts w:hint="eastAsia"/>
        </w:rPr>
        <w:t>3、《生产安全事故应急演练基本规范》（YJ/T 9007-2019）；</w:t>
      </w:r>
    </w:p>
    <w:p w14:paraId="032627FF">
      <w:pPr>
        <w:ind w:firstLine="560"/>
      </w:pPr>
      <w:r>
        <w:rPr>
          <w:rFonts w:hint="eastAsia"/>
        </w:rPr>
        <w:t>4、《生产经营单位生产安全事故应急预案评估指南》（YJ/T 9011-2019）；</w:t>
      </w:r>
    </w:p>
    <w:p w14:paraId="67D697FF">
      <w:pPr>
        <w:ind w:firstLine="560"/>
      </w:pPr>
      <w:r>
        <w:rPr>
          <w:rFonts w:hint="eastAsia"/>
        </w:rPr>
        <w:t>5、《生产安全事故应急演练评估规范》（YJ/T 9009-2015，2015年09月01日实施）；</w:t>
      </w:r>
    </w:p>
    <w:p w14:paraId="0629BDC3">
      <w:pPr>
        <w:ind w:firstLine="560"/>
      </w:pPr>
      <w:r>
        <w:rPr>
          <w:rFonts w:hint="eastAsia"/>
        </w:rPr>
        <w:t>6、《水工混凝土结构设计规范》（SL/T 191-2025，自2026年02月05日施行）；</w:t>
      </w:r>
    </w:p>
    <w:p w14:paraId="7A053CB1">
      <w:pPr>
        <w:ind w:firstLine="560"/>
      </w:pPr>
      <w:r>
        <w:rPr>
          <w:rFonts w:hint="eastAsia"/>
        </w:rPr>
        <w:t>7、《磷石膏库安全技术规程》（AQ 2059-2016，自2017年03月01日实施）；</w:t>
      </w:r>
    </w:p>
    <w:p w14:paraId="7F37E129">
      <w:pPr>
        <w:ind w:firstLine="560"/>
      </w:pPr>
      <w:r>
        <w:rPr>
          <w:rFonts w:hint="eastAsia"/>
        </w:rPr>
        <w:t>8、</w:t>
      </w:r>
      <w:r>
        <w:rPr>
          <w:rFonts w:hint="eastAsia"/>
          <w:lang w:val="zh-CN"/>
        </w:rPr>
        <w:t>《磷石膏利用和无害化贮存污染控制技术规范》（HJ 1415-2025，</w:t>
      </w:r>
      <w:r>
        <w:rPr>
          <w:rFonts w:hint="eastAsia"/>
        </w:rPr>
        <w:t>自2025年7月1日起实施）；</w:t>
      </w:r>
    </w:p>
    <w:p w14:paraId="25D281B5">
      <w:pPr>
        <w:ind w:firstLine="560"/>
        <w:rPr>
          <w:szCs w:val="21"/>
        </w:rPr>
      </w:pPr>
      <w:r>
        <w:rPr>
          <w:rFonts w:hint="eastAsia"/>
        </w:rPr>
        <w:t>9、</w:t>
      </w:r>
      <w:r>
        <w:t>《尾矿库安全监测技术规范》</w:t>
      </w:r>
      <w:r>
        <w:rPr>
          <w:szCs w:val="21"/>
        </w:rPr>
        <w:t>（AQ2030-2010，自</w:t>
      </w:r>
      <w:r>
        <w:rPr>
          <w:rFonts w:hint="eastAsia"/>
          <w:szCs w:val="21"/>
        </w:rPr>
        <w:t>2011年05月01日实施</w:t>
      </w:r>
      <w:r>
        <w:rPr>
          <w:szCs w:val="21"/>
        </w:rPr>
        <w:t>）；</w:t>
      </w:r>
    </w:p>
    <w:p w14:paraId="2B58B035">
      <w:pPr>
        <w:ind w:firstLine="560"/>
      </w:pPr>
      <w:r>
        <w:rPr>
          <w:rFonts w:hint="eastAsia"/>
          <w:szCs w:val="21"/>
        </w:rPr>
        <w:t>10、《尾矿设施设计规范》（GB50863-2013，自2013年12月01日实施）</w:t>
      </w:r>
      <w:r>
        <w:rPr>
          <w:rFonts w:hint="eastAsia"/>
        </w:rPr>
        <w:t>。</w:t>
      </w:r>
    </w:p>
    <w:p w14:paraId="109C38C0">
      <w:pPr>
        <w:pStyle w:val="4"/>
      </w:pPr>
      <w:bookmarkStart w:id="12" w:name="_Toc230699551"/>
      <w:r>
        <w:rPr>
          <w:rFonts w:hint="eastAsia"/>
        </w:rPr>
        <w:t>1.2.7 技术文件及有关资料</w:t>
      </w:r>
      <w:bookmarkEnd w:id="12"/>
    </w:p>
    <w:p w14:paraId="74435B78">
      <w:pPr>
        <w:ind w:firstLine="560"/>
      </w:pPr>
      <w:r>
        <w:rPr>
          <w:rFonts w:hint="eastAsia"/>
        </w:rPr>
        <w:t>1、云南兴昆化工有限公司与辽宁诺诚安全科技有限公司所签订的安全技术服务合同及安全预评价委托书；</w:t>
      </w:r>
    </w:p>
    <w:p w14:paraId="555CE6C8">
      <w:pPr>
        <w:ind w:firstLine="560"/>
      </w:pPr>
      <w:r>
        <w:rPr>
          <w:rFonts w:hint="eastAsia"/>
        </w:rPr>
        <w:t>2、《云南兴昆化工有限公司磷石膏渣场整改设计方案》（昆钢集团设计院有限公司，2017年09月）；</w:t>
      </w:r>
      <w:r>
        <w:t xml:space="preserve"> </w:t>
      </w:r>
    </w:p>
    <w:p w14:paraId="22EDF93F">
      <w:pPr>
        <w:ind w:firstLine="560"/>
      </w:pPr>
      <w:r>
        <w:rPr>
          <w:rFonts w:hint="eastAsia"/>
        </w:rPr>
        <w:t>3、《云南兴昆化工有限公司甸头村大坟箐磷石膏渣场稳定性校核岩土工程勘察报告（详细勘察）》（云南坦盛岩土工程有限公司，2021年07月）；</w:t>
      </w:r>
    </w:p>
    <w:p w14:paraId="570BCF13">
      <w:pPr>
        <w:ind w:firstLine="560"/>
      </w:pPr>
      <w:r>
        <w:rPr>
          <w:rFonts w:hint="eastAsia"/>
        </w:rPr>
        <w:t>4、《云南兴昆化工有限公司大坟箐磷石膏渣场水文地质专项调查报告》（西南有色昆明勘测设计（院）股份有限公司，2025年05月）；</w:t>
      </w:r>
    </w:p>
    <w:p w14:paraId="01090C15">
      <w:pPr>
        <w:ind w:firstLine="560"/>
      </w:pPr>
      <w:r>
        <w:rPr>
          <w:rFonts w:hint="eastAsia"/>
        </w:rPr>
        <w:t>5、</w:t>
      </w:r>
      <w:r>
        <w:t>《云南兴昆化工有限公司大坟箐磷石膏渣场堆存整治设计》（昆明坤泽矿业技术有限责任公司，</w:t>
      </w:r>
      <w:r>
        <w:rPr>
          <w:rFonts w:hint="eastAsia"/>
        </w:rPr>
        <w:t>2026年1月</w:t>
      </w:r>
      <w:r>
        <w:t>）；</w:t>
      </w:r>
    </w:p>
    <w:p w14:paraId="47BAEABB">
      <w:pPr>
        <w:ind w:firstLine="560"/>
      </w:pPr>
      <w:r>
        <w:rPr>
          <w:rFonts w:hint="eastAsia"/>
        </w:rPr>
        <w:t>6、云南兴昆化工有限公司提供的其他资料。</w:t>
      </w:r>
    </w:p>
    <w:p w14:paraId="0491B2C9">
      <w:pPr>
        <w:pStyle w:val="3"/>
      </w:pPr>
      <w:bookmarkStart w:id="13" w:name="_Toc230699552"/>
      <w:r>
        <w:rPr>
          <w:rFonts w:hint="eastAsia"/>
        </w:rPr>
        <w:t>1.3 评价程序</w:t>
      </w:r>
      <w:bookmarkEnd w:id="13"/>
    </w:p>
    <w:p w14:paraId="3A779B27">
      <w:pPr>
        <w:ind w:firstLine="560"/>
      </w:pPr>
      <w:r>
        <w:rPr>
          <w:rFonts w:hint="eastAsia"/>
        </w:rPr>
        <w:t>评价工作程序按《安全评价通则》AQ8001-2007及《安全预评价导则》AQ8002-2007的要求开展工作，包括：前期准备，辨识与分析危险、有害因素，划分评价单元，定性、定量评价，提出安全对策措施建议，做出评价结论，编制安全预评价报告。具体预评价程序如图1.3-1所示。</w:t>
      </w:r>
    </w:p>
    <w:p w14:paraId="3A05BC26">
      <w:pPr>
        <w:ind w:firstLine="0" w:firstLineChars="0"/>
        <w:jc w:val="center"/>
      </w:pPr>
      <w:r>
        <w:drawing>
          <wp:inline distT="0" distB="0" distL="114300" distR="114300">
            <wp:extent cx="2082165" cy="3676650"/>
            <wp:effectExtent l="0" t="0" r="133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tretch>
                      <a:fillRect/>
                    </a:stretch>
                  </pic:blipFill>
                  <pic:spPr>
                    <a:xfrm>
                      <a:off x="0" y="0"/>
                      <a:ext cx="2082165" cy="3676650"/>
                    </a:xfrm>
                    <a:prstGeom prst="rect">
                      <a:avLst/>
                    </a:prstGeom>
                    <a:noFill/>
                    <a:ln w="12700">
                      <a:noFill/>
                    </a:ln>
                  </pic:spPr>
                </pic:pic>
              </a:graphicData>
            </a:graphic>
          </wp:inline>
        </w:drawing>
      </w:r>
    </w:p>
    <w:p w14:paraId="0336BA31">
      <w:pPr>
        <w:pStyle w:val="38"/>
        <w:rPr>
          <w:rFonts w:hint="default"/>
        </w:rPr>
      </w:pPr>
      <w:r>
        <w:t>图1.3-1  安全评价程序图</w:t>
      </w:r>
    </w:p>
    <w:p w14:paraId="190A8825">
      <w:pPr>
        <w:ind w:firstLine="560"/>
      </w:pPr>
      <w:r>
        <w:rPr>
          <w:rFonts w:hint="eastAsia"/>
        </w:rPr>
        <w:br w:type="page"/>
      </w:r>
    </w:p>
    <w:p w14:paraId="1C178536">
      <w:pPr>
        <w:pStyle w:val="2"/>
      </w:pPr>
      <w:bookmarkStart w:id="14" w:name="_Toc230699553"/>
      <w:r>
        <w:rPr>
          <w:rFonts w:hint="eastAsia"/>
        </w:rPr>
        <w:t>2 建设项目概述</w:t>
      </w:r>
      <w:bookmarkEnd w:id="14"/>
    </w:p>
    <w:p w14:paraId="34A7BD99">
      <w:pPr>
        <w:pStyle w:val="3"/>
      </w:pPr>
      <w:bookmarkStart w:id="15" w:name="_Toc230699554"/>
      <w:r>
        <w:rPr>
          <w:rFonts w:hint="eastAsia"/>
        </w:rPr>
        <w:t>2.1 建设单位及磷石膏渣库简述</w:t>
      </w:r>
      <w:bookmarkEnd w:id="15"/>
    </w:p>
    <w:p w14:paraId="35FF12F4">
      <w:pPr>
        <w:pStyle w:val="4"/>
      </w:pPr>
      <w:bookmarkStart w:id="16" w:name="_Toc230699555"/>
      <w:r>
        <w:rPr>
          <w:rFonts w:hint="eastAsia"/>
        </w:rPr>
        <w:t>2.1.1 建设单位简介</w:t>
      </w:r>
      <w:bookmarkEnd w:id="16"/>
    </w:p>
    <w:p w14:paraId="1A454D9E">
      <w:pPr>
        <w:ind w:firstLine="560"/>
      </w:pPr>
      <w:r>
        <w:t>云南兴昆化工有限公司前身是云南昆阳兴昆化工总厂，成立于1995年12月，2005年8月17日完成工商注册登记，更名为云南兴昆化工有限公司，是自负盈亏、自主经营的民营企业。企业位于云南省昆明市晋宁县二街乡栗庙。</w:t>
      </w:r>
    </w:p>
    <w:p w14:paraId="065AFF06">
      <w:pPr>
        <w:ind w:firstLine="560"/>
      </w:pPr>
      <w:r>
        <w:t>云南兴昆化工有限公司法人营业执照的基本情况如下：</w:t>
      </w:r>
    </w:p>
    <w:p w14:paraId="518A7630">
      <w:pPr>
        <w:ind w:firstLine="560"/>
      </w:pPr>
      <w:r>
        <w:t>统一社会信用代码：915301222168051315</w:t>
      </w:r>
    </w:p>
    <w:p w14:paraId="03DC5BA5">
      <w:pPr>
        <w:ind w:firstLine="560"/>
      </w:pPr>
      <w:r>
        <w:t>名称：云南兴昆化工有限公司</w:t>
      </w:r>
    </w:p>
    <w:p w14:paraId="6417A9E8">
      <w:pPr>
        <w:ind w:firstLine="560"/>
      </w:pPr>
      <w:r>
        <w:t>注册资本：伍佰壹拾柒万元整</w:t>
      </w:r>
    </w:p>
    <w:p w14:paraId="143D0D07">
      <w:pPr>
        <w:ind w:firstLine="560"/>
      </w:pPr>
      <w:r>
        <w:t>公司类型：有限责任公司（自然人投资或控股）</w:t>
      </w:r>
    </w:p>
    <w:p w14:paraId="7C234120">
      <w:pPr>
        <w:ind w:firstLine="560"/>
      </w:pPr>
      <w:r>
        <w:t>法定代表人：高林</w:t>
      </w:r>
    </w:p>
    <w:p w14:paraId="0AC8347B">
      <w:pPr>
        <w:ind w:firstLine="560"/>
      </w:pPr>
      <w:r>
        <w:t>成立日期：1996年4月1日</w:t>
      </w:r>
    </w:p>
    <w:p w14:paraId="01187CFB">
      <w:pPr>
        <w:ind w:firstLine="560"/>
      </w:pPr>
      <w:r>
        <w:t>营业期限：2005年8月17日至2035年8月17日</w:t>
      </w:r>
    </w:p>
    <w:p w14:paraId="6BD15763">
      <w:pPr>
        <w:ind w:firstLine="560"/>
      </w:pPr>
      <w:r>
        <w:t>住所：云南省昆明市晋宁县二街乡栗庙</w:t>
      </w:r>
    </w:p>
    <w:p w14:paraId="105E641D">
      <w:pPr>
        <w:ind w:firstLine="560"/>
      </w:pPr>
      <w:r>
        <w:t>经营范围：</w:t>
      </w:r>
      <w:r>
        <w:rPr>
          <w:rFonts w:hint="eastAsia"/>
        </w:rPr>
        <w:t>许可项目：危险化学品生产；危险化学品经营；肥料生产；饲料添加剂生产（依法须经批准的项目，经相关部门批准后方可开展经营活动，具体经营项目以相关部门批准文件或许可证件为准）一般项目：肥料销售；饲料添加剂销售；非金属矿及制品销售；生物有机肥料研发；技术服务、技术开发、技术咨询、技术交流、技术转让、技术推广；货物进出口；技术进出口（除依法须经批准的项目外，凭营业执照依法自主开展经营活动）</w:t>
      </w:r>
      <w:r>
        <w:t>。</w:t>
      </w:r>
    </w:p>
    <w:p w14:paraId="294AA3D9">
      <w:pPr>
        <w:ind w:firstLine="560"/>
      </w:pPr>
      <w:r>
        <w:rPr>
          <w:rFonts w:hint="eastAsia"/>
        </w:rPr>
        <w:t>登记机关：昆明市晋宁区市场监督管理局</w:t>
      </w:r>
    </w:p>
    <w:p w14:paraId="3BBF2419">
      <w:pPr>
        <w:ind w:firstLine="560"/>
      </w:pPr>
      <w:r>
        <w:rPr>
          <w:rFonts w:hint="eastAsia"/>
        </w:rPr>
        <w:t>登记日期：2022年4月2日</w:t>
      </w:r>
    </w:p>
    <w:p w14:paraId="53555C3A">
      <w:pPr>
        <w:ind w:firstLine="560"/>
      </w:pPr>
      <w:r>
        <w:t>云南兴昆化工有限公司依托周边丰富的磷矿石资源，经过20余年的发展，现已成为一个拥有硫酸、湿法磷酸、磷肥、水溶肥、有机肥、复混肥料等生产能力的、装置配套性强、专业技术水平高的中型磷化工企业。公司现有员工200余人，各类工程技术人员20余人，下设昆明兴春化工有限责任公司、制酸分厂、化肥分厂和农业科技服务中心，拥有12万吨/年硫磺制硫酸生产装置、4万吨（P</w:t>
      </w:r>
      <w:r>
        <w:rPr>
          <w:vertAlign w:val="subscript"/>
        </w:rPr>
        <w:t>2</w:t>
      </w:r>
      <w:r>
        <w:t>O</w:t>
      </w:r>
      <w:r>
        <w:rPr>
          <w:vertAlign w:val="subscript"/>
        </w:rPr>
        <w:t>5</w:t>
      </w:r>
      <w:r>
        <w:t>）/年湿法磷酸生产装置、25万吨/年造粒生产装置、25万吨/年过磷酸钙生产装置、10万吨/年磷矿粉生产装置、10万吨/年肥料级磷酸氢钙生产装置、5万吨/年全溶性水溶肥生产装置、3万吨/年有机肥生产装置各一套，主要产品磷肥、全溶性水溶肥、有机肥和复混肥料等共十五个品种、四十多种配方。</w:t>
      </w:r>
    </w:p>
    <w:p w14:paraId="5CC8AC6C">
      <w:pPr>
        <w:ind w:firstLine="560"/>
      </w:pPr>
      <w:r>
        <w:t>云南兴昆化工有限公司一贯坚持“质量是企业的生命”，努力打造质量过硬的产品，在肥料行业得到了广泛一致的好评，产品覆盖全国，远销澳大利亚、新西兰、东南亚、南亚、非洲、南美等国家和地区。公司主要产品“兴昆”牌重过磷酸钙、“兴昆”牌富过磷酸钙连年被授予“昆明市名牌产品”，公司质量监督部被中国石油和化学工业联合会授予A级质量检验机构证书。</w:t>
      </w:r>
    </w:p>
    <w:p w14:paraId="3C64FC2B">
      <w:pPr>
        <w:ind w:firstLine="560"/>
      </w:pPr>
      <w:r>
        <w:t>云南兴昆化工有限公司继承了国有企业的优良传统，管理规范严格，员工素质高，社会责任感强；同时，公司也具有民营企业灵活多样的经营方式和高效务实的工作作风。公司通过了ISO9001国际质量管理体系、ISO14001国际环境管理体系认证，通过了云南省清洁生产审核，是</w:t>
      </w:r>
      <w:r>
        <w:rPr>
          <w:rFonts w:asciiTheme="minorEastAsia" w:hAnsiTheme="minorEastAsia" w:eastAsiaTheme="minorEastAsia"/>
        </w:rPr>
        <w:t>“</w:t>
      </w:r>
      <w:r>
        <w:t>国家安全标准化三级企业</w:t>
      </w:r>
      <w:r>
        <w:rPr>
          <w:rFonts w:asciiTheme="minorEastAsia" w:hAnsiTheme="minorEastAsia" w:eastAsiaTheme="minorEastAsia"/>
        </w:rPr>
        <w:t>”</w:t>
      </w:r>
      <w:r>
        <w:t>、</w:t>
      </w:r>
      <w:r>
        <w:rPr>
          <w:rFonts w:asciiTheme="minorEastAsia" w:hAnsiTheme="minorEastAsia" w:eastAsiaTheme="minorEastAsia"/>
        </w:rPr>
        <w:t>“</w:t>
      </w:r>
      <w:r>
        <w:t>昆明市能源计量示范单位</w:t>
      </w:r>
      <w:r>
        <w:rPr>
          <w:rFonts w:asciiTheme="minorEastAsia" w:hAnsiTheme="minorEastAsia" w:eastAsiaTheme="minorEastAsia"/>
        </w:rPr>
        <w:t>”</w:t>
      </w:r>
      <w:r>
        <w:t>和</w:t>
      </w:r>
      <w:r>
        <w:rPr>
          <w:rFonts w:asciiTheme="minorEastAsia" w:hAnsiTheme="minorEastAsia" w:eastAsiaTheme="minorEastAsia"/>
        </w:rPr>
        <w:t>“</w:t>
      </w:r>
      <w:r>
        <w:t>昆明市计量合格企业</w:t>
      </w:r>
      <w:r>
        <w:rPr>
          <w:rFonts w:asciiTheme="minorEastAsia" w:hAnsiTheme="minorEastAsia" w:eastAsiaTheme="minorEastAsia"/>
        </w:rPr>
        <w:t>”</w:t>
      </w:r>
      <w:r>
        <w:t>，被地方政府多次表彰并被授予多项殊荣。</w:t>
      </w:r>
    </w:p>
    <w:p w14:paraId="306B9AE8">
      <w:pPr>
        <w:pStyle w:val="4"/>
      </w:pPr>
      <w:bookmarkStart w:id="17" w:name="_Toc230699556"/>
      <w:r>
        <w:rPr>
          <w:rFonts w:hint="eastAsia"/>
        </w:rPr>
        <w:t>2.1.2 磷石膏渣库简述</w:t>
      </w:r>
      <w:bookmarkEnd w:id="17"/>
    </w:p>
    <w:p w14:paraId="1699C97C">
      <w:pPr>
        <w:tabs>
          <w:tab w:val="right" w:leader="middleDot" w:pos="9450"/>
        </w:tabs>
        <w:ind w:firstLine="560"/>
      </w:pPr>
      <w:r>
        <w:t>云南兴昆化工有限公司大坟箐磷石膏渣场位于昆明市晋宁县二街乡甸头村西侧直线距离约1.0km处的大坟箐。渣场主要为湿法磷酸生产过程中产生的磷石膏渣库。</w:t>
      </w:r>
    </w:p>
    <w:p w14:paraId="5C6F0F2D">
      <w:pPr>
        <w:tabs>
          <w:tab w:val="right" w:leader="middleDot" w:pos="9450"/>
        </w:tabs>
        <w:ind w:firstLine="560"/>
        <w:rPr>
          <w:rFonts w:cs="Times New Roman"/>
        </w:rPr>
      </w:pPr>
      <w:r>
        <w:rPr>
          <w:rFonts w:hint="eastAsia" w:cs="Times New Roman"/>
        </w:rPr>
        <w:t>1、初始建设阶段（2006年-2008年）：立项备案与工程建设</w:t>
      </w:r>
    </w:p>
    <w:p w14:paraId="07EDE467">
      <w:pPr>
        <w:tabs>
          <w:tab w:val="right" w:leader="middleDot" w:pos="9450"/>
        </w:tabs>
        <w:ind w:firstLine="560"/>
        <w:rPr>
          <w:rFonts w:cs="Times New Roman"/>
        </w:rPr>
      </w:pPr>
      <w:r>
        <w:rPr>
          <w:rFonts w:hint="eastAsia" w:cs="Times New Roman"/>
        </w:rPr>
        <w:t>2</w:t>
      </w:r>
      <w:r>
        <w:rPr>
          <w:rFonts w:cs="Times New Roman"/>
        </w:rPr>
        <w:t>、整改阶段（2017年）：病库认定与安全整改</w:t>
      </w:r>
    </w:p>
    <w:p w14:paraId="61C60837">
      <w:pPr>
        <w:tabs>
          <w:tab w:val="right" w:leader="middleDot" w:pos="9450"/>
        </w:tabs>
        <w:ind w:firstLine="560"/>
        <w:rPr>
          <w:rFonts w:cs="Times New Roman"/>
        </w:rPr>
      </w:pPr>
      <w:r>
        <w:rPr>
          <w:rFonts w:hint="eastAsia" w:cs="Times New Roman"/>
        </w:rPr>
        <w:t>3</w:t>
      </w:r>
      <w:r>
        <w:rPr>
          <w:rFonts w:cs="Times New Roman"/>
        </w:rPr>
        <w:t>、回采规划与实施阶段（2021年）：综合利用与工程调整</w:t>
      </w:r>
    </w:p>
    <w:p w14:paraId="19489B60">
      <w:pPr>
        <w:tabs>
          <w:tab w:val="right" w:leader="middleDot" w:pos="9450"/>
        </w:tabs>
        <w:ind w:firstLine="560"/>
        <w:rPr>
          <w:rFonts w:cs="Times New Roman"/>
        </w:rPr>
      </w:pPr>
      <w:r>
        <w:rPr>
          <w:rFonts w:hint="eastAsia" w:cs="Times New Roman"/>
        </w:rPr>
        <w:t>4</w:t>
      </w:r>
      <w:r>
        <w:rPr>
          <w:rFonts w:cs="Times New Roman"/>
        </w:rPr>
        <w:t>、现状阶段（至2025年11月底）：堆存现状与库等认定</w:t>
      </w:r>
    </w:p>
    <w:p w14:paraId="74DD0901">
      <w:pPr>
        <w:pStyle w:val="4"/>
      </w:pPr>
      <w:bookmarkStart w:id="18" w:name="_Toc230699557"/>
      <w:r>
        <w:rPr>
          <w:rFonts w:hint="eastAsia"/>
        </w:rPr>
        <w:t>2.1.3 项目地理位置及交通情况</w:t>
      </w:r>
      <w:bookmarkEnd w:id="18"/>
    </w:p>
    <w:p w14:paraId="39C7E4AF">
      <w:pPr>
        <w:ind w:firstLine="560"/>
        <w:rPr>
          <w:rFonts w:hint="default"/>
        </w:rPr>
      </w:pPr>
      <w:r>
        <w:rPr>
          <w:szCs w:val="20"/>
        </w:rPr>
        <w:t>云南兴昆化工有限公司磷石膏渣场位于昆明市晋宁区二街镇甸头村西侧约1km处（直平距）的大坟箐。距晋宁区西约10km（直平距），距生产厂3.9km（直平距），隶属晋宁区二街镇所辖。渣场区有县乡公路、乡村公路相通，交通运输条件良好</w:t>
      </w:r>
      <w:r>
        <w:rPr>
          <w:rFonts w:hint="eastAsia"/>
        </w:rPr>
        <w:t>。</w:t>
      </w:r>
      <w:r>
        <w:t xml:space="preserve"> </w:t>
      </w:r>
    </w:p>
    <w:p w14:paraId="7B3A5564">
      <w:pPr>
        <w:pStyle w:val="4"/>
      </w:pPr>
      <w:bookmarkStart w:id="19" w:name="_Toc230699558"/>
      <w:r>
        <w:rPr>
          <w:rFonts w:hint="eastAsia"/>
        </w:rPr>
        <w:t>2.1.4 项目周边环境</w:t>
      </w:r>
      <w:bookmarkEnd w:id="19"/>
    </w:p>
    <w:p w14:paraId="35758898">
      <w:pPr>
        <w:ind w:firstLine="560"/>
      </w:pPr>
      <w:r>
        <w:t>云南兴昆化工有限公司磷石膏渣场西南向山头约</w:t>
      </w:r>
      <w:r>
        <w:rPr>
          <w:rFonts w:hint="eastAsia"/>
        </w:rPr>
        <w:t>218</w:t>
      </w:r>
      <w:r>
        <w:t>m为晋宁220kV变电站最近点（门口最低标高2017.24m），220kV变电站围墙外北西方向有输电线路电塔6座，同时有三条电力输变线（分别为35kV、10kV、10kV）从渣场南东向经过，电力输变线最低点与磷石膏渣间距约8m，渣场西南向山头约400m为二街生活水厂，西南向约115m（标高2014.10m）为一干擦厂生产场地，西侧1000m处（直平距）隔山平地处（处于渣场篙沟下游）为二街镇甸头村（标高为1988m，住户约1600人左右），渣场西北向分水岭隔山靠山坡一侧约</w:t>
      </w:r>
      <w:r>
        <w:rPr>
          <w:rFonts w:hint="eastAsia"/>
        </w:rPr>
        <w:t>33</w:t>
      </w:r>
      <w:r>
        <w:t>0m（直平距）为喜来宝化肥厂和宇坤工贸，渣场西北向分水岭隔山平地处约680m（直平距）为马脚村（标高1978m，住户约800人左右），渣场北侧隔山靠山坡脚约</w:t>
      </w:r>
      <w:r>
        <w:rPr>
          <w:rFonts w:hint="eastAsia"/>
        </w:rPr>
        <w:t>180m</w:t>
      </w:r>
      <w:r>
        <w:t>（直平距）为建材厂和钢管厂等，周边环境相对复杂</w:t>
      </w:r>
      <w:r>
        <w:rPr>
          <w:rFonts w:hint="eastAsia"/>
        </w:rPr>
        <w:t>。</w:t>
      </w:r>
    </w:p>
    <w:p w14:paraId="43A37C26">
      <w:pPr>
        <w:pStyle w:val="5"/>
        <w:rPr>
          <w:rFonts w:cs="Times New Roman"/>
          <w:sz w:val="24"/>
          <w:szCs w:val="24"/>
        </w:rPr>
      </w:pPr>
      <w:r>
        <w:rPr>
          <w:rFonts w:cs="Times New Roman"/>
          <w:bCs/>
          <w:sz w:val="30"/>
          <w:szCs w:val="30"/>
        </w:rPr>
        <w:t>2.</w:t>
      </w:r>
      <w:r>
        <w:rPr>
          <w:rFonts w:hint="eastAsia" w:cs="Times New Roman"/>
          <w:bCs/>
          <w:sz w:val="30"/>
          <w:szCs w:val="30"/>
        </w:rPr>
        <w:t>1</w:t>
      </w:r>
      <w:r>
        <w:rPr>
          <w:rFonts w:cs="Times New Roman"/>
          <w:bCs/>
          <w:sz w:val="30"/>
          <w:szCs w:val="30"/>
        </w:rPr>
        <w:t>.</w:t>
      </w:r>
      <w:r>
        <w:rPr>
          <w:rFonts w:hint="eastAsia" w:cs="Times New Roman"/>
          <w:bCs/>
          <w:sz w:val="30"/>
          <w:szCs w:val="30"/>
        </w:rPr>
        <w:t>4</w:t>
      </w:r>
      <w:r>
        <w:rPr>
          <w:rFonts w:cs="Times New Roman"/>
          <w:bCs/>
          <w:sz w:val="30"/>
          <w:szCs w:val="30"/>
        </w:rPr>
        <w:t>.1</w:t>
      </w:r>
      <w:r>
        <w:rPr>
          <w:rFonts w:hint="eastAsia" w:cs="Times New Roman"/>
          <w:bCs/>
          <w:sz w:val="30"/>
          <w:szCs w:val="30"/>
        </w:rPr>
        <w:t>周边（1 km）关联地下水监测</w:t>
      </w:r>
    </w:p>
    <w:p w14:paraId="1189953C">
      <w:pPr>
        <w:ind w:firstLine="560"/>
        <w:rPr>
          <w:rFonts w:cs="Times New Roman"/>
        </w:rPr>
      </w:pPr>
      <w:r>
        <w:rPr>
          <w:rFonts w:hint="eastAsia" w:cs="Times New Roman"/>
        </w:rPr>
        <w:t>依据地下水综合指标评价结果，可以得出以下结论：</w:t>
      </w:r>
    </w:p>
    <w:p w14:paraId="70D5D6D0">
      <w:pPr>
        <w:ind w:firstLine="560"/>
        <w:rPr>
          <w:rFonts w:cs="Times New Roman"/>
        </w:rPr>
      </w:pPr>
      <w:r>
        <w:rPr>
          <w:rFonts w:hint="eastAsia" w:cs="Times New Roman"/>
        </w:rPr>
        <w:t>a.大坟箐磷石膏渣库周边1km关联地下水水质类别整体上以Ⅴ类、Ⅳ类水为主；</w:t>
      </w:r>
    </w:p>
    <w:p w14:paraId="4122A704">
      <w:pPr>
        <w:ind w:firstLine="560"/>
        <w:rPr>
          <w:rFonts w:cs="Times New Roman"/>
        </w:rPr>
      </w:pPr>
      <w:r>
        <w:rPr>
          <w:rFonts w:hint="eastAsia" w:cs="Times New Roman"/>
        </w:rPr>
        <w:t>b. 大坟箐磷石膏渣库周边地下水采样点超出《地下水质量标准》 （GB/T 14848-2017）Ⅲ类水指标的因子主要为 pH、氨氮、硫酸盐、总磷；</w:t>
      </w:r>
    </w:p>
    <w:p w14:paraId="778D6E14">
      <w:pPr>
        <w:ind w:firstLine="560"/>
      </w:pPr>
      <w:r>
        <w:rPr>
          <w:rFonts w:hint="eastAsia" w:cs="Times New Roman"/>
        </w:rPr>
        <w:t>c.大坟箐磷石膏渣库对周边造成了一定影响，但地下水流向下游污染可控。</w:t>
      </w:r>
    </w:p>
    <w:p w14:paraId="2A68C9A5">
      <w:pPr>
        <w:pStyle w:val="5"/>
        <w:rPr>
          <w:rFonts w:cs="Times New Roman"/>
          <w:bCs/>
          <w:sz w:val="30"/>
          <w:szCs w:val="30"/>
        </w:rPr>
      </w:pPr>
      <w:r>
        <w:rPr>
          <w:rFonts w:cs="Times New Roman"/>
          <w:bCs/>
          <w:sz w:val="30"/>
          <w:szCs w:val="30"/>
        </w:rPr>
        <w:t>2.</w:t>
      </w:r>
      <w:r>
        <w:rPr>
          <w:rFonts w:hint="eastAsia" w:cs="Times New Roman"/>
          <w:bCs/>
          <w:sz w:val="30"/>
          <w:szCs w:val="30"/>
        </w:rPr>
        <w:t>1</w:t>
      </w:r>
      <w:r>
        <w:rPr>
          <w:rFonts w:cs="Times New Roman"/>
          <w:bCs/>
          <w:sz w:val="30"/>
          <w:szCs w:val="30"/>
        </w:rPr>
        <w:t>.</w:t>
      </w:r>
      <w:r>
        <w:rPr>
          <w:rFonts w:hint="eastAsia" w:cs="Times New Roman"/>
          <w:bCs/>
          <w:sz w:val="30"/>
          <w:szCs w:val="30"/>
        </w:rPr>
        <w:t>4</w:t>
      </w:r>
      <w:r>
        <w:rPr>
          <w:rFonts w:cs="Times New Roman"/>
          <w:bCs/>
          <w:sz w:val="30"/>
          <w:szCs w:val="30"/>
        </w:rPr>
        <w:t>.</w:t>
      </w:r>
      <w:r>
        <w:rPr>
          <w:rFonts w:hint="eastAsia" w:cs="Times New Roman"/>
          <w:bCs/>
          <w:sz w:val="30"/>
          <w:szCs w:val="30"/>
        </w:rPr>
        <w:t>2周边（3 km）关联地表水监测</w:t>
      </w:r>
    </w:p>
    <w:p w14:paraId="581151BA">
      <w:pPr>
        <w:ind w:firstLine="560"/>
        <w:rPr>
          <w:rFonts w:cs="Times New Roman"/>
        </w:rPr>
      </w:pPr>
      <w:r>
        <w:rPr>
          <w:rFonts w:hint="eastAsia" w:cs="Times New Roman"/>
        </w:rPr>
        <w:t>依据地表水综合指标评价结果，可以得出以下结论：</w:t>
      </w:r>
    </w:p>
    <w:p w14:paraId="6D44EE0C">
      <w:pPr>
        <w:ind w:firstLine="560"/>
        <w:rPr>
          <w:rFonts w:cs="Times New Roman"/>
        </w:rPr>
      </w:pPr>
      <w:r>
        <w:rPr>
          <w:rFonts w:hint="eastAsia" w:cs="Times New Roman"/>
        </w:rPr>
        <w:t>a.地表水整体水质为Ⅲ类、IV类水为主，东冲箐整体水质由II类变为III 类，反映磷石膏库最近的地表水东冲箐明显受到大坟箐磷石膏渣库影响；</w:t>
      </w:r>
    </w:p>
    <w:p w14:paraId="516F9373">
      <w:pPr>
        <w:ind w:firstLine="560"/>
        <w:rPr>
          <w:rFonts w:cs="Times New Roman"/>
        </w:rPr>
      </w:pPr>
      <w:r>
        <w:rPr>
          <w:rFonts w:hint="eastAsia" w:cs="Times New Roman"/>
        </w:rPr>
        <w:t>b.大坟箐磷石膏渣库周边地表水采样点超出《地表水环境质量标准》（GB 3838-2002）III类水指标限值的因子主要为锰、铁、总磷，其中锰、铁不影响整体评价结果；</w:t>
      </w:r>
    </w:p>
    <w:p w14:paraId="709E8D91">
      <w:pPr>
        <w:ind w:firstLine="560"/>
        <w:rPr>
          <w:rFonts w:cs="Times New Roman"/>
        </w:rPr>
      </w:pPr>
      <w:r>
        <w:rPr>
          <w:rFonts w:hint="eastAsia" w:cs="Times New Roman"/>
        </w:rPr>
        <w:t>c.东冲箐流经大坟箐磷石膏渣库前锰、铁即为IV类，流经大坟箐磷石膏渣库后向下游浓度降低，进入二街河汇水口处锰、氨氮降低为III类，表明铁、锰超标属背景值影响；</w:t>
      </w:r>
    </w:p>
    <w:p w14:paraId="0F7B4366">
      <w:pPr>
        <w:ind w:firstLine="560"/>
        <w:rPr>
          <w:rFonts w:cs="Times New Roman"/>
        </w:rPr>
      </w:pPr>
      <w:r>
        <w:rPr>
          <w:rFonts w:hint="eastAsia" w:cs="Times New Roman"/>
        </w:rPr>
        <w:t>d.下游4#地表水采样点总磷出现超标现象，属叠加面源农业污染的结果。大坟箐磷石膏渣库地下水径流方向为顺导水的大坟箐向斜向西南侧二街河排泄，但地下水径流途径上游原3#地下水监测井总磷浓度为Ⅰ类，可以排除是大坟箐磷石膏渣库造成的影响。</w:t>
      </w:r>
    </w:p>
    <w:p w14:paraId="03F08E04">
      <w:pPr>
        <w:pStyle w:val="5"/>
        <w:rPr>
          <w:rFonts w:cs="Times New Roman"/>
          <w:bCs/>
          <w:sz w:val="30"/>
          <w:szCs w:val="30"/>
        </w:rPr>
      </w:pPr>
      <w:r>
        <w:rPr>
          <w:rFonts w:cs="Times New Roman"/>
          <w:bCs/>
          <w:sz w:val="30"/>
          <w:szCs w:val="30"/>
        </w:rPr>
        <w:t>2.</w:t>
      </w:r>
      <w:r>
        <w:rPr>
          <w:rFonts w:hint="eastAsia" w:cs="Times New Roman"/>
          <w:bCs/>
          <w:sz w:val="30"/>
          <w:szCs w:val="30"/>
        </w:rPr>
        <w:t>1.4</w:t>
      </w:r>
      <w:r>
        <w:rPr>
          <w:rFonts w:cs="Times New Roman"/>
          <w:bCs/>
          <w:sz w:val="30"/>
          <w:szCs w:val="30"/>
        </w:rPr>
        <w:t>.</w:t>
      </w:r>
      <w:r>
        <w:rPr>
          <w:rFonts w:hint="eastAsia" w:cs="Times New Roman"/>
          <w:bCs/>
          <w:sz w:val="30"/>
          <w:szCs w:val="30"/>
        </w:rPr>
        <w:t>3周边农用地土壤调查</w:t>
      </w:r>
    </w:p>
    <w:p w14:paraId="3C87D552">
      <w:pPr>
        <w:ind w:firstLine="560"/>
        <w:rPr>
          <w:rFonts w:cs="Times New Roman"/>
        </w:rPr>
      </w:pPr>
      <w:r>
        <w:rPr>
          <w:rFonts w:hint="eastAsia" w:cs="Times New Roman"/>
        </w:rPr>
        <w:t>（1）测试结果</w:t>
      </w:r>
    </w:p>
    <w:p w14:paraId="748376EF">
      <w:pPr>
        <w:ind w:firstLine="560"/>
        <w:rPr>
          <w:rFonts w:cs="Times New Roman"/>
          <w:sz w:val="24"/>
          <w:szCs w:val="24"/>
        </w:rPr>
      </w:pPr>
      <w:r>
        <w:rPr>
          <w:rFonts w:cs="Times New Roman"/>
        </w:rPr>
        <w:t>渣场周边5km范围内均集中分布有农田、耕地，本次依据相关技术要求开展开展磷石膏库周边农用地土壤污染状况调查。依据大坟箐磷石膏渣库周边农用地土壤测试结果，主要超出《土壤环境质量农用地土壤污染风险管控标准》（GB 15618-2018）筛选值指标为镉、锌、铅这3项指标，主要超标点位为大坟箐磷石膏渣库东北侧上游 1#土壤采样点、西南侧下游旱田土壤采样点 4#土壤采样点、6#土壤采样点三处。</w:t>
      </w:r>
    </w:p>
    <w:p w14:paraId="08281555">
      <w:pPr>
        <w:ind w:firstLine="560"/>
        <w:rPr>
          <w:rFonts w:cs="Times New Roman"/>
        </w:rPr>
      </w:pPr>
      <w:r>
        <w:rPr>
          <w:rFonts w:cs="Times New Roman"/>
        </w:rPr>
        <w:t>（2）超筛选值结果评价</w:t>
      </w:r>
    </w:p>
    <w:p w14:paraId="5D582A30">
      <w:pPr>
        <w:ind w:firstLine="560"/>
        <w:rPr>
          <w:rFonts w:cs="Times New Roman"/>
        </w:rPr>
      </w:pPr>
      <w:r>
        <w:rPr>
          <w:rFonts w:cs="Times New Roman"/>
        </w:rPr>
        <w:t>大坟箐磷石膏渣库周边农用地土壤超筛选值点位分布见下图。</w:t>
      </w:r>
    </w:p>
    <w:p w14:paraId="0A3DA001">
      <w:pPr>
        <w:ind w:firstLine="560"/>
        <w:rPr>
          <w:rFonts w:cs="Times New Roman"/>
        </w:rPr>
      </w:pPr>
      <w:r>
        <w:rPr>
          <w:rFonts w:cs="Times New Roman"/>
        </w:rPr>
        <w:t>大坟箐磷石膏渣库主导风向为西南-东北风向，1#土壤采样点位于磷石膏渣库下风向190m，其风向下游1km均为对主导风向起阻挡作用的自然山体，1#土壤采样点超对应农用地土壤筛选值的原因主要为大气沉降作用。</w:t>
      </w:r>
    </w:p>
    <w:p w14:paraId="3DFE2BA3">
      <w:pPr>
        <w:widowControl/>
        <w:ind w:firstLine="200" w:firstLineChars="0"/>
        <w:jc w:val="left"/>
        <w:rPr>
          <w:rFonts w:cs="Times New Roman"/>
        </w:rPr>
      </w:pPr>
      <w:r>
        <w:rPr>
          <w:rFonts w:cs="Times New Roman"/>
        </w:rPr>
        <w:t>大坟箐磷石膏渣库主要地下水流向为西南向，4#土壤采样点位于大坟箐磷石膏渣库通过磷石膏堆体的地下水流向下游45m，超对应农用地土壤筛选值的原因主要为污染物通过地表水迁移作用（地下水埋深远远大于采样深度）；6#土壤采样点位于大坟箐磷石膏渣库次级水文地质单元下游边界，是地下水排泄区，除了可能是库内污染物通过地下水迁移作用造成的以外，不能排除区域是其他作用或其他污染源导致</w:t>
      </w:r>
      <w:r>
        <w:rPr>
          <w:rFonts w:hint="eastAsia" w:cs="Times New Roman"/>
        </w:rPr>
        <w:t>。</w:t>
      </w:r>
    </w:p>
    <w:p w14:paraId="1F7664B8">
      <w:pPr>
        <w:ind w:firstLine="560"/>
        <w:rPr>
          <w:rFonts w:cs="Times New Roman"/>
        </w:rPr>
      </w:pPr>
      <w:r>
        <w:rPr>
          <w:rFonts w:cs="Times New Roman"/>
        </w:rPr>
        <w:t>大坟箐磷石膏渣库周边农用地土壤超筛选值结果具有以下特征：</w:t>
      </w:r>
    </w:p>
    <w:p w14:paraId="2BD6920D">
      <w:pPr>
        <w:ind w:firstLine="560"/>
        <w:rPr>
          <w:rFonts w:cs="Times New Roman"/>
        </w:rPr>
      </w:pPr>
      <w:r>
        <w:rPr>
          <w:rFonts w:cs="Times New Roman"/>
        </w:rPr>
        <w:t>①pH值：呈现明显的二元特征，大坟箐磷石膏渣库周边均呈酸性，pH值范围4.71～6.44，地下水上游酸性更强；东冲箐、二街河沿线排泄区呈弱碱性，pH值范围7.06～7.67；</w:t>
      </w:r>
    </w:p>
    <w:p w14:paraId="0C91477C">
      <w:pPr>
        <w:ind w:firstLine="560"/>
        <w:rPr>
          <w:rFonts w:cs="Times New Roman"/>
        </w:rPr>
      </w:pPr>
      <w:r>
        <w:rPr>
          <w:rFonts w:cs="Times New Roman"/>
        </w:rPr>
        <w:t>②锌：超筛选值点位位于大坟箐磷石膏渣库地下水流向下游农田中，主要受地表水、地下水迁移作用共同影响，超对应筛选值1.04倍；整体上土壤中锌浓度二街河沿线浓度更高，表面外围土壤受二街河地表水灌溉作用影响更大，渣库的地下水排泄也造成了一定影响；</w:t>
      </w:r>
    </w:p>
    <w:p w14:paraId="1A429B2B">
      <w:pPr>
        <w:ind w:firstLine="560"/>
        <w:rPr>
          <w:rFonts w:cs="Times New Roman"/>
        </w:rPr>
      </w:pPr>
      <w:r>
        <w:rPr>
          <w:rFonts w:cs="Times New Roman"/>
        </w:rPr>
        <w:t>③铅：特征与锌完全一致，超筛选值点位位于大坟箐磷石膏渣库地下水流向下游农田中，主要受地表水、地下水迁移作用影响，超筛选值1.34倍；整体上二街河沿线浓度更高，主要受二街河地表水灌溉作用影响，可能受通过渣库的地下水排泄影响；</w:t>
      </w:r>
    </w:p>
    <w:p w14:paraId="7FB99712">
      <w:pPr>
        <w:ind w:firstLine="560"/>
        <w:rPr>
          <w:rFonts w:cs="Times New Roman"/>
        </w:rPr>
      </w:pPr>
      <w:r>
        <w:rPr>
          <w:rFonts w:cs="Times New Roman"/>
        </w:rPr>
        <w:t>④镉：超筛选值点有2处，地下水流向上游、主导风向下风向的1#土壤采样点超筛选值1.34倍，该点位于阻风的自然山体背风处，主要受主导风向大气沉降作用造成超出土壤筛选值；位于二街河边6#土壤采样点超筛选值 1.33倍，该点位于通过大坟箐磷石膏渣库的地下水排泄区，整体上二街河沿线镉浓度更高，无法区分地下水迁移、地表水灌溉或面源叠加效应成因。</w:t>
      </w:r>
    </w:p>
    <w:p w14:paraId="33D6E8EC">
      <w:pPr>
        <w:ind w:firstLine="560"/>
        <w:rPr>
          <w:rFonts w:cs="Times New Roman"/>
        </w:rPr>
      </w:pPr>
      <w:r>
        <w:rPr>
          <w:rFonts w:cs="Times New Roman"/>
        </w:rPr>
        <w:t>⑤其他指标：均未超出对应筛选值，整体上呈现大坟箐磷石膏渣库周边浓度更高的特征。</w:t>
      </w:r>
    </w:p>
    <w:p w14:paraId="3FF038A8">
      <w:pPr>
        <w:pStyle w:val="3"/>
      </w:pPr>
      <w:bookmarkStart w:id="20" w:name="_Toc230699559"/>
      <w:r>
        <w:rPr>
          <w:rFonts w:hint="eastAsia"/>
        </w:rPr>
        <w:t>2.2 自然环境</w:t>
      </w:r>
      <w:bookmarkEnd w:id="20"/>
    </w:p>
    <w:p w14:paraId="0C33CCB9">
      <w:pPr>
        <w:pStyle w:val="4"/>
      </w:pPr>
      <w:bookmarkStart w:id="21" w:name="_Toc230699560"/>
      <w:r>
        <w:rPr>
          <w:rFonts w:hint="eastAsia"/>
        </w:rPr>
        <w:t>2.2.1 气候</w:t>
      </w:r>
      <w:bookmarkEnd w:id="21"/>
    </w:p>
    <w:p w14:paraId="6EF3E8BB">
      <w:pPr>
        <w:ind w:firstLine="560"/>
        <w:rPr>
          <w:lang w:bidi="en-US"/>
        </w:rPr>
      </w:pPr>
      <w:r>
        <w:rPr>
          <w:lang w:bidi="en-US"/>
        </w:rPr>
        <w:t>晋宁</w:t>
      </w:r>
      <w:r>
        <w:rPr>
          <w:rFonts w:hint="eastAsia"/>
          <w:lang w:bidi="en-US"/>
        </w:rPr>
        <w:t>区</w:t>
      </w:r>
      <w:r>
        <w:rPr>
          <w:lang w:bidi="en-US"/>
        </w:rPr>
        <w:t>位于云贵高原中部的滇池南岸，是金沙江与红河的分水岭。属</w:t>
      </w:r>
      <w:r>
        <w:rPr>
          <w:rFonts w:hint="eastAsia"/>
          <w:lang w:bidi="en-US"/>
        </w:rPr>
        <w:t>北纬</w:t>
      </w:r>
      <w:r>
        <w:rPr>
          <w:lang w:bidi="en-US"/>
        </w:rPr>
        <w:t>低纬</w:t>
      </w:r>
      <w:r>
        <w:rPr>
          <w:rFonts w:hint="eastAsia"/>
          <w:lang w:bidi="en-US"/>
        </w:rPr>
        <w:t>亚热带-高原山地</w:t>
      </w:r>
      <w:r>
        <w:rPr>
          <w:lang w:bidi="en-US"/>
        </w:rPr>
        <w:t>季风气候区，</w:t>
      </w:r>
      <w:r>
        <w:rPr>
          <w:rFonts w:hint="eastAsia"/>
          <w:lang w:bidi="en-US"/>
        </w:rPr>
        <w:t>由于受印度洋西南暖湿气流的影响，常年主导风向为西南风，日照长、霜期短、年平均气温</w:t>
      </w:r>
      <w:r>
        <w:rPr>
          <w:lang w:bidi="en-US"/>
        </w:rPr>
        <w:t>15</w:t>
      </w:r>
      <w:r>
        <w:rPr>
          <w:rFonts w:cs="Times New Roman"/>
          <w:lang w:bidi="en-US"/>
        </w:rPr>
        <w:t>℃</w:t>
      </w:r>
      <w:r>
        <w:rPr>
          <w:rFonts w:hint="eastAsia"/>
          <w:lang w:bidi="en-US"/>
        </w:rPr>
        <w:t>，年均日照</w:t>
      </w:r>
      <w:r>
        <w:rPr>
          <w:lang w:bidi="en-US"/>
        </w:rPr>
        <w:t>2200</w:t>
      </w:r>
      <w:r>
        <w:rPr>
          <w:rFonts w:hint="eastAsia"/>
          <w:lang w:bidi="en-US"/>
        </w:rPr>
        <w:t>小时左右，无霜期</w:t>
      </w:r>
      <w:r>
        <w:rPr>
          <w:lang w:bidi="en-US"/>
        </w:rPr>
        <w:t>240</w:t>
      </w:r>
      <w:r>
        <w:rPr>
          <w:rFonts w:hint="eastAsia"/>
          <w:lang w:bidi="en-US"/>
        </w:rPr>
        <w:t>天以上。气候温和，夏无酷暑，冬无严寒，四季如春，气候宜人，年降水量</w:t>
      </w:r>
      <w:r>
        <w:rPr>
          <w:lang w:bidi="en-US"/>
        </w:rPr>
        <w:t>1035mm</w:t>
      </w:r>
      <w:r>
        <w:rPr>
          <w:rFonts w:hint="eastAsia"/>
          <w:lang w:bidi="en-US"/>
        </w:rPr>
        <w:t>，具有典型的温带气候特点，最热时月平均气温</w:t>
      </w:r>
      <w:r>
        <w:rPr>
          <w:lang w:bidi="en-US"/>
        </w:rPr>
        <w:t>19</w:t>
      </w:r>
      <w:r>
        <w:rPr>
          <w:rFonts w:cs="Times New Roman"/>
          <w:lang w:bidi="en-US"/>
        </w:rPr>
        <w:t>℃</w:t>
      </w:r>
      <w:r>
        <w:rPr>
          <w:rFonts w:hint="eastAsia"/>
          <w:lang w:bidi="en-US"/>
        </w:rPr>
        <w:t>左右，最冷时月平均气温</w:t>
      </w:r>
      <w:r>
        <w:rPr>
          <w:lang w:bidi="en-US"/>
        </w:rPr>
        <w:t>8</w:t>
      </w:r>
      <w:r>
        <w:rPr>
          <w:rFonts w:cs="Times New Roman"/>
          <w:lang w:bidi="en-US"/>
        </w:rPr>
        <w:t>℃</w:t>
      </w:r>
      <w:r>
        <w:rPr>
          <w:rFonts w:hint="eastAsia"/>
          <w:lang w:bidi="en-US"/>
        </w:rPr>
        <w:t>左右。历史上年极端气温最高</w:t>
      </w:r>
      <w:r>
        <w:rPr>
          <w:lang w:bidi="en-US"/>
        </w:rPr>
        <w:t>31.2</w:t>
      </w:r>
      <w:r>
        <w:rPr>
          <w:rFonts w:cs="Times New Roman"/>
          <w:lang w:bidi="en-US"/>
        </w:rPr>
        <w:t>℃</w:t>
      </w:r>
      <w:r>
        <w:rPr>
          <w:rFonts w:hint="eastAsia"/>
          <w:lang w:bidi="en-US"/>
        </w:rPr>
        <w:t>和</w:t>
      </w:r>
      <w:r>
        <w:rPr>
          <w:lang w:bidi="en-US"/>
        </w:rPr>
        <w:t>-7.8</w:t>
      </w:r>
      <w:r>
        <w:rPr>
          <w:rFonts w:cs="Times New Roman"/>
          <w:lang w:bidi="en-US"/>
        </w:rPr>
        <w:t>℃</w:t>
      </w:r>
      <w:r>
        <w:rPr>
          <w:rFonts w:hint="eastAsia"/>
          <w:lang w:bidi="en-US"/>
        </w:rPr>
        <w:t>。由于温度、湿度适宜，日照长，霜期短，日温差较大，紫外线强度较高，冬季日温差可达</w:t>
      </w:r>
      <w:r>
        <w:rPr>
          <w:lang w:bidi="en-US"/>
        </w:rPr>
        <w:t>12~20</w:t>
      </w:r>
      <w:r>
        <w:rPr>
          <w:rFonts w:cs="Times New Roman"/>
          <w:lang w:bidi="en-US"/>
        </w:rPr>
        <w:t>℃</w:t>
      </w:r>
      <w:r>
        <w:rPr>
          <w:rFonts w:hint="eastAsia"/>
          <w:lang w:bidi="en-US"/>
        </w:rPr>
        <w:t>，夏季日温差为可达</w:t>
      </w:r>
      <w:r>
        <w:rPr>
          <w:lang w:bidi="en-US"/>
        </w:rPr>
        <w:t>4~10</w:t>
      </w:r>
      <w:r>
        <w:rPr>
          <w:rFonts w:cs="Times New Roman"/>
          <w:lang w:bidi="en-US"/>
        </w:rPr>
        <w:t>℃</w:t>
      </w:r>
      <w:r>
        <w:rPr>
          <w:rFonts w:hint="eastAsia"/>
          <w:lang w:bidi="en-US"/>
        </w:rPr>
        <w:t>。干、湿季分明。全年降水量明显地分为干、湿两季。</w:t>
      </w:r>
      <w:r>
        <w:rPr>
          <w:lang w:bidi="en-US"/>
        </w:rPr>
        <w:t>5~10</w:t>
      </w:r>
      <w:r>
        <w:rPr>
          <w:rFonts w:hint="eastAsia"/>
          <w:lang w:bidi="en-US"/>
        </w:rPr>
        <w:t>月为雨季，降水量占全年的</w:t>
      </w:r>
      <w:r>
        <w:rPr>
          <w:lang w:bidi="en-US"/>
        </w:rPr>
        <w:t>85%</w:t>
      </w:r>
      <w:r>
        <w:rPr>
          <w:rFonts w:hint="eastAsia"/>
          <w:lang w:bidi="en-US"/>
        </w:rPr>
        <w:t>左右。</w:t>
      </w:r>
      <w:r>
        <w:rPr>
          <w:lang w:bidi="en-US"/>
        </w:rPr>
        <w:t>11</w:t>
      </w:r>
      <w:r>
        <w:rPr>
          <w:rFonts w:hint="eastAsia"/>
          <w:lang w:bidi="en-US"/>
        </w:rPr>
        <w:t>月至次年</w:t>
      </w:r>
      <w:r>
        <w:rPr>
          <w:lang w:bidi="en-US"/>
        </w:rPr>
        <w:t>4</w:t>
      </w:r>
      <w:r>
        <w:rPr>
          <w:rFonts w:hint="eastAsia"/>
          <w:lang w:bidi="en-US"/>
        </w:rPr>
        <w:t>月为干季，降水量仅占全年的</w:t>
      </w:r>
      <w:r>
        <w:rPr>
          <w:lang w:bidi="en-US"/>
        </w:rPr>
        <w:t>15%</w:t>
      </w:r>
      <w:r>
        <w:rPr>
          <w:rFonts w:hint="eastAsia"/>
          <w:lang w:bidi="en-US"/>
        </w:rPr>
        <w:t>左右。春天风力正常</w:t>
      </w:r>
      <w:r>
        <w:rPr>
          <w:lang w:bidi="en-US"/>
        </w:rPr>
        <w:t>1-3</w:t>
      </w:r>
      <w:r>
        <w:rPr>
          <w:rFonts w:hint="eastAsia"/>
          <w:lang w:bidi="en-US"/>
        </w:rPr>
        <w:t>级，偶尔</w:t>
      </w:r>
      <w:r>
        <w:rPr>
          <w:lang w:bidi="en-US"/>
        </w:rPr>
        <w:t>7-8</w:t>
      </w:r>
      <w:r>
        <w:rPr>
          <w:rFonts w:hint="eastAsia"/>
          <w:lang w:bidi="en-US"/>
        </w:rPr>
        <w:t>级。</w:t>
      </w:r>
    </w:p>
    <w:p w14:paraId="76E7046C">
      <w:pPr>
        <w:ind w:firstLine="560"/>
      </w:pPr>
      <w:r>
        <w:rPr>
          <w:rFonts w:hint="eastAsia"/>
          <w:lang w:bidi="en-US"/>
        </w:rPr>
        <w:t>根据《云南省水文手册》推算，项目区</w:t>
      </w:r>
      <w:r>
        <w:rPr>
          <w:lang w:bidi="en-US"/>
        </w:rPr>
        <w:t>20</w:t>
      </w:r>
      <w:r>
        <w:rPr>
          <w:rFonts w:hint="eastAsia"/>
          <w:lang w:bidi="en-US"/>
        </w:rPr>
        <w:t>年一遇最大</w:t>
      </w:r>
      <w:r>
        <w:rPr>
          <w:lang w:bidi="en-US"/>
        </w:rPr>
        <w:t>1</w:t>
      </w:r>
      <w:r>
        <w:rPr>
          <w:rFonts w:hint="eastAsia"/>
          <w:lang w:bidi="en-US"/>
        </w:rPr>
        <w:t>、</w:t>
      </w:r>
      <w:r>
        <w:rPr>
          <w:lang w:bidi="en-US"/>
        </w:rPr>
        <w:t>6</w:t>
      </w:r>
      <w:r>
        <w:rPr>
          <w:rFonts w:hint="eastAsia"/>
          <w:lang w:bidi="en-US"/>
        </w:rPr>
        <w:t>、</w:t>
      </w:r>
      <w:r>
        <w:rPr>
          <w:lang w:bidi="en-US"/>
        </w:rPr>
        <w:t>24</w:t>
      </w:r>
      <w:r>
        <w:rPr>
          <w:rFonts w:hint="eastAsia"/>
          <w:lang w:bidi="en-US"/>
        </w:rPr>
        <w:t>小时的降雨量分别为</w:t>
      </w:r>
      <w:r>
        <w:rPr>
          <w:lang w:bidi="en-US"/>
        </w:rPr>
        <w:t>53.6mm</w:t>
      </w:r>
      <w:r>
        <w:rPr>
          <w:rFonts w:hint="eastAsia"/>
          <w:lang w:bidi="en-US"/>
        </w:rPr>
        <w:t>、</w:t>
      </w:r>
      <w:r>
        <w:rPr>
          <w:lang w:bidi="en-US"/>
        </w:rPr>
        <w:t>80mm</w:t>
      </w:r>
      <w:r>
        <w:rPr>
          <w:rFonts w:hint="eastAsia"/>
          <w:lang w:bidi="en-US"/>
        </w:rPr>
        <w:t>、</w:t>
      </w:r>
      <w:r>
        <w:rPr>
          <w:lang w:bidi="en-US"/>
        </w:rPr>
        <w:t>116.4mm</w:t>
      </w:r>
      <w:r>
        <w:rPr>
          <w:rFonts w:hint="eastAsia"/>
          <w:lang w:bidi="en-US"/>
        </w:rPr>
        <w:t>，五年一遇</w:t>
      </w:r>
      <w:r>
        <w:rPr>
          <w:lang w:bidi="en-US"/>
        </w:rPr>
        <w:t>10</w:t>
      </w:r>
      <w:r>
        <w:rPr>
          <w:rFonts w:hint="eastAsia"/>
          <w:lang w:bidi="en-US"/>
        </w:rPr>
        <w:t>分钟最大降雨量为</w:t>
      </w:r>
      <w:r>
        <w:rPr>
          <w:lang w:bidi="en-US"/>
        </w:rPr>
        <w:t>1.34mm</w:t>
      </w:r>
      <w:r>
        <w:rPr>
          <w:rFonts w:hint="eastAsia"/>
        </w:rPr>
        <w:t>。</w:t>
      </w:r>
    </w:p>
    <w:p w14:paraId="10491E94">
      <w:pPr>
        <w:pStyle w:val="4"/>
      </w:pPr>
      <w:bookmarkStart w:id="22" w:name="_Toc230699561"/>
      <w:r>
        <w:rPr>
          <w:rFonts w:hint="eastAsia"/>
        </w:rPr>
        <w:t>2.2.2 水文</w:t>
      </w:r>
      <w:bookmarkEnd w:id="22"/>
    </w:p>
    <w:p w14:paraId="382F991A">
      <w:pPr>
        <w:pStyle w:val="45"/>
        <w:ind w:firstLine="560" w:firstLineChars="200"/>
        <w:jc w:val="left"/>
        <w:rPr>
          <w:rFonts w:ascii="Times New Roman" w:eastAsiaTheme="minorEastAsia"/>
          <w:sz w:val="28"/>
          <w:szCs w:val="28"/>
          <w:lang w:bidi="en-US"/>
        </w:rPr>
      </w:pPr>
      <w:r>
        <w:rPr>
          <w:rFonts w:ascii="Times New Roman" w:eastAsiaTheme="minorEastAsia"/>
          <w:sz w:val="28"/>
          <w:szCs w:val="28"/>
          <w:lang w:bidi="en-US"/>
        </w:rPr>
        <w:t>晋宁区可分为3大水系，分属4个流域，北东区属金沙江水系滇池流域，北西属金沙江水系螳螂江流域，南西区属元江水系绿汁江流域，南部则属珠江水系南盘江流域。属长江流域的径流面积1012.29km</w:t>
      </w:r>
      <w:r>
        <w:rPr>
          <w:rFonts w:ascii="Times New Roman" w:eastAsiaTheme="minorEastAsia"/>
          <w:sz w:val="28"/>
          <w:szCs w:val="28"/>
          <w:vertAlign w:val="superscript"/>
          <w:lang w:bidi="en-US"/>
        </w:rPr>
        <w:t>2</w:t>
      </w:r>
      <w:r>
        <w:rPr>
          <w:rFonts w:ascii="Times New Roman" w:eastAsiaTheme="minorEastAsia"/>
          <w:sz w:val="28"/>
          <w:szCs w:val="28"/>
          <w:lang w:bidi="en-US"/>
        </w:rPr>
        <w:t>，占全区土地面积的82.22%。属珠江流域的径流面积仅有59.78平方公里，占全区土地面积的4.86%。属红河流域的径流面积159.07平方公里，占全区土地面积的12.92%。</w:t>
      </w:r>
    </w:p>
    <w:p w14:paraId="691C7851">
      <w:pPr>
        <w:ind w:firstLine="560"/>
      </w:pPr>
      <w:r>
        <w:rPr>
          <w:rFonts w:cs="Times New Roman"/>
        </w:rPr>
        <w:t>项目区内主要河流为二街河，属金沙江水系螳螂江流域，调查范围内主要有二街河、大塘子水库、东冲水库、东冲战备水库等地表水体。</w:t>
      </w:r>
      <w:r>
        <w:t>项目场区汇水面积约为7.76万m</w:t>
      </w:r>
      <w:r>
        <w:rPr>
          <w:rFonts w:hint="eastAsia"/>
          <w:vertAlign w:val="superscript"/>
        </w:rPr>
        <w:t>2</w:t>
      </w:r>
      <w:r>
        <w:t>。</w:t>
      </w:r>
    </w:p>
    <w:p w14:paraId="57A2F44D">
      <w:pPr>
        <w:ind w:firstLine="638" w:firstLineChars="228"/>
        <w:rPr>
          <w:rFonts w:cs="Times New Roman"/>
        </w:rPr>
      </w:pPr>
      <w:r>
        <w:rPr>
          <w:rFonts w:hint="eastAsia" w:cs="Times New Roman"/>
        </w:rPr>
        <w:t>（</w:t>
      </w:r>
      <w:r>
        <w:rPr>
          <w:rFonts w:cs="Times New Roman"/>
        </w:rPr>
        <w:t>1</w:t>
      </w:r>
      <w:r>
        <w:rPr>
          <w:rFonts w:hint="eastAsia" w:cs="Times New Roman"/>
        </w:rPr>
        <w:t>）</w:t>
      </w:r>
      <w:r>
        <w:rPr>
          <w:rFonts w:cs="Times New Roman"/>
        </w:rPr>
        <w:t>二街河</w:t>
      </w:r>
    </w:p>
    <w:p w14:paraId="01559F6D">
      <w:pPr>
        <w:ind w:firstLine="560"/>
        <w:rPr>
          <w:rFonts w:cs="Times New Roman"/>
        </w:rPr>
      </w:pPr>
      <w:r>
        <w:rPr>
          <w:rFonts w:cs="Times New Roman"/>
        </w:rPr>
        <w:t>二街河（也称螃蟹河）为区内最大河流，源头为晋宁区响水村南部黑妈山（蛤蟆山），经响水村—二街镇—顺民村向西北，于安宁区鸣矣河乡双村村入鸣矣河，后经螳螂川最终汇入金沙江。鸣矣河汇口处标高 1880m ，上游最大流量1. 14m</w:t>
      </w:r>
      <w:r>
        <w:rPr>
          <w:rFonts w:cs="Times New Roman"/>
          <w:vertAlign w:val="superscript"/>
        </w:rPr>
        <w:t>3</w:t>
      </w:r>
      <w:r>
        <w:rPr>
          <w:rFonts w:cs="Times New Roman"/>
        </w:rPr>
        <w:t>/s，最小流量 0.08m</w:t>
      </w:r>
      <w:r>
        <w:rPr>
          <w:rFonts w:cs="Times New Roman"/>
          <w:vertAlign w:val="superscript"/>
        </w:rPr>
        <w:t>3</w:t>
      </w:r>
      <w:r>
        <w:rPr>
          <w:rFonts w:cs="Times New Roman"/>
        </w:rPr>
        <w:t>/s，平均流量 0.61m</w:t>
      </w:r>
      <w:r>
        <w:rPr>
          <w:rFonts w:cs="Times New Roman"/>
          <w:vertAlign w:val="superscript"/>
        </w:rPr>
        <w:t>3</w:t>
      </w:r>
      <w:r>
        <w:rPr>
          <w:rFonts w:cs="Times New Roman"/>
        </w:rPr>
        <w:t>/s，二街河汇入鸣矣河流量为0.84m</w:t>
      </w:r>
      <w:r>
        <w:rPr>
          <w:rFonts w:cs="Times New Roman"/>
          <w:vertAlign w:val="superscript"/>
        </w:rPr>
        <w:t>3</w:t>
      </w:r>
      <w:r>
        <w:rPr>
          <w:rFonts w:cs="Times New Roman"/>
        </w:rPr>
        <w:t>/s。顺二街河流向分布有多个冲沟，冲沟通过汇水随地势流入二街河，水源基本为大气 降水、泉水及季节性的基岩风化裂隙水，有部分冲沟已经断流。该河全长26.5km，流域面积112.7km</w:t>
      </w:r>
      <w:r>
        <w:rPr>
          <w:rFonts w:cs="Times New Roman"/>
          <w:vertAlign w:val="superscript"/>
        </w:rPr>
        <w:t>2</w:t>
      </w:r>
      <w:r>
        <w:rPr>
          <w:rFonts w:cs="Times New Roman"/>
        </w:rPr>
        <w:t>，平均坡降8.5%。上游（甸头村以南）河道狭窄，多支流，河床宽10～30m，河谷呈“V”字形，坡陡谷深，为水流深切地貌，上游修建野马冲水库和东冲（支流）水库；中游原河床宽40～200m，在砂页岩地层分布区发育有宽度不大的河流阶级地；下游（柿子村以北），河谷流经震旦系白云岩地层，河流侧蚀受限，河谷变窄。现从野马冲水库向下，基本在老河道基础上开挖砌渠成为人工河，河渠底宽 7m，高2～2.5m。</w:t>
      </w:r>
    </w:p>
    <w:p w14:paraId="30D85A98">
      <w:pPr>
        <w:ind w:firstLine="560"/>
        <w:rPr>
          <w:rFonts w:cs="Times New Roman"/>
        </w:rPr>
      </w:pPr>
      <w:r>
        <w:rPr>
          <w:rFonts w:hint="eastAsia" w:cs="Times New Roman"/>
        </w:rPr>
        <w:t>（</w:t>
      </w:r>
      <w:r>
        <w:rPr>
          <w:rFonts w:cs="Times New Roman"/>
        </w:rPr>
        <w:t xml:space="preserve">2 </w:t>
      </w:r>
      <w:r>
        <w:rPr>
          <w:rFonts w:hint="eastAsia" w:cs="Times New Roman"/>
        </w:rPr>
        <w:t>）</w:t>
      </w:r>
      <w:r>
        <w:rPr>
          <w:rFonts w:cs="Times New Roman"/>
        </w:rPr>
        <w:t>大塘子水库</w:t>
      </w:r>
    </w:p>
    <w:p w14:paraId="0ABB089A">
      <w:pPr>
        <w:ind w:firstLine="560"/>
        <w:rPr>
          <w:rFonts w:cs="Times New Roman"/>
        </w:rPr>
      </w:pPr>
      <w:r>
        <w:rPr>
          <w:rFonts w:cs="Times New Roman"/>
        </w:rPr>
        <w:t>位于项目场地南西侧约800m</w:t>
      </w:r>
      <w:r>
        <w:rPr>
          <w:rFonts w:hint="eastAsia" w:cs="Times New Roman"/>
        </w:rPr>
        <w:t>，</w:t>
      </w:r>
      <w:r>
        <w:rPr>
          <w:rFonts w:cs="Times New Roman"/>
        </w:rPr>
        <w:t>平均水位标高2010m，是周边村镇农业生产用水及昆阳磷矿消防用水，位于调查区水文地质单元外。</w:t>
      </w:r>
    </w:p>
    <w:p w14:paraId="75859B78">
      <w:pPr>
        <w:ind w:firstLine="638" w:firstLineChars="228"/>
        <w:rPr>
          <w:rFonts w:cs="Times New Roman"/>
        </w:rPr>
      </w:pPr>
      <w:r>
        <w:rPr>
          <w:rFonts w:hint="eastAsia" w:cs="Times New Roman"/>
        </w:rPr>
        <w:t>（</w:t>
      </w:r>
      <w:r>
        <w:rPr>
          <w:rFonts w:cs="Times New Roman"/>
        </w:rPr>
        <w:t>3</w:t>
      </w:r>
      <w:r>
        <w:rPr>
          <w:rFonts w:hint="eastAsia" w:cs="Times New Roman"/>
        </w:rPr>
        <w:t>）</w:t>
      </w:r>
      <w:r>
        <w:rPr>
          <w:rFonts w:cs="Times New Roman"/>
        </w:rPr>
        <w:t>东冲水库</w:t>
      </w:r>
    </w:p>
    <w:p w14:paraId="0B86F729">
      <w:pPr>
        <w:ind w:firstLine="638" w:firstLineChars="228"/>
        <w:rPr>
          <w:rFonts w:cs="Times New Roman"/>
        </w:rPr>
      </w:pPr>
      <w:r>
        <w:rPr>
          <w:rFonts w:cs="Times New Roman"/>
        </w:rPr>
        <w:t>东冲水库位于晋宁区二街镇东南部，水库始建于1987年11月，2001年加固改造，属长江流域金沙江水系，普渡河上游三级支流二街河。控制径流面积5.4km</w:t>
      </w:r>
      <w:r>
        <w:rPr>
          <w:rFonts w:cs="Times New Roman"/>
          <w:vertAlign w:val="superscript"/>
        </w:rPr>
        <w:t>2</w:t>
      </w:r>
      <w:r>
        <w:rPr>
          <w:rFonts w:cs="Times New Roman"/>
        </w:rPr>
        <w:t>。2001年除险加固后总库容 112.93万m</w:t>
      </w:r>
      <w:r>
        <w:rPr>
          <w:rFonts w:cs="Times New Roman"/>
          <w:vertAlign w:val="superscript"/>
        </w:rPr>
        <w:t>3</w:t>
      </w:r>
      <w:r>
        <w:rPr>
          <w:rFonts w:cs="Times New Roman"/>
        </w:rPr>
        <w:t>，坝顶高程2060.99m，坝高38m；校核洪水位2059.03m（P=0.2%），库容104.0万m</w:t>
      </w:r>
      <w:r>
        <w:rPr>
          <w:rFonts w:cs="Times New Roman"/>
          <w:vertAlign w:val="superscript"/>
        </w:rPr>
        <w:t>3</w:t>
      </w:r>
      <w:r>
        <w:rPr>
          <w:rFonts w:cs="Times New Roman"/>
        </w:rPr>
        <w:t>；设计洪水位2057.46m（P=0.33%），库容 98.0万m</w:t>
      </w:r>
      <w:r>
        <w:rPr>
          <w:rFonts w:cs="Times New Roman"/>
          <w:vertAlign w:val="superscript"/>
        </w:rPr>
        <w:t>3</w:t>
      </w:r>
      <w:r>
        <w:rPr>
          <w:rFonts w:cs="Times New Roman"/>
        </w:rPr>
        <w:t>；正常蓄水位2056.25m ，库容82.2万m</w:t>
      </w:r>
      <w:r>
        <w:rPr>
          <w:rFonts w:cs="Times New Roman"/>
          <w:vertAlign w:val="superscript"/>
        </w:rPr>
        <w:t>3</w:t>
      </w:r>
      <w:r>
        <w:rPr>
          <w:rFonts w:cs="Times New Roman"/>
        </w:rPr>
        <w:t>；防洪限制水位2055.74m，库容86.73万m</w:t>
      </w:r>
      <w:r>
        <w:rPr>
          <w:rFonts w:cs="Times New Roman"/>
          <w:vertAlign w:val="superscript"/>
        </w:rPr>
        <w:t>3</w:t>
      </w:r>
      <w:r>
        <w:rPr>
          <w:rFonts w:cs="Times New Roman"/>
        </w:rPr>
        <w:t>；死水位2036.99m，相应库容4.0万m</w:t>
      </w:r>
      <w:r>
        <w:rPr>
          <w:rFonts w:cs="Times New Roman"/>
          <w:vertAlign w:val="superscript"/>
        </w:rPr>
        <w:t>3</w:t>
      </w:r>
      <w:r>
        <w:rPr>
          <w:rFonts w:cs="Times New Roman"/>
        </w:rPr>
        <w:t>，调节库容78.2万m</w:t>
      </w:r>
      <w:r>
        <w:rPr>
          <w:rFonts w:cs="Times New Roman"/>
          <w:vertAlign w:val="superscript"/>
        </w:rPr>
        <w:t>3</w:t>
      </w:r>
      <w:r>
        <w:rPr>
          <w:rFonts w:cs="Times New Roman"/>
        </w:rPr>
        <w:t>。</w:t>
      </w:r>
    </w:p>
    <w:p w14:paraId="0ADFEF36">
      <w:pPr>
        <w:ind w:firstLine="638" w:firstLineChars="228"/>
        <w:rPr>
          <w:rFonts w:cs="Times New Roman"/>
        </w:rPr>
      </w:pPr>
      <w:r>
        <w:rPr>
          <w:rFonts w:cs="Times New Roman"/>
        </w:rPr>
        <w:t>每年与野马冲水库共同供水，解决水库下游及周边1.7万人的饮水问题，同时补充二街河生态基流。目前是晋宁区二街镇、二街工业园区及青山工业园区饮用水源地，位于本次调查水文地质单元之外。</w:t>
      </w:r>
    </w:p>
    <w:p w14:paraId="79FF7FDC">
      <w:pPr>
        <w:ind w:firstLine="638" w:firstLineChars="228"/>
        <w:rPr>
          <w:rFonts w:cs="Times New Roman"/>
        </w:rPr>
      </w:pPr>
      <w:r>
        <w:rPr>
          <w:rFonts w:hint="eastAsia" w:cs="Times New Roman"/>
        </w:rPr>
        <w:t>（</w:t>
      </w:r>
      <w:r>
        <w:rPr>
          <w:rFonts w:cs="Times New Roman"/>
        </w:rPr>
        <w:t>4</w:t>
      </w:r>
      <w:r>
        <w:rPr>
          <w:rFonts w:hint="eastAsia" w:cs="Times New Roman"/>
        </w:rPr>
        <w:t>）</w:t>
      </w:r>
      <w:r>
        <w:rPr>
          <w:rFonts w:cs="Times New Roman"/>
        </w:rPr>
        <w:t>东冲战备水库</w:t>
      </w:r>
    </w:p>
    <w:p w14:paraId="6486E96B">
      <w:pPr>
        <w:ind w:firstLine="638" w:firstLineChars="228"/>
        <w:rPr>
          <w:rFonts w:cs="Times New Roman"/>
        </w:rPr>
      </w:pPr>
      <w:r>
        <w:rPr>
          <w:rFonts w:cs="Times New Roman"/>
        </w:rPr>
        <w:t>东冲战备水库位于晋宁区东冲水库下游约900m，始建于1955年，坝型为均质土坝，坝高8.4m，坝顶长104m，坝顶宽4m，库容8万m</w:t>
      </w:r>
      <w:r>
        <w:rPr>
          <w:rFonts w:cs="Times New Roman"/>
          <w:vertAlign w:val="superscript"/>
        </w:rPr>
        <w:t>3</w:t>
      </w:r>
      <w:r>
        <w:rPr>
          <w:rFonts w:cs="Times New Roman"/>
        </w:rPr>
        <w:t>。</w:t>
      </w:r>
    </w:p>
    <w:p w14:paraId="73C83C9C">
      <w:pPr>
        <w:ind w:firstLine="0" w:firstLineChars="0"/>
        <w:jc w:val="center"/>
        <w:rPr>
          <w:sz w:val="24"/>
          <w:szCs w:val="24"/>
        </w:rPr>
      </w:pPr>
    </w:p>
    <w:p w14:paraId="3D91C789">
      <w:pPr>
        <w:pStyle w:val="4"/>
      </w:pPr>
      <w:bookmarkStart w:id="23" w:name="_Toc230699562"/>
      <w:r>
        <w:rPr>
          <w:rFonts w:hint="eastAsia"/>
        </w:rPr>
        <w:t>2.2.3 区域地貌</w:t>
      </w:r>
      <w:bookmarkEnd w:id="23"/>
    </w:p>
    <w:p w14:paraId="5EE503D2">
      <w:pPr>
        <w:ind w:firstLine="560"/>
      </w:pPr>
      <w:r>
        <w:t>项目场区区域地形属中山、低中山地貌，最高标高为北部的杉松园顶，标高2482m，最低标高为北西部边缘的二街河河床，标高约1860m，最大高差622m，一般标高2100～2250m，一般高差240～390m。区域地形总体为中部高，四周低。中部由金铜盆山一老高山一鹅毛山一杉松园顶一小尖山组成东西向和南东―北西向和老高山―樟木箸一三尖山组成南北向侵蚀构造成因的中山、低中山地形，四周为侵蚀堆积成因的河谷谷地、平地地形。</w:t>
      </w:r>
    </w:p>
    <w:p w14:paraId="0E0358F1">
      <w:pPr>
        <w:ind w:firstLine="560"/>
      </w:pPr>
      <w:r>
        <w:t>项目场区原始地形为一西南-东北走向的沟谷，总体向西南倾斜，海拔在2009.0～2059.0m之间，</w:t>
      </w:r>
      <w:r>
        <w:rPr>
          <w:lang w:val="en-GB"/>
        </w:rPr>
        <w:t>地形坡度介于</w:t>
      </w:r>
      <w:r>
        <w:t>5</w:t>
      </w:r>
      <w:r>
        <w:rPr>
          <w:lang w:val="en-GB"/>
        </w:rPr>
        <w:t>～</w:t>
      </w:r>
      <w:r>
        <w:t>30</w:t>
      </w:r>
      <w:r>
        <w:rPr>
          <w:lang w:val="en-GB"/>
        </w:rPr>
        <w:t>°</w:t>
      </w:r>
      <w:r>
        <w:t>，地形起伏较大。山脚海拔在1988.0m左右，与场区高差约21.0m。磷石膏渣场地形上属山坡沟谷型，场区现状地形由磷石膏堆成台阶状，顶部形成一大平台，高程约2058.0m，从顶部至新建调节池共分布</w:t>
      </w:r>
      <w:r>
        <w:rPr>
          <w:rFonts w:hint="eastAsia"/>
        </w:rPr>
        <w:t>9</w:t>
      </w:r>
      <w:r>
        <w:t>个平台</w:t>
      </w:r>
      <w:r>
        <w:rPr>
          <w:rFonts w:hint="eastAsia"/>
        </w:rPr>
        <w:t>。</w:t>
      </w:r>
    </w:p>
    <w:p w14:paraId="620EB6CB">
      <w:pPr>
        <w:pStyle w:val="4"/>
      </w:pPr>
      <w:bookmarkStart w:id="24" w:name="_Toc230699563"/>
      <w:r>
        <w:rPr>
          <w:rFonts w:hint="eastAsia"/>
        </w:rPr>
        <w:t>2.2.4 土壤</w:t>
      </w:r>
      <w:bookmarkEnd w:id="24"/>
    </w:p>
    <w:p w14:paraId="698F4188">
      <w:pPr>
        <w:ind w:firstLine="560"/>
      </w:pPr>
      <w:r>
        <w:t>晋宁</w:t>
      </w:r>
      <w:r>
        <w:rPr>
          <w:rFonts w:hint="eastAsia"/>
        </w:rPr>
        <w:t>区</w:t>
      </w:r>
      <w:r>
        <w:t>土壤类型复杂多样，主要有红壤土、紫色土、冲积土、石灰岩土、水稻土5个土壤类，9个亚类，16个土属，27个土种。其中红壤土主要分布于海拔1600～2100m之间的广大地区，占全县土壤面积的82.6%；紫色土分布于海拔1346～2000m的沟谷，多与红壤土交错分布，土层不厚，占全县土壤面积的5.9%；水稻土主要分布在平坝区，占全县土壤面积的11.0%。全县中性土壤占总面积的35.1%，碱性土壤占11.0%；酸性土壤占53.9%，作物宜种性广</w:t>
      </w:r>
      <w:r>
        <w:rPr>
          <w:rFonts w:hint="eastAsia"/>
        </w:rPr>
        <w:t>。</w:t>
      </w:r>
    </w:p>
    <w:p w14:paraId="0A54CC2E">
      <w:pPr>
        <w:pStyle w:val="4"/>
      </w:pPr>
      <w:bookmarkStart w:id="25" w:name="_Toc230699564"/>
      <w:r>
        <w:rPr>
          <w:rFonts w:hint="eastAsia"/>
        </w:rPr>
        <w:t>2.2.5 植被</w:t>
      </w:r>
      <w:bookmarkEnd w:id="25"/>
    </w:p>
    <w:p w14:paraId="4E2C8C71">
      <w:pPr>
        <w:ind w:firstLine="560"/>
      </w:pPr>
      <w:r>
        <w:rPr>
          <w:rFonts w:hint="eastAsia"/>
        </w:rPr>
        <w:t>晋宁区境内森林植被区属亚热带半湿润常绿阔叶林带，植被可划分为温凉性针叶林、温暖性阔叶林、温热性低河谷灌丛、滇中高原湖泊水生植物四种类型。由于受经济建设和人口增长等因素的影响，该地区的常绿阔叶林已所剩无几，现主要为次生的群落类型，如云南松、云南松—华山松混交林、青冈栎类混交林，地盘松灌丛，稀树禾草灌丛。全区现有</w:t>
      </w:r>
      <w:r>
        <w:t>167</w:t>
      </w:r>
      <w:r>
        <w:rPr>
          <w:rFonts w:hint="eastAsia"/>
        </w:rPr>
        <w:t>个科、</w:t>
      </w:r>
      <w:r>
        <w:t>900</w:t>
      </w:r>
      <w:r>
        <w:rPr>
          <w:rFonts w:hint="eastAsia"/>
        </w:rPr>
        <w:t>多种植物，主要树种有华山松、云南松、柏树、水冬瓜、桉树等，森林覆盖率达到</w:t>
      </w:r>
      <w:r>
        <w:t>48.35%</w:t>
      </w:r>
      <w:r>
        <w:rPr>
          <w:rFonts w:hint="eastAsia"/>
        </w:rPr>
        <w:t>。</w:t>
      </w:r>
    </w:p>
    <w:p w14:paraId="6FCE6CD3">
      <w:pPr>
        <w:pStyle w:val="3"/>
      </w:pPr>
      <w:bookmarkStart w:id="26" w:name="_Toc230699565"/>
      <w:r>
        <w:rPr>
          <w:rFonts w:hint="eastAsia"/>
        </w:rPr>
        <w:t>2.3 地质环境条件</w:t>
      </w:r>
      <w:bookmarkEnd w:id="26"/>
    </w:p>
    <w:p w14:paraId="3FDE3AFC">
      <w:pPr>
        <w:ind w:firstLine="560"/>
      </w:pPr>
      <w:r>
        <w:t>根据《</w:t>
      </w:r>
      <w:r>
        <w:rPr>
          <w:rFonts w:hint="eastAsia"/>
        </w:rPr>
        <w:t>云南兴昆化工有限公司甸头村大坟箐磷石膏渣场稳定性校核岩土工程勘察报告（详细勘察）</w:t>
      </w:r>
      <w:r>
        <w:t>》，将项目区区域地质情况简述如下：</w:t>
      </w:r>
    </w:p>
    <w:p w14:paraId="3646F8BE">
      <w:pPr>
        <w:pStyle w:val="4"/>
      </w:pPr>
      <w:bookmarkStart w:id="27" w:name="_Toc230699566"/>
      <w:r>
        <w:rPr>
          <w:rFonts w:hint="eastAsia"/>
        </w:rPr>
        <w:t>2.3.1 区域地质概况</w:t>
      </w:r>
      <w:bookmarkEnd w:id="27"/>
    </w:p>
    <w:p w14:paraId="02816B49">
      <w:pPr>
        <w:ind w:firstLine="638" w:firstLineChars="228"/>
      </w:pPr>
      <w:r>
        <w:rPr>
          <w:rFonts w:hint="eastAsia"/>
        </w:rPr>
        <w:t>1、区域地质构造</w:t>
      </w:r>
    </w:p>
    <w:p w14:paraId="00566985">
      <w:pPr>
        <w:ind w:firstLine="638" w:firstLineChars="228"/>
      </w:pPr>
      <w:r>
        <w:t>根据《云南省活动断裂分布图》结合1:20万昆明幅区域地质调查资料，项目场地位于扬子准地台西部，川滇台背斜与滇东台褶皱之交汇部位。普渡河-滇池断裂以西，属武定-石屏隆断束的禄劝断凹陷，构造以宽缓褶皱为主，断裂次之。场地及周边断裂主要有</w:t>
      </w:r>
      <w:r>
        <w:rPr>
          <w:lang w:val="eu-ES"/>
        </w:rPr>
        <w:t>玉江断裂（F157）、</w:t>
      </w:r>
      <w:r>
        <w:t>马厂-县街断裂（F156）、普渡河断裂（F54）等。见下图“云南活动断裂分布图（局部）”。</w:t>
      </w:r>
    </w:p>
    <w:p w14:paraId="043A6332">
      <w:pPr>
        <w:ind w:firstLine="560"/>
      </w:pPr>
      <w:r>
        <w:t>综上所述：拟建场区10.0km范围内无发震断裂分布，可忽略地震近场效应对场地的影响</w:t>
      </w:r>
      <w:r>
        <w:rPr>
          <w:rFonts w:hint="eastAsia"/>
        </w:rPr>
        <w:t>。</w:t>
      </w:r>
    </w:p>
    <w:p w14:paraId="37EA530D">
      <w:pPr>
        <w:ind w:firstLine="560"/>
      </w:pPr>
      <w:r>
        <w:rPr>
          <w:rFonts w:hint="eastAsia"/>
        </w:rPr>
        <w:t>2、新构造运动与地震</w:t>
      </w:r>
    </w:p>
    <w:p w14:paraId="7ADF57CC">
      <w:pPr>
        <w:ind w:firstLine="560"/>
      </w:pPr>
      <w:r>
        <w:rPr>
          <w:rFonts w:hint="eastAsia"/>
        </w:rPr>
        <w:t>（1）</w:t>
      </w:r>
      <w:r>
        <w:rPr>
          <w:bCs/>
        </w:rPr>
        <w:t>新构造运动</w:t>
      </w:r>
    </w:p>
    <w:p w14:paraId="3A3C51D6">
      <w:pPr>
        <w:ind w:firstLine="638" w:firstLineChars="228"/>
      </w:pPr>
      <w:r>
        <w:t>根据云南省新构造运动分区略图，工程区属滇中断块隆起区--昆明一石屏断块差异隆起区，处于普渡河活动性断裂带附近昆明盆地南部。据《云南地质构造及区域稳定性遥感综合调查报告》资料，工程区地处昆明-玉溪-华宁次不稳定区，见下图“云南省区域地壳稳定性评价图（局部）”。</w:t>
      </w:r>
    </w:p>
    <w:p w14:paraId="223CA3BA">
      <w:pPr>
        <w:ind w:firstLine="560"/>
      </w:pPr>
      <w:r>
        <w:t>该区是一个新构造运动活动强烈区，主要表现在以下几个方面：</w:t>
      </w:r>
    </w:p>
    <w:p w14:paraId="7792DBA5">
      <w:pPr>
        <w:ind w:firstLine="560"/>
      </w:pPr>
      <w:r>
        <w:t>1）老的区域性断裂的继承活动，使高原面分化解体。</w:t>
      </w:r>
    </w:p>
    <w:p w14:paraId="7DF91D0F">
      <w:pPr>
        <w:ind w:firstLine="560"/>
      </w:pPr>
      <w:r>
        <w:t>普渡河一滇池断裂、黑龙潭~官渡断裂等南北向断裂，上新世开始断陷，使东区（普渡河断裂以东）断陷为盆地沉积区，接收了厚达1000m的湖相、河流相沉积，西区形成剥蚀区。东西两区出现了巨大的地势反差，表现了西升东降运动的特征。</w:t>
      </w:r>
    </w:p>
    <w:p w14:paraId="29D62173">
      <w:pPr>
        <w:ind w:firstLine="560"/>
      </w:pPr>
      <w:r>
        <w:t>2）盆地沉积区内部断块间的差异性升降运动。</w:t>
      </w:r>
    </w:p>
    <w:p w14:paraId="260B1EC3">
      <w:pPr>
        <w:ind w:firstLine="560"/>
      </w:pPr>
      <w:r>
        <w:t>新构造运动时期，以各断块间的同沉积断裂为界，各断块升降速率不同，在盆地沉积区形成形状大小不一的相对凸起和凹陷，控制着盆地的内部结构、沉积类型、厚度及含煤性。</w:t>
      </w:r>
    </w:p>
    <w:p w14:paraId="0C24B74E">
      <w:pPr>
        <w:ind w:firstLine="560"/>
      </w:pPr>
      <w:r>
        <w:t>3）新构造继承性，老断裂复洗，并沿断裂出露温、热泉。</w:t>
      </w:r>
    </w:p>
    <w:p w14:paraId="7C80F340">
      <w:pPr>
        <w:ind w:firstLine="560"/>
      </w:pPr>
      <w:r>
        <w:t>普渡河-滇池断裂以东为昆明盆地低温地热田的一部分，沿断裂带有温泉出露，昆阳地区赋存高矿化度铁质碳酸水及CO</w:t>
      </w:r>
      <w:r>
        <w:rPr>
          <w:vertAlign w:val="subscript"/>
        </w:rPr>
        <w:t>2</w:t>
      </w:r>
      <w:r>
        <w:t>气体，尤其还含接近工业指标的氢、氩等惰性气体，说明该断裂带的活动性使之出现这些高温、高压变质的产物</w:t>
      </w:r>
      <w:r>
        <w:rPr>
          <w:rFonts w:hint="eastAsia"/>
        </w:rPr>
        <w:t>。</w:t>
      </w:r>
    </w:p>
    <w:p w14:paraId="316D66F3">
      <w:pPr>
        <w:ind w:firstLine="560"/>
        <w:rPr>
          <w:bCs/>
        </w:rPr>
      </w:pPr>
      <w:r>
        <w:rPr>
          <w:rFonts w:hint="eastAsia"/>
        </w:rPr>
        <w:t>（2）</w:t>
      </w:r>
      <w:r>
        <w:rPr>
          <w:bCs/>
        </w:rPr>
        <w:t>地震</w:t>
      </w:r>
    </w:p>
    <w:p w14:paraId="430FBDA7">
      <w:pPr>
        <w:ind w:firstLine="560"/>
      </w:pPr>
      <w:r>
        <w:t>工程场区1444～2009年M≥4.7震中分布图表明，区域内历史强震震中多相对集中显带状，构成主要强震活动带。由西向东，主要有楚雄-南华-大姚地震区（带），近南北向元谋-绿汁江、汤郎-易门、普渡河中强地震活动带和小江地震带，北东向宣威-弥勒中强地震活动带，工程场区以南还有北西向通海-石屏地震带。从地理展布看，以小江断裂带为界，以西地区地震活动强烈，以东的滇东地区地震活动相对弱小。据统计，约91.6%的破坏性地震和全部6级以上地震都分布在103.5°以西，最大强度8级；其东部大片区域零星分布有5级左右地震，最大强度不超过5.5级。</w:t>
      </w:r>
    </w:p>
    <w:p w14:paraId="0B077FBF">
      <w:pPr>
        <w:ind w:firstLine="560"/>
      </w:pPr>
      <w:r>
        <w:t>工程场区1965～2009年M=3.0～4.6震中分布图表明，仪测小震与历史强震活动图象大致相似。近南北向小江地震带，元谋-绿汁江、汤郎-易门和普渡河中强地震带，北西向通海-石屏地震带与楚雄-南华-大姚地震区（带），北东向宣威-弥勒中强地震带，仪测小震震中条带展布基本清楚，大体上与历史强震带重合，具有以下主要特点：①近期发生过强震的地段，微震丛集，如：禄劝附近有1985年6.3级，通海一带有1970年7.8级，武定西北有1995年6.5级，这些地段小震活动频繁。②历史上发生过强烈地震的地方仪测弱震稀少。如嵩明-宜良-带历史强震频发，有1500年宜良≥7级、1725年宜良-嵩明6.75级和1833年嵩明杨林8级。</w:t>
      </w:r>
    </w:p>
    <w:p w14:paraId="7F9F4FC9">
      <w:pPr>
        <w:ind w:firstLine="560"/>
      </w:pPr>
      <w:r>
        <w:t>工程场区地处在普渡河中强地震带内，距地震活动强烈的小江地震带最近约25km，距通海-石屏地震带最近约58km，历史上上述三个地震带对工程场地的最大影响分别为Ⅶ度、Ⅷ度、Ⅴ度，工程区西部由东往西还分别展布有近南北汤郎-易门、元谋-绿汁江、楚雄-南华-大姚等中强地震带（区），东部则有北东向宣威-弥勒中强地震带，这些中强地震带对场地的最大影响估计均不超过Ⅸ度</w:t>
      </w:r>
      <w:r>
        <w:rPr>
          <w:rFonts w:hint="eastAsia"/>
        </w:rPr>
        <w:t>。</w:t>
      </w:r>
    </w:p>
    <w:p w14:paraId="15D63152">
      <w:pPr>
        <w:pStyle w:val="4"/>
      </w:pPr>
      <w:bookmarkStart w:id="28" w:name="_Toc230699567"/>
      <w:r>
        <w:rPr>
          <w:rFonts w:hint="eastAsia"/>
        </w:rPr>
        <w:t>2.3.2 工程地质条件</w:t>
      </w:r>
      <w:bookmarkEnd w:id="28"/>
    </w:p>
    <w:p w14:paraId="046189DB">
      <w:pPr>
        <w:pStyle w:val="5"/>
      </w:pPr>
      <w:r>
        <w:rPr>
          <w:rFonts w:hint="eastAsia"/>
        </w:rPr>
        <w:t>2.3.2.1 地层岩性的构成与特征</w:t>
      </w:r>
    </w:p>
    <w:p w14:paraId="3DFC6A06">
      <w:pPr>
        <w:ind w:firstLine="560"/>
        <w:rPr>
          <w:rFonts w:hint="eastAsia" w:eastAsia="宋体"/>
          <w:lang w:eastAsia="zh-CN"/>
        </w:rPr>
      </w:pPr>
      <w:r>
        <w:rPr>
          <w:szCs w:val="24"/>
        </w:rPr>
        <w:t>根据钻探揭露深度及现场地质调查表明，工程场地范围内出露的地层主要为：第四系人工堆积（Q</w:t>
      </w:r>
      <w:r>
        <w:rPr>
          <w:szCs w:val="24"/>
          <w:vertAlign w:val="subscript"/>
        </w:rPr>
        <w:t>4</w:t>
      </w:r>
      <w:r>
        <w:rPr>
          <w:i/>
          <w:szCs w:val="24"/>
          <w:vertAlign w:val="superscript"/>
        </w:rPr>
        <w:t>ml</w:t>
      </w:r>
      <w:r>
        <w:rPr>
          <w:szCs w:val="24"/>
        </w:rPr>
        <w:t>）层、第四系坡残积（Q</w:t>
      </w:r>
      <w:r>
        <w:rPr>
          <w:szCs w:val="24"/>
          <w:vertAlign w:val="subscript"/>
        </w:rPr>
        <w:t>4</w:t>
      </w:r>
      <w:r>
        <w:rPr>
          <w:i/>
          <w:szCs w:val="24"/>
          <w:vertAlign w:val="superscript"/>
        </w:rPr>
        <w:t>dl+el</w:t>
      </w:r>
      <w:r>
        <w:rPr>
          <w:szCs w:val="24"/>
        </w:rPr>
        <w:t>）层、元古界昆阳群黑头山组（Pt</w:t>
      </w:r>
      <w:r>
        <w:rPr>
          <w:szCs w:val="24"/>
          <w:vertAlign w:val="subscript"/>
        </w:rPr>
        <w:t>1</w:t>
      </w:r>
      <w:r>
        <w:rPr>
          <w:i/>
          <w:szCs w:val="24"/>
        </w:rPr>
        <w:t>hs</w:t>
      </w:r>
      <w:r>
        <w:rPr>
          <w:szCs w:val="24"/>
        </w:rPr>
        <w:t>）等地层。根据地层岩土的沉积年代、成因类型、岩性及其物理力学性能的差异并结合该工程的特点，对地基土进行工程地质单元层及单元亚层的划分，共划分为3个单元层5个单元亚层</w:t>
      </w:r>
      <w:r>
        <w:rPr>
          <w:rFonts w:hint="eastAsia"/>
          <w:szCs w:val="24"/>
          <w:lang w:eastAsia="zh-CN"/>
        </w:rPr>
        <w:t>。</w:t>
      </w:r>
    </w:p>
    <w:p w14:paraId="0BB747FB">
      <w:pPr>
        <w:pStyle w:val="5"/>
      </w:pPr>
      <w:r>
        <w:rPr>
          <w:rFonts w:hint="eastAsia"/>
        </w:rPr>
        <w:t>2.3.2.2 场地岩土的物理力学性质</w:t>
      </w:r>
    </w:p>
    <w:p w14:paraId="74281376">
      <w:pPr>
        <w:tabs>
          <w:tab w:val="left" w:pos="2461"/>
        </w:tabs>
        <w:ind w:firstLine="480"/>
        <w:jc w:val="center"/>
        <w:rPr>
          <w:sz w:val="24"/>
          <w:szCs w:val="24"/>
          <w:u w:val="single"/>
        </w:rPr>
      </w:pPr>
      <w:r>
        <w:rPr>
          <w:sz w:val="24"/>
          <w:szCs w:val="24"/>
        </w:rPr>
        <w:t>表</w:t>
      </w:r>
      <w:r>
        <w:rPr>
          <w:rFonts w:hint="eastAsia"/>
          <w:sz w:val="24"/>
          <w:szCs w:val="24"/>
        </w:rPr>
        <w:t xml:space="preserve">2.3-1 </w:t>
      </w:r>
      <w:r>
        <w:rPr>
          <w:sz w:val="24"/>
          <w:szCs w:val="24"/>
        </w:rPr>
        <w:t>岩土的主要物理力学指标值建议表</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1"/>
        <w:gridCol w:w="997"/>
        <w:gridCol w:w="997"/>
        <w:gridCol w:w="718"/>
        <w:gridCol w:w="1033"/>
        <w:gridCol w:w="1033"/>
        <w:gridCol w:w="858"/>
        <w:gridCol w:w="682"/>
        <w:gridCol w:w="859"/>
        <w:gridCol w:w="842"/>
      </w:tblGrid>
      <w:tr w14:paraId="165C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 w:hRule="atLeast"/>
          <w:jc w:val="center"/>
        </w:trPr>
        <w:tc>
          <w:tcPr>
            <w:tcW w:w="735" w:type="pct"/>
            <w:vMerge w:val="restart"/>
            <w:tcBorders>
              <w:bottom w:val="single" w:color="auto" w:sz="4" w:space="0"/>
              <w:tl2br w:val="single" w:color="auto" w:sz="4" w:space="0"/>
            </w:tcBorders>
            <w:vAlign w:val="center"/>
          </w:tcPr>
          <w:p w14:paraId="6705A105">
            <w:pPr>
              <w:adjustRightInd w:val="0"/>
              <w:snapToGrid w:val="0"/>
              <w:spacing w:line="320" w:lineRule="exact"/>
              <w:ind w:firstLine="0" w:firstLineChars="0"/>
              <w:jc w:val="center"/>
              <w:rPr>
                <w:sz w:val="21"/>
                <w:szCs w:val="21"/>
              </w:rPr>
            </w:pPr>
            <w:r>
              <w:rPr>
                <w:sz w:val="21"/>
                <w:szCs w:val="21"/>
              </w:rPr>
              <w:t>指标值</w:t>
            </w:r>
          </w:p>
          <w:p w14:paraId="3585451F">
            <w:pPr>
              <w:adjustRightInd w:val="0"/>
              <w:snapToGrid w:val="0"/>
              <w:spacing w:line="320" w:lineRule="exact"/>
              <w:ind w:firstLine="0" w:firstLineChars="0"/>
              <w:jc w:val="center"/>
              <w:rPr>
                <w:sz w:val="21"/>
                <w:szCs w:val="21"/>
              </w:rPr>
            </w:pPr>
          </w:p>
          <w:p w14:paraId="25F7F4FC">
            <w:pPr>
              <w:adjustRightInd w:val="0"/>
              <w:snapToGrid w:val="0"/>
              <w:spacing w:line="320" w:lineRule="exact"/>
              <w:ind w:firstLine="0" w:firstLineChars="0"/>
              <w:jc w:val="center"/>
              <w:rPr>
                <w:sz w:val="21"/>
                <w:szCs w:val="21"/>
              </w:rPr>
            </w:pPr>
          </w:p>
          <w:p w14:paraId="51390B76">
            <w:pPr>
              <w:adjustRightInd w:val="0"/>
              <w:snapToGrid w:val="0"/>
              <w:spacing w:line="320" w:lineRule="exact"/>
              <w:ind w:firstLine="0" w:firstLineChars="0"/>
              <w:jc w:val="center"/>
              <w:rPr>
                <w:sz w:val="21"/>
                <w:szCs w:val="21"/>
              </w:rPr>
            </w:pPr>
          </w:p>
          <w:p w14:paraId="0121E3B6">
            <w:pPr>
              <w:adjustRightInd w:val="0"/>
              <w:snapToGrid w:val="0"/>
              <w:spacing w:line="320" w:lineRule="exact"/>
              <w:ind w:firstLine="0" w:firstLineChars="0"/>
              <w:rPr>
                <w:sz w:val="21"/>
                <w:szCs w:val="21"/>
              </w:rPr>
            </w:pPr>
            <w:r>
              <w:rPr>
                <w:sz w:val="21"/>
                <w:szCs w:val="21"/>
              </w:rPr>
              <w:t>岩土名称</w:t>
            </w:r>
          </w:p>
          <w:p w14:paraId="0E804F0A">
            <w:pPr>
              <w:adjustRightInd w:val="0"/>
              <w:snapToGrid w:val="0"/>
              <w:spacing w:line="320" w:lineRule="exact"/>
              <w:ind w:firstLine="0" w:firstLineChars="0"/>
              <w:rPr>
                <w:sz w:val="21"/>
                <w:szCs w:val="21"/>
              </w:rPr>
            </w:pPr>
            <w:r>
              <w:rPr>
                <w:sz w:val="21"/>
                <w:szCs w:val="21"/>
              </w:rPr>
              <w:t>单元层代号</w:t>
            </w:r>
          </w:p>
        </w:tc>
        <w:tc>
          <w:tcPr>
            <w:tcW w:w="531" w:type="pct"/>
            <w:vMerge w:val="restart"/>
            <w:tcBorders>
              <w:bottom w:val="single" w:color="auto" w:sz="4" w:space="0"/>
            </w:tcBorders>
            <w:vAlign w:val="center"/>
          </w:tcPr>
          <w:p w14:paraId="15A7883E">
            <w:pPr>
              <w:overflowPunct w:val="0"/>
              <w:spacing w:line="320" w:lineRule="exact"/>
              <w:ind w:firstLine="0" w:firstLineChars="0"/>
              <w:jc w:val="center"/>
              <w:rPr>
                <w:sz w:val="21"/>
                <w:szCs w:val="21"/>
              </w:rPr>
            </w:pPr>
            <w:r>
              <w:rPr>
                <w:sz w:val="21"/>
                <w:szCs w:val="21"/>
              </w:rPr>
              <w:t>天然</w:t>
            </w:r>
          </w:p>
          <w:p w14:paraId="4C537C3C">
            <w:pPr>
              <w:overflowPunct w:val="0"/>
              <w:spacing w:line="320" w:lineRule="exact"/>
              <w:ind w:firstLine="0" w:firstLineChars="0"/>
              <w:jc w:val="center"/>
              <w:rPr>
                <w:sz w:val="21"/>
                <w:szCs w:val="21"/>
              </w:rPr>
            </w:pPr>
            <w:r>
              <w:rPr>
                <w:sz w:val="21"/>
                <w:szCs w:val="21"/>
              </w:rPr>
              <w:t>重度</w:t>
            </w:r>
          </w:p>
          <w:p w14:paraId="370DC867">
            <w:pPr>
              <w:adjustRightInd w:val="0"/>
              <w:snapToGrid w:val="0"/>
              <w:spacing w:line="320" w:lineRule="exact"/>
              <w:ind w:firstLine="0" w:firstLineChars="0"/>
              <w:jc w:val="center"/>
              <w:rPr>
                <w:sz w:val="21"/>
                <w:szCs w:val="21"/>
              </w:rPr>
            </w:pPr>
            <w:r>
              <w:rPr>
                <w:sz w:val="21"/>
                <w:szCs w:val="21"/>
              </w:rPr>
              <w:t>γ(kN/m</w:t>
            </w:r>
            <w:r>
              <w:rPr>
                <w:sz w:val="21"/>
                <w:szCs w:val="21"/>
                <w:vertAlign w:val="superscript"/>
              </w:rPr>
              <w:t>3</w:t>
            </w:r>
            <w:r>
              <w:rPr>
                <w:sz w:val="21"/>
                <w:szCs w:val="21"/>
              </w:rPr>
              <w:t>)</w:t>
            </w:r>
          </w:p>
        </w:tc>
        <w:tc>
          <w:tcPr>
            <w:tcW w:w="531" w:type="pct"/>
            <w:vMerge w:val="restart"/>
            <w:vAlign w:val="center"/>
          </w:tcPr>
          <w:p w14:paraId="3560561D">
            <w:pPr>
              <w:overflowPunct w:val="0"/>
              <w:spacing w:line="320" w:lineRule="exact"/>
              <w:ind w:firstLine="0" w:firstLineChars="0"/>
              <w:jc w:val="center"/>
              <w:rPr>
                <w:sz w:val="21"/>
                <w:szCs w:val="21"/>
              </w:rPr>
            </w:pPr>
            <w:r>
              <w:rPr>
                <w:sz w:val="21"/>
                <w:szCs w:val="21"/>
              </w:rPr>
              <w:t>饱和</w:t>
            </w:r>
          </w:p>
          <w:p w14:paraId="5C234CFE">
            <w:pPr>
              <w:overflowPunct w:val="0"/>
              <w:spacing w:line="320" w:lineRule="exact"/>
              <w:ind w:firstLine="0" w:firstLineChars="0"/>
              <w:jc w:val="center"/>
              <w:rPr>
                <w:sz w:val="21"/>
                <w:szCs w:val="21"/>
              </w:rPr>
            </w:pPr>
            <w:r>
              <w:rPr>
                <w:sz w:val="21"/>
                <w:szCs w:val="21"/>
              </w:rPr>
              <w:t>重度</w:t>
            </w:r>
          </w:p>
          <w:p w14:paraId="344404FB">
            <w:pPr>
              <w:adjustRightInd w:val="0"/>
              <w:snapToGrid w:val="0"/>
              <w:spacing w:line="320" w:lineRule="exact"/>
              <w:ind w:firstLine="0" w:firstLineChars="0"/>
              <w:jc w:val="center"/>
              <w:rPr>
                <w:sz w:val="21"/>
                <w:szCs w:val="21"/>
              </w:rPr>
            </w:pPr>
            <w:r>
              <w:rPr>
                <w:sz w:val="21"/>
                <w:szCs w:val="21"/>
              </w:rPr>
              <w:t>γ(kN/m</w:t>
            </w:r>
            <w:r>
              <w:rPr>
                <w:sz w:val="21"/>
                <w:szCs w:val="21"/>
                <w:vertAlign w:val="superscript"/>
              </w:rPr>
              <w:t>3</w:t>
            </w:r>
            <w:r>
              <w:rPr>
                <w:sz w:val="21"/>
                <w:szCs w:val="21"/>
              </w:rPr>
              <w:t>)</w:t>
            </w:r>
          </w:p>
        </w:tc>
        <w:tc>
          <w:tcPr>
            <w:tcW w:w="382" w:type="pct"/>
            <w:vMerge w:val="restart"/>
            <w:tcBorders>
              <w:bottom w:val="single" w:color="auto" w:sz="4" w:space="0"/>
            </w:tcBorders>
            <w:vAlign w:val="center"/>
          </w:tcPr>
          <w:p w14:paraId="7B69676A">
            <w:pPr>
              <w:adjustRightInd w:val="0"/>
              <w:snapToGrid w:val="0"/>
              <w:spacing w:line="320" w:lineRule="exact"/>
              <w:ind w:firstLine="0" w:firstLineChars="0"/>
              <w:jc w:val="center"/>
              <w:rPr>
                <w:sz w:val="21"/>
                <w:szCs w:val="21"/>
              </w:rPr>
            </w:pPr>
            <w:r>
              <w:rPr>
                <w:sz w:val="21"/>
                <w:szCs w:val="21"/>
              </w:rPr>
              <w:t>承载力特征值</w:t>
            </w:r>
          </w:p>
          <w:p w14:paraId="7268E909">
            <w:pPr>
              <w:adjustRightInd w:val="0"/>
              <w:snapToGrid w:val="0"/>
              <w:spacing w:line="320" w:lineRule="exact"/>
              <w:ind w:firstLine="0" w:firstLineChars="0"/>
              <w:jc w:val="center"/>
              <w:rPr>
                <w:sz w:val="21"/>
                <w:szCs w:val="21"/>
                <w:vertAlign w:val="subscript"/>
              </w:rPr>
            </w:pPr>
            <w:r>
              <w:rPr>
                <w:i/>
                <w:sz w:val="21"/>
                <w:szCs w:val="21"/>
              </w:rPr>
              <w:t>f</w:t>
            </w:r>
            <w:r>
              <w:rPr>
                <w:sz w:val="21"/>
                <w:szCs w:val="21"/>
                <w:vertAlign w:val="subscript"/>
              </w:rPr>
              <w:t>ak</w:t>
            </w:r>
          </w:p>
          <w:p w14:paraId="11B1FD5B">
            <w:pPr>
              <w:adjustRightInd w:val="0"/>
              <w:snapToGrid w:val="0"/>
              <w:spacing w:line="320" w:lineRule="exact"/>
              <w:ind w:firstLine="0" w:firstLineChars="0"/>
              <w:jc w:val="center"/>
              <w:rPr>
                <w:sz w:val="21"/>
                <w:szCs w:val="21"/>
                <w:vertAlign w:val="subscript"/>
              </w:rPr>
            </w:pPr>
            <w:r>
              <w:rPr>
                <w:sz w:val="21"/>
                <w:szCs w:val="21"/>
              </w:rPr>
              <w:t>(KPa)</w:t>
            </w:r>
          </w:p>
        </w:tc>
        <w:tc>
          <w:tcPr>
            <w:tcW w:w="549" w:type="pct"/>
            <w:vMerge w:val="restart"/>
            <w:vAlign w:val="center"/>
          </w:tcPr>
          <w:p w14:paraId="612A6D9B">
            <w:pPr>
              <w:adjustRightInd w:val="0"/>
              <w:snapToGrid w:val="0"/>
              <w:spacing w:line="320" w:lineRule="exact"/>
              <w:ind w:firstLine="0" w:firstLineChars="0"/>
              <w:jc w:val="center"/>
              <w:rPr>
                <w:sz w:val="21"/>
                <w:szCs w:val="21"/>
              </w:rPr>
            </w:pPr>
            <w:r>
              <w:rPr>
                <w:sz w:val="21"/>
                <w:szCs w:val="21"/>
              </w:rPr>
              <w:t>压缩模量</w:t>
            </w:r>
          </w:p>
          <w:p w14:paraId="6BE6EF3A">
            <w:pPr>
              <w:adjustRightInd w:val="0"/>
              <w:snapToGrid w:val="0"/>
              <w:spacing w:line="320" w:lineRule="exact"/>
              <w:ind w:firstLine="0" w:firstLineChars="0"/>
              <w:jc w:val="center"/>
              <w:rPr>
                <w:sz w:val="21"/>
                <w:szCs w:val="21"/>
              </w:rPr>
            </w:pPr>
            <w:r>
              <w:rPr>
                <w:sz w:val="21"/>
                <w:szCs w:val="21"/>
              </w:rPr>
              <w:t>Es</w:t>
            </w:r>
            <w:r>
              <w:rPr>
                <w:sz w:val="21"/>
                <w:szCs w:val="21"/>
                <w:vertAlign w:val="subscript"/>
              </w:rPr>
              <w:t>1～2</w:t>
            </w:r>
          </w:p>
          <w:p w14:paraId="17A23715">
            <w:pPr>
              <w:adjustRightInd w:val="0"/>
              <w:snapToGrid w:val="0"/>
              <w:spacing w:line="320" w:lineRule="exact"/>
              <w:ind w:firstLine="0" w:firstLineChars="0"/>
              <w:jc w:val="center"/>
              <w:rPr>
                <w:sz w:val="21"/>
                <w:szCs w:val="21"/>
              </w:rPr>
            </w:pPr>
            <w:r>
              <w:rPr>
                <w:sz w:val="21"/>
                <w:szCs w:val="21"/>
              </w:rPr>
              <w:t>（MPa）</w:t>
            </w:r>
          </w:p>
        </w:tc>
        <w:tc>
          <w:tcPr>
            <w:tcW w:w="549" w:type="pct"/>
            <w:vMerge w:val="restart"/>
            <w:vAlign w:val="center"/>
          </w:tcPr>
          <w:p w14:paraId="1643EF45">
            <w:pPr>
              <w:adjustRightInd w:val="0"/>
              <w:snapToGrid w:val="0"/>
              <w:spacing w:line="320" w:lineRule="exact"/>
              <w:ind w:firstLine="0" w:firstLineChars="0"/>
              <w:jc w:val="center"/>
              <w:rPr>
                <w:sz w:val="21"/>
                <w:szCs w:val="21"/>
              </w:rPr>
            </w:pPr>
            <w:r>
              <w:rPr>
                <w:sz w:val="21"/>
                <w:szCs w:val="21"/>
              </w:rPr>
              <w:t>压缩模量</w:t>
            </w:r>
          </w:p>
          <w:p w14:paraId="02C13271">
            <w:pPr>
              <w:adjustRightInd w:val="0"/>
              <w:snapToGrid w:val="0"/>
              <w:spacing w:line="320" w:lineRule="exact"/>
              <w:ind w:firstLine="0" w:firstLineChars="0"/>
              <w:jc w:val="center"/>
              <w:rPr>
                <w:sz w:val="21"/>
                <w:szCs w:val="21"/>
              </w:rPr>
            </w:pPr>
            <w:r>
              <w:rPr>
                <w:sz w:val="21"/>
                <w:szCs w:val="21"/>
              </w:rPr>
              <w:t>Es</w:t>
            </w:r>
            <w:r>
              <w:rPr>
                <w:sz w:val="21"/>
                <w:szCs w:val="21"/>
                <w:vertAlign w:val="subscript"/>
              </w:rPr>
              <w:t>2～4</w:t>
            </w:r>
          </w:p>
          <w:p w14:paraId="0C74BB6A">
            <w:pPr>
              <w:adjustRightInd w:val="0"/>
              <w:snapToGrid w:val="0"/>
              <w:spacing w:line="320" w:lineRule="exact"/>
              <w:ind w:firstLine="0" w:firstLineChars="0"/>
              <w:jc w:val="center"/>
              <w:rPr>
                <w:sz w:val="21"/>
                <w:szCs w:val="21"/>
              </w:rPr>
            </w:pPr>
            <w:r>
              <w:rPr>
                <w:sz w:val="21"/>
                <w:szCs w:val="21"/>
              </w:rPr>
              <w:t>（MPa）</w:t>
            </w:r>
          </w:p>
        </w:tc>
        <w:tc>
          <w:tcPr>
            <w:tcW w:w="819" w:type="pct"/>
            <w:gridSpan w:val="2"/>
            <w:tcBorders>
              <w:bottom w:val="single" w:color="auto" w:sz="4" w:space="0"/>
            </w:tcBorders>
            <w:vAlign w:val="center"/>
          </w:tcPr>
          <w:p w14:paraId="7E86D74C">
            <w:pPr>
              <w:adjustRightInd w:val="0"/>
              <w:snapToGrid w:val="0"/>
              <w:spacing w:line="320" w:lineRule="exact"/>
              <w:ind w:firstLine="0" w:firstLineChars="0"/>
              <w:jc w:val="center"/>
              <w:rPr>
                <w:sz w:val="21"/>
                <w:szCs w:val="21"/>
              </w:rPr>
            </w:pPr>
            <w:r>
              <w:rPr>
                <w:sz w:val="21"/>
                <w:szCs w:val="21"/>
              </w:rPr>
              <w:t>天然状态抗剪强度指标</w:t>
            </w:r>
          </w:p>
        </w:tc>
        <w:tc>
          <w:tcPr>
            <w:tcW w:w="904" w:type="pct"/>
            <w:gridSpan w:val="2"/>
          </w:tcPr>
          <w:p w14:paraId="76D7BF94">
            <w:pPr>
              <w:adjustRightInd w:val="0"/>
              <w:snapToGrid w:val="0"/>
              <w:spacing w:line="320" w:lineRule="exact"/>
              <w:ind w:firstLine="0" w:firstLineChars="0"/>
              <w:jc w:val="center"/>
              <w:rPr>
                <w:sz w:val="21"/>
                <w:szCs w:val="21"/>
              </w:rPr>
            </w:pPr>
            <w:r>
              <w:rPr>
                <w:sz w:val="21"/>
                <w:szCs w:val="21"/>
              </w:rPr>
              <w:t>浸水状态抗剪强度指标</w:t>
            </w:r>
          </w:p>
        </w:tc>
      </w:tr>
      <w:tr w14:paraId="63F3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1" w:hRule="atLeast"/>
          <w:jc w:val="center"/>
        </w:trPr>
        <w:tc>
          <w:tcPr>
            <w:tcW w:w="735" w:type="pct"/>
            <w:vMerge w:val="continue"/>
          </w:tcPr>
          <w:p w14:paraId="133FEFA5">
            <w:pPr>
              <w:adjustRightInd w:val="0"/>
              <w:snapToGrid w:val="0"/>
              <w:spacing w:line="320" w:lineRule="exact"/>
              <w:ind w:firstLine="0" w:firstLineChars="0"/>
              <w:jc w:val="center"/>
              <w:rPr>
                <w:sz w:val="21"/>
                <w:szCs w:val="21"/>
              </w:rPr>
            </w:pPr>
          </w:p>
        </w:tc>
        <w:tc>
          <w:tcPr>
            <w:tcW w:w="531" w:type="pct"/>
            <w:vMerge w:val="continue"/>
            <w:vAlign w:val="center"/>
          </w:tcPr>
          <w:p w14:paraId="2F8B2EDE">
            <w:pPr>
              <w:adjustRightInd w:val="0"/>
              <w:snapToGrid w:val="0"/>
              <w:spacing w:line="320" w:lineRule="exact"/>
              <w:ind w:firstLine="0" w:firstLineChars="0"/>
              <w:jc w:val="center"/>
              <w:rPr>
                <w:sz w:val="21"/>
                <w:szCs w:val="21"/>
              </w:rPr>
            </w:pPr>
          </w:p>
        </w:tc>
        <w:tc>
          <w:tcPr>
            <w:tcW w:w="531" w:type="pct"/>
            <w:vMerge w:val="continue"/>
            <w:vAlign w:val="center"/>
          </w:tcPr>
          <w:p w14:paraId="3694435F">
            <w:pPr>
              <w:adjustRightInd w:val="0"/>
              <w:snapToGrid w:val="0"/>
              <w:spacing w:line="320" w:lineRule="exact"/>
              <w:ind w:firstLine="0" w:firstLineChars="0"/>
              <w:jc w:val="center"/>
              <w:rPr>
                <w:sz w:val="21"/>
                <w:szCs w:val="21"/>
              </w:rPr>
            </w:pPr>
          </w:p>
        </w:tc>
        <w:tc>
          <w:tcPr>
            <w:tcW w:w="382" w:type="pct"/>
            <w:vMerge w:val="continue"/>
          </w:tcPr>
          <w:p w14:paraId="31FC4F5A">
            <w:pPr>
              <w:adjustRightInd w:val="0"/>
              <w:snapToGrid w:val="0"/>
              <w:spacing w:line="320" w:lineRule="exact"/>
              <w:ind w:firstLine="0" w:firstLineChars="0"/>
              <w:jc w:val="center"/>
              <w:rPr>
                <w:sz w:val="21"/>
                <w:szCs w:val="21"/>
              </w:rPr>
            </w:pPr>
          </w:p>
        </w:tc>
        <w:tc>
          <w:tcPr>
            <w:tcW w:w="549" w:type="pct"/>
            <w:vMerge w:val="continue"/>
          </w:tcPr>
          <w:p w14:paraId="63DC7FB6">
            <w:pPr>
              <w:adjustRightInd w:val="0"/>
              <w:snapToGrid w:val="0"/>
              <w:spacing w:line="320" w:lineRule="exact"/>
              <w:ind w:firstLine="0" w:firstLineChars="0"/>
              <w:jc w:val="center"/>
              <w:rPr>
                <w:sz w:val="21"/>
                <w:szCs w:val="21"/>
              </w:rPr>
            </w:pPr>
          </w:p>
        </w:tc>
        <w:tc>
          <w:tcPr>
            <w:tcW w:w="549" w:type="pct"/>
            <w:vMerge w:val="continue"/>
          </w:tcPr>
          <w:p w14:paraId="7E75DF36">
            <w:pPr>
              <w:adjustRightInd w:val="0"/>
              <w:snapToGrid w:val="0"/>
              <w:spacing w:line="320" w:lineRule="exact"/>
              <w:ind w:firstLine="0" w:firstLineChars="0"/>
              <w:jc w:val="center"/>
              <w:rPr>
                <w:sz w:val="21"/>
                <w:szCs w:val="21"/>
              </w:rPr>
            </w:pPr>
          </w:p>
        </w:tc>
        <w:tc>
          <w:tcPr>
            <w:tcW w:w="456" w:type="pct"/>
            <w:vAlign w:val="center"/>
          </w:tcPr>
          <w:p w14:paraId="223D5885">
            <w:pPr>
              <w:adjustRightInd w:val="0"/>
              <w:snapToGrid w:val="0"/>
              <w:spacing w:line="320" w:lineRule="exact"/>
              <w:ind w:firstLine="0" w:firstLineChars="0"/>
              <w:jc w:val="center"/>
              <w:rPr>
                <w:sz w:val="21"/>
                <w:szCs w:val="21"/>
              </w:rPr>
            </w:pPr>
            <w:r>
              <w:rPr>
                <w:sz w:val="21"/>
                <w:szCs w:val="21"/>
              </w:rPr>
              <w:t>黏聚力</w:t>
            </w:r>
          </w:p>
          <w:p w14:paraId="35E220C6">
            <w:pPr>
              <w:adjustRightInd w:val="0"/>
              <w:snapToGrid w:val="0"/>
              <w:spacing w:line="320" w:lineRule="exact"/>
              <w:ind w:firstLine="0" w:firstLineChars="0"/>
              <w:jc w:val="center"/>
              <w:rPr>
                <w:sz w:val="21"/>
                <w:szCs w:val="21"/>
              </w:rPr>
            </w:pPr>
            <w:r>
              <w:rPr>
                <w:sz w:val="21"/>
                <w:szCs w:val="21"/>
              </w:rPr>
              <w:t>标准值</w:t>
            </w:r>
          </w:p>
          <w:p w14:paraId="2F17DF1E">
            <w:pPr>
              <w:adjustRightInd w:val="0"/>
              <w:snapToGrid w:val="0"/>
              <w:spacing w:line="320" w:lineRule="exact"/>
              <w:ind w:firstLine="0" w:firstLineChars="0"/>
              <w:jc w:val="center"/>
              <w:rPr>
                <w:sz w:val="21"/>
                <w:szCs w:val="21"/>
              </w:rPr>
            </w:pPr>
            <w:r>
              <w:rPr>
                <w:sz w:val="21"/>
                <w:szCs w:val="21"/>
              </w:rPr>
              <w:t>C(KPa)</w:t>
            </w:r>
          </w:p>
        </w:tc>
        <w:tc>
          <w:tcPr>
            <w:tcW w:w="362" w:type="pct"/>
            <w:vAlign w:val="center"/>
          </w:tcPr>
          <w:p w14:paraId="11723E1A">
            <w:pPr>
              <w:adjustRightInd w:val="0"/>
              <w:snapToGrid w:val="0"/>
              <w:spacing w:line="320" w:lineRule="exact"/>
              <w:ind w:firstLine="0" w:firstLineChars="0"/>
              <w:jc w:val="center"/>
              <w:rPr>
                <w:sz w:val="21"/>
                <w:szCs w:val="21"/>
              </w:rPr>
            </w:pPr>
            <w:r>
              <w:rPr>
                <w:sz w:val="21"/>
                <w:szCs w:val="21"/>
              </w:rPr>
              <w:t>内摩擦角标准值Φ(°)</w:t>
            </w:r>
          </w:p>
        </w:tc>
        <w:tc>
          <w:tcPr>
            <w:tcW w:w="456" w:type="pct"/>
            <w:vAlign w:val="center"/>
          </w:tcPr>
          <w:p w14:paraId="78F4CD86">
            <w:pPr>
              <w:adjustRightInd w:val="0"/>
              <w:snapToGrid w:val="0"/>
              <w:spacing w:line="320" w:lineRule="exact"/>
              <w:ind w:firstLine="0" w:firstLineChars="0"/>
              <w:jc w:val="center"/>
              <w:rPr>
                <w:sz w:val="21"/>
                <w:szCs w:val="21"/>
              </w:rPr>
            </w:pPr>
            <w:r>
              <w:rPr>
                <w:sz w:val="21"/>
                <w:szCs w:val="21"/>
              </w:rPr>
              <w:t>黏聚力</w:t>
            </w:r>
          </w:p>
          <w:p w14:paraId="778EDD62">
            <w:pPr>
              <w:adjustRightInd w:val="0"/>
              <w:snapToGrid w:val="0"/>
              <w:spacing w:line="320" w:lineRule="exact"/>
              <w:ind w:firstLine="0" w:firstLineChars="0"/>
              <w:jc w:val="center"/>
              <w:rPr>
                <w:sz w:val="21"/>
                <w:szCs w:val="21"/>
              </w:rPr>
            </w:pPr>
            <w:r>
              <w:rPr>
                <w:sz w:val="21"/>
                <w:szCs w:val="21"/>
              </w:rPr>
              <w:t>标准值</w:t>
            </w:r>
          </w:p>
          <w:p w14:paraId="089AB908">
            <w:pPr>
              <w:adjustRightInd w:val="0"/>
              <w:snapToGrid w:val="0"/>
              <w:spacing w:line="320" w:lineRule="exact"/>
              <w:ind w:firstLine="0" w:firstLineChars="0"/>
              <w:jc w:val="center"/>
              <w:rPr>
                <w:sz w:val="21"/>
                <w:szCs w:val="21"/>
              </w:rPr>
            </w:pPr>
            <w:r>
              <w:rPr>
                <w:sz w:val="21"/>
                <w:szCs w:val="21"/>
              </w:rPr>
              <w:t>C(KPa)</w:t>
            </w:r>
          </w:p>
        </w:tc>
        <w:tc>
          <w:tcPr>
            <w:tcW w:w="448" w:type="pct"/>
            <w:vAlign w:val="center"/>
          </w:tcPr>
          <w:p w14:paraId="078A081C">
            <w:pPr>
              <w:widowControl/>
              <w:adjustRightInd w:val="0"/>
              <w:snapToGrid w:val="0"/>
              <w:spacing w:line="320" w:lineRule="exact"/>
              <w:ind w:firstLine="0" w:firstLineChars="0"/>
              <w:jc w:val="center"/>
              <w:rPr>
                <w:sz w:val="21"/>
                <w:szCs w:val="21"/>
              </w:rPr>
            </w:pPr>
            <w:r>
              <w:rPr>
                <w:sz w:val="21"/>
                <w:szCs w:val="21"/>
              </w:rPr>
              <w:t>内摩擦角标准值Φ(°)</w:t>
            </w:r>
          </w:p>
        </w:tc>
      </w:tr>
      <w:tr w14:paraId="23EE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exact"/>
          <w:jc w:val="center"/>
        </w:trPr>
        <w:tc>
          <w:tcPr>
            <w:tcW w:w="735" w:type="pct"/>
            <w:vAlign w:val="center"/>
          </w:tcPr>
          <w:p w14:paraId="7AD4076B">
            <w:pPr>
              <w:adjustRightInd w:val="0"/>
              <w:snapToGrid w:val="0"/>
              <w:spacing w:line="320" w:lineRule="exact"/>
              <w:ind w:firstLine="0" w:firstLineChars="0"/>
              <w:jc w:val="center"/>
              <w:rPr>
                <w:kern w:val="21"/>
                <w:sz w:val="21"/>
                <w:szCs w:val="21"/>
              </w:rPr>
            </w:pPr>
            <w:r>
              <w:rPr>
                <w:kern w:val="0"/>
                <w:sz w:val="21"/>
                <w:szCs w:val="21"/>
              </w:rPr>
              <w:t>磷石膏①</w:t>
            </w:r>
            <w:r>
              <w:rPr>
                <w:kern w:val="0"/>
                <w:sz w:val="21"/>
                <w:szCs w:val="21"/>
                <w:vertAlign w:val="subscript"/>
              </w:rPr>
              <w:t>1</w:t>
            </w:r>
          </w:p>
        </w:tc>
        <w:tc>
          <w:tcPr>
            <w:tcW w:w="531" w:type="pct"/>
            <w:vAlign w:val="center"/>
          </w:tcPr>
          <w:p w14:paraId="2593D9D2">
            <w:pPr>
              <w:adjustRightInd w:val="0"/>
              <w:snapToGrid w:val="0"/>
              <w:spacing w:line="320" w:lineRule="exact"/>
              <w:ind w:firstLine="0" w:firstLineChars="0"/>
              <w:jc w:val="center"/>
              <w:rPr>
                <w:sz w:val="21"/>
                <w:szCs w:val="21"/>
              </w:rPr>
            </w:pPr>
            <w:r>
              <w:rPr>
                <w:sz w:val="21"/>
                <w:szCs w:val="21"/>
              </w:rPr>
              <w:t>15.8</w:t>
            </w:r>
          </w:p>
        </w:tc>
        <w:tc>
          <w:tcPr>
            <w:tcW w:w="531" w:type="pct"/>
            <w:vAlign w:val="center"/>
          </w:tcPr>
          <w:p w14:paraId="0BE46161">
            <w:pPr>
              <w:adjustRightInd w:val="0"/>
              <w:snapToGrid w:val="0"/>
              <w:spacing w:line="320" w:lineRule="exact"/>
              <w:ind w:firstLine="0" w:firstLineChars="0"/>
              <w:jc w:val="center"/>
              <w:rPr>
                <w:sz w:val="21"/>
                <w:szCs w:val="21"/>
              </w:rPr>
            </w:pPr>
            <w:r>
              <w:rPr>
                <w:sz w:val="21"/>
                <w:szCs w:val="21"/>
              </w:rPr>
              <w:t>17.0</w:t>
            </w:r>
          </w:p>
        </w:tc>
        <w:tc>
          <w:tcPr>
            <w:tcW w:w="382" w:type="pct"/>
            <w:vAlign w:val="center"/>
          </w:tcPr>
          <w:p w14:paraId="19E257A4">
            <w:pPr>
              <w:adjustRightInd w:val="0"/>
              <w:snapToGrid w:val="0"/>
              <w:spacing w:line="320" w:lineRule="exact"/>
              <w:ind w:firstLine="0" w:firstLineChars="0"/>
              <w:jc w:val="center"/>
              <w:rPr>
                <w:sz w:val="21"/>
                <w:szCs w:val="21"/>
              </w:rPr>
            </w:pPr>
            <w:r>
              <w:rPr>
                <w:sz w:val="21"/>
                <w:szCs w:val="21"/>
              </w:rPr>
              <w:t>/</w:t>
            </w:r>
          </w:p>
        </w:tc>
        <w:tc>
          <w:tcPr>
            <w:tcW w:w="549" w:type="pct"/>
          </w:tcPr>
          <w:p w14:paraId="5237AF36">
            <w:pPr>
              <w:adjustRightInd w:val="0"/>
              <w:snapToGrid w:val="0"/>
              <w:spacing w:line="320" w:lineRule="exact"/>
              <w:ind w:firstLine="0" w:firstLineChars="0"/>
              <w:jc w:val="center"/>
              <w:rPr>
                <w:sz w:val="21"/>
                <w:szCs w:val="21"/>
              </w:rPr>
            </w:pPr>
            <w:r>
              <w:rPr>
                <w:sz w:val="21"/>
                <w:szCs w:val="21"/>
              </w:rPr>
              <w:t>/</w:t>
            </w:r>
          </w:p>
        </w:tc>
        <w:tc>
          <w:tcPr>
            <w:tcW w:w="549" w:type="pct"/>
          </w:tcPr>
          <w:p w14:paraId="2423519D">
            <w:pPr>
              <w:adjustRightInd w:val="0"/>
              <w:snapToGrid w:val="0"/>
              <w:spacing w:line="320" w:lineRule="exact"/>
              <w:ind w:firstLine="0" w:firstLineChars="0"/>
              <w:jc w:val="center"/>
              <w:rPr>
                <w:sz w:val="21"/>
                <w:szCs w:val="21"/>
              </w:rPr>
            </w:pPr>
            <w:r>
              <w:rPr>
                <w:sz w:val="21"/>
                <w:szCs w:val="21"/>
              </w:rPr>
              <w:t>/</w:t>
            </w:r>
          </w:p>
        </w:tc>
        <w:tc>
          <w:tcPr>
            <w:tcW w:w="456" w:type="pct"/>
            <w:vAlign w:val="center"/>
          </w:tcPr>
          <w:p w14:paraId="0707B978">
            <w:pPr>
              <w:adjustRightInd w:val="0"/>
              <w:snapToGrid w:val="0"/>
              <w:spacing w:line="320" w:lineRule="exact"/>
              <w:ind w:firstLine="0" w:firstLineChars="0"/>
              <w:jc w:val="center"/>
              <w:rPr>
                <w:sz w:val="21"/>
                <w:szCs w:val="21"/>
              </w:rPr>
            </w:pPr>
            <w:r>
              <w:rPr>
                <w:sz w:val="21"/>
                <w:szCs w:val="21"/>
              </w:rPr>
              <w:t>22.1</w:t>
            </w:r>
          </w:p>
        </w:tc>
        <w:tc>
          <w:tcPr>
            <w:tcW w:w="362" w:type="pct"/>
            <w:vAlign w:val="center"/>
          </w:tcPr>
          <w:p w14:paraId="3C5448EA">
            <w:pPr>
              <w:adjustRightInd w:val="0"/>
              <w:snapToGrid w:val="0"/>
              <w:spacing w:line="320" w:lineRule="exact"/>
              <w:ind w:firstLine="0" w:firstLineChars="0"/>
              <w:jc w:val="center"/>
              <w:rPr>
                <w:sz w:val="21"/>
                <w:szCs w:val="21"/>
              </w:rPr>
            </w:pPr>
            <w:r>
              <w:rPr>
                <w:sz w:val="21"/>
                <w:szCs w:val="21"/>
              </w:rPr>
              <w:t>24.6</w:t>
            </w:r>
          </w:p>
        </w:tc>
        <w:tc>
          <w:tcPr>
            <w:tcW w:w="456" w:type="pct"/>
            <w:vAlign w:val="center"/>
          </w:tcPr>
          <w:p w14:paraId="3639174A">
            <w:pPr>
              <w:adjustRightInd w:val="0"/>
              <w:snapToGrid w:val="0"/>
              <w:spacing w:line="320" w:lineRule="exact"/>
              <w:ind w:firstLine="0" w:firstLineChars="0"/>
              <w:jc w:val="center"/>
              <w:rPr>
                <w:sz w:val="21"/>
                <w:szCs w:val="21"/>
              </w:rPr>
            </w:pPr>
            <w:r>
              <w:rPr>
                <w:sz w:val="21"/>
                <w:szCs w:val="21"/>
              </w:rPr>
              <w:t>21.3</w:t>
            </w:r>
          </w:p>
        </w:tc>
        <w:tc>
          <w:tcPr>
            <w:tcW w:w="448" w:type="pct"/>
            <w:vAlign w:val="center"/>
          </w:tcPr>
          <w:p w14:paraId="3CD53A04">
            <w:pPr>
              <w:adjustRightInd w:val="0"/>
              <w:snapToGrid w:val="0"/>
              <w:spacing w:line="320" w:lineRule="exact"/>
              <w:ind w:firstLine="0" w:firstLineChars="0"/>
              <w:jc w:val="center"/>
              <w:rPr>
                <w:sz w:val="21"/>
                <w:szCs w:val="21"/>
              </w:rPr>
            </w:pPr>
            <w:r>
              <w:rPr>
                <w:sz w:val="21"/>
                <w:szCs w:val="21"/>
              </w:rPr>
              <w:t>23.4</w:t>
            </w:r>
          </w:p>
        </w:tc>
      </w:tr>
      <w:tr w14:paraId="6959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exact"/>
          <w:jc w:val="center"/>
        </w:trPr>
        <w:tc>
          <w:tcPr>
            <w:tcW w:w="735" w:type="pct"/>
            <w:vAlign w:val="center"/>
          </w:tcPr>
          <w:p w14:paraId="375EED32">
            <w:pPr>
              <w:adjustRightInd w:val="0"/>
              <w:snapToGrid w:val="0"/>
              <w:spacing w:line="320" w:lineRule="exact"/>
              <w:ind w:firstLine="0" w:firstLineChars="0"/>
              <w:jc w:val="center"/>
              <w:rPr>
                <w:kern w:val="21"/>
                <w:sz w:val="21"/>
                <w:szCs w:val="21"/>
                <w:vertAlign w:val="subscript"/>
              </w:rPr>
            </w:pPr>
            <w:r>
              <w:rPr>
                <w:kern w:val="0"/>
                <w:sz w:val="21"/>
                <w:szCs w:val="21"/>
              </w:rPr>
              <w:t>素填土①</w:t>
            </w:r>
            <w:r>
              <w:rPr>
                <w:kern w:val="0"/>
                <w:sz w:val="21"/>
                <w:szCs w:val="21"/>
                <w:vertAlign w:val="subscript"/>
              </w:rPr>
              <w:t>2</w:t>
            </w:r>
          </w:p>
        </w:tc>
        <w:tc>
          <w:tcPr>
            <w:tcW w:w="531" w:type="pct"/>
            <w:vAlign w:val="center"/>
          </w:tcPr>
          <w:p w14:paraId="43927694">
            <w:pPr>
              <w:adjustRightInd w:val="0"/>
              <w:snapToGrid w:val="0"/>
              <w:spacing w:line="320" w:lineRule="exact"/>
              <w:ind w:firstLine="0" w:firstLineChars="0"/>
              <w:jc w:val="center"/>
              <w:rPr>
                <w:sz w:val="21"/>
                <w:szCs w:val="21"/>
              </w:rPr>
            </w:pPr>
            <w:r>
              <w:rPr>
                <w:sz w:val="21"/>
                <w:szCs w:val="21"/>
              </w:rPr>
              <w:t>17.7</w:t>
            </w:r>
          </w:p>
        </w:tc>
        <w:tc>
          <w:tcPr>
            <w:tcW w:w="531" w:type="pct"/>
            <w:vAlign w:val="center"/>
          </w:tcPr>
          <w:p w14:paraId="43C45076">
            <w:pPr>
              <w:adjustRightInd w:val="0"/>
              <w:snapToGrid w:val="0"/>
              <w:spacing w:line="320" w:lineRule="exact"/>
              <w:ind w:firstLine="0" w:firstLineChars="0"/>
              <w:jc w:val="center"/>
              <w:rPr>
                <w:sz w:val="21"/>
                <w:szCs w:val="21"/>
              </w:rPr>
            </w:pPr>
            <w:r>
              <w:rPr>
                <w:sz w:val="21"/>
                <w:szCs w:val="21"/>
              </w:rPr>
              <w:t>18.5</w:t>
            </w:r>
          </w:p>
        </w:tc>
        <w:tc>
          <w:tcPr>
            <w:tcW w:w="382" w:type="pct"/>
          </w:tcPr>
          <w:p w14:paraId="27446726">
            <w:pPr>
              <w:adjustRightInd w:val="0"/>
              <w:snapToGrid w:val="0"/>
              <w:spacing w:line="320" w:lineRule="exact"/>
              <w:ind w:firstLine="0" w:firstLineChars="0"/>
              <w:jc w:val="center"/>
              <w:rPr>
                <w:sz w:val="21"/>
                <w:szCs w:val="21"/>
              </w:rPr>
            </w:pPr>
            <w:r>
              <w:rPr>
                <w:sz w:val="21"/>
                <w:szCs w:val="21"/>
              </w:rPr>
              <w:t>160</w:t>
            </w:r>
          </w:p>
        </w:tc>
        <w:tc>
          <w:tcPr>
            <w:tcW w:w="549" w:type="pct"/>
          </w:tcPr>
          <w:p w14:paraId="628AFD9C">
            <w:pPr>
              <w:adjustRightInd w:val="0"/>
              <w:snapToGrid w:val="0"/>
              <w:spacing w:line="320" w:lineRule="exact"/>
              <w:ind w:firstLine="0" w:firstLineChars="0"/>
              <w:jc w:val="center"/>
              <w:rPr>
                <w:sz w:val="21"/>
                <w:szCs w:val="21"/>
              </w:rPr>
            </w:pPr>
            <w:r>
              <w:rPr>
                <w:sz w:val="21"/>
                <w:szCs w:val="21"/>
              </w:rPr>
              <w:t>8.0</w:t>
            </w:r>
          </w:p>
        </w:tc>
        <w:tc>
          <w:tcPr>
            <w:tcW w:w="549" w:type="pct"/>
          </w:tcPr>
          <w:p w14:paraId="55B000DC">
            <w:pPr>
              <w:adjustRightInd w:val="0"/>
              <w:snapToGrid w:val="0"/>
              <w:spacing w:line="320" w:lineRule="exact"/>
              <w:ind w:firstLine="0" w:firstLineChars="0"/>
              <w:jc w:val="center"/>
              <w:rPr>
                <w:sz w:val="21"/>
                <w:szCs w:val="21"/>
              </w:rPr>
            </w:pPr>
            <w:r>
              <w:rPr>
                <w:sz w:val="21"/>
                <w:szCs w:val="21"/>
              </w:rPr>
              <w:t>11.0</w:t>
            </w:r>
          </w:p>
        </w:tc>
        <w:tc>
          <w:tcPr>
            <w:tcW w:w="456" w:type="pct"/>
            <w:vAlign w:val="center"/>
          </w:tcPr>
          <w:p w14:paraId="1C941674">
            <w:pPr>
              <w:adjustRightInd w:val="0"/>
              <w:snapToGrid w:val="0"/>
              <w:spacing w:line="320" w:lineRule="exact"/>
              <w:ind w:firstLine="0" w:firstLineChars="0"/>
              <w:jc w:val="center"/>
              <w:rPr>
                <w:sz w:val="21"/>
                <w:szCs w:val="21"/>
              </w:rPr>
            </w:pPr>
            <w:r>
              <w:rPr>
                <w:sz w:val="21"/>
                <w:szCs w:val="21"/>
              </w:rPr>
              <w:t>30</w:t>
            </w:r>
          </w:p>
        </w:tc>
        <w:tc>
          <w:tcPr>
            <w:tcW w:w="362" w:type="pct"/>
            <w:vAlign w:val="center"/>
          </w:tcPr>
          <w:p w14:paraId="3F90CC64">
            <w:pPr>
              <w:adjustRightInd w:val="0"/>
              <w:snapToGrid w:val="0"/>
              <w:spacing w:line="320" w:lineRule="exact"/>
              <w:ind w:firstLine="0" w:firstLineChars="0"/>
              <w:jc w:val="center"/>
              <w:rPr>
                <w:sz w:val="21"/>
                <w:szCs w:val="21"/>
              </w:rPr>
            </w:pPr>
            <w:r>
              <w:rPr>
                <w:sz w:val="21"/>
                <w:szCs w:val="21"/>
              </w:rPr>
              <w:t>11.3</w:t>
            </w:r>
          </w:p>
        </w:tc>
        <w:tc>
          <w:tcPr>
            <w:tcW w:w="456" w:type="pct"/>
            <w:vAlign w:val="center"/>
          </w:tcPr>
          <w:p w14:paraId="7C4CA33B">
            <w:pPr>
              <w:adjustRightInd w:val="0"/>
              <w:snapToGrid w:val="0"/>
              <w:spacing w:line="320" w:lineRule="exact"/>
              <w:ind w:firstLine="0" w:firstLineChars="0"/>
              <w:jc w:val="center"/>
              <w:rPr>
                <w:sz w:val="21"/>
                <w:szCs w:val="21"/>
              </w:rPr>
            </w:pPr>
            <w:r>
              <w:rPr>
                <w:sz w:val="21"/>
                <w:szCs w:val="21"/>
              </w:rPr>
              <w:t>25</w:t>
            </w:r>
          </w:p>
        </w:tc>
        <w:tc>
          <w:tcPr>
            <w:tcW w:w="448" w:type="pct"/>
            <w:vAlign w:val="center"/>
          </w:tcPr>
          <w:p w14:paraId="4BB513F2">
            <w:pPr>
              <w:adjustRightInd w:val="0"/>
              <w:snapToGrid w:val="0"/>
              <w:spacing w:line="320" w:lineRule="exact"/>
              <w:ind w:firstLine="0" w:firstLineChars="0"/>
              <w:jc w:val="center"/>
              <w:rPr>
                <w:sz w:val="21"/>
                <w:szCs w:val="21"/>
              </w:rPr>
            </w:pPr>
            <w:r>
              <w:rPr>
                <w:sz w:val="21"/>
                <w:szCs w:val="21"/>
              </w:rPr>
              <w:t>10.1</w:t>
            </w:r>
          </w:p>
        </w:tc>
      </w:tr>
      <w:tr w14:paraId="758D5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exact"/>
          <w:jc w:val="center"/>
        </w:trPr>
        <w:tc>
          <w:tcPr>
            <w:tcW w:w="735" w:type="pct"/>
            <w:vAlign w:val="center"/>
          </w:tcPr>
          <w:p w14:paraId="0E6B39D3">
            <w:pPr>
              <w:adjustRightInd w:val="0"/>
              <w:snapToGrid w:val="0"/>
              <w:spacing w:line="320" w:lineRule="exact"/>
              <w:ind w:firstLine="0" w:firstLineChars="0"/>
              <w:jc w:val="center"/>
              <w:rPr>
                <w:kern w:val="21"/>
                <w:sz w:val="21"/>
                <w:szCs w:val="21"/>
              </w:rPr>
            </w:pPr>
            <w:r>
              <w:rPr>
                <w:kern w:val="0"/>
                <w:sz w:val="21"/>
                <w:szCs w:val="21"/>
              </w:rPr>
              <w:t>素填土①</w:t>
            </w:r>
            <w:r>
              <w:rPr>
                <w:kern w:val="0"/>
                <w:sz w:val="21"/>
                <w:szCs w:val="21"/>
                <w:vertAlign w:val="subscript"/>
              </w:rPr>
              <w:t>3</w:t>
            </w:r>
          </w:p>
        </w:tc>
        <w:tc>
          <w:tcPr>
            <w:tcW w:w="531" w:type="pct"/>
            <w:vAlign w:val="center"/>
          </w:tcPr>
          <w:p w14:paraId="2B50C3D1">
            <w:pPr>
              <w:adjustRightInd w:val="0"/>
              <w:snapToGrid w:val="0"/>
              <w:spacing w:line="320" w:lineRule="exact"/>
              <w:ind w:firstLine="0" w:firstLineChars="0"/>
              <w:jc w:val="center"/>
              <w:rPr>
                <w:sz w:val="21"/>
                <w:szCs w:val="21"/>
              </w:rPr>
            </w:pPr>
            <w:r>
              <w:rPr>
                <w:sz w:val="21"/>
                <w:szCs w:val="21"/>
              </w:rPr>
              <w:t>17.6</w:t>
            </w:r>
          </w:p>
        </w:tc>
        <w:tc>
          <w:tcPr>
            <w:tcW w:w="531" w:type="pct"/>
            <w:vAlign w:val="center"/>
          </w:tcPr>
          <w:p w14:paraId="7ED9C373">
            <w:pPr>
              <w:adjustRightInd w:val="0"/>
              <w:snapToGrid w:val="0"/>
              <w:spacing w:line="320" w:lineRule="exact"/>
              <w:ind w:firstLine="0" w:firstLineChars="0"/>
              <w:jc w:val="center"/>
              <w:rPr>
                <w:sz w:val="21"/>
                <w:szCs w:val="21"/>
              </w:rPr>
            </w:pPr>
            <w:r>
              <w:rPr>
                <w:sz w:val="21"/>
                <w:szCs w:val="21"/>
              </w:rPr>
              <w:t>18.6</w:t>
            </w:r>
          </w:p>
        </w:tc>
        <w:tc>
          <w:tcPr>
            <w:tcW w:w="382" w:type="pct"/>
          </w:tcPr>
          <w:p w14:paraId="01755130">
            <w:pPr>
              <w:adjustRightInd w:val="0"/>
              <w:snapToGrid w:val="0"/>
              <w:spacing w:line="320" w:lineRule="exact"/>
              <w:ind w:firstLine="0" w:firstLineChars="0"/>
              <w:jc w:val="center"/>
              <w:rPr>
                <w:sz w:val="21"/>
                <w:szCs w:val="21"/>
              </w:rPr>
            </w:pPr>
            <w:r>
              <w:rPr>
                <w:sz w:val="21"/>
                <w:szCs w:val="21"/>
              </w:rPr>
              <w:t>165</w:t>
            </w:r>
          </w:p>
        </w:tc>
        <w:tc>
          <w:tcPr>
            <w:tcW w:w="549" w:type="pct"/>
          </w:tcPr>
          <w:p w14:paraId="19BBD003">
            <w:pPr>
              <w:adjustRightInd w:val="0"/>
              <w:snapToGrid w:val="0"/>
              <w:spacing w:line="320" w:lineRule="exact"/>
              <w:ind w:firstLine="0" w:firstLineChars="0"/>
              <w:jc w:val="center"/>
              <w:rPr>
                <w:sz w:val="21"/>
                <w:szCs w:val="21"/>
              </w:rPr>
            </w:pPr>
            <w:r>
              <w:rPr>
                <w:sz w:val="21"/>
                <w:szCs w:val="21"/>
              </w:rPr>
              <w:t>8.5</w:t>
            </w:r>
          </w:p>
        </w:tc>
        <w:tc>
          <w:tcPr>
            <w:tcW w:w="549" w:type="pct"/>
          </w:tcPr>
          <w:p w14:paraId="371E1904">
            <w:pPr>
              <w:adjustRightInd w:val="0"/>
              <w:snapToGrid w:val="0"/>
              <w:spacing w:line="320" w:lineRule="exact"/>
              <w:ind w:firstLine="0" w:firstLineChars="0"/>
              <w:jc w:val="center"/>
              <w:rPr>
                <w:sz w:val="21"/>
                <w:szCs w:val="21"/>
              </w:rPr>
            </w:pPr>
            <w:r>
              <w:rPr>
                <w:sz w:val="21"/>
                <w:szCs w:val="21"/>
              </w:rPr>
              <w:t>12.0</w:t>
            </w:r>
          </w:p>
        </w:tc>
        <w:tc>
          <w:tcPr>
            <w:tcW w:w="456" w:type="pct"/>
            <w:vAlign w:val="center"/>
          </w:tcPr>
          <w:p w14:paraId="119966E8">
            <w:pPr>
              <w:adjustRightInd w:val="0"/>
              <w:snapToGrid w:val="0"/>
              <w:spacing w:line="320" w:lineRule="exact"/>
              <w:ind w:firstLine="0" w:firstLineChars="0"/>
              <w:jc w:val="center"/>
              <w:rPr>
                <w:sz w:val="21"/>
                <w:szCs w:val="21"/>
              </w:rPr>
            </w:pPr>
            <w:r>
              <w:rPr>
                <w:sz w:val="21"/>
                <w:szCs w:val="21"/>
              </w:rPr>
              <w:t>31</w:t>
            </w:r>
          </w:p>
        </w:tc>
        <w:tc>
          <w:tcPr>
            <w:tcW w:w="362" w:type="pct"/>
            <w:vAlign w:val="center"/>
          </w:tcPr>
          <w:p w14:paraId="62146A13">
            <w:pPr>
              <w:adjustRightInd w:val="0"/>
              <w:snapToGrid w:val="0"/>
              <w:spacing w:line="320" w:lineRule="exact"/>
              <w:ind w:firstLine="0" w:firstLineChars="0"/>
              <w:jc w:val="center"/>
              <w:rPr>
                <w:sz w:val="21"/>
                <w:szCs w:val="21"/>
              </w:rPr>
            </w:pPr>
            <w:r>
              <w:rPr>
                <w:sz w:val="21"/>
                <w:szCs w:val="21"/>
              </w:rPr>
              <w:t>13.4</w:t>
            </w:r>
          </w:p>
        </w:tc>
        <w:tc>
          <w:tcPr>
            <w:tcW w:w="456" w:type="pct"/>
            <w:vAlign w:val="center"/>
          </w:tcPr>
          <w:p w14:paraId="1BFE1479">
            <w:pPr>
              <w:adjustRightInd w:val="0"/>
              <w:snapToGrid w:val="0"/>
              <w:spacing w:line="320" w:lineRule="exact"/>
              <w:ind w:firstLine="0" w:firstLineChars="0"/>
              <w:jc w:val="center"/>
              <w:rPr>
                <w:sz w:val="21"/>
                <w:szCs w:val="21"/>
              </w:rPr>
            </w:pPr>
            <w:r>
              <w:rPr>
                <w:sz w:val="21"/>
                <w:szCs w:val="21"/>
              </w:rPr>
              <w:t>26</w:t>
            </w:r>
          </w:p>
        </w:tc>
        <w:tc>
          <w:tcPr>
            <w:tcW w:w="448" w:type="pct"/>
            <w:vAlign w:val="center"/>
          </w:tcPr>
          <w:p w14:paraId="5075F7A5">
            <w:pPr>
              <w:adjustRightInd w:val="0"/>
              <w:snapToGrid w:val="0"/>
              <w:spacing w:line="320" w:lineRule="exact"/>
              <w:ind w:firstLine="0" w:firstLineChars="0"/>
              <w:jc w:val="center"/>
              <w:rPr>
                <w:sz w:val="21"/>
                <w:szCs w:val="21"/>
              </w:rPr>
            </w:pPr>
            <w:r>
              <w:rPr>
                <w:sz w:val="21"/>
                <w:szCs w:val="21"/>
              </w:rPr>
              <w:t>12.5</w:t>
            </w:r>
          </w:p>
        </w:tc>
      </w:tr>
      <w:tr w14:paraId="7C86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exact"/>
          <w:jc w:val="center"/>
        </w:trPr>
        <w:tc>
          <w:tcPr>
            <w:tcW w:w="735" w:type="pct"/>
            <w:vAlign w:val="center"/>
          </w:tcPr>
          <w:p w14:paraId="04E7B5B4">
            <w:pPr>
              <w:adjustRightInd w:val="0"/>
              <w:snapToGrid w:val="0"/>
              <w:spacing w:line="320" w:lineRule="exact"/>
              <w:ind w:firstLine="0" w:firstLineChars="0"/>
              <w:jc w:val="center"/>
              <w:rPr>
                <w:kern w:val="21"/>
                <w:sz w:val="21"/>
                <w:szCs w:val="21"/>
              </w:rPr>
            </w:pPr>
            <w:r>
              <w:rPr>
                <w:kern w:val="0"/>
                <w:sz w:val="21"/>
                <w:szCs w:val="21"/>
              </w:rPr>
              <w:t>黏土②</w:t>
            </w:r>
          </w:p>
        </w:tc>
        <w:tc>
          <w:tcPr>
            <w:tcW w:w="531" w:type="pct"/>
            <w:vAlign w:val="center"/>
          </w:tcPr>
          <w:p w14:paraId="5F85C19D">
            <w:pPr>
              <w:adjustRightInd w:val="0"/>
              <w:snapToGrid w:val="0"/>
              <w:spacing w:line="320" w:lineRule="exact"/>
              <w:ind w:firstLine="0" w:firstLineChars="0"/>
              <w:jc w:val="center"/>
              <w:rPr>
                <w:sz w:val="21"/>
                <w:szCs w:val="21"/>
              </w:rPr>
            </w:pPr>
            <w:r>
              <w:rPr>
                <w:sz w:val="21"/>
                <w:szCs w:val="21"/>
              </w:rPr>
              <w:t>17.8</w:t>
            </w:r>
          </w:p>
        </w:tc>
        <w:tc>
          <w:tcPr>
            <w:tcW w:w="531" w:type="pct"/>
            <w:vAlign w:val="center"/>
          </w:tcPr>
          <w:p w14:paraId="46299B40">
            <w:pPr>
              <w:adjustRightInd w:val="0"/>
              <w:snapToGrid w:val="0"/>
              <w:spacing w:line="320" w:lineRule="exact"/>
              <w:ind w:firstLine="0" w:firstLineChars="0"/>
              <w:jc w:val="center"/>
              <w:rPr>
                <w:sz w:val="21"/>
                <w:szCs w:val="21"/>
              </w:rPr>
            </w:pPr>
            <w:r>
              <w:rPr>
                <w:sz w:val="21"/>
                <w:szCs w:val="21"/>
              </w:rPr>
              <w:t>18.8</w:t>
            </w:r>
          </w:p>
        </w:tc>
        <w:tc>
          <w:tcPr>
            <w:tcW w:w="382" w:type="pct"/>
            <w:vAlign w:val="center"/>
          </w:tcPr>
          <w:p w14:paraId="17B852CD">
            <w:pPr>
              <w:adjustRightInd w:val="0"/>
              <w:snapToGrid w:val="0"/>
              <w:spacing w:line="320" w:lineRule="exact"/>
              <w:ind w:firstLine="0" w:firstLineChars="0"/>
              <w:jc w:val="center"/>
              <w:rPr>
                <w:sz w:val="21"/>
                <w:szCs w:val="21"/>
              </w:rPr>
            </w:pPr>
            <w:r>
              <w:rPr>
                <w:sz w:val="21"/>
                <w:szCs w:val="21"/>
              </w:rPr>
              <w:t>170</w:t>
            </w:r>
          </w:p>
        </w:tc>
        <w:tc>
          <w:tcPr>
            <w:tcW w:w="549" w:type="pct"/>
            <w:vAlign w:val="center"/>
          </w:tcPr>
          <w:p w14:paraId="4C134874">
            <w:pPr>
              <w:adjustRightInd w:val="0"/>
              <w:snapToGrid w:val="0"/>
              <w:spacing w:line="320" w:lineRule="exact"/>
              <w:ind w:firstLine="0" w:firstLineChars="0"/>
              <w:jc w:val="center"/>
              <w:rPr>
                <w:sz w:val="21"/>
                <w:szCs w:val="21"/>
              </w:rPr>
            </w:pPr>
            <w:r>
              <w:rPr>
                <w:sz w:val="21"/>
                <w:szCs w:val="21"/>
              </w:rPr>
              <w:t>7.4</w:t>
            </w:r>
          </w:p>
        </w:tc>
        <w:tc>
          <w:tcPr>
            <w:tcW w:w="549" w:type="pct"/>
            <w:vAlign w:val="center"/>
          </w:tcPr>
          <w:p w14:paraId="2AB8BE5D">
            <w:pPr>
              <w:adjustRightInd w:val="0"/>
              <w:snapToGrid w:val="0"/>
              <w:spacing w:line="320" w:lineRule="exact"/>
              <w:ind w:firstLine="0" w:firstLineChars="0"/>
              <w:jc w:val="center"/>
              <w:rPr>
                <w:sz w:val="21"/>
                <w:szCs w:val="21"/>
              </w:rPr>
            </w:pPr>
            <w:r>
              <w:rPr>
                <w:sz w:val="21"/>
                <w:szCs w:val="21"/>
              </w:rPr>
              <w:t>10.0</w:t>
            </w:r>
          </w:p>
        </w:tc>
        <w:tc>
          <w:tcPr>
            <w:tcW w:w="456" w:type="pct"/>
            <w:vAlign w:val="center"/>
          </w:tcPr>
          <w:p w14:paraId="3A0761D8">
            <w:pPr>
              <w:adjustRightInd w:val="0"/>
              <w:snapToGrid w:val="0"/>
              <w:spacing w:line="320" w:lineRule="exact"/>
              <w:ind w:firstLine="0" w:firstLineChars="0"/>
              <w:jc w:val="center"/>
              <w:rPr>
                <w:sz w:val="21"/>
                <w:szCs w:val="21"/>
              </w:rPr>
            </w:pPr>
            <w:r>
              <w:rPr>
                <w:sz w:val="21"/>
                <w:szCs w:val="21"/>
              </w:rPr>
              <w:t>27.8</w:t>
            </w:r>
          </w:p>
        </w:tc>
        <w:tc>
          <w:tcPr>
            <w:tcW w:w="362" w:type="pct"/>
            <w:vAlign w:val="center"/>
          </w:tcPr>
          <w:p w14:paraId="7D9CD9DA">
            <w:pPr>
              <w:adjustRightInd w:val="0"/>
              <w:snapToGrid w:val="0"/>
              <w:spacing w:line="320" w:lineRule="exact"/>
              <w:ind w:firstLine="0" w:firstLineChars="0"/>
              <w:jc w:val="center"/>
              <w:rPr>
                <w:sz w:val="21"/>
                <w:szCs w:val="21"/>
              </w:rPr>
            </w:pPr>
            <w:r>
              <w:rPr>
                <w:sz w:val="21"/>
                <w:szCs w:val="21"/>
              </w:rPr>
              <w:t>12.5</w:t>
            </w:r>
          </w:p>
        </w:tc>
        <w:tc>
          <w:tcPr>
            <w:tcW w:w="456" w:type="pct"/>
            <w:vAlign w:val="center"/>
          </w:tcPr>
          <w:p w14:paraId="3CB399E9">
            <w:pPr>
              <w:adjustRightInd w:val="0"/>
              <w:snapToGrid w:val="0"/>
              <w:spacing w:line="320" w:lineRule="exact"/>
              <w:ind w:firstLine="0" w:firstLineChars="0"/>
              <w:jc w:val="center"/>
              <w:rPr>
                <w:sz w:val="21"/>
                <w:szCs w:val="21"/>
              </w:rPr>
            </w:pPr>
            <w:r>
              <w:rPr>
                <w:sz w:val="21"/>
                <w:szCs w:val="21"/>
              </w:rPr>
              <w:t>24.5</w:t>
            </w:r>
          </w:p>
        </w:tc>
        <w:tc>
          <w:tcPr>
            <w:tcW w:w="448" w:type="pct"/>
            <w:vAlign w:val="center"/>
          </w:tcPr>
          <w:p w14:paraId="417648AD">
            <w:pPr>
              <w:adjustRightInd w:val="0"/>
              <w:snapToGrid w:val="0"/>
              <w:spacing w:line="320" w:lineRule="exact"/>
              <w:ind w:firstLine="0" w:firstLineChars="0"/>
              <w:jc w:val="center"/>
              <w:rPr>
                <w:sz w:val="21"/>
                <w:szCs w:val="21"/>
              </w:rPr>
            </w:pPr>
            <w:r>
              <w:rPr>
                <w:sz w:val="21"/>
                <w:szCs w:val="21"/>
              </w:rPr>
              <w:t>11.5</w:t>
            </w:r>
          </w:p>
        </w:tc>
      </w:tr>
      <w:tr w14:paraId="6163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jc w:val="center"/>
        </w:trPr>
        <w:tc>
          <w:tcPr>
            <w:tcW w:w="735" w:type="pct"/>
            <w:vAlign w:val="center"/>
          </w:tcPr>
          <w:p w14:paraId="6BC0F6DF">
            <w:pPr>
              <w:adjustRightInd w:val="0"/>
              <w:snapToGrid w:val="0"/>
              <w:spacing w:line="320" w:lineRule="exact"/>
              <w:ind w:firstLine="0" w:firstLineChars="0"/>
              <w:jc w:val="center"/>
              <w:rPr>
                <w:kern w:val="21"/>
                <w:sz w:val="21"/>
                <w:szCs w:val="21"/>
              </w:rPr>
            </w:pPr>
            <w:r>
              <w:rPr>
                <w:bCs/>
                <w:sz w:val="21"/>
                <w:szCs w:val="21"/>
              </w:rPr>
              <w:t>强风化变质石英砂③岩</w:t>
            </w:r>
          </w:p>
        </w:tc>
        <w:tc>
          <w:tcPr>
            <w:tcW w:w="531" w:type="pct"/>
            <w:vAlign w:val="center"/>
          </w:tcPr>
          <w:p w14:paraId="12D0F154">
            <w:pPr>
              <w:adjustRightInd w:val="0"/>
              <w:snapToGrid w:val="0"/>
              <w:spacing w:line="320" w:lineRule="exact"/>
              <w:ind w:firstLine="0" w:firstLineChars="0"/>
              <w:jc w:val="center"/>
              <w:rPr>
                <w:sz w:val="21"/>
                <w:szCs w:val="21"/>
              </w:rPr>
            </w:pPr>
            <w:r>
              <w:rPr>
                <w:sz w:val="21"/>
                <w:szCs w:val="21"/>
              </w:rPr>
              <w:t>22.0</w:t>
            </w:r>
          </w:p>
        </w:tc>
        <w:tc>
          <w:tcPr>
            <w:tcW w:w="531" w:type="pct"/>
            <w:vAlign w:val="center"/>
          </w:tcPr>
          <w:p w14:paraId="4D8EDBD2">
            <w:pPr>
              <w:adjustRightInd w:val="0"/>
              <w:snapToGrid w:val="0"/>
              <w:spacing w:line="320" w:lineRule="exact"/>
              <w:ind w:firstLine="0" w:firstLineChars="0"/>
              <w:jc w:val="center"/>
              <w:rPr>
                <w:sz w:val="21"/>
                <w:szCs w:val="21"/>
              </w:rPr>
            </w:pPr>
            <w:r>
              <w:rPr>
                <w:sz w:val="21"/>
                <w:szCs w:val="21"/>
              </w:rPr>
              <w:t>23.0</w:t>
            </w:r>
          </w:p>
        </w:tc>
        <w:tc>
          <w:tcPr>
            <w:tcW w:w="382" w:type="pct"/>
            <w:vAlign w:val="center"/>
          </w:tcPr>
          <w:p w14:paraId="5ED6BA50">
            <w:pPr>
              <w:adjustRightInd w:val="0"/>
              <w:snapToGrid w:val="0"/>
              <w:spacing w:line="320" w:lineRule="exact"/>
              <w:ind w:firstLine="0" w:firstLineChars="0"/>
              <w:jc w:val="center"/>
              <w:rPr>
                <w:sz w:val="21"/>
                <w:szCs w:val="21"/>
              </w:rPr>
            </w:pPr>
            <w:r>
              <w:rPr>
                <w:sz w:val="21"/>
                <w:szCs w:val="21"/>
              </w:rPr>
              <w:t>350</w:t>
            </w:r>
          </w:p>
        </w:tc>
        <w:tc>
          <w:tcPr>
            <w:tcW w:w="549" w:type="pct"/>
            <w:vAlign w:val="center"/>
          </w:tcPr>
          <w:p w14:paraId="3065F10C">
            <w:pPr>
              <w:adjustRightInd w:val="0"/>
              <w:snapToGrid w:val="0"/>
              <w:spacing w:line="320" w:lineRule="exact"/>
              <w:ind w:firstLine="0" w:firstLineChars="0"/>
              <w:jc w:val="center"/>
              <w:rPr>
                <w:sz w:val="21"/>
                <w:szCs w:val="21"/>
              </w:rPr>
            </w:pPr>
            <w:r>
              <w:rPr>
                <w:sz w:val="21"/>
                <w:szCs w:val="21"/>
              </w:rPr>
              <w:t>/</w:t>
            </w:r>
          </w:p>
        </w:tc>
        <w:tc>
          <w:tcPr>
            <w:tcW w:w="549" w:type="pct"/>
            <w:vAlign w:val="center"/>
          </w:tcPr>
          <w:p w14:paraId="4A0969CC">
            <w:pPr>
              <w:adjustRightInd w:val="0"/>
              <w:snapToGrid w:val="0"/>
              <w:spacing w:line="320" w:lineRule="exact"/>
              <w:ind w:firstLine="0" w:firstLineChars="0"/>
              <w:jc w:val="center"/>
              <w:rPr>
                <w:sz w:val="21"/>
                <w:szCs w:val="21"/>
              </w:rPr>
            </w:pPr>
            <w:r>
              <w:rPr>
                <w:sz w:val="21"/>
                <w:szCs w:val="21"/>
              </w:rPr>
              <w:t>/</w:t>
            </w:r>
          </w:p>
        </w:tc>
        <w:tc>
          <w:tcPr>
            <w:tcW w:w="456" w:type="pct"/>
            <w:vAlign w:val="center"/>
          </w:tcPr>
          <w:p w14:paraId="7D09E8B6">
            <w:pPr>
              <w:adjustRightInd w:val="0"/>
              <w:snapToGrid w:val="0"/>
              <w:spacing w:line="320" w:lineRule="exact"/>
              <w:ind w:firstLine="0" w:firstLineChars="0"/>
              <w:jc w:val="center"/>
              <w:rPr>
                <w:sz w:val="21"/>
                <w:szCs w:val="21"/>
              </w:rPr>
            </w:pPr>
            <w:r>
              <w:rPr>
                <w:bCs/>
                <w:snapToGrid w:val="0"/>
                <w:kern w:val="0"/>
                <w:sz w:val="21"/>
                <w:szCs w:val="21"/>
              </w:rPr>
              <w:t>120.0</w:t>
            </w:r>
          </w:p>
        </w:tc>
        <w:tc>
          <w:tcPr>
            <w:tcW w:w="362" w:type="pct"/>
            <w:vAlign w:val="center"/>
          </w:tcPr>
          <w:p w14:paraId="4D6E7A60">
            <w:pPr>
              <w:adjustRightInd w:val="0"/>
              <w:snapToGrid w:val="0"/>
              <w:spacing w:line="320" w:lineRule="exact"/>
              <w:ind w:firstLine="0" w:firstLineChars="0"/>
              <w:jc w:val="center"/>
              <w:rPr>
                <w:sz w:val="21"/>
                <w:szCs w:val="21"/>
              </w:rPr>
            </w:pPr>
            <w:r>
              <w:rPr>
                <w:bCs/>
                <w:snapToGrid w:val="0"/>
                <w:kern w:val="0"/>
                <w:sz w:val="21"/>
                <w:szCs w:val="21"/>
              </w:rPr>
              <w:t>30.0</w:t>
            </w:r>
          </w:p>
        </w:tc>
        <w:tc>
          <w:tcPr>
            <w:tcW w:w="456" w:type="pct"/>
            <w:vAlign w:val="center"/>
          </w:tcPr>
          <w:p w14:paraId="1BA3EA0A">
            <w:pPr>
              <w:adjustRightInd w:val="0"/>
              <w:snapToGrid w:val="0"/>
              <w:spacing w:line="320" w:lineRule="exact"/>
              <w:ind w:firstLine="0" w:firstLineChars="0"/>
              <w:jc w:val="center"/>
              <w:rPr>
                <w:sz w:val="21"/>
                <w:szCs w:val="21"/>
              </w:rPr>
            </w:pPr>
            <w:r>
              <w:rPr>
                <w:bCs/>
                <w:snapToGrid w:val="0"/>
                <w:kern w:val="0"/>
                <w:sz w:val="21"/>
                <w:szCs w:val="21"/>
              </w:rPr>
              <w:t>100</w:t>
            </w:r>
          </w:p>
        </w:tc>
        <w:tc>
          <w:tcPr>
            <w:tcW w:w="448" w:type="pct"/>
            <w:vAlign w:val="center"/>
          </w:tcPr>
          <w:p w14:paraId="609702BE">
            <w:pPr>
              <w:adjustRightInd w:val="0"/>
              <w:snapToGrid w:val="0"/>
              <w:spacing w:line="320" w:lineRule="exact"/>
              <w:ind w:firstLine="0" w:firstLineChars="0"/>
              <w:jc w:val="center"/>
              <w:rPr>
                <w:sz w:val="21"/>
                <w:szCs w:val="21"/>
              </w:rPr>
            </w:pPr>
            <w:r>
              <w:rPr>
                <w:bCs/>
                <w:snapToGrid w:val="0"/>
                <w:kern w:val="0"/>
                <w:sz w:val="21"/>
                <w:szCs w:val="21"/>
              </w:rPr>
              <w:t>28.0</w:t>
            </w:r>
          </w:p>
        </w:tc>
      </w:tr>
    </w:tbl>
    <w:p w14:paraId="465ED232">
      <w:pPr>
        <w:pStyle w:val="5"/>
      </w:pPr>
      <w:r>
        <w:rPr>
          <w:rFonts w:hint="eastAsia"/>
        </w:rPr>
        <w:t>2.3.2.3不良地质作用及特殊土</w:t>
      </w:r>
    </w:p>
    <w:p w14:paraId="10AF17A3">
      <w:pPr>
        <w:ind w:firstLine="560"/>
        <w:jc w:val="left"/>
        <w:rPr>
          <w:bCs/>
        </w:rPr>
      </w:pPr>
      <w:bookmarkStart w:id="29" w:name="_Toc81327564"/>
      <w:r>
        <w:rPr>
          <w:bCs/>
        </w:rPr>
        <w:t>（一）不良地质作用</w:t>
      </w:r>
      <w:bookmarkEnd w:id="29"/>
    </w:p>
    <w:p w14:paraId="28304F63">
      <w:pPr>
        <w:ind w:firstLine="560"/>
        <w:jc w:val="left"/>
      </w:pPr>
      <w:r>
        <w:t>经勘探及区域地质调查，拟建场地内及附近未见泥石流、采空区、地面沉降等不良地质作用分布，也未发现埋藏有河道、沟滨、墓穴、防空洞、孤石等对工程不利的埋藏物。</w:t>
      </w:r>
    </w:p>
    <w:p w14:paraId="72784E81">
      <w:pPr>
        <w:ind w:firstLine="560"/>
        <w:jc w:val="left"/>
        <w:rPr>
          <w:bCs/>
        </w:rPr>
      </w:pPr>
      <w:bookmarkStart w:id="30" w:name="_Toc81327565"/>
      <w:r>
        <w:rPr>
          <w:bCs/>
        </w:rPr>
        <w:t>（二）特殊性岩土</w:t>
      </w:r>
      <w:bookmarkEnd w:id="30"/>
    </w:p>
    <w:p w14:paraId="2F365A2C">
      <w:pPr>
        <w:ind w:firstLine="560"/>
        <w:jc w:val="left"/>
      </w:pPr>
      <w:r>
        <w:t>根据钻探结合现场调查分析，场地内分布的特殊岩土主要为填土、风化岩和残积土，现对场地内分布的特殊性岩土进行如下评价：</w:t>
      </w:r>
    </w:p>
    <w:p w14:paraId="79B32129">
      <w:pPr>
        <w:ind w:firstLine="560"/>
        <w:jc w:val="left"/>
      </w:pPr>
      <w:r>
        <w:t>1、人工填土</w:t>
      </w:r>
    </w:p>
    <w:p w14:paraId="5BFB0F79">
      <w:pPr>
        <w:ind w:firstLine="560"/>
        <w:jc w:val="left"/>
      </w:pPr>
      <w:r>
        <w:t>（1）素填土①</w:t>
      </w:r>
      <w:r>
        <w:rPr>
          <w:vertAlign w:val="subscript"/>
        </w:rPr>
        <w:t>2</w:t>
      </w:r>
      <w:r>
        <w:t>：分布厚度1.50~2.00m，为磷石膏体库底防渗层，填筑过程经分层碾压，堆填时间大于10年。该层主要由黏性土组成，密实度及均匀性均一般，强度一般，可能产生沉降、不均匀沉降等问题。</w:t>
      </w:r>
    </w:p>
    <w:p w14:paraId="699357C9">
      <w:pPr>
        <w:ind w:firstLine="560"/>
        <w:jc w:val="left"/>
      </w:pPr>
      <w:r>
        <w:t>（2）素填土①</w:t>
      </w:r>
      <w:r>
        <w:rPr>
          <w:vertAlign w:val="subscript"/>
        </w:rPr>
        <w:t>3</w:t>
      </w:r>
      <w:r>
        <w:t>：分布厚度3.50~9.80m，为1号坝、2号坝筑坝土，填筑过程经分层碾压，堆填时间大于10年。该层主要由黏性土组成，呈稍密～中密状态，均匀性一般，强度一般，可能产生沉降、不均匀沉降等问题。</w:t>
      </w:r>
    </w:p>
    <w:p w14:paraId="1189E10F">
      <w:pPr>
        <w:ind w:firstLine="560"/>
        <w:jc w:val="left"/>
      </w:pPr>
      <w:r>
        <w:t>2、风化岩和残积土</w:t>
      </w:r>
    </w:p>
    <w:p w14:paraId="1DEB8BE9">
      <w:pPr>
        <w:ind w:firstLine="560"/>
        <w:jc w:val="left"/>
      </w:pPr>
      <w:r>
        <w:t>（1）残积土：本场地分布的第四系坡残积土（Q</w:t>
      </w:r>
      <w:r>
        <w:rPr>
          <w:vertAlign w:val="subscript"/>
        </w:rPr>
        <w:t>4</w:t>
      </w:r>
      <w:r>
        <w:rPr>
          <w:i/>
          <w:vertAlign w:val="superscript"/>
        </w:rPr>
        <w:t>dl+el</w:t>
      </w:r>
      <w:r>
        <w:t>）主要为黏土</w:t>
      </w:r>
      <w:r>
        <w:rPr>
          <w:rFonts w:hint="eastAsia" w:ascii="宋体" w:hAnsi="宋体" w:cs="宋体"/>
        </w:rPr>
        <w:t>②</w:t>
      </w:r>
      <w:r>
        <w:t>层，该层整个场地基本分布，分布厚度差异大，该层层厚一般在4.80~9.40m范围。该层呈可塑～硬塑状态，韧性及干强度中等，无摇震反应，土质均匀性一般，局部含有强风化变质石英砂岩，力学性质一般。</w:t>
      </w:r>
    </w:p>
    <w:p w14:paraId="51AB8864">
      <w:pPr>
        <w:ind w:firstLine="560"/>
        <w:jc w:val="left"/>
      </w:pPr>
      <w:r>
        <w:t>（2）风化岩：本场地中分布有强风化变质石英砂岩</w:t>
      </w:r>
      <w:r>
        <w:rPr>
          <w:rFonts w:hint="eastAsia" w:ascii="宋体" w:hAnsi="宋体" w:cs="宋体"/>
        </w:rPr>
        <w:t>③</w:t>
      </w:r>
      <w:r>
        <w:t>，属元古界昆阳群黑头山组（Pt</w:t>
      </w:r>
      <w:r>
        <w:rPr>
          <w:vertAlign w:val="subscript"/>
        </w:rPr>
        <w:t>1</w:t>
      </w:r>
      <w:r>
        <w:rPr>
          <w:i/>
        </w:rPr>
        <w:t>hs</w:t>
      </w:r>
      <w:r>
        <w:t>）。岩面风化差异大，节理裂隙发育，岩芯多呈碎块状、短柱状。力学性质相对较好。</w:t>
      </w:r>
    </w:p>
    <w:p w14:paraId="53E20403">
      <w:pPr>
        <w:pStyle w:val="5"/>
      </w:pPr>
      <w:r>
        <w:rPr>
          <w:rFonts w:hint="eastAsia"/>
        </w:rPr>
        <w:t>2.3.2.4堆积磷石膏的物理性</w:t>
      </w:r>
      <w:r>
        <w:t xml:space="preserve"> </w:t>
      </w:r>
    </w:p>
    <w:p w14:paraId="179DACF7">
      <w:pPr>
        <w:ind w:firstLine="560"/>
        <w:jc w:val="left"/>
        <w:rPr>
          <w:sz w:val="24"/>
          <w:szCs w:val="24"/>
        </w:rPr>
      </w:pPr>
      <w:r>
        <w:rPr>
          <w:rFonts w:hint="eastAsia" w:cs="Times New Roman"/>
        </w:rPr>
        <w:t>（</w:t>
      </w:r>
      <w:r>
        <w:rPr>
          <w:rFonts w:cs="Times New Roman"/>
        </w:rPr>
        <w:t>1）堆积磷石膏的颗粒组成</w:t>
      </w:r>
    </w:p>
    <w:p w14:paraId="23E5ECA8">
      <w:pPr>
        <w:pStyle w:val="46"/>
        <w:spacing w:line="360" w:lineRule="auto"/>
        <w:rPr>
          <w:sz w:val="24"/>
          <w:szCs w:val="24"/>
        </w:rPr>
      </w:pPr>
      <w:r>
        <w:rPr>
          <w:sz w:val="24"/>
          <w:szCs w:val="24"/>
        </w:rPr>
        <w:t>表</w:t>
      </w:r>
      <w:r>
        <w:rPr>
          <w:rFonts w:hint="eastAsia"/>
          <w:sz w:val="24"/>
          <w:szCs w:val="24"/>
        </w:rPr>
        <w:t>2.3-2</w:t>
      </w:r>
      <w:r>
        <w:rPr>
          <w:sz w:val="24"/>
          <w:szCs w:val="24"/>
        </w:rPr>
        <w:t xml:space="preserve"> 堆积尾矿颗粒分析统计表</w:t>
      </w:r>
    </w:p>
    <w:tbl>
      <w:tblPr>
        <w:tblStyle w:val="33"/>
        <w:tblW w:w="514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1" w:type="dxa"/>
          <w:bottom w:w="0" w:type="dxa"/>
          <w:right w:w="11" w:type="dxa"/>
        </w:tblCellMar>
      </w:tblPr>
      <w:tblGrid>
        <w:gridCol w:w="651"/>
        <w:gridCol w:w="576"/>
        <w:gridCol w:w="533"/>
        <w:gridCol w:w="669"/>
        <w:gridCol w:w="671"/>
        <w:gridCol w:w="536"/>
        <w:gridCol w:w="667"/>
        <w:gridCol w:w="690"/>
        <w:gridCol w:w="559"/>
        <w:gridCol w:w="669"/>
        <w:gridCol w:w="671"/>
        <w:gridCol w:w="671"/>
        <w:gridCol w:w="673"/>
        <w:gridCol w:w="669"/>
        <w:gridCol w:w="572"/>
      </w:tblGrid>
      <w:tr w14:paraId="047BC8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55" w:hRule="atLeast"/>
          <w:jc w:val="center"/>
        </w:trPr>
        <w:tc>
          <w:tcPr>
            <w:tcW w:w="343" w:type="pct"/>
            <w:vMerge w:val="restart"/>
            <w:vAlign w:val="center"/>
          </w:tcPr>
          <w:p w14:paraId="73D3CD9A">
            <w:pPr>
              <w:spacing w:line="280" w:lineRule="exact"/>
              <w:ind w:firstLine="0" w:firstLineChars="0"/>
              <w:jc w:val="center"/>
              <w:rPr>
                <w:rFonts w:cs="Times New Roman"/>
                <w:snapToGrid w:val="0"/>
                <w:kern w:val="0"/>
                <w:sz w:val="21"/>
                <w:szCs w:val="21"/>
              </w:rPr>
            </w:pPr>
            <w:r>
              <w:rPr>
                <w:rFonts w:cs="Times New Roman"/>
                <w:snapToGrid w:val="0"/>
                <w:kern w:val="0"/>
                <w:sz w:val="21"/>
                <w:szCs w:val="21"/>
              </w:rPr>
              <w:t>统计</w:t>
            </w:r>
          </w:p>
          <w:p w14:paraId="2AEFD076">
            <w:pPr>
              <w:spacing w:line="280" w:lineRule="exact"/>
              <w:ind w:firstLine="0" w:firstLineChars="0"/>
              <w:jc w:val="center"/>
              <w:rPr>
                <w:rFonts w:cs="Times New Roman"/>
                <w:snapToGrid w:val="0"/>
                <w:w w:val="90"/>
                <w:kern w:val="0"/>
                <w:sz w:val="21"/>
                <w:szCs w:val="21"/>
              </w:rPr>
            </w:pPr>
            <w:r>
              <w:rPr>
                <w:rFonts w:cs="Times New Roman"/>
                <w:snapToGrid w:val="0"/>
                <w:kern w:val="0"/>
                <w:sz w:val="21"/>
                <w:szCs w:val="21"/>
              </w:rPr>
              <w:t>项目</w:t>
            </w:r>
          </w:p>
        </w:tc>
        <w:tc>
          <w:tcPr>
            <w:tcW w:w="2585" w:type="pct"/>
            <w:gridSpan w:val="8"/>
          </w:tcPr>
          <w:p w14:paraId="16ED2D03">
            <w:pPr>
              <w:spacing w:line="280" w:lineRule="exact"/>
              <w:ind w:firstLine="0" w:firstLineChars="0"/>
              <w:jc w:val="center"/>
              <w:rPr>
                <w:rFonts w:cs="Times New Roman"/>
                <w:snapToGrid w:val="0"/>
                <w:kern w:val="0"/>
                <w:sz w:val="21"/>
                <w:szCs w:val="21"/>
              </w:rPr>
            </w:pPr>
            <w:r>
              <w:rPr>
                <w:rFonts w:cs="Times New Roman"/>
                <w:snapToGrid w:val="0"/>
                <w:kern w:val="0"/>
                <w:sz w:val="21"/>
                <w:szCs w:val="21"/>
              </w:rPr>
              <w:t>颗粒组成</w:t>
            </w:r>
          </w:p>
        </w:tc>
        <w:tc>
          <w:tcPr>
            <w:tcW w:w="1415" w:type="pct"/>
            <w:gridSpan w:val="4"/>
          </w:tcPr>
          <w:p w14:paraId="1EA880E2">
            <w:pPr>
              <w:spacing w:line="280" w:lineRule="exact"/>
              <w:ind w:firstLine="0" w:firstLineChars="0"/>
              <w:jc w:val="center"/>
              <w:rPr>
                <w:rFonts w:cs="Times New Roman"/>
                <w:snapToGrid w:val="0"/>
                <w:kern w:val="0"/>
                <w:sz w:val="21"/>
                <w:szCs w:val="21"/>
              </w:rPr>
            </w:pPr>
            <w:r>
              <w:rPr>
                <w:rFonts w:cs="Times New Roman"/>
                <w:snapToGrid w:val="0"/>
                <w:kern w:val="0"/>
                <w:sz w:val="21"/>
                <w:szCs w:val="21"/>
              </w:rPr>
              <w:t>界限粒径</w:t>
            </w:r>
          </w:p>
        </w:tc>
        <w:tc>
          <w:tcPr>
            <w:tcW w:w="656" w:type="pct"/>
            <w:gridSpan w:val="2"/>
          </w:tcPr>
          <w:p w14:paraId="665E73BE">
            <w:pPr>
              <w:spacing w:line="280" w:lineRule="exact"/>
              <w:ind w:firstLine="0" w:firstLineChars="0"/>
              <w:jc w:val="center"/>
              <w:rPr>
                <w:rFonts w:cs="Times New Roman"/>
                <w:snapToGrid w:val="0"/>
                <w:kern w:val="0"/>
                <w:sz w:val="21"/>
                <w:szCs w:val="21"/>
              </w:rPr>
            </w:pPr>
            <w:r>
              <w:rPr>
                <w:rFonts w:cs="Times New Roman"/>
                <w:snapToGrid w:val="0"/>
                <w:kern w:val="0"/>
                <w:sz w:val="21"/>
                <w:szCs w:val="21"/>
              </w:rPr>
              <w:t>界限系数</w:t>
            </w:r>
          </w:p>
        </w:tc>
      </w:tr>
      <w:tr w14:paraId="6403C6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232" w:hRule="atLeast"/>
          <w:jc w:val="center"/>
        </w:trPr>
        <w:tc>
          <w:tcPr>
            <w:tcW w:w="343" w:type="pct"/>
            <w:vMerge w:val="continue"/>
          </w:tcPr>
          <w:p w14:paraId="75FF6AB6">
            <w:pPr>
              <w:adjustRightInd w:val="0"/>
              <w:snapToGrid w:val="0"/>
              <w:spacing w:line="280" w:lineRule="exact"/>
              <w:ind w:firstLine="377"/>
              <w:rPr>
                <w:rFonts w:cs="Times New Roman"/>
                <w:snapToGrid w:val="0"/>
                <w:w w:val="90"/>
                <w:kern w:val="0"/>
                <w:sz w:val="21"/>
                <w:szCs w:val="21"/>
              </w:rPr>
            </w:pPr>
          </w:p>
        </w:tc>
        <w:tc>
          <w:tcPr>
            <w:tcW w:w="304" w:type="pct"/>
            <w:vAlign w:val="center"/>
          </w:tcPr>
          <w:p w14:paraId="0583B950">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2.00</w:t>
            </w:r>
          </w:p>
          <w:p w14:paraId="7C724691">
            <w:pPr>
              <w:adjustRightInd w:val="0"/>
              <w:snapToGrid w:val="0"/>
              <w:spacing w:line="280" w:lineRule="exact"/>
              <w:ind w:firstLine="0" w:firstLineChars="0"/>
              <w:rPr>
                <w:rFonts w:cs="Times New Roman"/>
                <w:snapToGrid w:val="0"/>
                <w:w w:val="90"/>
                <w:kern w:val="0"/>
                <w:sz w:val="21"/>
                <w:szCs w:val="21"/>
              </w:rPr>
            </w:pPr>
            <w:r>
              <w:rPr>
                <w:rFonts w:cs="Times New Roman"/>
                <w:snapToGrid w:val="0"/>
                <w:w w:val="90"/>
                <w:kern w:val="0"/>
                <w:sz w:val="21"/>
                <w:szCs w:val="21"/>
              </w:rPr>
              <w:t>～0.50</w:t>
            </w:r>
          </w:p>
        </w:tc>
        <w:tc>
          <w:tcPr>
            <w:tcW w:w="281" w:type="pct"/>
            <w:vAlign w:val="center"/>
          </w:tcPr>
          <w:p w14:paraId="48398584">
            <w:pPr>
              <w:adjustRightInd w:val="0"/>
              <w:snapToGrid w:val="0"/>
              <w:spacing w:line="280" w:lineRule="exact"/>
              <w:ind w:firstLine="0" w:firstLineChars="0"/>
              <w:rPr>
                <w:rFonts w:cs="Times New Roman"/>
                <w:snapToGrid w:val="0"/>
                <w:w w:val="90"/>
                <w:kern w:val="0"/>
                <w:sz w:val="21"/>
                <w:szCs w:val="21"/>
              </w:rPr>
            </w:pPr>
            <w:r>
              <w:rPr>
                <w:rFonts w:cs="Times New Roman"/>
                <w:snapToGrid w:val="0"/>
                <w:w w:val="90"/>
                <w:kern w:val="0"/>
                <w:sz w:val="21"/>
                <w:szCs w:val="21"/>
              </w:rPr>
              <w:t>0.50～</w:t>
            </w:r>
          </w:p>
          <w:p w14:paraId="60F1DE8B">
            <w:pPr>
              <w:adjustRightInd w:val="0"/>
              <w:snapToGrid w:val="0"/>
              <w:spacing w:line="280" w:lineRule="exact"/>
              <w:ind w:firstLine="0" w:firstLineChars="0"/>
              <w:rPr>
                <w:rFonts w:cs="Times New Roman"/>
                <w:snapToGrid w:val="0"/>
                <w:w w:val="90"/>
                <w:kern w:val="0"/>
                <w:sz w:val="21"/>
                <w:szCs w:val="21"/>
              </w:rPr>
            </w:pPr>
            <w:r>
              <w:rPr>
                <w:rFonts w:cs="Times New Roman"/>
                <w:snapToGrid w:val="0"/>
                <w:w w:val="90"/>
                <w:kern w:val="0"/>
                <w:sz w:val="21"/>
                <w:szCs w:val="21"/>
              </w:rPr>
              <w:t>0.25</w:t>
            </w:r>
          </w:p>
        </w:tc>
        <w:tc>
          <w:tcPr>
            <w:tcW w:w="353" w:type="pct"/>
            <w:vAlign w:val="center"/>
          </w:tcPr>
          <w:p w14:paraId="60A5099B">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0.25～</w:t>
            </w:r>
          </w:p>
          <w:p w14:paraId="6EC599D5">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0.075</w:t>
            </w:r>
          </w:p>
        </w:tc>
        <w:tc>
          <w:tcPr>
            <w:tcW w:w="354" w:type="pct"/>
            <w:vAlign w:val="center"/>
          </w:tcPr>
          <w:p w14:paraId="58F51AE2">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0.075～</w:t>
            </w:r>
          </w:p>
          <w:p w14:paraId="6DFDE230">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0.05</w:t>
            </w:r>
          </w:p>
        </w:tc>
        <w:tc>
          <w:tcPr>
            <w:tcW w:w="283" w:type="pct"/>
            <w:vAlign w:val="center"/>
          </w:tcPr>
          <w:p w14:paraId="01B1B2BE">
            <w:pPr>
              <w:adjustRightInd w:val="0"/>
              <w:snapToGrid w:val="0"/>
              <w:spacing w:line="280" w:lineRule="exact"/>
              <w:ind w:firstLine="0" w:firstLineChars="0"/>
              <w:rPr>
                <w:rFonts w:cs="Times New Roman"/>
                <w:snapToGrid w:val="0"/>
                <w:w w:val="90"/>
                <w:kern w:val="0"/>
                <w:sz w:val="21"/>
                <w:szCs w:val="21"/>
              </w:rPr>
            </w:pPr>
            <w:r>
              <w:rPr>
                <w:rFonts w:cs="Times New Roman"/>
                <w:snapToGrid w:val="0"/>
                <w:w w:val="90"/>
                <w:kern w:val="0"/>
                <w:sz w:val="21"/>
                <w:szCs w:val="21"/>
              </w:rPr>
              <w:t>0.05～</w:t>
            </w:r>
          </w:p>
          <w:p w14:paraId="5610F29E">
            <w:pPr>
              <w:adjustRightInd w:val="0"/>
              <w:snapToGrid w:val="0"/>
              <w:spacing w:line="280" w:lineRule="exact"/>
              <w:ind w:firstLine="0" w:firstLineChars="0"/>
              <w:rPr>
                <w:rFonts w:cs="Times New Roman"/>
                <w:snapToGrid w:val="0"/>
                <w:w w:val="90"/>
                <w:kern w:val="0"/>
                <w:sz w:val="21"/>
                <w:szCs w:val="21"/>
              </w:rPr>
            </w:pPr>
            <w:r>
              <w:rPr>
                <w:rFonts w:cs="Times New Roman"/>
                <w:snapToGrid w:val="0"/>
                <w:w w:val="90"/>
                <w:kern w:val="0"/>
                <w:sz w:val="21"/>
                <w:szCs w:val="21"/>
              </w:rPr>
              <w:t>0.01</w:t>
            </w:r>
          </w:p>
        </w:tc>
        <w:tc>
          <w:tcPr>
            <w:tcW w:w="352" w:type="pct"/>
            <w:vAlign w:val="center"/>
          </w:tcPr>
          <w:p w14:paraId="67ECDCB3">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0.01～</w:t>
            </w:r>
          </w:p>
          <w:p w14:paraId="63A78B0F">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0.005</w:t>
            </w:r>
          </w:p>
        </w:tc>
        <w:tc>
          <w:tcPr>
            <w:tcW w:w="364" w:type="pct"/>
            <w:vAlign w:val="center"/>
          </w:tcPr>
          <w:p w14:paraId="5F7886E5">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p w14:paraId="41174BA2">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0.005</w:t>
            </w:r>
          </w:p>
        </w:tc>
        <w:tc>
          <w:tcPr>
            <w:tcW w:w="295" w:type="pct"/>
            <w:vAlign w:val="center"/>
          </w:tcPr>
          <w:p w14:paraId="49F676D8">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胶粒</w:t>
            </w:r>
          </w:p>
          <w:p w14:paraId="436F4DD3">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p w14:paraId="27C7C139">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0.002</w:t>
            </w:r>
          </w:p>
        </w:tc>
        <w:tc>
          <w:tcPr>
            <w:tcW w:w="353" w:type="pct"/>
            <w:vAlign w:val="center"/>
          </w:tcPr>
          <w:p w14:paraId="2B4134E3">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有效</w:t>
            </w:r>
          </w:p>
          <w:p w14:paraId="4DF2D764">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粒径</w:t>
            </w:r>
          </w:p>
          <w:p w14:paraId="6C5416C2">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d10</w:t>
            </w:r>
          </w:p>
        </w:tc>
        <w:tc>
          <w:tcPr>
            <w:tcW w:w="354" w:type="pct"/>
            <w:vAlign w:val="center"/>
          </w:tcPr>
          <w:p w14:paraId="20D86BE5">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中间</w:t>
            </w:r>
          </w:p>
          <w:p w14:paraId="11AC6325">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粒径</w:t>
            </w:r>
          </w:p>
          <w:p w14:paraId="2B8995E4">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d30</w:t>
            </w:r>
          </w:p>
        </w:tc>
        <w:tc>
          <w:tcPr>
            <w:tcW w:w="354" w:type="pct"/>
            <w:vAlign w:val="center"/>
          </w:tcPr>
          <w:p w14:paraId="5BD13B4E">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平均</w:t>
            </w:r>
          </w:p>
          <w:p w14:paraId="155AB06E">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粒径</w:t>
            </w:r>
          </w:p>
          <w:p w14:paraId="7BE51D1D">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d50</w:t>
            </w:r>
          </w:p>
        </w:tc>
        <w:tc>
          <w:tcPr>
            <w:tcW w:w="355" w:type="pct"/>
            <w:vAlign w:val="center"/>
          </w:tcPr>
          <w:p w14:paraId="4EE94DB8">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限制</w:t>
            </w:r>
          </w:p>
          <w:p w14:paraId="7E5972A4">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粒径</w:t>
            </w:r>
          </w:p>
          <w:p w14:paraId="03B17611">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d60</w:t>
            </w:r>
          </w:p>
        </w:tc>
        <w:tc>
          <w:tcPr>
            <w:tcW w:w="353" w:type="pct"/>
            <w:vAlign w:val="center"/>
          </w:tcPr>
          <w:p w14:paraId="08F0EB4C">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不均</w:t>
            </w:r>
          </w:p>
          <w:p w14:paraId="12309F36">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匀系</w:t>
            </w:r>
          </w:p>
          <w:p w14:paraId="7089BFB8">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数Cu</w:t>
            </w:r>
          </w:p>
        </w:tc>
        <w:tc>
          <w:tcPr>
            <w:tcW w:w="303" w:type="pct"/>
            <w:vAlign w:val="center"/>
          </w:tcPr>
          <w:p w14:paraId="09E4F112">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曲率</w:t>
            </w:r>
          </w:p>
          <w:p w14:paraId="283907BB">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系数</w:t>
            </w:r>
          </w:p>
          <w:p w14:paraId="076380BC">
            <w:pPr>
              <w:adjustRightInd w:val="0"/>
              <w:snapToGrid w:val="0"/>
              <w:spacing w:line="280" w:lineRule="exact"/>
              <w:ind w:firstLine="0" w:firstLineChars="0"/>
              <w:jc w:val="center"/>
              <w:rPr>
                <w:rFonts w:cs="Times New Roman"/>
                <w:snapToGrid w:val="0"/>
                <w:w w:val="90"/>
                <w:kern w:val="0"/>
                <w:sz w:val="21"/>
                <w:szCs w:val="21"/>
              </w:rPr>
            </w:pPr>
            <w:r>
              <w:rPr>
                <w:rFonts w:cs="Times New Roman"/>
                <w:snapToGrid w:val="0"/>
                <w:w w:val="90"/>
                <w:kern w:val="0"/>
                <w:sz w:val="21"/>
                <w:szCs w:val="21"/>
              </w:rPr>
              <w:t>Cc</w:t>
            </w:r>
          </w:p>
        </w:tc>
      </w:tr>
      <w:tr w14:paraId="3DD81A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66" w:hRule="atLeast"/>
          <w:jc w:val="center"/>
        </w:trPr>
        <w:tc>
          <w:tcPr>
            <w:tcW w:w="343" w:type="pct"/>
            <w:vMerge w:val="continue"/>
          </w:tcPr>
          <w:p w14:paraId="37E81956">
            <w:pPr>
              <w:adjustRightInd w:val="0"/>
              <w:snapToGrid w:val="0"/>
              <w:spacing w:line="280" w:lineRule="exact"/>
              <w:rPr>
                <w:rFonts w:cs="Times New Roman"/>
                <w:snapToGrid w:val="0"/>
                <w:kern w:val="0"/>
                <w:sz w:val="21"/>
                <w:szCs w:val="21"/>
              </w:rPr>
            </w:pPr>
          </w:p>
        </w:tc>
        <w:tc>
          <w:tcPr>
            <w:tcW w:w="2585" w:type="pct"/>
            <w:gridSpan w:val="8"/>
          </w:tcPr>
          <w:p w14:paraId="6C542872">
            <w:pPr>
              <w:adjustRightInd w:val="0"/>
              <w:snapToGrid w:val="0"/>
              <w:spacing w:line="280" w:lineRule="exact"/>
              <w:ind w:firstLine="0" w:firstLineChars="0"/>
              <w:jc w:val="center"/>
              <w:rPr>
                <w:rFonts w:cs="Times New Roman"/>
                <w:snapToGrid w:val="0"/>
                <w:kern w:val="0"/>
                <w:sz w:val="21"/>
                <w:szCs w:val="21"/>
              </w:rPr>
            </w:pPr>
            <w:r>
              <w:rPr>
                <w:rFonts w:cs="Times New Roman"/>
                <w:snapToGrid w:val="0"/>
                <w:kern w:val="0"/>
                <w:sz w:val="21"/>
                <w:szCs w:val="21"/>
              </w:rPr>
              <w:t>%</w:t>
            </w:r>
          </w:p>
        </w:tc>
        <w:tc>
          <w:tcPr>
            <w:tcW w:w="1415" w:type="pct"/>
            <w:gridSpan w:val="4"/>
            <w:vAlign w:val="center"/>
          </w:tcPr>
          <w:p w14:paraId="490798B7">
            <w:pPr>
              <w:adjustRightInd w:val="0"/>
              <w:snapToGrid w:val="0"/>
              <w:spacing w:line="280" w:lineRule="exact"/>
              <w:ind w:firstLine="0" w:firstLineChars="0"/>
              <w:jc w:val="center"/>
              <w:rPr>
                <w:rFonts w:cs="Times New Roman"/>
                <w:snapToGrid w:val="0"/>
                <w:kern w:val="0"/>
                <w:sz w:val="21"/>
                <w:szCs w:val="21"/>
              </w:rPr>
            </w:pPr>
            <w:r>
              <w:rPr>
                <w:rFonts w:cs="Times New Roman"/>
                <w:snapToGrid w:val="0"/>
                <w:kern w:val="0"/>
                <w:sz w:val="21"/>
                <w:szCs w:val="21"/>
              </w:rPr>
              <w:t>mm</w:t>
            </w:r>
          </w:p>
        </w:tc>
        <w:tc>
          <w:tcPr>
            <w:tcW w:w="353" w:type="pct"/>
            <w:vAlign w:val="center"/>
          </w:tcPr>
          <w:p w14:paraId="24F52993">
            <w:pPr>
              <w:adjustRightInd w:val="0"/>
              <w:snapToGrid w:val="0"/>
              <w:spacing w:line="280" w:lineRule="exact"/>
              <w:ind w:firstLine="0" w:firstLineChars="0"/>
              <w:jc w:val="center"/>
              <w:rPr>
                <w:rFonts w:cs="Times New Roman"/>
                <w:snapToGrid w:val="0"/>
                <w:kern w:val="0"/>
                <w:sz w:val="21"/>
                <w:szCs w:val="21"/>
              </w:rPr>
            </w:pPr>
            <w:r>
              <w:rPr>
                <w:rFonts w:cs="Times New Roman"/>
                <w:snapToGrid w:val="0"/>
                <w:kern w:val="0"/>
                <w:sz w:val="21"/>
                <w:szCs w:val="21"/>
              </w:rPr>
              <w:t>--</w:t>
            </w:r>
          </w:p>
        </w:tc>
        <w:tc>
          <w:tcPr>
            <w:tcW w:w="303" w:type="pct"/>
            <w:vAlign w:val="center"/>
          </w:tcPr>
          <w:p w14:paraId="184DE357">
            <w:pPr>
              <w:adjustRightInd w:val="0"/>
              <w:snapToGrid w:val="0"/>
              <w:spacing w:line="280" w:lineRule="exact"/>
              <w:ind w:firstLine="0" w:firstLineChars="0"/>
              <w:jc w:val="center"/>
              <w:rPr>
                <w:rFonts w:cs="Times New Roman"/>
                <w:snapToGrid w:val="0"/>
                <w:kern w:val="0"/>
                <w:sz w:val="21"/>
                <w:szCs w:val="21"/>
              </w:rPr>
            </w:pPr>
            <w:r>
              <w:rPr>
                <w:rFonts w:cs="Times New Roman"/>
                <w:snapToGrid w:val="0"/>
                <w:kern w:val="0"/>
                <w:sz w:val="21"/>
                <w:szCs w:val="21"/>
              </w:rPr>
              <w:t>--</w:t>
            </w:r>
          </w:p>
        </w:tc>
      </w:tr>
      <w:tr w14:paraId="3B5F87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00" w:hRule="atLeast"/>
          <w:jc w:val="center"/>
        </w:trPr>
        <w:tc>
          <w:tcPr>
            <w:tcW w:w="5000" w:type="pct"/>
            <w:gridSpan w:val="15"/>
          </w:tcPr>
          <w:p w14:paraId="3DDF41FD">
            <w:pPr>
              <w:adjustRightInd w:val="0"/>
              <w:snapToGrid w:val="0"/>
              <w:spacing w:line="280" w:lineRule="exact"/>
              <w:ind w:firstLine="0" w:firstLineChars="0"/>
              <w:jc w:val="center"/>
              <w:rPr>
                <w:rFonts w:cs="Times New Roman"/>
                <w:snapToGrid w:val="0"/>
                <w:kern w:val="0"/>
                <w:sz w:val="21"/>
                <w:szCs w:val="21"/>
              </w:rPr>
            </w:pPr>
            <w:r>
              <w:rPr>
                <w:rFonts w:cs="Times New Roman"/>
                <w:snapToGrid w:val="0"/>
                <w:kern w:val="0"/>
                <w:sz w:val="21"/>
                <w:szCs w:val="21"/>
              </w:rPr>
              <w:t>磷石膏</w:t>
            </w:r>
            <w:r>
              <w:rPr>
                <w:rFonts w:hint="eastAsia" w:ascii="宋体" w:hAnsi="宋体" w:cs="宋体"/>
                <w:snapToGrid w:val="0"/>
                <w:kern w:val="0"/>
                <w:sz w:val="21"/>
                <w:szCs w:val="21"/>
              </w:rPr>
              <w:t>①</w:t>
            </w:r>
            <w:r>
              <w:rPr>
                <w:rFonts w:cs="Times New Roman"/>
                <w:snapToGrid w:val="0"/>
                <w:kern w:val="0"/>
                <w:sz w:val="21"/>
                <w:szCs w:val="21"/>
                <w:vertAlign w:val="subscript"/>
              </w:rPr>
              <w:t>1</w:t>
            </w:r>
          </w:p>
        </w:tc>
      </w:tr>
      <w:tr w14:paraId="1884F8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55" w:hRule="atLeast"/>
          <w:jc w:val="center"/>
        </w:trPr>
        <w:tc>
          <w:tcPr>
            <w:tcW w:w="343" w:type="pct"/>
            <w:vAlign w:val="center"/>
          </w:tcPr>
          <w:p w14:paraId="46F20EDC">
            <w:pPr>
              <w:spacing w:line="280" w:lineRule="exact"/>
              <w:ind w:firstLine="0" w:firstLineChars="0"/>
              <w:jc w:val="center"/>
              <w:rPr>
                <w:rFonts w:cs="Times New Roman"/>
                <w:snapToGrid w:val="0"/>
                <w:kern w:val="0"/>
                <w:sz w:val="21"/>
                <w:szCs w:val="21"/>
              </w:rPr>
            </w:pPr>
            <w:r>
              <w:rPr>
                <w:rFonts w:cs="Times New Roman"/>
                <w:snapToGrid w:val="0"/>
                <w:kern w:val="0"/>
                <w:sz w:val="21"/>
                <w:szCs w:val="21"/>
              </w:rPr>
              <w:t>计数</w:t>
            </w:r>
          </w:p>
        </w:tc>
        <w:tc>
          <w:tcPr>
            <w:tcW w:w="304" w:type="pct"/>
            <w:vAlign w:val="center"/>
          </w:tcPr>
          <w:p w14:paraId="70A12B9D">
            <w:pPr>
              <w:spacing w:line="280" w:lineRule="exact"/>
              <w:ind w:firstLine="0" w:firstLineChars="0"/>
              <w:jc w:val="center"/>
              <w:rPr>
                <w:rFonts w:cs="Times New Roman"/>
                <w:sz w:val="21"/>
                <w:szCs w:val="21"/>
              </w:rPr>
            </w:pPr>
            <w:r>
              <w:rPr>
                <w:rFonts w:cs="Times New Roman"/>
                <w:sz w:val="21"/>
                <w:szCs w:val="21"/>
              </w:rPr>
              <w:t>76</w:t>
            </w:r>
          </w:p>
        </w:tc>
        <w:tc>
          <w:tcPr>
            <w:tcW w:w="281" w:type="pct"/>
            <w:vAlign w:val="center"/>
          </w:tcPr>
          <w:p w14:paraId="4E5129EF">
            <w:pPr>
              <w:spacing w:line="280" w:lineRule="exact"/>
              <w:ind w:firstLine="0" w:firstLineChars="0"/>
              <w:jc w:val="center"/>
              <w:rPr>
                <w:rFonts w:cs="Times New Roman"/>
                <w:snapToGrid w:val="0"/>
                <w:kern w:val="0"/>
                <w:sz w:val="21"/>
                <w:szCs w:val="21"/>
              </w:rPr>
            </w:pPr>
            <w:r>
              <w:rPr>
                <w:rFonts w:cs="Times New Roman"/>
                <w:sz w:val="21"/>
                <w:szCs w:val="21"/>
              </w:rPr>
              <w:t>76</w:t>
            </w:r>
          </w:p>
        </w:tc>
        <w:tc>
          <w:tcPr>
            <w:tcW w:w="353" w:type="pct"/>
            <w:vAlign w:val="center"/>
          </w:tcPr>
          <w:p w14:paraId="44C8C067">
            <w:pPr>
              <w:spacing w:line="280" w:lineRule="exact"/>
              <w:ind w:firstLine="0" w:firstLineChars="0"/>
              <w:jc w:val="center"/>
              <w:rPr>
                <w:rFonts w:cs="Times New Roman"/>
                <w:snapToGrid w:val="0"/>
                <w:kern w:val="0"/>
                <w:sz w:val="21"/>
                <w:szCs w:val="21"/>
              </w:rPr>
            </w:pPr>
            <w:r>
              <w:rPr>
                <w:rFonts w:cs="Times New Roman"/>
                <w:sz w:val="21"/>
                <w:szCs w:val="21"/>
              </w:rPr>
              <w:t>76</w:t>
            </w:r>
          </w:p>
        </w:tc>
        <w:tc>
          <w:tcPr>
            <w:tcW w:w="354" w:type="pct"/>
            <w:vAlign w:val="center"/>
          </w:tcPr>
          <w:p w14:paraId="6501B3F0">
            <w:pPr>
              <w:spacing w:line="280" w:lineRule="exact"/>
              <w:ind w:firstLine="0" w:firstLineChars="0"/>
              <w:jc w:val="center"/>
              <w:rPr>
                <w:rFonts w:cs="Times New Roman"/>
                <w:snapToGrid w:val="0"/>
                <w:kern w:val="0"/>
                <w:sz w:val="21"/>
                <w:szCs w:val="21"/>
              </w:rPr>
            </w:pPr>
            <w:r>
              <w:rPr>
                <w:rFonts w:cs="Times New Roman"/>
                <w:sz w:val="21"/>
                <w:szCs w:val="21"/>
              </w:rPr>
              <w:t>76</w:t>
            </w:r>
          </w:p>
        </w:tc>
        <w:tc>
          <w:tcPr>
            <w:tcW w:w="283" w:type="pct"/>
            <w:vAlign w:val="center"/>
          </w:tcPr>
          <w:p w14:paraId="50AEA73C">
            <w:pPr>
              <w:spacing w:line="280" w:lineRule="exact"/>
              <w:ind w:firstLine="0" w:firstLineChars="0"/>
              <w:jc w:val="center"/>
              <w:rPr>
                <w:rFonts w:cs="Times New Roman"/>
                <w:snapToGrid w:val="0"/>
                <w:kern w:val="0"/>
                <w:sz w:val="21"/>
                <w:szCs w:val="21"/>
              </w:rPr>
            </w:pPr>
            <w:r>
              <w:rPr>
                <w:rFonts w:cs="Times New Roman"/>
                <w:sz w:val="21"/>
                <w:szCs w:val="21"/>
              </w:rPr>
              <w:t>76</w:t>
            </w:r>
          </w:p>
        </w:tc>
        <w:tc>
          <w:tcPr>
            <w:tcW w:w="352" w:type="pct"/>
            <w:vAlign w:val="center"/>
          </w:tcPr>
          <w:p w14:paraId="56916787">
            <w:pPr>
              <w:spacing w:line="280" w:lineRule="exact"/>
              <w:ind w:firstLine="0" w:firstLineChars="0"/>
              <w:jc w:val="center"/>
              <w:rPr>
                <w:rFonts w:cs="Times New Roman"/>
                <w:snapToGrid w:val="0"/>
                <w:kern w:val="0"/>
                <w:sz w:val="21"/>
                <w:szCs w:val="21"/>
              </w:rPr>
            </w:pPr>
            <w:r>
              <w:rPr>
                <w:rFonts w:cs="Times New Roman"/>
                <w:sz w:val="21"/>
                <w:szCs w:val="21"/>
              </w:rPr>
              <w:t>76</w:t>
            </w:r>
          </w:p>
        </w:tc>
        <w:tc>
          <w:tcPr>
            <w:tcW w:w="364" w:type="pct"/>
            <w:vAlign w:val="center"/>
          </w:tcPr>
          <w:p w14:paraId="1A9D1E82">
            <w:pPr>
              <w:spacing w:line="280" w:lineRule="exact"/>
              <w:ind w:firstLine="0" w:firstLineChars="0"/>
              <w:jc w:val="center"/>
              <w:rPr>
                <w:rFonts w:cs="Times New Roman"/>
                <w:snapToGrid w:val="0"/>
                <w:kern w:val="0"/>
                <w:sz w:val="21"/>
                <w:szCs w:val="21"/>
              </w:rPr>
            </w:pPr>
            <w:r>
              <w:rPr>
                <w:rFonts w:cs="Times New Roman"/>
                <w:sz w:val="21"/>
                <w:szCs w:val="21"/>
              </w:rPr>
              <w:t>76</w:t>
            </w:r>
          </w:p>
        </w:tc>
        <w:tc>
          <w:tcPr>
            <w:tcW w:w="295" w:type="pct"/>
            <w:vAlign w:val="center"/>
          </w:tcPr>
          <w:p w14:paraId="41413890">
            <w:pPr>
              <w:spacing w:line="280" w:lineRule="exact"/>
              <w:ind w:firstLine="0" w:firstLineChars="0"/>
              <w:jc w:val="center"/>
              <w:rPr>
                <w:rFonts w:cs="Times New Roman"/>
                <w:snapToGrid w:val="0"/>
                <w:kern w:val="0"/>
                <w:sz w:val="21"/>
                <w:szCs w:val="21"/>
              </w:rPr>
            </w:pPr>
            <w:r>
              <w:rPr>
                <w:rFonts w:cs="Times New Roman"/>
                <w:sz w:val="21"/>
                <w:szCs w:val="21"/>
              </w:rPr>
              <w:t>76</w:t>
            </w:r>
          </w:p>
        </w:tc>
        <w:tc>
          <w:tcPr>
            <w:tcW w:w="353" w:type="pct"/>
            <w:vAlign w:val="center"/>
          </w:tcPr>
          <w:p w14:paraId="47BC3A5D">
            <w:pPr>
              <w:spacing w:line="280" w:lineRule="exact"/>
              <w:ind w:firstLine="0" w:firstLineChars="0"/>
              <w:jc w:val="center"/>
              <w:rPr>
                <w:rFonts w:cs="Times New Roman"/>
                <w:snapToGrid w:val="0"/>
                <w:kern w:val="0"/>
                <w:sz w:val="21"/>
                <w:szCs w:val="21"/>
              </w:rPr>
            </w:pPr>
            <w:r>
              <w:rPr>
                <w:rFonts w:cs="Times New Roman"/>
                <w:sz w:val="21"/>
                <w:szCs w:val="21"/>
              </w:rPr>
              <w:t>51</w:t>
            </w:r>
          </w:p>
        </w:tc>
        <w:tc>
          <w:tcPr>
            <w:tcW w:w="354" w:type="pct"/>
            <w:vAlign w:val="center"/>
          </w:tcPr>
          <w:p w14:paraId="6EF3CE6D">
            <w:pPr>
              <w:spacing w:line="280" w:lineRule="exact"/>
              <w:ind w:firstLine="0" w:firstLineChars="0"/>
              <w:jc w:val="center"/>
              <w:rPr>
                <w:rFonts w:cs="Times New Roman"/>
                <w:snapToGrid w:val="0"/>
                <w:kern w:val="0"/>
                <w:sz w:val="21"/>
                <w:szCs w:val="21"/>
              </w:rPr>
            </w:pPr>
            <w:r>
              <w:rPr>
                <w:rFonts w:cs="Times New Roman"/>
                <w:sz w:val="21"/>
                <w:szCs w:val="21"/>
              </w:rPr>
              <w:t>76</w:t>
            </w:r>
          </w:p>
        </w:tc>
        <w:tc>
          <w:tcPr>
            <w:tcW w:w="354" w:type="pct"/>
            <w:vAlign w:val="center"/>
          </w:tcPr>
          <w:p w14:paraId="7B186EB0">
            <w:pPr>
              <w:spacing w:line="280" w:lineRule="exact"/>
              <w:ind w:firstLine="0" w:firstLineChars="0"/>
              <w:jc w:val="center"/>
              <w:rPr>
                <w:rFonts w:cs="Times New Roman"/>
                <w:snapToGrid w:val="0"/>
                <w:kern w:val="0"/>
                <w:sz w:val="21"/>
                <w:szCs w:val="21"/>
              </w:rPr>
            </w:pPr>
            <w:r>
              <w:rPr>
                <w:rFonts w:cs="Times New Roman"/>
                <w:sz w:val="21"/>
                <w:szCs w:val="21"/>
              </w:rPr>
              <w:t>76</w:t>
            </w:r>
          </w:p>
        </w:tc>
        <w:tc>
          <w:tcPr>
            <w:tcW w:w="355" w:type="pct"/>
            <w:vAlign w:val="center"/>
          </w:tcPr>
          <w:p w14:paraId="59DE5AB3">
            <w:pPr>
              <w:spacing w:line="280" w:lineRule="exact"/>
              <w:ind w:firstLine="0" w:firstLineChars="0"/>
              <w:jc w:val="center"/>
              <w:rPr>
                <w:rFonts w:cs="Times New Roman"/>
                <w:snapToGrid w:val="0"/>
                <w:kern w:val="0"/>
                <w:sz w:val="21"/>
                <w:szCs w:val="21"/>
              </w:rPr>
            </w:pPr>
            <w:r>
              <w:rPr>
                <w:rFonts w:cs="Times New Roman"/>
                <w:sz w:val="21"/>
                <w:szCs w:val="21"/>
              </w:rPr>
              <w:t>76</w:t>
            </w:r>
          </w:p>
        </w:tc>
        <w:tc>
          <w:tcPr>
            <w:tcW w:w="353" w:type="pct"/>
            <w:vAlign w:val="center"/>
          </w:tcPr>
          <w:p w14:paraId="0273F6D8">
            <w:pPr>
              <w:spacing w:line="280" w:lineRule="exact"/>
              <w:ind w:firstLine="0" w:firstLineChars="0"/>
              <w:jc w:val="center"/>
              <w:rPr>
                <w:rFonts w:cs="Times New Roman"/>
                <w:snapToGrid w:val="0"/>
                <w:kern w:val="0"/>
                <w:sz w:val="21"/>
                <w:szCs w:val="21"/>
              </w:rPr>
            </w:pPr>
            <w:r>
              <w:rPr>
                <w:rFonts w:cs="Times New Roman"/>
                <w:sz w:val="21"/>
                <w:szCs w:val="21"/>
              </w:rPr>
              <w:t>51</w:t>
            </w:r>
          </w:p>
        </w:tc>
        <w:tc>
          <w:tcPr>
            <w:tcW w:w="303" w:type="pct"/>
            <w:vAlign w:val="center"/>
          </w:tcPr>
          <w:p w14:paraId="7B6BA5FD">
            <w:pPr>
              <w:spacing w:line="280" w:lineRule="exact"/>
              <w:ind w:firstLine="0" w:firstLineChars="0"/>
              <w:jc w:val="center"/>
              <w:rPr>
                <w:rFonts w:cs="Times New Roman"/>
                <w:snapToGrid w:val="0"/>
                <w:kern w:val="0"/>
                <w:sz w:val="21"/>
                <w:szCs w:val="21"/>
              </w:rPr>
            </w:pPr>
            <w:r>
              <w:rPr>
                <w:rFonts w:cs="Times New Roman"/>
                <w:sz w:val="21"/>
                <w:szCs w:val="21"/>
              </w:rPr>
              <w:t>51</w:t>
            </w:r>
          </w:p>
        </w:tc>
      </w:tr>
      <w:tr w14:paraId="28FAE6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55" w:hRule="atLeast"/>
          <w:jc w:val="center"/>
        </w:trPr>
        <w:tc>
          <w:tcPr>
            <w:tcW w:w="343" w:type="pct"/>
            <w:vAlign w:val="center"/>
          </w:tcPr>
          <w:p w14:paraId="7AA4A97E">
            <w:pPr>
              <w:spacing w:line="280" w:lineRule="exact"/>
              <w:ind w:firstLine="0" w:firstLineChars="0"/>
              <w:jc w:val="center"/>
              <w:rPr>
                <w:rFonts w:cs="Times New Roman"/>
                <w:snapToGrid w:val="0"/>
                <w:kern w:val="0"/>
                <w:sz w:val="21"/>
                <w:szCs w:val="21"/>
              </w:rPr>
            </w:pPr>
            <w:r>
              <w:rPr>
                <w:rFonts w:cs="Times New Roman"/>
                <w:snapToGrid w:val="0"/>
                <w:kern w:val="0"/>
                <w:sz w:val="21"/>
                <w:szCs w:val="21"/>
              </w:rPr>
              <w:t>最大值</w:t>
            </w:r>
          </w:p>
        </w:tc>
        <w:tc>
          <w:tcPr>
            <w:tcW w:w="304" w:type="pct"/>
            <w:vAlign w:val="center"/>
          </w:tcPr>
          <w:p w14:paraId="455CE9D4">
            <w:pPr>
              <w:spacing w:line="280" w:lineRule="exact"/>
              <w:ind w:firstLine="0" w:firstLineChars="0"/>
              <w:jc w:val="center"/>
              <w:rPr>
                <w:rFonts w:cs="Times New Roman"/>
                <w:sz w:val="21"/>
                <w:szCs w:val="21"/>
              </w:rPr>
            </w:pPr>
            <w:r>
              <w:rPr>
                <w:rFonts w:cs="Times New Roman"/>
                <w:sz w:val="21"/>
                <w:szCs w:val="21"/>
              </w:rPr>
              <w:t>5.0</w:t>
            </w:r>
          </w:p>
        </w:tc>
        <w:tc>
          <w:tcPr>
            <w:tcW w:w="281" w:type="pct"/>
            <w:vAlign w:val="center"/>
          </w:tcPr>
          <w:p w14:paraId="6BA25B6A">
            <w:pPr>
              <w:spacing w:line="280" w:lineRule="exact"/>
              <w:ind w:firstLine="0" w:firstLineChars="0"/>
              <w:jc w:val="center"/>
              <w:rPr>
                <w:rFonts w:cs="Times New Roman"/>
                <w:snapToGrid w:val="0"/>
                <w:kern w:val="0"/>
                <w:sz w:val="21"/>
                <w:szCs w:val="21"/>
              </w:rPr>
            </w:pPr>
            <w:r>
              <w:rPr>
                <w:rFonts w:cs="Times New Roman"/>
                <w:sz w:val="21"/>
                <w:szCs w:val="21"/>
              </w:rPr>
              <w:t>4.6</w:t>
            </w:r>
          </w:p>
        </w:tc>
        <w:tc>
          <w:tcPr>
            <w:tcW w:w="353" w:type="pct"/>
            <w:vAlign w:val="center"/>
          </w:tcPr>
          <w:p w14:paraId="3E8F2F04">
            <w:pPr>
              <w:spacing w:line="280" w:lineRule="exact"/>
              <w:ind w:firstLine="0" w:firstLineChars="0"/>
              <w:jc w:val="center"/>
              <w:rPr>
                <w:rFonts w:cs="Times New Roman"/>
                <w:snapToGrid w:val="0"/>
                <w:kern w:val="0"/>
                <w:sz w:val="21"/>
                <w:szCs w:val="21"/>
              </w:rPr>
            </w:pPr>
            <w:r>
              <w:rPr>
                <w:rFonts w:cs="Times New Roman"/>
                <w:sz w:val="21"/>
                <w:szCs w:val="21"/>
              </w:rPr>
              <w:t>7.8</w:t>
            </w:r>
          </w:p>
        </w:tc>
        <w:tc>
          <w:tcPr>
            <w:tcW w:w="354" w:type="pct"/>
            <w:vAlign w:val="center"/>
          </w:tcPr>
          <w:p w14:paraId="3A118A73">
            <w:pPr>
              <w:spacing w:line="280" w:lineRule="exact"/>
              <w:ind w:firstLine="0" w:firstLineChars="0"/>
              <w:jc w:val="center"/>
              <w:rPr>
                <w:rFonts w:cs="Times New Roman"/>
                <w:snapToGrid w:val="0"/>
                <w:kern w:val="0"/>
                <w:sz w:val="21"/>
                <w:szCs w:val="21"/>
              </w:rPr>
            </w:pPr>
            <w:r>
              <w:rPr>
                <w:rFonts w:cs="Times New Roman"/>
                <w:sz w:val="21"/>
                <w:szCs w:val="21"/>
              </w:rPr>
              <w:t>24.1</w:t>
            </w:r>
          </w:p>
        </w:tc>
        <w:tc>
          <w:tcPr>
            <w:tcW w:w="283" w:type="pct"/>
            <w:vAlign w:val="center"/>
          </w:tcPr>
          <w:p w14:paraId="05EAB14C">
            <w:pPr>
              <w:spacing w:line="280" w:lineRule="exact"/>
              <w:ind w:firstLine="0" w:firstLineChars="0"/>
              <w:jc w:val="center"/>
              <w:rPr>
                <w:rFonts w:cs="Times New Roman"/>
                <w:snapToGrid w:val="0"/>
                <w:kern w:val="0"/>
                <w:sz w:val="21"/>
                <w:szCs w:val="21"/>
              </w:rPr>
            </w:pPr>
            <w:r>
              <w:rPr>
                <w:rFonts w:cs="Times New Roman"/>
                <w:sz w:val="21"/>
                <w:szCs w:val="21"/>
              </w:rPr>
              <w:t>75.6</w:t>
            </w:r>
          </w:p>
        </w:tc>
        <w:tc>
          <w:tcPr>
            <w:tcW w:w="352" w:type="pct"/>
            <w:vAlign w:val="center"/>
          </w:tcPr>
          <w:p w14:paraId="40AC9E6D">
            <w:pPr>
              <w:spacing w:line="280" w:lineRule="exact"/>
              <w:ind w:firstLine="0" w:firstLineChars="0"/>
              <w:jc w:val="center"/>
              <w:rPr>
                <w:rFonts w:cs="Times New Roman"/>
                <w:snapToGrid w:val="0"/>
                <w:kern w:val="0"/>
                <w:sz w:val="21"/>
                <w:szCs w:val="21"/>
              </w:rPr>
            </w:pPr>
            <w:r>
              <w:rPr>
                <w:rFonts w:cs="Times New Roman"/>
                <w:sz w:val="21"/>
                <w:szCs w:val="21"/>
              </w:rPr>
              <w:t>2.2</w:t>
            </w:r>
          </w:p>
        </w:tc>
        <w:tc>
          <w:tcPr>
            <w:tcW w:w="364" w:type="pct"/>
            <w:vAlign w:val="center"/>
          </w:tcPr>
          <w:p w14:paraId="2D1799EC">
            <w:pPr>
              <w:spacing w:line="280" w:lineRule="exact"/>
              <w:ind w:firstLine="0" w:firstLineChars="0"/>
              <w:jc w:val="center"/>
              <w:rPr>
                <w:rFonts w:cs="Times New Roman"/>
                <w:snapToGrid w:val="0"/>
                <w:kern w:val="0"/>
                <w:sz w:val="21"/>
                <w:szCs w:val="21"/>
              </w:rPr>
            </w:pPr>
            <w:r>
              <w:rPr>
                <w:rFonts w:cs="Times New Roman"/>
                <w:sz w:val="21"/>
                <w:szCs w:val="21"/>
              </w:rPr>
              <w:t>17.0</w:t>
            </w:r>
          </w:p>
        </w:tc>
        <w:tc>
          <w:tcPr>
            <w:tcW w:w="295" w:type="pct"/>
            <w:vAlign w:val="center"/>
          </w:tcPr>
          <w:p w14:paraId="35FEEA1F">
            <w:pPr>
              <w:spacing w:line="280" w:lineRule="exact"/>
              <w:ind w:firstLine="0" w:firstLineChars="0"/>
              <w:jc w:val="center"/>
              <w:rPr>
                <w:rFonts w:cs="Times New Roman"/>
                <w:snapToGrid w:val="0"/>
                <w:kern w:val="0"/>
                <w:sz w:val="21"/>
                <w:szCs w:val="21"/>
              </w:rPr>
            </w:pPr>
            <w:r>
              <w:rPr>
                <w:rFonts w:cs="Times New Roman"/>
                <w:sz w:val="21"/>
                <w:szCs w:val="21"/>
              </w:rPr>
              <w:t>16.4</w:t>
            </w:r>
          </w:p>
        </w:tc>
        <w:tc>
          <w:tcPr>
            <w:tcW w:w="353" w:type="pct"/>
            <w:vAlign w:val="center"/>
          </w:tcPr>
          <w:p w14:paraId="45DD65DC">
            <w:pPr>
              <w:spacing w:line="280" w:lineRule="exact"/>
              <w:ind w:firstLine="0" w:firstLineChars="0"/>
              <w:jc w:val="center"/>
              <w:rPr>
                <w:rFonts w:cs="Times New Roman"/>
                <w:snapToGrid w:val="0"/>
                <w:kern w:val="0"/>
                <w:sz w:val="21"/>
                <w:szCs w:val="21"/>
              </w:rPr>
            </w:pPr>
            <w:r>
              <w:rPr>
                <w:rFonts w:cs="Times New Roman"/>
                <w:sz w:val="21"/>
                <w:szCs w:val="21"/>
              </w:rPr>
              <w:t>0.01</w:t>
            </w:r>
          </w:p>
        </w:tc>
        <w:tc>
          <w:tcPr>
            <w:tcW w:w="354" w:type="pct"/>
            <w:vAlign w:val="center"/>
          </w:tcPr>
          <w:p w14:paraId="0626B0A1">
            <w:pPr>
              <w:spacing w:line="280" w:lineRule="exact"/>
              <w:ind w:firstLine="0" w:firstLineChars="0"/>
              <w:jc w:val="center"/>
              <w:rPr>
                <w:rFonts w:cs="Times New Roman"/>
                <w:snapToGrid w:val="0"/>
                <w:kern w:val="0"/>
                <w:sz w:val="21"/>
                <w:szCs w:val="21"/>
              </w:rPr>
            </w:pPr>
            <w:r>
              <w:rPr>
                <w:rFonts w:cs="Times New Roman"/>
                <w:sz w:val="21"/>
                <w:szCs w:val="21"/>
              </w:rPr>
              <w:t>0.02</w:t>
            </w:r>
          </w:p>
        </w:tc>
        <w:tc>
          <w:tcPr>
            <w:tcW w:w="354" w:type="pct"/>
            <w:vAlign w:val="center"/>
          </w:tcPr>
          <w:p w14:paraId="250E155E">
            <w:pPr>
              <w:spacing w:line="280" w:lineRule="exact"/>
              <w:ind w:firstLine="0" w:firstLineChars="0"/>
              <w:jc w:val="center"/>
              <w:rPr>
                <w:rFonts w:cs="Times New Roman"/>
                <w:snapToGrid w:val="0"/>
                <w:kern w:val="0"/>
                <w:sz w:val="21"/>
                <w:szCs w:val="21"/>
              </w:rPr>
            </w:pPr>
            <w:r>
              <w:rPr>
                <w:rFonts w:cs="Times New Roman"/>
                <w:sz w:val="21"/>
                <w:szCs w:val="21"/>
              </w:rPr>
              <w:t>0.04</w:t>
            </w:r>
          </w:p>
        </w:tc>
        <w:tc>
          <w:tcPr>
            <w:tcW w:w="355" w:type="pct"/>
            <w:vAlign w:val="center"/>
          </w:tcPr>
          <w:p w14:paraId="288959DD">
            <w:pPr>
              <w:spacing w:line="280" w:lineRule="exact"/>
              <w:ind w:firstLine="0" w:firstLineChars="0"/>
              <w:jc w:val="center"/>
              <w:rPr>
                <w:rFonts w:cs="Times New Roman"/>
                <w:snapToGrid w:val="0"/>
                <w:kern w:val="0"/>
                <w:sz w:val="21"/>
                <w:szCs w:val="21"/>
              </w:rPr>
            </w:pPr>
            <w:r>
              <w:rPr>
                <w:rFonts w:cs="Times New Roman"/>
                <w:sz w:val="21"/>
                <w:szCs w:val="21"/>
              </w:rPr>
              <w:t>0.04</w:t>
            </w:r>
          </w:p>
        </w:tc>
        <w:tc>
          <w:tcPr>
            <w:tcW w:w="353" w:type="pct"/>
            <w:vAlign w:val="center"/>
          </w:tcPr>
          <w:p w14:paraId="6706005A">
            <w:pPr>
              <w:spacing w:line="280" w:lineRule="exact"/>
              <w:ind w:firstLine="0" w:firstLineChars="0"/>
              <w:jc w:val="center"/>
              <w:rPr>
                <w:rFonts w:cs="Times New Roman"/>
                <w:snapToGrid w:val="0"/>
                <w:kern w:val="0"/>
                <w:sz w:val="21"/>
                <w:szCs w:val="21"/>
              </w:rPr>
            </w:pPr>
            <w:r>
              <w:rPr>
                <w:rFonts w:cs="Times New Roman"/>
                <w:sz w:val="21"/>
                <w:szCs w:val="21"/>
              </w:rPr>
              <w:t>19.50</w:t>
            </w:r>
          </w:p>
        </w:tc>
        <w:tc>
          <w:tcPr>
            <w:tcW w:w="303" w:type="pct"/>
            <w:vAlign w:val="center"/>
          </w:tcPr>
          <w:p w14:paraId="4B15B6E6">
            <w:pPr>
              <w:spacing w:line="280" w:lineRule="exact"/>
              <w:ind w:firstLine="0" w:firstLineChars="0"/>
              <w:jc w:val="center"/>
              <w:rPr>
                <w:rFonts w:cs="Times New Roman"/>
                <w:snapToGrid w:val="0"/>
                <w:kern w:val="0"/>
                <w:sz w:val="21"/>
                <w:szCs w:val="21"/>
              </w:rPr>
            </w:pPr>
            <w:r>
              <w:rPr>
                <w:rFonts w:cs="Times New Roman"/>
                <w:sz w:val="21"/>
                <w:szCs w:val="21"/>
              </w:rPr>
              <w:t>5.65</w:t>
            </w:r>
          </w:p>
        </w:tc>
      </w:tr>
      <w:tr w14:paraId="34B7A8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55" w:hRule="atLeast"/>
          <w:jc w:val="center"/>
        </w:trPr>
        <w:tc>
          <w:tcPr>
            <w:tcW w:w="343" w:type="pct"/>
            <w:vAlign w:val="center"/>
          </w:tcPr>
          <w:p w14:paraId="6201B4C1">
            <w:pPr>
              <w:spacing w:line="280" w:lineRule="exact"/>
              <w:ind w:firstLine="0" w:firstLineChars="0"/>
              <w:jc w:val="center"/>
              <w:rPr>
                <w:rFonts w:cs="Times New Roman"/>
                <w:snapToGrid w:val="0"/>
                <w:kern w:val="0"/>
                <w:sz w:val="21"/>
                <w:szCs w:val="21"/>
              </w:rPr>
            </w:pPr>
            <w:r>
              <w:rPr>
                <w:rFonts w:cs="Times New Roman"/>
                <w:snapToGrid w:val="0"/>
                <w:kern w:val="0"/>
                <w:sz w:val="21"/>
                <w:szCs w:val="21"/>
              </w:rPr>
              <w:t>最小值</w:t>
            </w:r>
          </w:p>
        </w:tc>
        <w:tc>
          <w:tcPr>
            <w:tcW w:w="304" w:type="pct"/>
            <w:vAlign w:val="center"/>
          </w:tcPr>
          <w:p w14:paraId="3745DE93">
            <w:pPr>
              <w:spacing w:line="280" w:lineRule="exact"/>
              <w:ind w:firstLine="0" w:firstLineChars="0"/>
              <w:jc w:val="center"/>
              <w:rPr>
                <w:rFonts w:cs="Times New Roman"/>
                <w:sz w:val="21"/>
                <w:szCs w:val="21"/>
              </w:rPr>
            </w:pPr>
            <w:r>
              <w:rPr>
                <w:rFonts w:cs="Times New Roman"/>
                <w:sz w:val="21"/>
                <w:szCs w:val="21"/>
              </w:rPr>
              <w:t>0.7</w:t>
            </w:r>
          </w:p>
        </w:tc>
        <w:tc>
          <w:tcPr>
            <w:tcW w:w="281" w:type="pct"/>
            <w:vAlign w:val="center"/>
          </w:tcPr>
          <w:p w14:paraId="62A711BA">
            <w:pPr>
              <w:spacing w:line="280" w:lineRule="exact"/>
              <w:ind w:firstLine="0" w:firstLineChars="0"/>
              <w:jc w:val="center"/>
              <w:rPr>
                <w:rFonts w:cs="Times New Roman"/>
                <w:snapToGrid w:val="0"/>
                <w:kern w:val="0"/>
                <w:sz w:val="21"/>
                <w:szCs w:val="21"/>
              </w:rPr>
            </w:pPr>
            <w:r>
              <w:rPr>
                <w:rFonts w:cs="Times New Roman"/>
                <w:sz w:val="21"/>
                <w:szCs w:val="21"/>
              </w:rPr>
              <w:t>0.5</w:t>
            </w:r>
          </w:p>
        </w:tc>
        <w:tc>
          <w:tcPr>
            <w:tcW w:w="353" w:type="pct"/>
            <w:vAlign w:val="center"/>
          </w:tcPr>
          <w:p w14:paraId="4BA65BDE">
            <w:pPr>
              <w:spacing w:line="280" w:lineRule="exact"/>
              <w:ind w:firstLine="0" w:firstLineChars="0"/>
              <w:jc w:val="center"/>
              <w:rPr>
                <w:rFonts w:cs="Times New Roman"/>
                <w:snapToGrid w:val="0"/>
                <w:kern w:val="0"/>
                <w:sz w:val="21"/>
                <w:szCs w:val="21"/>
              </w:rPr>
            </w:pPr>
            <w:r>
              <w:rPr>
                <w:rFonts w:cs="Times New Roman"/>
                <w:sz w:val="21"/>
                <w:szCs w:val="21"/>
              </w:rPr>
              <w:t>1.2</w:t>
            </w:r>
          </w:p>
        </w:tc>
        <w:tc>
          <w:tcPr>
            <w:tcW w:w="354" w:type="pct"/>
            <w:vAlign w:val="center"/>
          </w:tcPr>
          <w:p w14:paraId="356F343A">
            <w:pPr>
              <w:spacing w:line="280" w:lineRule="exact"/>
              <w:ind w:firstLine="0" w:firstLineChars="0"/>
              <w:jc w:val="center"/>
              <w:rPr>
                <w:rFonts w:cs="Times New Roman"/>
                <w:snapToGrid w:val="0"/>
                <w:kern w:val="0"/>
                <w:sz w:val="21"/>
                <w:szCs w:val="21"/>
              </w:rPr>
            </w:pPr>
            <w:r>
              <w:rPr>
                <w:rFonts w:cs="Times New Roman"/>
                <w:sz w:val="21"/>
                <w:szCs w:val="21"/>
              </w:rPr>
              <w:t>7.0</w:t>
            </w:r>
          </w:p>
        </w:tc>
        <w:tc>
          <w:tcPr>
            <w:tcW w:w="283" w:type="pct"/>
            <w:vAlign w:val="center"/>
          </w:tcPr>
          <w:p w14:paraId="358C07ED">
            <w:pPr>
              <w:spacing w:line="280" w:lineRule="exact"/>
              <w:ind w:firstLine="0" w:firstLineChars="0"/>
              <w:jc w:val="center"/>
              <w:rPr>
                <w:rFonts w:cs="Times New Roman"/>
                <w:snapToGrid w:val="0"/>
                <w:kern w:val="0"/>
                <w:sz w:val="21"/>
                <w:szCs w:val="21"/>
              </w:rPr>
            </w:pPr>
            <w:r>
              <w:rPr>
                <w:rFonts w:cs="Times New Roman"/>
                <w:sz w:val="21"/>
                <w:szCs w:val="21"/>
              </w:rPr>
              <w:t>58.5</w:t>
            </w:r>
          </w:p>
        </w:tc>
        <w:tc>
          <w:tcPr>
            <w:tcW w:w="352" w:type="pct"/>
            <w:vAlign w:val="center"/>
          </w:tcPr>
          <w:p w14:paraId="3A56D265">
            <w:pPr>
              <w:spacing w:line="280" w:lineRule="exact"/>
              <w:ind w:firstLine="0" w:firstLineChars="0"/>
              <w:jc w:val="center"/>
              <w:rPr>
                <w:rFonts w:cs="Times New Roman"/>
                <w:snapToGrid w:val="0"/>
                <w:kern w:val="0"/>
                <w:sz w:val="21"/>
                <w:szCs w:val="21"/>
              </w:rPr>
            </w:pPr>
            <w:r>
              <w:rPr>
                <w:rFonts w:cs="Times New Roman"/>
                <w:sz w:val="21"/>
                <w:szCs w:val="21"/>
              </w:rPr>
              <w:t>0.4</w:t>
            </w:r>
          </w:p>
        </w:tc>
        <w:tc>
          <w:tcPr>
            <w:tcW w:w="364" w:type="pct"/>
            <w:vAlign w:val="center"/>
          </w:tcPr>
          <w:p w14:paraId="4FBB0451">
            <w:pPr>
              <w:spacing w:line="280" w:lineRule="exact"/>
              <w:ind w:firstLine="0" w:firstLineChars="0"/>
              <w:jc w:val="center"/>
              <w:rPr>
                <w:rFonts w:cs="Times New Roman"/>
                <w:snapToGrid w:val="0"/>
                <w:kern w:val="0"/>
                <w:sz w:val="21"/>
                <w:szCs w:val="21"/>
              </w:rPr>
            </w:pPr>
            <w:r>
              <w:rPr>
                <w:rFonts w:cs="Times New Roman"/>
                <w:sz w:val="21"/>
                <w:szCs w:val="21"/>
              </w:rPr>
              <w:t>7.6</w:t>
            </w:r>
          </w:p>
        </w:tc>
        <w:tc>
          <w:tcPr>
            <w:tcW w:w="295" w:type="pct"/>
            <w:vAlign w:val="center"/>
          </w:tcPr>
          <w:p w14:paraId="41A24927">
            <w:pPr>
              <w:spacing w:line="280" w:lineRule="exact"/>
              <w:ind w:firstLine="0" w:firstLineChars="0"/>
              <w:jc w:val="center"/>
              <w:rPr>
                <w:rFonts w:cs="Times New Roman"/>
                <w:snapToGrid w:val="0"/>
                <w:kern w:val="0"/>
                <w:sz w:val="21"/>
                <w:szCs w:val="21"/>
              </w:rPr>
            </w:pPr>
            <w:r>
              <w:rPr>
                <w:rFonts w:cs="Times New Roman"/>
                <w:sz w:val="21"/>
                <w:szCs w:val="21"/>
              </w:rPr>
              <w:t>6.9</w:t>
            </w:r>
          </w:p>
        </w:tc>
        <w:tc>
          <w:tcPr>
            <w:tcW w:w="353" w:type="pct"/>
            <w:vAlign w:val="center"/>
          </w:tcPr>
          <w:p w14:paraId="4476BF88">
            <w:pPr>
              <w:spacing w:line="280" w:lineRule="exact"/>
              <w:ind w:firstLine="0" w:firstLineChars="0"/>
              <w:jc w:val="center"/>
              <w:rPr>
                <w:rFonts w:cs="Times New Roman"/>
                <w:snapToGrid w:val="0"/>
                <w:kern w:val="0"/>
                <w:sz w:val="21"/>
                <w:szCs w:val="21"/>
              </w:rPr>
            </w:pPr>
            <w:r>
              <w:rPr>
                <w:rFonts w:cs="Times New Roman"/>
                <w:sz w:val="21"/>
                <w:szCs w:val="21"/>
              </w:rPr>
              <w:t>0.00</w:t>
            </w:r>
          </w:p>
        </w:tc>
        <w:tc>
          <w:tcPr>
            <w:tcW w:w="354" w:type="pct"/>
            <w:vAlign w:val="center"/>
          </w:tcPr>
          <w:p w14:paraId="7F639418">
            <w:pPr>
              <w:spacing w:line="280" w:lineRule="exact"/>
              <w:ind w:firstLine="0" w:firstLineChars="0"/>
              <w:jc w:val="center"/>
              <w:rPr>
                <w:rFonts w:cs="Times New Roman"/>
                <w:snapToGrid w:val="0"/>
                <w:kern w:val="0"/>
                <w:sz w:val="21"/>
                <w:szCs w:val="21"/>
              </w:rPr>
            </w:pPr>
            <w:r>
              <w:rPr>
                <w:rFonts w:cs="Times New Roman"/>
                <w:sz w:val="21"/>
                <w:szCs w:val="21"/>
              </w:rPr>
              <w:t>0.02</w:t>
            </w:r>
          </w:p>
        </w:tc>
        <w:tc>
          <w:tcPr>
            <w:tcW w:w="354" w:type="pct"/>
            <w:vAlign w:val="center"/>
          </w:tcPr>
          <w:p w14:paraId="55A2FA1C">
            <w:pPr>
              <w:spacing w:line="280" w:lineRule="exact"/>
              <w:ind w:firstLine="0" w:firstLineChars="0"/>
              <w:jc w:val="center"/>
              <w:rPr>
                <w:rFonts w:cs="Times New Roman"/>
                <w:snapToGrid w:val="0"/>
                <w:kern w:val="0"/>
                <w:sz w:val="21"/>
                <w:szCs w:val="21"/>
              </w:rPr>
            </w:pPr>
            <w:r>
              <w:rPr>
                <w:rFonts w:cs="Times New Roman"/>
                <w:sz w:val="21"/>
                <w:szCs w:val="21"/>
              </w:rPr>
              <w:t>0.02</w:t>
            </w:r>
          </w:p>
        </w:tc>
        <w:tc>
          <w:tcPr>
            <w:tcW w:w="355" w:type="pct"/>
            <w:vAlign w:val="center"/>
          </w:tcPr>
          <w:p w14:paraId="002C05AA">
            <w:pPr>
              <w:spacing w:line="280" w:lineRule="exact"/>
              <w:ind w:firstLine="0" w:firstLineChars="0"/>
              <w:jc w:val="center"/>
              <w:rPr>
                <w:rFonts w:cs="Times New Roman"/>
                <w:snapToGrid w:val="0"/>
                <w:kern w:val="0"/>
                <w:sz w:val="21"/>
                <w:szCs w:val="21"/>
              </w:rPr>
            </w:pPr>
            <w:r>
              <w:rPr>
                <w:rFonts w:cs="Times New Roman"/>
                <w:sz w:val="21"/>
                <w:szCs w:val="21"/>
              </w:rPr>
              <w:t>0.03</w:t>
            </w:r>
          </w:p>
        </w:tc>
        <w:tc>
          <w:tcPr>
            <w:tcW w:w="353" w:type="pct"/>
            <w:vAlign w:val="center"/>
          </w:tcPr>
          <w:p w14:paraId="2E18D96B">
            <w:pPr>
              <w:spacing w:line="280" w:lineRule="exact"/>
              <w:ind w:firstLine="0" w:firstLineChars="0"/>
              <w:jc w:val="center"/>
              <w:rPr>
                <w:rFonts w:cs="Times New Roman"/>
                <w:snapToGrid w:val="0"/>
                <w:kern w:val="0"/>
                <w:sz w:val="21"/>
                <w:szCs w:val="21"/>
              </w:rPr>
            </w:pPr>
            <w:r>
              <w:rPr>
                <w:rFonts w:cs="Times New Roman"/>
                <w:sz w:val="21"/>
                <w:szCs w:val="21"/>
              </w:rPr>
              <w:t>2.17</w:t>
            </w:r>
          </w:p>
        </w:tc>
        <w:tc>
          <w:tcPr>
            <w:tcW w:w="303" w:type="pct"/>
            <w:vAlign w:val="center"/>
          </w:tcPr>
          <w:p w14:paraId="656DD3A6">
            <w:pPr>
              <w:spacing w:line="280" w:lineRule="exact"/>
              <w:ind w:firstLine="0" w:firstLineChars="0"/>
              <w:jc w:val="center"/>
              <w:rPr>
                <w:rFonts w:cs="Times New Roman"/>
                <w:snapToGrid w:val="0"/>
                <w:kern w:val="0"/>
                <w:sz w:val="21"/>
                <w:szCs w:val="21"/>
              </w:rPr>
            </w:pPr>
            <w:r>
              <w:rPr>
                <w:rFonts w:cs="Times New Roman"/>
                <w:sz w:val="21"/>
                <w:szCs w:val="21"/>
              </w:rPr>
              <w:t>0.92</w:t>
            </w:r>
          </w:p>
        </w:tc>
      </w:tr>
      <w:tr w14:paraId="386604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55" w:hRule="atLeast"/>
          <w:jc w:val="center"/>
        </w:trPr>
        <w:tc>
          <w:tcPr>
            <w:tcW w:w="343" w:type="pct"/>
            <w:vAlign w:val="center"/>
          </w:tcPr>
          <w:p w14:paraId="6574AF8C">
            <w:pPr>
              <w:spacing w:line="280" w:lineRule="exact"/>
              <w:ind w:firstLine="0" w:firstLineChars="0"/>
              <w:jc w:val="center"/>
              <w:rPr>
                <w:rFonts w:cs="Times New Roman"/>
                <w:snapToGrid w:val="0"/>
                <w:kern w:val="0"/>
                <w:sz w:val="21"/>
                <w:szCs w:val="21"/>
              </w:rPr>
            </w:pPr>
            <w:r>
              <w:rPr>
                <w:rFonts w:cs="Times New Roman"/>
                <w:snapToGrid w:val="0"/>
                <w:kern w:val="0"/>
                <w:sz w:val="21"/>
                <w:szCs w:val="21"/>
              </w:rPr>
              <w:t>平均值</w:t>
            </w:r>
          </w:p>
        </w:tc>
        <w:tc>
          <w:tcPr>
            <w:tcW w:w="304" w:type="pct"/>
            <w:vAlign w:val="center"/>
          </w:tcPr>
          <w:p w14:paraId="3D664F17">
            <w:pPr>
              <w:spacing w:line="280" w:lineRule="exact"/>
              <w:ind w:firstLine="0" w:firstLineChars="0"/>
              <w:jc w:val="center"/>
              <w:rPr>
                <w:rFonts w:cs="Times New Roman"/>
                <w:sz w:val="21"/>
                <w:szCs w:val="21"/>
              </w:rPr>
            </w:pPr>
            <w:r>
              <w:rPr>
                <w:rFonts w:cs="Times New Roman"/>
                <w:sz w:val="21"/>
                <w:szCs w:val="21"/>
              </w:rPr>
              <w:t>2.5</w:t>
            </w:r>
          </w:p>
        </w:tc>
        <w:tc>
          <w:tcPr>
            <w:tcW w:w="281" w:type="pct"/>
            <w:vAlign w:val="center"/>
          </w:tcPr>
          <w:p w14:paraId="69A3C15E">
            <w:pPr>
              <w:spacing w:line="280" w:lineRule="exact"/>
              <w:ind w:firstLine="0" w:firstLineChars="0"/>
              <w:jc w:val="center"/>
              <w:rPr>
                <w:rFonts w:cs="Times New Roman"/>
                <w:snapToGrid w:val="0"/>
                <w:kern w:val="0"/>
                <w:sz w:val="21"/>
                <w:szCs w:val="21"/>
              </w:rPr>
            </w:pPr>
            <w:r>
              <w:rPr>
                <w:rFonts w:cs="Times New Roman"/>
                <w:sz w:val="21"/>
                <w:szCs w:val="21"/>
              </w:rPr>
              <w:t>1.4</w:t>
            </w:r>
          </w:p>
        </w:tc>
        <w:tc>
          <w:tcPr>
            <w:tcW w:w="353" w:type="pct"/>
            <w:vAlign w:val="center"/>
          </w:tcPr>
          <w:p w14:paraId="2ADFFE8B">
            <w:pPr>
              <w:spacing w:line="280" w:lineRule="exact"/>
              <w:ind w:firstLine="0" w:firstLineChars="0"/>
              <w:jc w:val="center"/>
              <w:rPr>
                <w:rFonts w:cs="Times New Roman"/>
                <w:snapToGrid w:val="0"/>
                <w:kern w:val="0"/>
                <w:sz w:val="21"/>
                <w:szCs w:val="21"/>
              </w:rPr>
            </w:pPr>
            <w:r>
              <w:rPr>
                <w:rFonts w:cs="Times New Roman"/>
                <w:sz w:val="21"/>
                <w:szCs w:val="21"/>
              </w:rPr>
              <w:t>3.7</w:t>
            </w:r>
          </w:p>
        </w:tc>
        <w:tc>
          <w:tcPr>
            <w:tcW w:w="354" w:type="pct"/>
            <w:vAlign w:val="center"/>
          </w:tcPr>
          <w:p w14:paraId="3E6D5800">
            <w:pPr>
              <w:spacing w:line="280" w:lineRule="exact"/>
              <w:ind w:firstLine="0" w:firstLineChars="0"/>
              <w:jc w:val="center"/>
              <w:rPr>
                <w:rFonts w:cs="Times New Roman"/>
                <w:snapToGrid w:val="0"/>
                <w:kern w:val="0"/>
                <w:sz w:val="21"/>
                <w:szCs w:val="21"/>
              </w:rPr>
            </w:pPr>
            <w:r>
              <w:rPr>
                <w:rFonts w:cs="Times New Roman"/>
                <w:sz w:val="21"/>
                <w:szCs w:val="21"/>
              </w:rPr>
              <w:t>11.4</w:t>
            </w:r>
          </w:p>
        </w:tc>
        <w:tc>
          <w:tcPr>
            <w:tcW w:w="283" w:type="pct"/>
            <w:vAlign w:val="center"/>
          </w:tcPr>
          <w:p w14:paraId="275C4D78">
            <w:pPr>
              <w:spacing w:line="280" w:lineRule="exact"/>
              <w:ind w:firstLine="0" w:firstLineChars="0"/>
              <w:jc w:val="center"/>
              <w:rPr>
                <w:rFonts w:cs="Times New Roman"/>
                <w:snapToGrid w:val="0"/>
                <w:kern w:val="0"/>
                <w:sz w:val="21"/>
                <w:szCs w:val="21"/>
              </w:rPr>
            </w:pPr>
            <w:r>
              <w:rPr>
                <w:rFonts w:cs="Times New Roman"/>
                <w:sz w:val="21"/>
                <w:szCs w:val="21"/>
              </w:rPr>
              <w:t>70.1</w:t>
            </w:r>
          </w:p>
        </w:tc>
        <w:tc>
          <w:tcPr>
            <w:tcW w:w="352" w:type="pct"/>
            <w:vAlign w:val="center"/>
          </w:tcPr>
          <w:p w14:paraId="13629819">
            <w:pPr>
              <w:spacing w:line="280" w:lineRule="exact"/>
              <w:ind w:firstLine="0" w:firstLineChars="0"/>
              <w:jc w:val="center"/>
              <w:rPr>
                <w:rFonts w:cs="Times New Roman"/>
                <w:snapToGrid w:val="0"/>
                <w:kern w:val="0"/>
                <w:sz w:val="21"/>
                <w:szCs w:val="21"/>
              </w:rPr>
            </w:pPr>
            <w:r>
              <w:rPr>
                <w:rFonts w:cs="Times New Roman"/>
                <w:sz w:val="21"/>
                <w:szCs w:val="21"/>
              </w:rPr>
              <w:t>0.9</w:t>
            </w:r>
          </w:p>
        </w:tc>
        <w:tc>
          <w:tcPr>
            <w:tcW w:w="364" w:type="pct"/>
            <w:vAlign w:val="center"/>
          </w:tcPr>
          <w:p w14:paraId="6E89E79C">
            <w:pPr>
              <w:spacing w:line="280" w:lineRule="exact"/>
              <w:ind w:firstLine="0" w:firstLineChars="0"/>
              <w:jc w:val="center"/>
              <w:rPr>
                <w:rFonts w:cs="Times New Roman"/>
                <w:snapToGrid w:val="0"/>
                <w:kern w:val="0"/>
                <w:sz w:val="21"/>
                <w:szCs w:val="21"/>
              </w:rPr>
            </w:pPr>
            <w:r>
              <w:rPr>
                <w:rFonts w:cs="Times New Roman"/>
                <w:sz w:val="21"/>
                <w:szCs w:val="21"/>
              </w:rPr>
              <w:t>10.1</w:t>
            </w:r>
          </w:p>
        </w:tc>
        <w:tc>
          <w:tcPr>
            <w:tcW w:w="295" w:type="pct"/>
            <w:vAlign w:val="center"/>
          </w:tcPr>
          <w:p w14:paraId="22AE2040">
            <w:pPr>
              <w:spacing w:line="280" w:lineRule="exact"/>
              <w:ind w:firstLine="0" w:firstLineChars="0"/>
              <w:jc w:val="center"/>
              <w:rPr>
                <w:rFonts w:cs="Times New Roman"/>
                <w:snapToGrid w:val="0"/>
                <w:kern w:val="0"/>
                <w:sz w:val="21"/>
                <w:szCs w:val="21"/>
              </w:rPr>
            </w:pPr>
            <w:r>
              <w:rPr>
                <w:rFonts w:cs="Times New Roman"/>
                <w:sz w:val="21"/>
                <w:szCs w:val="21"/>
              </w:rPr>
              <w:t>9.4</w:t>
            </w:r>
          </w:p>
        </w:tc>
        <w:tc>
          <w:tcPr>
            <w:tcW w:w="353" w:type="pct"/>
            <w:vAlign w:val="center"/>
          </w:tcPr>
          <w:p w14:paraId="0FFBFE36">
            <w:pPr>
              <w:spacing w:line="280" w:lineRule="exact"/>
              <w:ind w:firstLine="0" w:firstLineChars="0"/>
              <w:jc w:val="center"/>
              <w:rPr>
                <w:rFonts w:cs="Times New Roman"/>
                <w:snapToGrid w:val="0"/>
                <w:kern w:val="0"/>
                <w:sz w:val="21"/>
                <w:szCs w:val="21"/>
              </w:rPr>
            </w:pPr>
            <w:r>
              <w:rPr>
                <w:rFonts w:cs="Times New Roman"/>
                <w:sz w:val="21"/>
                <w:szCs w:val="21"/>
              </w:rPr>
              <w:t>0.01</w:t>
            </w:r>
          </w:p>
        </w:tc>
        <w:tc>
          <w:tcPr>
            <w:tcW w:w="354" w:type="pct"/>
            <w:vAlign w:val="center"/>
          </w:tcPr>
          <w:p w14:paraId="3020A68B">
            <w:pPr>
              <w:spacing w:line="280" w:lineRule="exact"/>
              <w:ind w:firstLine="0" w:firstLineChars="0"/>
              <w:jc w:val="center"/>
              <w:rPr>
                <w:rFonts w:cs="Times New Roman"/>
                <w:snapToGrid w:val="0"/>
                <w:kern w:val="0"/>
                <w:sz w:val="21"/>
                <w:szCs w:val="21"/>
              </w:rPr>
            </w:pPr>
            <w:r>
              <w:rPr>
                <w:rFonts w:cs="Times New Roman"/>
                <w:sz w:val="21"/>
                <w:szCs w:val="21"/>
              </w:rPr>
              <w:t>0.02</w:t>
            </w:r>
          </w:p>
        </w:tc>
        <w:tc>
          <w:tcPr>
            <w:tcW w:w="354" w:type="pct"/>
            <w:vAlign w:val="center"/>
          </w:tcPr>
          <w:p w14:paraId="759600AE">
            <w:pPr>
              <w:spacing w:line="280" w:lineRule="exact"/>
              <w:ind w:firstLine="0" w:firstLineChars="0"/>
              <w:jc w:val="center"/>
              <w:rPr>
                <w:rFonts w:cs="Times New Roman"/>
                <w:snapToGrid w:val="0"/>
                <w:kern w:val="0"/>
                <w:sz w:val="21"/>
                <w:szCs w:val="21"/>
              </w:rPr>
            </w:pPr>
            <w:r>
              <w:rPr>
                <w:rFonts w:cs="Times New Roman"/>
                <w:sz w:val="21"/>
                <w:szCs w:val="21"/>
              </w:rPr>
              <w:t>0.03</w:t>
            </w:r>
          </w:p>
        </w:tc>
        <w:tc>
          <w:tcPr>
            <w:tcW w:w="355" w:type="pct"/>
            <w:vAlign w:val="center"/>
          </w:tcPr>
          <w:p w14:paraId="57AE594F">
            <w:pPr>
              <w:spacing w:line="280" w:lineRule="exact"/>
              <w:ind w:firstLine="0" w:firstLineChars="0"/>
              <w:jc w:val="center"/>
              <w:rPr>
                <w:rFonts w:cs="Times New Roman"/>
                <w:snapToGrid w:val="0"/>
                <w:kern w:val="0"/>
                <w:sz w:val="21"/>
                <w:szCs w:val="21"/>
              </w:rPr>
            </w:pPr>
            <w:r>
              <w:rPr>
                <w:rFonts w:cs="Times New Roman"/>
                <w:sz w:val="21"/>
                <w:szCs w:val="21"/>
              </w:rPr>
              <w:t>0.03</w:t>
            </w:r>
          </w:p>
        </w:tc>
        <w:tc>
          <w:tcPr>
            <w:tcW w:w="353" w:type="pct"/>
            <w:vAlign w:val="center"/>
          </w:tcPr>
          <w:p w14:paraId="2557B839">
            <w:pPr>
              <w:spacing w:line="280" w:lineRule="exact"/>
              <w:ind w:firstLine="0" w:firstLineChars="0"/>
              <w:jc w:val="center"/>
              <w:rPr>
                <w:rFonts w:cs="Times New Roman"/>
                <w:snapToGrid w:val="0"/>
                <w:kern w:val="0"/>
                <w:sz w:val="21"/>
                <w:szCs w:val="21"/>
              </w:rPr>
            </w:pPr>
            <w:r>
              <w:rPr>
                <w:rFonts w:cs="Times New Roman"/>
                <w:sz w:val="21"/>
                <w:szCs w:val="21"/>
              </w:rPr>
              <w:t>4.06</w:t>
            </w:r>
          </w:p>
        </w:tc>
        <w:tc>
          <w:tcPr>
            <w:tcW w:w="303" w:type="pct"/>
            <w:vAlign w:val="center"/>
          </w:tcPr>
          <w:p w14:paraId="73C58A57">
            <w:pPr>
              <w:spacing w:line="280" w:lineRule="exact"/>
              <w:ind w:firstLine="0" w:firstLineChars="0"/>
              <w:jc w:val="center"/>
              <w:rPr>
                <w:rFonts w:cs="Times New Roman"/>
                <w:snapToGrid w:val="0"/>
                <w:kern w:val="0"/>
                <w:sz w:val="21"/>
                <w:szCs w:val="21"/>
              </w:rPr>
            </w:pPr>
            <w:r>
              <w:rPr>
                <w:rFonts w:cs="Times New Roman"/>
                <w:sz w:val="21"/>
                <w:szCs w:val="21"/>
              </w:rPr>
              <w:t>1.46</w:t>
            </w:r>
          </w:p>
        </w:tc>
      </w:tr>
    </w:tbl>
    <w:p w14:paraId="38FA59C2">
      <w:pPr>
        <w:ind w:firstLine="638" w:firstLineChars="228"/>
        <w:jc w:val="left"/>
        <w:rPr>
          <w:rFonts w:cs="Times New Roman"/>
        </w:rPr>
      </w:pPr>
      <w:r>
        <w:rPr>
          <w:rFonts w:cs="Times New Roman"/>
        </w:rPr>
        <w:t>由于磷石膏为干堆，磷石膏从压滤车间汽车倒运到渣库内堆积，磷石膏的沉积程度难于判定，但渣库内干堆磷石膏适当碾压后易于板结。</w:t>
      </w:r>
    </w:p>
    <w:p w14:paraId="0F3AA80F">
      <w:pPr>
        <w:ind w:firstLine="638" w:firstLineChars="228"/>
        <w:jc w:val="left"/>
        <w:rPr>
          <w:rFonts w:cs="Times New Roman"/>
        </w:rPr>
      </w:pPr>
      <w:r>
        <w:rPr>
          <w:rFonts w:hint="eastAsia" w:cs="Times New Roman"/>
        </w:rPr>
        <w:t>（2）堆积磷石膏的物理性</w:t>
      </w:r>
    </w:p>
    <w:p w14:paraId="0D0FADC2">
      <w:pPr>
        <w:spacing w:after="48" w:line="480" w:lineRule="exact"/>
        <w:ind w:firstLine="560"/>
        <w:rPr>
          <w:rFonts w:cs="Times New Roman"/>
        </w:rPr>
      </w:pPr>
      <w:r>
        <w:rPr>
          <w:rFonts w:cs="Times New Roman"/>
        </w:rPr>
        <w:t>对35件磷石膏样品物理性试验结果进行统计，其统计结果见下表。</w:t>
      </w:r>
    </w:p>
    <w:p w14:paraId="77FD54E5">
      <w:pPr>
        <w:ind w:firstLine="0" w:firstLineChars="0"/>
        <w:jc w:val="center"/>
        <w:rPr>
          <w:rFonts w:cs="Times New Roman"/>
          <w:sz w:val="24"/>
          <w:szCs w:val="24"/>
        </w:rPr>
      </w:pPr>
      <w:r>
        <w:rPr>
          <w:rFonts w:cs="Times New Roman"/>
          <w:sz w:val="24"/>
          <w:szCs w:val="24"/>
        </w:rPr>
        <w:t>表</w:t>
      </w:r>
      <w:r>
        <w:rPr>
          <w:rFonts w:hint="eastAsia" w:cs="Times New Roman"/>
          <w:sz w:val="24"/>
          <w:szCs w:val="24"/>
        </w:rPr>
        <w:t>2.3-3</w:t>
      </w:r>
      <w:r>
        <w:rPr>
          <w:rFonts w:cs="Times New Roman"/>
          <w:sz w:val="24"/>
          <w:szCs w:val="24"/>
        </w:rPr>
        <w:t xml:space="preserve"> 堆积尾矿原状样物理性统计表</w:t>
      </w:r>
    </w:p>
    <w:tbl>
      <w:tblPr>
        <w:tblStyle w:val="33"/>
        <w:tblW w:w="952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844"/>
        <w:gridCol w:w="918"/>
        <w:gridCol w:w="918"/>
        <w:gridCol w:w="918"/>
        <w:gridCol w:w="1141"/>
        <w:gridCol w:w="1057"/>
        <w:gridCol w:w="918"/>
        <w:gridCol w:w="695"/>
        <w:gridCol w:w="788"/>
        <w:gridCol w:w="1325"/>
      </w:tblGrid>
      <w:tr w14:paraId="32BD30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0" w:hRule="atLeast"/>
        </w:trPr>
        <w:tc>
          <w:tcPr>
            <w:tcW w:w="844" w:type="dxa"/>
            <w:vMerge w:val="restart"/>
            <w:vAlign w:val="center"/>
          </w:tcPr>
          <w:p w14:paraId="077F1C0E">
            <w:pPr>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统计</w:t>
            </w:r>
          </w:p>
          <w:p w14:paraId="0B9E9621">
            <w:pPr>
              <w:adjustRightInd w:val="0"/>
              <w:snapToGrid w:val="0"/>
              <w:spacing w:line="320" w:lineRule="exact"/>
              <w:ind w:firstLine="0" w:firstLineChars="0"/>
              <w:jc w:val="center"/>
              <w:rPr>
                <w:rFonts w:cs="Times New Roman"/>
                <w:snapToGrid w:val="0"/>
                <w:sz w:val="21"/>
                <w:szCs w:val="21"/>
              </w:rPr>
            </w:pPr>
            <w:r>
              <w:rPr>
                <w:rFonts w:cs="Times New Roman"/>
                <w:snapToGrid w:val="0"/>
                <w:kern w:val="0"/>
                <w:sz w:val="21"/>
                <w:szCs w:val="21"/>
              </w:rPr>
              <w:t>项目</w:t>
            </w:r>
          </w:p>
        </w:tc>
        <w:tc>
          <w:tcPr>
            <w:tcW w:w="5870" w:type="dxa"/>
            <w:gridSpan w:val="6"/>
            <w:vAlign w:val="center"/>
          </w:tcPr>
          <w:p w14:paraId="07ED67E1">
            <w:pPr>
              <w:adjustRightInd w:val="0"/>
              <w:snapToGrid w:val="0"/>
              <w:spacing w:line="320" w:lineRule="exact"/>
              <w:jc w:val="center"/>
              <w:rPr>
                <w:rFonts w:cs="Times New Roman"/>
                <w:snapToGrid w:val="0"/>
                <w:kern w:val="0"/>
                <w:sz w:val="21"/>
                <w:szCs w:val="21"/>
              </w:rPr>
            </w:pPr>
            <w:r>
              <w:rPr>
                <w:rFonts w:cs="Times New Roman"/>
                <w:snapToGrid w:val="0"/>
                <w:kern w:val="0"/>
                <w:sz w:val="21"/>
                <w:szCs w:val="21"/>
              </w:rPr>
              <w:t>土的物理性质</w:t>
            </w:r>
          </w:p>
        </w:tc>
        <w:tc>
          <w:tcPr>
            <w:tcW w:w="2808" w:type="dxa"/>
            <w:gridSpan w:val="3"/>
            <w:vAlign w:val="center"/>
          </w:tcPr>
          <w:p w14:paraId="64FDEC51">
            <w:pPr>
              <w:widowControl/>
              <w:adjustRightInd w:val="0"/>
              <w:snapToGrid w:val="0"/>
              <w:spacing w:line="320" w:lineRule="exact"/>
              <w:jc w:val="center"/>
              <w:rPr>
                <w:rFonts w:cs="Times New Roman"/>
                <w:kern w:val="0"/>
                <w:sz w:val="21"/>
                <w:szCs w:val="21"/>
              </w:rPr>
            </w:pPr>
            <w:r>
              <w:rPr>
                <w:rFonts w:cs="Times New Roman"/>
                <w:snapToGrid w:val="0"/>
                <w:kern w:val="0"/>
                <w:sz w:val="21"/>
                <w:szCs w:val="21"/>
              </w:rPr>
              <w:t>界限含水率</w:t>
            </w:r>
          </w:p>
        </w:tc>
      </w:tr>
      <w:tr w14:paraId="3F3CBA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2" w:hRule="atLeast"/>
        </w:trPr>
        <w:tc>
          <w:tcPr>
            <w:tcW w:w="844" w:type="dxa"/>
            <w:vMerge w:val="continue"/>
            <w:vAlign w:val="center"/>
          </w:tcPr>
          <w:p w14:paraId="7A1CC02B">
            <w:pPr>
              <w:adjustRightInd w:val="0"/>
              <w:snapToGrid w:val="0"/>
              <w:spacing w:line="320" w:lineRule="exact"/>
              <w:jc w:val="center"/>
              <w:rPr>
                <w:rFonts w:cs="Times New Roman"/>
                <w:snapToGrid w:val="0"/>
                <w:sz w:val="21"/>
                <w:szCs w:val="21"/>
              </w:rPr>
            </w:pPr>
          </w:p>
        </w:tc>
        <w:tc>
          <w:tcPr>
            <w:tcW w:w="918" w:type="dxa"/>
            <w:vAlign w:val="center"/>
          </w:tcPr>
          <w:p w14:paraId="4D1B0BAB">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饱和度</w:t>
            </w:r>
          </w:p>
          <w:p w14:paraId="29D4E180">
            <w:pPr>
              <w:widowControl/>
              <w:adjustRightInd w:val="0"/>
              <w:snapToGrid w:val="0"/>
              <w:spacing w:line="320" w:lineRule="exact"/>
              <w:ind w:firstLine="199" w:firstLineChars="95"/>
              <w:jc w:val="center"/>
              <w:rPr>
                <w:rFonts w:cs="Times New Roman"/>
                <w:snapToGrid w:val="0"/>
                <w:kern w:val="0"/>
                <w:sz w:val="21"/>
                <w:szCs w:val="21"/>
              </w:rPr>
            </w:pPr>
            <w:r>
              <w:rPr>
                <w:rFonts w:cs="Times New Roman"/>
                <w:snapToGrid w:val="0"/>
                <w:kern w:val="0"/>
                <w:sz w:val="21"/>
                <w:szCs w:val="21"/>
              </w:rPr>
              <w:t>Sr</w:t>
            </w:r>
          </w:p>
        </w:tc>
        <w:tc>
          <w:tcPr>
            <w:tcW w:w="918" w:type="dxa"/>
            <w:vAlign w:val="center"/>
          </w:tcPr>
          <w:p w14:paraId="5CBD2A14">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孔隙比</w:t>
            </w:r>
          </w:p>
          <w:p w14:paraId="034DA7C8">
            <w:pPr>
              <w:widowControl/>
              <w:adjustRightInd w:val="0"/>
              <w:snapToGrid w:val="0"/>
              <w:spacing w:line="320" w:lineRule="exact"/>
              <w:ind w:firstLine="199" w:firstLineChars="95"/>
              <w:jc w:val="center"/>
              <w:rPr>
                <w:rFonts w:cs="Times New Roman"/>
                <w:snapToGrid w:val="0"/>
                <w:kern w:val="0"/>
                <w:sz w:val="21"/>
                <w:szCs w:val="21"/>
              </w:rPr>
            </w:pPr>
            <w:r>
              <w:rPr>
                <w:rFonts w:cs="Times New Roman"/>
                <w:snapToGrid w:val="0"/>
                <w:kern w:val="0"/>
                <w:sz w:val="21"/>
                <w:szCs w:val="21"/>
              </w:rPr>
              <w:t>ｅ</w:t>
            </w:r>
          </w:p>
        </w:tc>
        <w:tc>
          <w:tcPr>
            <w:tcW w:w="918" w:type="dxa"/>
            <w:vAlign w:val="center"/>
          </w:tcPr>
          <w:p w14:paraId="2FEC60BA">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含水率</w:t>
            </w:r>
          </w:p>
          <w:p w14:paraId="72F97966">
            <w:pPr>
              <w:widowControl/>
              <w:adjustRightInd w:val="0"/>
              <w:snapToGrid w:val="0"/>
              <w:spacing w:line="320" w:lineRule="exact"/>
              <w:ind w:firstLine="409" w:firstLineChars="195"/>
              <w:jc w:val="center"/>
              <w:rPr>
                <w:rFonts w:cs="Times New Roman"/>
                <w:snapToGrid w:val="0"/>
                <w:kern w:val="0"/>
                <w:sz w:val="21"/>
                <w:szCs w:val="21"/>
              </w:rPr>
            </w:pPr>
            <w:r>
              <w:rPr>
                <w:rFonts w:cs="Times New Roman"/>
                <w:snapToGrid w:val="0"/>
                <w:kern w:val="0"/>
                <w:sz w:val="21"/>
                <w:szCs w:val="21"/>
              </w:rPr>
              <w:t>ω</w:t>
            </w:r>
          </w:p>
        </w:tc>
        <w:tc>
          <w:tcPr>
            <w:tcW w:w="1141" w:type="dxa"/>
            <w:vAlign w:val="center"/>
          </w:tcPr>
          <w:p w14:paraId="18B4F4DF">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土粒比重</w:t>
            </w:r>
          </w:p>
          <w:p w14:paraId="63E2610F">
            <w:pPr>
              <w:widowControl/>
              <w:adjustRightInd w:val="0"/>
              <w:snapToGrid w:val="0"/>
              <w:spacing w:line="320" w:lineRule="exact"/>
              <w:rPr>
                <w:rFonts w:cs="Times New Roman"/>
                <w:snapToGrid w:val="0"/>
                <w:kern w:val="0"/>
                <w:sz w:val="21"/>
                <w:szCs w:val="21"/>
              </w:rPr>
            </w:pPr>
            <w:r>
              <w:rPr>
                <w:rFonts w:cs="Times New Roman"/>
                <w:snapToGrid w:val="0"/>
                <w:kern w:val="0"/>
                <w:sz w:val="21"/>
                <w:szCs w:val="21"/>
              </w:rPr>
              <w:t>Gs</w:t>
            </w:r>
          </w:p>
        </w:tc>
        <w:tc>
          <w:tcPr>
            <w:tcW w:w="1057" w:type="dxa"/>
            <w:vAlign w:val="center"/>
          </w:tcPr>
          <w:p w14:paraId="72770361">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湿密度</w:t>
            </w:r>
          </w:p>
          <w:p w14:paraId="714B320E">
            <w:pPr>
              <w:widowControl/>
              <w:adjustRightInd w:val="0"/>
              <w:snapToGrid w:val="0"/>
              <w:spacing w:line="320" w:lineRule="exact"/>
              <w:ind w:firstLine="199" w:firstLineChars="95"/>
              <w:jc w:val="center"/>
              <w:rPr>
                <w:rFonts w:cs="Times New Roman"/>
                <w:snapToGrid w:val="0"/>
                <w:kern w:val="0"/>
                <w:sz w:val="21"/>
                <w:szCs w:val="21"/>
              </w:rPr>
            </w:pPr>
            <w:r>
              <w:rPr>
                <w:rFonts w:cs="Times New Roman"/>
                <w:snapToGrid w:val="0"/>
                <w:kern w:val="0"/>
                <w:sz w:val="21"/>
                <w:szCs w:val="21"/>
              </w:rPr>
              <w:t>ρ</w:t>
            </w:r>
            <w:r>
              <w:rPr>
                <w:rFonts w:cs="Times New Roman"/>
                <w:snapToGrid w:val="0"/>
                <w:kern w:val="0"/>
                <w:sz w:val="21"/>
                <w:szCs w:val="21"/>
                <w:vertAlign w:val="subscript"/>
              </w:rPr>
              <w:t>o</w:t>
            </w:r>
          </w:p>
        </w:tc>
        <w:tc>
          <w:tcPr>
            <w:tcW w:w="918" w:type="dxa"/>
            <w:vAlign w:val="center"/>
          </w:tcPr>
          <w:p w14:paraId="23579712">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干密度</w:t>
            </w:r>
          </w:p>
          <w:p w14:paraId="4F38599C">
            <w:pPr>
              <w:widowControl/>
              <w:adjustRightInd w:val="0"/>
              <w:snapToGrid w:val="0"/>
              <w:spacing w:line="320" w:lineRule="exact"/>
              <w:ind w:firstLine="199" w:firstLineChars="95"/>
              <w:jc w:val="center"/>
              <w:rPr>
                <w:rFonts w:cs="Times New Roman"/>
                <w:snapToGrid w:val="0"/>
                <w:kern w:val="0"/>
                <w:sz w:val="21"/>
                <w:szCs w:val="21"/>
              </w:rPr>
            </w:pPr>
            <w:r>
              <w:rPr>
                <w:rFonts w:cs="Times New Roman"/>
                <w:snapToGrid w:val="0"/>
                <w:kern w:val="0"/>
                <w:sz w:val="21"/>
                <w:szCs w:val="21"/>
              </w:rPr>
              <w:t>ρ</w:t>
            </w:r>
            <w:r>
              <w:rPr>
                <w:rFonts w:cs="Times New Roman"/>
                <w:snapToGrid w:val="0"/>
                <w:kern w:val="0"/>
                <w:sz w:val="21"/>
                <w:szCs w:val="21"/>
                <w:vertAlign w:val="subscript"/>
              </w:rPr>
              <w:t>d</w:t>
            </w:r>
          </w:p>
        </w:tc>
        <w:tc>
          <w:tcPr>
            <w:tcW w:w="695" w:type="dxa"/>
            <w:vAlign w:val="center"/>
          </w:tcPr>
          <w:p w14:paraId="75F6C852">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液限</w:t>
            </w:r>
          </w:p>
          <w:p w14:paraId="36BDBB16">
            <w:pPr>
              <w:widowControl/>
              <w:adjustRightInd w:val="0"/>
              <w:snapToGrid w:val="0"/>
              <w:spacing w:line="320" w:lineRule="exact"/>
              <w:ind w:firstLine="210" w:firstLineChars="100"/>
              <w:jc w:val="center"/>
              <w:rPr>
                <w:rFonts w:cs="Times New Roman"/>
                <w:snapToGrid w:val="0"/>
                <w:kern w:val="0"/>
                <w:sz w:val="21"/>
                <w:szCs w:val="21"/>
              </w:rPr>
            </w:pPr>
            <w:r>
              <w:rPr>
                <w:rFonts w:cs="Times New Roman"/>
                <w:snapToGrid w:val="0"/>
                <w:kern w:val="0"/>
                <w:sz w:val="21"/>
                <w:szCs w:val="21"/>
              </w:rPr>
              <w:t>ω</w:t>
            </w:r>
            <w:r>
              <w:rPr>
                <w:rFonts w:cs="Times New Roman"/>
                <w:snapToGrid w:val="0"/>
                <w:kern w:val="0"/>
                <w:sz w:val="21"/>
                <w:szCs w:val="21"/>
                <w:vertAlign w:val="subscript"/>
              </w:rPr>
              <w:t>L</w:t>
            </w:r>
          </w:p>
        </w:tc>
        <w:tc>
          <w:tcPr>
            <w:tcW w:w="788" w:type="dxa"/>
            <w:vAlign w:val="center"/>
          </w:tcPr>
          <w:p w14:paraId="3712D4D4">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塑限</w:t>
            </w:r>
          </w:p>
          <w:p w14:paraId="49DAC6E5">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ω</w:t>
            </w:r>
            <w:r>
              <w:rPr>
                <w:rFonts w:cs="Times New Roman"/>
                <w:snapToGrid w:val="0"/>
                <w:kern w:val="0"/>
                <w:sz w:val="21"/>
                <w:szCs w:val="21"/>
                <w:vertAlign w:val="subscript"/>
              </w:rPr>
              <w:t>p</w:t>
            </w:r>
          </w:p>
        </w:tc>
        <w:tc>
          <w:tcPr>
            <w:tcW w:w="1325" w:type="dxa"/>
            <w:vAlign w:val="center"/>
          </w:tcPr>
          <w:p w14:paraId="33060547">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塑性指数</w:t>
            </w:r>
          </w:p>
          <w:p w14:paraId="7008CA9D">
            <w:pPr>
              <w:widowControl/>
              <w:adjustRightInd w:val="0"/>
              <w:snapToGrid w:val="0"/>
              <w:spacing w:line="320" w:lineRule="exact"/>
              <w:ind w:firstLine="199" w:firstLineChars="95"/>
              <w:jc w:val="center"/>
              <w:rPr>
                <w:rFonts w:cs="Times New Roman"/>
                <w:snapToGrid w:val="0"/>
                <w:kern w:val="0"/>
                <w:sz w:val="21"/>
                <w:szCs w:val="21"/>
              </w:rPr>
            </w:pPr>
            <w:r>
              <w:rPr>
                <w:rFonts w:cs="Times New Roman"/>
                <w:snapToGrid w:val="0"/>
                <w:kern w:val="0"/>
                <w:sz w:val="21"/>
                <w:szCs w:val="21"/>
              </w:rPr>
              <w:t>I</w:t>
            </w:r>
            <w:r>
              <w:rPr>
                <w:rFonts w:cs="Times New Roman"/>
                <w:snapToGrid w:val="0"/>
                <w:kern w:val="0"/>
                <w:sz w:val="21"/>
                <w:szCs w:val="21"/>
                <w:vertAlign w:val="subscript"/>
              </w:rPr>
              <w:t>P</w:t>
            </w:r>
          </w:p>
        </w:tc>
      </w:tr>
      <w:tr w14:paraId="161C94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0" w:hRule="atLeast"/>
        </w:trPr>
        <w:tc>
          <w:tcPr>
            <w:tcW w:w="844" w:type="dxa"/>
            <w:vMerge w:val="continue"/>
            <w:vAlign w:val="center"/>
          </w:tcPr>
          <w:p w14:paraId="0B06E804">
            <w:pPr>
              <w:adjustRightInd w:val="0"/>
              <w:snapToGrid w:val="0"/>
              <w:spacing w:line="320" w:lineRule="exact"/>
              <w:jc w:val="center"/>
              <w:rPr>
                <w:rFonts w:cs="Times New Roman"/>
                <w:snapToGrid w:val="0"/>
                <w:sz w:val="21"/>
                <w:szCs w:val="21"/>
              </w:rPr>
            </w:pPr>
          </w:p>
        </w:tc>
        <w:tc>
          <w:tcPr>
            <w:tcW w:w="918" w:type="dxa"/>
            <w:vAlign w:val="center"/>
          </w:tcPr>
          <w:p w14:paraId="005D9B1D">
            <w:pPr>
              <w:adjustRightInd w:val="0"/>
              <w:snapToGrid w:val="0"/>
              <w:spacing w:line="320" w:lineRule="exact"/>
              <w:ind w:firstLine="199" w:firstLineChars="95"/>
              <w:jc w:val="center"/>
              <w:rPr>
                <w:rFonts w:cs="Times New Roman"/>
                <w:snapToGrid w:val="0"/>
                <w:kern w:val="0"/>
                <w:sz w:val="21"/>
                <w:szCs w:val="21"/>
              </w:rPr>
            </w:pPr>
            <w:r>
              <w:rPr>
                <w:rFonts w:cs="Times New Roman"/>
                <w:snapToGrid w:val="0"/>
                <w:kern w:val="0"/>
                <w:sz w:val="21"/>
                <w:szCs w:val="21"/>
              </w:rPr>
              <w:t>%</w:t>
            </w:r>
          </w:p>
        </w:tc>
        <w:tc>
          <w:tcPr>
            <w:tcW w:w="918" w:type="dxa"/>
            <w:vAlign w:val="center"/>
          </w:tcPr>
          <w:p w14:paraId="3AC8C097">
            <w:pPr>
              <w:adjustRightInd w:val="0"/>
              <w:snapToGrid w:val="0"/>
              <w:spacing w:line="320" w:lineRule="exact"/>
              <w:jc w:val="center"/>
              <w:rPr>
                <w:rFonts w:cs="Times New Roman"/>
                <w:snapToGrid w:val="0"/>
                <w:kern w:val="0"/>
                <w:sz w:val="21"/>
                <w:szCs w:val="21"/>
              </w:rPr>
            </w:pPr>
            <w:r>
              <w:rPr>
                <w:rFonts w:cs="Times New Roman"/>
                <w:snapToGrid w:val="0"/>
                <w:kern w:val="0"/>
                <w:sz w:val="21"/>
                <w:szCs w:val="21"/>
              </w:rPr>
              <w:t>--</w:t>
            </w:r>
          </w:p>
        </w:tc>
        <w:tc>
          <w:tcPr>
            <w:tcW w:w="918" w:type="dxa"/>
            <w:vAlign w:val="center"/>
          </w:tcPr>
          <w:p w14:paraId="20D7BE65">
            <w:pPr>
              <w:adjustRightInd w:val="0"/>
              <w:snapToGrid w:val="0"/>
              <w:spacing w:line="320" w:lineRule="exact"/>
              <w:jc w:val="center"/>
              <w:rPr>
                <w:rFonts w:cs="Times New Roman"/>
                <w:snapToGrid w:val="0"/>
                <w:kern w:val="0"/>
                <w:sz w:val="21"/>
                <w:szCs w:val="21"/>
              </w:rPr>
            </w:pPr>
            <w:r>
              <w:rPr>
                <w:rFonts w:cs="Times New Roman"/>
                <w:snapToGrid w:val="0"/>
                <w:kern w:val="0"/>
                <w:sz w:val="21"/>
                <w:szCs w:val="21"/>
              </w:rPr>
              <w:t>%</w:t>
            </w:r>
          </w:p>
        </w:tc>
        <w:tc>
          <w:tcPr>
            <w:tcW w:w="1141" w:type="dxa"/>
            <w:vAlign w:val="center"/>
          </w:tcPr>
          <w:p w14:paraId="2E3F8937">
            <w:pPr>
              <w:widowControl/>
              <w:adjustRightInd w:val="0"/>
              <w:snapToGrid w:val="0"/>
              <w:spacing w:line="320" w:lineRule="exact"/>
              <w:jc w:val="center"/>
              <w:rPr>
                <w:rFonts w:cs="Times New Roman"/>
                <w:kern w:val="0"/>
                <w:sz w:val="21"/>
                <w:szCs w:val="21"/>
              </w:rPr>
            </w:pPr>
            <w:r>
              <w:rPr>
                <w:rFonts w:cs="Times New Roman"/>
                <w:snapToGrid w:val="0"/>
                <w:kern w:val="0"/>
                <w:sz w:val="21"/>
                <w:szCs w:val="21"/>
              </w:rPr>
              <w:t>--</w:t>
            </w:r>
          </w:p>
        </w:tc>
        <w:tc>
          <w:tcPr>
            <w:tcW w:w="1057" w:type="dxa"/>
            <w:vAlign w:val="center"/>
          </w:tcPr>
          <w:p w14:paraId="4F7381C2">
            <w:pPr>
              <w:widowControl/>
              <w:adjustRightInd w:val="0"/>
              <w:snapToGrid w:val="0"/>
              <w:spacing w:line="320" w:lineRule="exact"/>
              <w:jc w:val="center"/>
              <w:rPr>
                <w:rFonts w:cs="Times New Roman"/>
                <w:kern w:val="0"/>
                <w:sz w:val="21"/>
                <w:szCs w:val="21"/>
              </w:rPr>
            </w:pPr>
            <w:r>
              <w:rPr>
                <w:rFonts w:cs="Times New Roman"/>
                <w:sz w:val="21"/>
                <w:szCs w:val="21"/>
              </w:rPr>
              <w:t>g/cm</w:t>
            </w:r>
            <w:r>
              <w:rPr>
                <w:rFonts w:cs="Times New Roman"/>
                <w:sz w:val="21"/>
                <w:szCs w:val="21"/>
                <w:vertAlign w:val="superscript"/>
              </w:rPr>
              <w:t>3</w:t>
            </w:r>
          </w:p>
        </w:tc>
        <w:tc>
          <w:tcPr>
            <w:tcW w:w="918" w:type="dxa"/>
            <w:vAlign w:val="center"/>
          </w:tcPr>
          <w:p w14:paraId="57F259F3">
            <w:pPr>
              <w:adjustRightInd w:val="0"/>
              <w:snapToGrid w:val="0"/>
              <w:spacing w:line="320" w:lineRule="exact"/>
              <w:jc w:val="center"/>
              <w:rPr>
                <w:rFonts w:cs="Times New Roman"/>
                <w:snapToGrid w:val="0"/>
                <w:kern w:val="0"/>
                <w:sz w:val="21"/>
                <w:szCs w:val="21"/>
              </w:rPr>
            </w:pPr>
          </w:p>
        </w:tc>
        <w:tc>
          <w:tcPr>
            <w:tcW w:w="695" w:type="dxa"/>
            <w:vAlign w:val="center"/>
          </w:tcPr>
          <w:p w14:paraId="607BFF78">
            <w:pPr>
              <w:adjustRightInd w:val="0"/>
              <w:snapToGrid w:val="0"/>
              <w:spacing w:line="320" w:lineRule="exact"/>
              <w:jc w:val="center"/>
              <w:rPr>
                <w:rFonts w:cs="Times New Roman"/>
                <w:snapToGrid w:val="0"/>
                <w:kern w:val="0"/>
                <w:sz w:val="21"/>
                <w:szCs w:val="21"/>
              </w:rPr>
            </w:pPr>
            <w:r>
              <w:rPr>
                <w:rFonts w:cs="Times New Roman"/>
                <w:snapToGrid w:val="0"/>
                <w:kern w:val="0"/>
                <w:sz w:val="21"/>
                <w:szCs w:val="21"/>
              </w:rPr>
              <w:t>%</w:t>
            </w:r>
          </w:p>
        </w:tc>
        <w:tc>
          <w:tcPr>
            <w:tcW w:w="788" w:type="dxa"/>
            <w:vAlign w:val="center"/>
          </w:tcPr>
          <w:p w14:paraId="545758CD">
            <w:pPr>
              <w:widowControl/>
              <w:adjustRightInd w:val="0"/>
              <w:snapToGrid w:val="0"/>
              <w:spacing w:line="320" w:lineRule="exact"/>
              <w:jc w:val="center"/>
              <w:rPr>
                <w:rFonts w:cs="Times New Roman"/>
                <w:kern w:val="0"/>
                <w:sz w:val="21"/>
                <w:szCs w:val="21"/>
              </w:rPr>
            </w:pPr>
          </w:p>
        </w:tc>
        <w:tc>
          <w:tcPr>
            <w:tcW w:w="1325" w:type="dxa"/>
            <w:vAlign w:val="center"/>
          </w:tcPr>
          <w:p w14:paraId="2903B33F">
            <w:pPr>
              <w:widowControl/>
              <w:adjustRightInd w:val="0"/>
              <w:snapToGrid w:val="0"/>
              <w:spacing w:line="320" w:lineRule="exact"/>
              <w:jc w:val="center"/>
              <w:rPr>
                <w:rFonts w:cs="Times New Roman"/>
                <w:kern w:val="0"/>
                <w:sz w:val="21"/>
                <w:szCs w:val="21"/>
              </w:rPr>
            </w:pPr>
          </w:p>
        </w:tc>
      </w:tr>
      <w:tr w14:paraId="4D3A26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1" w:hRule="atLeast"/>
        </w:trPr>
        <w:tc>
          <w:tcPr>
            <w:tcW w:w="9522" w:type="dxa"/>
            <w:gridSpan w:val="10"/>
            <w:vAlign w:val="center"/>
          </w:tcPr>
          <w:p w14:paraId="04B4E618">
            <w:pPr>
              <w:widowControl/>
              <w:adjustRightInd w:val="0"/>
              <w:snapToGrid w:val="0"/>
              <w:spacing w:line="320" w:lineRule="exact"/>
              <w:ind w:firstLine="380"/>
              <w:jc w:val="center"/>
              <w:rPr>
                <w:rFonts w:cs="Times New Roman"/>
                <w:kern w:val="0"/>
                <w:sz w:val="21"/>
                <w:szCs w:val="21"/>
              </w:rPr>
            </w:pPr>
            <w:r>
              <w:rPr>
                <w:rFonts w:cs="Times New Roman"/>
                <w:spacing w:val="-10"/>
                <w:sz w:val="21"/>
                <w:szCs w:val="21"/>
              </w:rPr>
              <w:t>磷石膏</w:t>
            </w:r>
            <w:r>
              <w:rPr>
                <w:rFonts w:hint="eastAsia" w:ascii="宋体" w:hAnsi="宋体" w:cs="宋体"/>
                <w:spacing w:val="-10"/>
                <w:sz w:val="21"/>
                <w:szCs w:val="21"/>
              </w:rPr>
              <w:t>①</w:t>
            </w:r>
            <w:r>
              <w:rPr>
                <w:rFonts w:cs="Times New Roman"/>
                <w:spacing w:val="-10"/>
                <w:sz w:val="21"/>
                <w:szCs w:val="21"/>
                <w:vertAlign w:val="subscript"/>
              </w:rPr>
              <w:t>1</w:t>
            </w:r>
          </w:p>
        </w:tc>
      </w:tr>
      <w:tr w14:paraId="77A640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0" w:hRule="atLeast"/>
        </w:trPr>
        <w:tc>
          <w:tcPr>
            <w:tcW w:w="844" w:type="dxa"/>
            <w:vAlign w:val="center"/>
          </w:tcPr>
          <w:p w14:paraId="635982FA">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计数</w:t>
            </w:r>
          </w:p>
        </w:tc>
        <w:tc>
          <w:tcPr>
            <w:tcW w:w="918" w:type="dxa"/>
          </w:tcPr>
          <w:p w14:paraId="1BA197CE">
            <w:pPr>
              <w:spacing w:line="320" w:lineRule="exact"/>
              <w:ind w:firstLine="0" w:firstLineChars="0"/>
              <w:jc w:val="center"/>
              <w:rPr>
                <w:rFonts w:cs="Times New Roman"/>
                <w:sz w:val="21"/>
                <w:szCs w:val="21"/>
              </w:rPr>
            </w:pPr>
            <w:r>
              <w:rPr>
                <w:rFonts w:cs="Times New Roman"/>
                <w:sz w:val="21"/>
                <w:szCs w:val="21"/>
              </w:rPr>
              <w:t>35</w:t>
            </w:r>
          </w:p>
        </w:tc>
        <w:tc>
          <w:tcPr>
            <w:tcW w:w="918" w:type="dxa"/>
          </w:tcPr>
          <w:p w14:paraId="167A4FB3">
            <w:pPr>
              <w:spacing w:line="320" w:lineRule="exact"/>
              <w:ind w:firstLine="0" w:firstLineChars="0"/>
              <w:jc w:val="center"/>
              <w:rPr>
                <w:rFonts w:cs="Times New Roman"/>
                <w:sz w:val="21"/>
                <w:szCs w:val="21"/>
              </w:rPr>
            </w:pPr>
            <w:r>
              <w:rPr>
                <w:rFonts w:cs="Times New Roman"/>
                <w:sz w:val="21"/>
                <w:szCs w:val="21"/>
              </w:rPr>
              <w:t>35</w:t>
            </w:r>
          </w:p>
        </w:tc>
        <w:tc>
          <w:tcPr>
            <w:tcW w:w="918" w:type="dxa"/>
          </w:tcPr>
          <w:p w14:paraId="01B2C8DC">
            <w:pPr>
              <w:spacing w:line="320" w:lineRule="exact"/>
              <w:ind w:firstLine="0" w:firstLineChars="0"/>
              <w:jc w:val="center"/>
              <w:rPr>
                <w:rFonts w:cs="Times New Roman"/>
                <w:sz w:val="21"/>
                <w:szCs w:val="21"/>
              </w:rPr>
            </w:pPr>
            <w:r>
              <w:rPr>
                <w:rFonts w:cs="Times New Roman"/>
                <w:sz w:val="21"/>
                <w:szCs w:val="21"/>
              </w:rPr>
              <w:t>35</w:t>
            </w:r>
          </w:p>
        </w:tc>
        <w:tc>
          <w:tcPr>
            <w:tcW w:w="1141" w:type="dxa"/>
          </w:tcPr>
          <w:p w14:paraId="4B6A912F">
            <w:pPr>
              <w:spacing w:line="320" w:lineRule="exact"/>
              <w:ind w:firstLine="0" w:firstLineChars="0"/>
              <w:jc w:val="center"/>
              <w:rPr>
                <w:rFonts w:cs="Times New Roman"/>
                <w:sz w:val="21"/>
                <w:szCs w:val="21"/>
              </w:rPr>
            </w:pPr>
            <w:r>
              <w:rPr>
                <w:rFonts w:cs="Times New Roman"/>
                <w:sz w:val="21"/>
                <w:szCs w:val="21"/>
              </w:rPr>
              <w:t>76</w:t>
            </w:r>
          </w:p>
        </w:tc>
        <w:tc>
          <w:tcPr>
            <w:tcW w:w="1057" w:type="dxa"/>
          </w:tcPr>
          <w:p w14:paraId="397F94B3">
            <w:pPr>
              <w:spacing w:line="320" w:lineRule="exact"/>
              <w:ind w:firstLine="0" w:firstLineChars="0"/>
              <w:jc w:val="center"/>
              <w:rPr>
                <w:rFonts w:cs="Times New Roman"/>
                <w:sz w:val="21"/>
                <w:szCs w:val="21"/>
              </w:rPr>
            </w:pPr>
            <w:r>
              <w:rPr>
                <w:rFonts w:cs="Times New Roman"/>
                <w:sz w:val="21"/>
                <w:szCs w:val="21"/>
              </w:rPr>
              <w:t>29</w:t>
            </w:r>
          </w:p>
        </w:tc>
        <w:tc>
          <w:tcPr>
            <w:tcW w:w="918" w:type="dxa"/>
          </w:tcPr>
          <w:p w14:paraId="1A12739F">
            <w:pPr>
              <w:spacing w:line="320" w:lineRule="exact"/>
              <w:ind w:firstLine="0" w:firstLineChars="0"/>
              <w:jc w:val="center"/>
              <w:rPr>
                <w:rFonts w:cs="Times New Roman"/>
                <w:sz w:val="21"/>
                <w:szCs w:val="21"/>
              </w:rPr>
            </w:pPr>
            <w:r>
              <w:rPr>
                <w:rFonts w:cs="Times New Roman"/>
                <w:sz w:val="21"/>
                <w:szCs w:val="21"/>
              </w:rPr>
              <w:t>35</w:t>
            </w:r>
          </w:p>
        </w:tc>
        <w:tc>
          <w:tcPr>
            <w:tcW w:w="695" w:type="dxa"/>
          </w:tcPr>
          <w:p w14:paraId="53CAEB44">
            <w:pPr>
              <w:spacing w:line="320" w:lineRule="exact"/>
              <w:ind w:firstLine="0" w:firstLineChars="0"/>
              <w:jc w:val="center"/>
              <w:rPr>
                <w:rFonts w:cs="Times New Roman"/>
                <w:sz w:val="21"/>
                <w:szCs w:val="21"/>
              </w:rPr>
            </w:pPr>
            <w:r>
              <w:rPr>
                <w:rFonts w:cs="Times New Roman"/>
                <w:sz w:val="21"/>
                <w:szCs w:val="21"/>
              </w:rPr>
              <w:t>76</w:t>
            </w:r>
          </w:p>
        </w:tc>
        <w:tc>
          <w:tcPr>
            <w:tcW w:w="788" w:type="dxa"/>
          </w:tcPr>
          <w:p w14:paraId="3B71D1B2">
            <w:pPr>
              <w:spacing w:line="320" w:lineRule="exact"/>
              <w:ind w:firstLine="0" w:firstLineChars="0"/>
              <w:jc w:val="center"/>
              <w:rPr>
                <w:rFonts w:cs="Times New Roman"/>
                <w:sz w:val="21"/>
                <w:szCs w:val="21"/>
              </w:rPr>
            </w:pPr>
            <w:r>
              <w:rPr>
                <w:rFonts w:cs="Times New Roman"/>
                <w:sz w:val="21"/>
                <w:szCs w:val="21"/>
              </w:rPr>
              <w:t>76</w:t>
            </w:r>
          </w:p>
        </w:tc>
        <w:tc>
          <w:tcPr>
            <w:tcW w:w="1325" w:type="dxa"/>
          </w:tcPr>
          <w:p w14:paraId="3B03C659">
            <w:pPr>
              <w:spacing w:line="320" w:lineRule="exact"/>
              <w:ind w:firstLine="0" w:firstLineChars="0"/>
              <w:jc w:val="center"/>
              <w:rPr>
                <w:rFonts w:cs="Times New Roman"/>
                <w:sz w:val="21"/>
                <w:szCs w:val="21"/>
              </w:rPr>
            </w:pPr>
            <w:r>
              <w:rPr>
                <w:rFonts w:cs="Times New Roman"/>
                <w:sz w:val="21"/>
                <w:szCs w:val="21"/>
              </w:rPr>
              <w:t>76</w:t>
            </w:r>
          </w:p>
        </w:tc>
      </w:tr>
      <w:tr w14:paraId="0F97F5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0" w:hRule="atLeast"/>
        </w:trPr>
        <w:tc>
          <w:tcPr>
            <w:tcW w:w="844" w:type="dxa"/>
            <w:vAlign w:val="center"/>
          </w:tcPr>
          <w:p w14:paraId="343FD379">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最大值</w:t>
            </w:r>
          </w:p>
        </w:tc>
        <w:tc>
          <w:tcPr>
            <w:tcW w:w="918" w:type="dxa"/>
          </w:tcPr>
          <w:p w14:paraId="485A0D69">
            <w:pPr>
              <w:spacing w:line="320" w:lineRule="exact"/>
              <w:ind w:firstLine="0" w:firstLineChars="0"/>
              <w:jc w:val="center"/>
              <w:rPr>
                <w:rFonts w:cs="Times New Roman"/>
                <w:sz w:val="21"/>
                <w:szCs w:val="21"/>
              </w:rPr>
            </w:pPr>
            <w:r>
              <w:rPr>
                <w:rFonts w:cs="Times New Roman"/>
                <w:sz w:val="21"/>
                <w:szCs w:val="21"/>
              </w:rPr>
              <w:t>73</w:t>
            </w:r>
          </w:p>
        </w:tc>
        <w:tc>
          <w:tcPr>
            <w:tcW w:w="918" w:type="dxa"/>
          </w:tcPr>
          <w:p w14:paraId="418393D2">
            <w:pPr>
              <w:spacing w:line="320" w:lineRule="exact"/>
              <w:ind w:firstLine="0" w:firstLineChars="0"/>
              <w:jc w:val="center"/>
              <w:rPr>
                <w:rFonts w:cs="Times New Roman"/>
                <w:sz w:val="21"/>
                <w:szCs w:val="21"/>
              </w:rPr>
            </w:pPr>
            <w:r>
              <w:rPr>
                <w:rFonts w:cs="Times New Roman"/>
                <w:sz w:val="21"/>
                <w:szCs w:val="21"/>
              </w:rPr>
              <w:t>1.65</w:t>
            </w:r>
          </w:p>
        </w:tc>
        <w:tc>
          <w:tcPr>
            <w:tcW w:w="918" w:type="dxa"/>
          </w:tcPr>
          <w:p w14:paraId="701AE5B4">
            <w:pPr>
              <w:spacing w:line="320" w:lineRule="exact"/>
              <w:ind w:firstLine="0" w:firstLineChars="0"/>
              <w:jc w:val="center"/>
              <w:rPr>
                <w:rFonts w:cs="Times New Roman"/>
                <w:sz w:val="21"/>
                <w:szCs w:val="21"/>
              </w:rPr>
            </w:pPr>
            <w:r>
              <w:rPr>
                <w:rFonts w:cs="Times New Roman"/>
                <w:sz w:val="21"/>
                <w:szCs w:val="21"/>
              </w:rPr>
              <w:t>29</w:t>
            </w:r>
          </w:p>
        </w:tc>
        <w:tc>
          <w:tcPr>
            <w:tcW w:w="1141" w:type="dxa"/>
          </w:tcPr>
          <w:p w14:paraId="4086EBEC">
            <w:pPr>
              <w:spacing w:line="320" w:lineRule="exact"/>
              <w:ind w:firstLine="0" w:firstLineChars="0"/>
              <w:jc w:val="center"/>
              <w:rPr>
                <w:rFonts w:cs="Times New Roman"/>
                <w:sz w:val="21"/>
                <w:szCs w:val="21"/>
              </w:rPr>
            </w:pPr>
            <w:r>
              <w:rPr>
                <w:rFonts w:cs="Times New Roman"/>
                <w:sz w:val="21"/>
                <w:szCs w:val="21"/>
              </w:rPr>
              <w:t>2.98</w:t>
            </w:r>
          </w:p>
        </w:tc>
        <w:tc>
          <w:tcPr>
            <w:tcW w:w="1057" w:type="dxa"/>
          </w:tcPr>
          <w:p w14:paraId="022CDE95">
            <w:pPr>
              <w:spacing w:line="320" w:lineRule="exact"/>
              <w:ind w:firstLine="0" w:firstLineChars="0"/>
              <w:jc w:val="center"/>
              <w:rPr>
                <w:rFonts w:cs="Times New Roman"/>
                <w:sz w:val="21"/>
                <w:szCs w:val="21"/>
              </w:rPr>
            </w:pPr>
            <w:r>
              <w:rPr>
                <w:rFonts w:cs="Times New Roman"/>
                <w:sz w:val="21"/>
                <w:szCs w:val="21"/>
              </w:rPr>
              <w:t>1.75</w:t>
            </w:r>
          </w:p>
        </w:tc>
        <w:tc>
          <w:tcPr>
            <w:tcW w:w="918" w:type="dxa"/>
          </w:tcPr>
          <w:p w14:paraId="3A6E1244">
            <w:pPr>
              <w:spacing w:line="320" w:lineRule="exact"/>
              <w:ind w:firstLine="0" w:firstLineChars="0"/>
              <w:jc w:val="center"/>
              <w:rPr>
                <w:rFonts w:cs="Times New Roman"/>
                <w:sz w:val="21"/>
                <w:szCs w:val="21"/>
              </w:rPr>
            </w:pPr>
            <w:r>
              <w:rPr>
                <w:rFonts w:cs="Times New Roman"/>
                <w:sz w:val="21"/>
                <w:szCs w:val="21"/>
              </w:rPr>
              <w:t>1.48</w:t>
            </w:r>
          </w:p>
        </w:tc>
        <w:tc>
          <w:tcPr>
            <w:tcW w:w="695" w:type="dxa"/>
          </w:tcPr>
          <w:p w14:paraId="69DD5062">
            <w:pPr>
              <w:spacing w:line="320" w:lineRule="exact"/>
              <w:ind w:firstLine="0" w:firstLineChars="0"/>
              <w:jc w:val="center"/>
              <w:rPr>
                <w:rFonts w:cs="Times New Roman"/>
                <w:sz w:val="21"/>
                <w:szCs w:val="21"/>
              </w:rPr>
            </w:pPr>
            <w:r>
              <w:rPr>
                <w:rFonts w:cs="Times New Roman"/>
                <w:sz w:val="21"/>
                <w:szCs w:val="21"/>
              </w:rPr>
              <w:t>34</w:t>
            </w:r>
          </w:p>
        </w:tc>
        <w:tc>
          <w:tcPr>
            <w:tcW w:w="788" w:type="dxa"/>
          </w:tcPr>
          <w:p w14:paraId="27639073">
            <w:pPr>
              <w:spacing w:line="320" w:lineRule="exact"/>
              <w:ind w:firstLine="0" w:firstLineChars="0"/>
              <w:jc w:val="center"/>
              <w:rPr>
                <w:rFonts w:cs="Times New Roman"/>
                <w:sz w:val="21"/>
                <w:szCs w:val="21"/>
              </w:rPr>
            </w:pPr>
            <w:r>
              <w:rPr>
                <w:rFonts w:cs="Times New Roman"/>
                <w:sz w:val="21"/>
                <w:szCs w:val="21"/>
              </w:rPr>
              <w:t>25</w:t>
            </w:r>
          </w:p>
        </w:tc>
        <w:tc>
          <w:tcPr>
            <w:tcW w:w="1325" w:type="dxa"/>
          </w:tcPr>
          <w:p w14:paraId="2AC3DCDC">
            <w:pPr>
              <w:spacing w:line="320" w:lineRule="exact"/>
              <w:ind w:firstLine="0" w:firstLineChars="0"/>
              <w:jc w:val="center"/>
              <w:rPr>
                <w:rFonts w:cs="Times New Roman"/>
                <w:sz w:val="21"/>
                <w:szCs w:val="21"/>
              </w:rPr>
            </w:pPr>
            <w:r>
              <w:rPr>
                <w:rFonts w:cs="Times New Roman"/>
                <w:sz w:val="21"/>
                <w:szCs w:val="21"/>
              </w:rPr>
              <w:t>10</w:t>
            </w:r>
          </w:p>
        </w:tc>
      </w:tr>
      <w:tr w14:paraId="340852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0" w:hRule="atLeast"/>
        </w:trPr>
        <w:tc>
          <w:tcPr>
            <w:tcW w:w="844" w:type="dxa"/>
            <w:vAlign w:val="center"/>
          </w:tcPr>
          <w:p w14:paraId="039923B1">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最小值</w:t>
            </w:r>
          </w:p>
        </w:tc>
        <w:tc>
          <w:tcPr>
            <w:tcW w:w="918" w:type="dxa"/>
          </w:tcPr>
          <w:p w14:paraId="5C949A9C">
            <w:pPr>
              <w:spacing w:line="320" w:lineRule="exact"/>
              <w:ind w:firstLine="0" w:firstLineChars="0"/>
              <w:jc w:val="center"/>
              <w:rPr>
                <w:rFonts w:cs="Times New Roman"/>
                <w:sz w:val="21"/>
                <w:szCs w:val="21"/>
              </w:rPr>
            </w:pPr>
            <w:r>
              <w:rPr>
                <w:rFonts w:cs="Times New Roman"/>
                <w:sz w:val="21"/>
                <w:szCs w:val="21"/>
              </w:rPr>
              <w:t>28</w:t>
            </w:r>
          </w:p>
        </w:tc>
        <w:tc>
          <w:tcPr>
            <w:tcW w:w="918" w:type="dxa"/>
          </w:tcPr>
          <w:p w14:paraId="40AA2325">
            <w:pPr>
              <w:spacing w:line="320" w:lineRule="exact"/>
              <w:ind w:firstLine="0" w:firstLineChars="0"/>
              <w:jc w:val="center"/>
              <w:rPr>
                <w:rFonts w:cs="Times New Roman"/>
                <w:sz w:val="21"/>
                <w:szCs w:val="21"/>
              </w:rPr>
            </w:pPr>
            <w:r>
              <w:rPr>
                <w:rFonts w:cs="Times New Roman"/>
                <w:sz w:val="21"/>
                <w:szCs w:val="21"/>
              </w:rPr>
              <w:t>0.64</w:t>
            </w:r>
          </w:p>
        </w:tc>
        <w:tc>
          <w:tcPr>
            <w:tcW w:w="918" w:type="dxa"/>
          </w:tcPr>
          <w:p w14:paraId="569CE43C">
            <w:pPr>
              <w:spacing w:line="320" w:lineRule="exact"/>
              <w:ind w:firstLine="0" w:firstLineChars="0"/>
              <w:jc w:val="center"/>
              <w:rPr>
                <w:rFonts w:cs="Times New Roman"/>
                <w:sz w:val="21"/>
                <w:szCs w:val="21"/>
              </w:rPr>
            </w:pPr>
            <w:r>
              <w:rPr>
                <w:rFonts w:cs="Times New Roman"/>
                <w:sz w:val="21"/>
                <w:szCs w:val="21"/>
              </w:rPr>
              <w:t>9</w:t>
            </w:r>
          </w:p>
        </w:tc>
        <w:tc>
          <w:tcPr>
            <w:tcW w:w="1141" w:type="dxa"/>
          </w:tcPr>
          <w:p w14:paraId="4BF4F29F">
            <w:pPr>
              <w:spacing w:line="320" w:lineRule="exact"/>
              <w:ind w:firstLine="0" w:firstLineChars="0"/>
              <w:jc w:val="center"/>
              <w:rPr>
                <w:rFonts w:cs="Times New Roman"/>
                <w:sz w:val="21"/>
                <w:szCs w:val="21"/>
              </w:rPr>
            </w:pPr>
            <w:r>
              <w:rPr>
                <w:rFonts w:cs="Times New Roman"/>
                <w:sz w:val="21"/>
                <w:szCs w:val="21"/>
              </w:rPr>
              <w:t>2.37</w:t>
            </w:r>
          </w:p>
        </w:tc>
        <w:tc>
          <w:tcPr>
            <w:tcW w:w="1057" w:type="dxa"/>
          </w:tcPr>
          <w:p w14:paraId="498A535E">
            <w:pPr>
              <w:spacing w:line="320" w:lineRule="exact"/>
              <w:ind w:firstLine="0" w:firstLineChars="0"/>
              <w:jc w:val="center"/>
              <w:rPr>
                <w:rFonts w:cs="Times New Roman"/>
                <w:sz w:val="21"/>
                <w:szCs w:val="21"/>
              </w:rPr>
            </w:pPr>
            <w:r>
              <w:rPr>
                <w:rFonts w:cs="Times New Roman"/>
                <w:sz w:val="21"/>
                <w:szCs w:val="21"/>
              </w:rPr>
              <w:t>1.42</w:t>
            </w:r>
          </w:p>
        </w:tc>
        <w:tc>
          <w:tcPr>
            <w:tcW w:w="918" w:type="dxa"/>
          </w:tcPr>
          <w:p w14:paraId="6DB9E213">
            <w:pPr>
              <w:spacing w:line="320" w:lineRule="exact"/>
              <w:ind w:firstLine="0" w:firstLineChars="0"/>
              <w:jc w:val="center"/>
              <w:rPr>
                <w:rFonts w:cs="Times New Roman"/>
                <w:sz w:val="21"/>
                <w:szCs w:val="21"/>
              </w:rPr>
            </w:pPr>
            <w:r>
              <w:rPr>
                <w:rFonts w:cs="Times New Roman"/>
                <w:sz w:val="21"/>
                <w:szCs w:val="21"/>
              </w:rPr>
              <w:t>1.07</w:t>
            </w:r>
          </w:p>
        </w:tc>
        <w:tc>
          <w:tcPr>
            <w:tcW w:w="695" w:type="dxa"/>
          </w:tcPr>
          <w:p w14:paraId="52B5826A">
            <w:pPr>
              <w:spacing w:line="320" w:lineRule="exact"/>
              <w:ind w:firstLine="0" w:firstLineChars="0"/>
              <w:jc w:val="center"/>
              <w:rPr>
                <w:rFonts w:cs="Times New Roman"/>
                <w:sz w:val="21"/>
                <w:szCs w:val="21"/>
              </w:rPr>
            </w:pPr>
            <w:r>
              <w:rPr>
                <w:rFonts w:cs="Times New Roman"/>
                <w:sz w:val="21"/>
                <w:szCs w:val="21"/>
              </w:rPr>
              <w:t>23</w:t>
            </w:r>
          </w:p>
        </w:tc>
        <w:tc>
          <w:tcPr>
            <w:tcW w:w="788" w:type="dxa"/>
          </w:tcPr>
          <w:p w14:paraId="603E8549">
            <w:pPr>
              <w:spacing w:line="320" w:lineRule="exact"/>
              <w:ind w:firstLine="0" w:firstLineChars="0"/>
              <w:jc w:val="center"/>
              <w:rPr>
                <w:rFonts w:cs="Times New Roman"/>
                <w:sz w:val="21"/>
                <w:szCs w:val="21"/>
              </w:rPr>
            </w:pPr>
            <w:r>
              <w:rPr>
                <w:rFonts w:cs="Times New Roman"/>
                <w:sz w:val="21"/>
                <w:szCs w:val="21"/>
              </w:rPr>
              <w:t>16</w:t>
            </w:r>
          </w:p>
        </w:tc>
        <w:tc>
          <w:tcPr>
            <w:tcW w:w="1325" w:type="dxa"/>
          </w:tcPr>
          <w:p w14:paraId="6A28E0F3">
            <w:pPr>
              <w:spacing w:line="320" w:lineRule="exact"/>
              <w:ind w:firstLine="0" w:firstLineChars="0"/>
              <w:jc w:val="center"/>
              <w:rPr>
                <w:rFonts w:cs="Times New Roman"/>
                <w:sz w:val="21"/>
                <w:szCs w:val="21"/>
              </w:rPr>
            </w:pPr>
            <w:r>
              <w:rPr>
                <w:rFonts w:cs="Times New Roman"/>
                <w:sz w:val="21"/>
                <w:szCs w:val="21"/>
              </w:rPr>
              <w:t>6</w:t>
            </w:r>
          </w:p>
        </w:tc>
      </w:tr>
      <w:tr w14:paraId="7627A4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0" w:hRule="atLeast"/>
        </w:trPr>
        <w:tc>
          <w:tcPr>
            <w:tcW w:w="844" w:type="dxa"/>
            <w:vAlign w:val="center"/>
          </w:tcPr>
          <w:p w14:paraId="073B1C62">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平均值</w:t>
            </w:r>
          </w:p>
        </w:tc>
        <w:tc>
          <w:tcPr>
            <w:tcW w:w="918" w:type="dxa"/>
          </w:tcPr>
          <w:p w14:paraId="05C02549">
            <w:pPr>
              <w:spacing w:line="320" w:lineRule="exact"/>
              <w:ind w:firstLine="0" w:firstLineChars="0"/>
              <w:jc w:val="center"/>
              <w:rPr>
                <w:rFonts w:cs="Times New Roman"/>
                <w:sz w:val="21"/>
                <w:szCs w:val="21"/>
              </w:rPr>
            </w:pPr>
            <w:r>
              <w:rPr>
                <w:rFonts w:cs="Times New Roman"/>
                <w:sz w:val="21"/>
                <w:szCs w:val="21"/>
              </w:rPr>
              <w:t>50</w:t>
            </w:r>
          </w:p>
        </w:tc>
        <w:tc>
          <w:tcPr>
            <w:tcW w:w="918" w:type="dxa"/>
          </w:tcPr>
          <w:p w14:paraId="3FEF4B76">
            <w:pPr>
              <w:spacing w:line="320" w:lineRule="exact"/>
              <w:ind w:firstLine="0" w:firstLineChars="0"/>
              <w:jc w:val="center"/>
              <w:rPr>
                <w:rFonts w:cs="Times New Roman"/>
                <w:sz w:val="21"/>
                <w:szCs w:val="21"/>
              </w:rPr>
            </w:pPr>
            <w:r>
              <w:rPr>
                <w:rFonts w:cs="Times New Roman"/>
                <w:sz w:val="21"/>
                <w:szCs w:val="21"/>
              </w:rPr>
              <w:t>1.09</w:t>
            </w:r>
          </w:p>
        </w:tc>
        <w:tc>
          <w:tcPr>
            <w:tcW w:w="918" w:type="dxa"/>
          </w:tcPr>
          <w:p w14:paraId="0D863DC0">
            <w:pPr>
              <w:spacing w:line="320" w:lineRule="exact"/>
              <w:ind w:firstLine="0" w:firstLineChars="0"/>
              <w:jc w:val="center"/>
              <w:rPr>
                <w:rFonts w:cs="Times New Roman"/>
                <w:sz w:val="21"/>
                <w:szCs w:val="21"/>
              </w:rPr>
            </w:pPr>
            <w:r>
              <w:rPr>
                <w:rFonts w:cs="Times New Roman"/>
                <w:sz w:val="21"/>
                <w:szCs w:val="21"/>
              </w:rPr>
              <w:t>20</w:t>
            </w:r>
          </w:p>
        </w:tc>
        <w:tc>
          <w:tcPr>
            <w:tcW w:w="1141" w:type="dxa"/>
          </w:tcPr>
          <w:p w14:paraId="70B8F1B3">
            <w:pPr>
              <w:spacing w:line="320" w:lineRule="exact"/>
              <w:ind w:firstLine="0" w:firstLineChars="0"/>
              <w:jc w:val="center"/>
              <w:rPr>
                <w:rFonts w:cs="Times New Roman"/>
                <w:sz w:val="21"/>
                <w:szCs w:val="21"/>
              </w:rPr>
            </w:pPr>
            <w:r>
              <w:rPr>
                <w:rFonts w:cs="Times New Roman"/>
                <w:sz w:val="21"/>
                <w:szCs w:val="21"/>
              </w:rPr>
              <w:t>2.79</w:t>
            </w:r>
          </w:p>
        </w:tc>
        <w:tc>
          <w:tcPr>
            <w:tcW w:w="1057" w:type="dxa"/>
          </w:tcPr>
          <w:p w14:paraId="72D93D00">
            <w:pPr>
              <w:spacing w:line="320" w:lineRule="exact"/>
              <w:ind w:firstLine="0" w:firstLineChars="0"/>
              <w:jc w:val="center"/>
              <w:rPr>
                <w:rFonts w:cs="Times New Roman"/>
                <w:sz w:val="21"/>
                <w:szCs w:val="21"/>
              </w:rPr>
            </w:pPr>
            <w:r>
              <w:rPr>
                <w:rFonts w:cs="Times New Roman"/>
                <w:sz w:val="21"/>
                <w:szCs w:val="21"/>
              </w:rPr>
              <w:t>1.58</w:t>
            </w:r>
          </w:p>
        </w:tc>
        <w:tc>
          <w:tcPr>
            <w:tcW w:w="918" w:type="dxa"/>
          </w:tcPr>
          <w:p w14:paraId="475322D0">
            <w:pPr>
              <w:spacing w:line="320" w:lineRule="exact"/>
              <w:ind w:firstLine="0" w:firstLineChars="0"/>
              <w:jc w:val="center"/>
              <w:rPr>
                <w:rFonts w:cs="Times New Roman"/>
                <w:sz w:val="21"/>
                <w:szCs w:val="21"/>
              </w:rPr>
            </w:pPr>
            <w:r>
              <w:rPr>
                <w:rFonts w:cs="Times New Roman"/>
                <w:sz w:val="21"/>
                <w:szCs w:val="21"/>
              </w:rPr>
              <w:t>1.32</w:t>
            </w:r>
          </w:p>
        </w:tc>
        <w:tc>
          <w:tcPr>
            <w:tcW w:w="695" w:type="dxa"/>
          </w:tcPr>
          <w:p w14:paraId="0A245240">
            <w:pPr>
              <w:spacing w:line="320" w:lineRule="exact"/>
              <w:ind w:firstLine="0" w:firstLineChars="0"/>
              <w:jc w:val="center"/>
              <w:rPr>
                <w:rFonts w:cs="Times New Roman"/>
                <w:sz w:val="21"/>
                <w:szCs w:val="21"/>
              </w:rPr>
            </w:pPr>
            <w:r>
              <w:rPr>
                <w:rFonts w:cs="Times New Roman"/>
                <w:sz w:val="21"/>
                <w:szCs w:val="21"/>
              </w:rPr>
              <w:t>28</w:t>
            </w:r>
          </w:p>
        </w:tc>
        <w:tc>
          <w:tcPr>
            <w:tcW w:w="788" w:type="dxa"/>
          </w:tcPr>
          <w:p w14:paraId="784417D9">
            <w:pPr>
              <w:spacing w:line="320" w:lineRule="exact"/>
              <w:ind w:firstLine="0" w:firstLineChars="0"/>
              <w:jc w:val="center"/>
              <w:rPr>
                <w:rFonts w:cs="Times New Roman"/>
                <w:sz w:val="21"/>
                <w:szCs w:val="21"/>
              </w:rPr>
            </w:pPr>
            <w:r>
              <w:rPr>
                <w:rFonts w:cs="Times New Roman"/>
                <w:sz w:val="21"/>
                <w:szCs w:val="21"/>
              </w:rPr>
              <w:t>19</w:t>
            </w:r>
          </w:p>
        </w:tc>
        <w:tc>
          <w:tcPr>
            <w:tcW w:w="1325" w:type="dxa"/>
          </w:tcPr>
          <w:p w14:paraId="028B6266">
            <w:pPr>
              <w:spacing w:line="320" w:lineRule="exact"/>
              <w:ind w:firstLine="0" w:firstLineChars="0"/>
              <w:jc w:val="center"/>
              <w:rPr>
                <w:rFonts w:cs="Times New Roman"/>
                <w:sz w:val="21"/>
                <w:szCs w:val="21"/>
              </w:rPr>
            </w:pPr>
            <w:r>
              <w:rPr>
                <w:rFonts w:cs="Times New Roman"/>
                <w:sz w:val="21"/>
                <w:szCs w:val="21"/>
              </w:rPr>
              <w:t>9</w:t>
            </w:r>
          </w:p>
        </w:tc>
      </w:tr>
    </w:tbl>
    <w:p w14:paraId="1B8267FA">
      <w:pPr>
        <w:ind w:firstLine="560"/>
        <w:rPr>
          <w:rFonts w:cs="Times New Roman"/>
          <w:bCs/>
        </w:rPr>
      </w:pPr>
      <w:r>
        <w:rPr>
          <w:rFonts w:hint="eastAsia" w:cs="Times New Roman"/>
          <w:bCs/>
        </w:rPr>
        <w:t>（</w:t>
      </w:r>
      <w:r>
        <w:rPr>
          <w:rFonts w:cs="Times New Roman"/>
          <w:bCs/>
        </w:rPr>
        <w:t>3）堆积磷石膏的力学性质</w:t>
      </w:r>
    </w:p>
    <w:p w14:paraId="24274C46">
      <w:pPr>
        <w:ind w:firstLine="694" w:firstLineChars="248"/>
        <w:rPr>
          <w:rFonts w:cs="Times New Roman"/>
          <w:sz w:val="24"/>
          <w:szCs w:val="24"/>
        </w:rPr>
      </w:pPr>
      <w:r>
        <w:rPr>
          <w:rFonts w:hint="eastAsia" w:cs="Times New Roman"/>
        </w:rPr>
        <w:t>2</w:t>
      </w:r>
      <w:r>
        <w:rPr>
          <w:rFonts w:cs="Times New Roman"/>
        </w:rPr>
        <w:t>021</w:t>
      </w:r>
      <w:r>
        <w:rPr>
          <w:rFonts w:hint="eastAsia" w:cs="Times New Roman"/>
        </w:rPr>
        <w:t>年稳定性校核</w:t>
      </w:r>
      <w:r>
        <w:rPr>
          <w:rFonts w:cs="Times New Roman"/>
        </w:rPr>
        <w:t>勘察</w:t>
      </w:r>
      <w:r>
        <w:rPr>
          <w:rFonts w:hint="eastAsia" w:cs="Times New Roman"/>
        </w:rPr>
        <w:t>时</w:t>
      </w:r>
      <w:r>
        <w:rPr>
          <w:rFonts w:cs="Times New Roman"/>
        </w:rPr>
        <w:t>对磷石膏样品做了3件三轴</w:t>
      </w:r>
      <w:r>
        <w:rPr>
          <w:rFonts w:hint="eastAsia" w:cs="Times New Roman"/>
        </w:rPr>
        <w:t>（C</w:t>
      </w:r>
      <w:r>
        <w:rPr>
          <w:rFonts w:cs="Times New Roman"/>
        </w:rPr>
        <w:t>U</w:t>
      </w:r>
      <w:r>
        <w:rPr>
          <w:rFonts w:hint="eastAsia" w:cs="Times New Roman"/>
        </w:rPr>
        <w:t>）</w:t>
      </w:r>
      <w:r>
        <w:rPr>
          <w:rFonts w:cs="Times New Roman"/>
        </w:rPr>
        <w:t>试验，对29件磷石膏原状样做了常规力学试验，</w:t>
      </w:r>
      <w:r>
        <w:rPr>
          <w:rFonts w:hint="eastAsia" w:cs="Times New Roman"/>
        </w:rPr>
        <w:t>现场进行了6组剪切试验；本次补充勘察对6件磷石膏原状样进行了室内常规力学试验。</w:t>
      </w:r>
      <w:r>
        <w:rPr>
          <w:rFonts w:cs="Times New Roman"/>
        </w:rPr>
        <w:t>对</w:t>
      </w:r>
      <w:r>
        <w:rPr>
          <w:rFonts w:hint="eastAsia" w:cs="Times New Roman"/>
        </w:rPr>
        <w:t>2次</w:t>
      </w:r>
      <w:r>
        <w:rPr>
          <w:rFonts w:cs="Times New Roman"/>
        </w:rPr>
        <w:t>试验结果进行</w:t>
      </w:r>
      <w:r>
        <w:rPr>
          <w:rFonts w:hint="eastAsia" w:cs="Times New Roman"/>
        </w:rPr>
        <w:t>综合</w:t>
      </w:r>
      <w:r>
        <w:rPr>
          <w:rFonts w:cs="Times New Roman"/>
        </w:rPr>
        <w:t>统计，其统计结果为：</w:t>
      </w:r>
    </w:p>
    <w:p w14:paraId="4E743F5A">
      <w:pPr>
        <w:ind w:firstLine="480"/>
        <w:jc w:val="center"/>
        <w:rPr>
          <w:rFonts w:cs="Times New Roman"/>
          <w:sz w:val="24"/>
          <w:szCs w:val="24"/>
        </w:rPr>
      </w:pPr>
      <w:r>
        <w:rPr>
          <w:rFonts w:cs="Times New Roman"/>
          <w:sz w:val="24"/>
          <w:szCs w:val="24"/>
        </w:rPr>
        <w:t>表</w:t>
      </w:r>
      <w:r>
        <w:rPr>
          <w:rFonts w:hint="eastAsia" w:cs="Times New Roman"/>
          <w:sz w:val="24"/>
          <w:szCs w:val="24"/>
        </w:rPr>
        <w:t>2.3-4</w:t>
      </w:r>
      <w:r>
        <w:rPr>
          <w:rFonts w:cs="Times New Roman"/>
          <w:sz w:val="24"/>
          <w:szCs w:val="24"/>
        </w:rPr>
        <w:t xml:space="preserve"> 堆积磷石膏原状样力学试验成果统计表</w:t>
      </w:r>
    </w:p>
    <w:tbl>
      <w:tblPr>
        <w:tblStyle w:val="33"/>
        <w:tblW w:w="951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990"/>
        <w:gridCol w:w="650"/>
        <w:gridCol w:w="705"/>
        <w:gridCol w:w="705"/>
        <w:gridCol w:w="706"/>
        <w:gridCol w:w="744"/>
        <w:gridCol w:w="706"/>
        <w:gridCol w:w="744"/>
        <w:gridCol w:w="706"/>
        <w:gridCol w:w="744"/>
        <w:gridCol w:w="705"/>
        <w:gridCol w:w="705"/>
        <w:gridCol w:w="708"/>
      </w:tblGrid>
      <w:tr w14:paraId="72F59F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17" w:hRule="atLeast"/>
          <w:jc w:val="center"/>
        </w:trPr>
        <w:tc>
          <w:tcPr>
            <w:tcW w:w="990" w:type="dxa"/>
            <w:vMerge w:val="restart"/>
            <w:vAlign w:val="center"/>
          </w:tcPr>
          <w:p w14:paraId="4A13A856">
            <w:pPr>
              <w:widowControl/>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统计</w:t>
            </w:r>
          </w:p>
          <w:p w14:paraId="3253354D">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项目</w:t>
            </w:r>
          </w:p>
        </w:tc>
        <w:tc>
          <w:tcPr>
            <w:tcW w:w="2766" w:type="dxa"/>
            <w:gridSpan w:val="4"/>
            <w:vAlign w:val="center"/>
          </w:tcPr>
          <w:p w14:paraId="0E2E657A">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压缩性</w:t>
            </w:r>
          </w:p>
        </w:tc>
        <w:tc>
          <w:tcPr>
            <w:tcW w:w="1450" w:type="dxa"/>
            <w:gridSpan w:val="2"/>
            <w:vAlign w:val="center"/>
          </w:tcPr>
          <w:p w14:paraId="334F9646">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直接快剪</w:t>
            </w:r>
          </w:p>
        </w:tc>
        <w:tc>
          <w:tcPr>
            <w:tcW w:w="1450" w:type="dxa"/>
            <w:gridSpan w:val="2"/>
            <w:vAlign w:val="center"/>
          </w:tcPr>
          <w:p w14:paraId="2BDEF13C">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浸水快剪</w:t>
            </w:r>
          </w:p>
        </w:tc>
        <w:tc>
          <w:tcPr>
            <w:tcW w:w="2862" w:type="dxa"/>
            <w:gridSpan w:val="4"/>
            <w:vAlign w:val="center"/>
          </w:tcPr>
          <w:p w14:paraId="53D04E88">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三轴剪切CU</w:t>
            </w:r>
          </w:p>
        </w:tc>
      </w:tr>
      <w:tr w14:paraId="4B2C80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43" w:hRule="atLeast"/>
          <w:jc w:val="center"/>
        </w:trPr>
        <w:tc>
          <w:tcPr>
            <w:tcW w:w="990" w:type="dxa"/>
            <w:vMerge w:val="continue"/>
            <w:vAlign w:val="center"/>
          </w:tcPr>
          <w:p w14:paraId="1A1595F1">
            <w:pPr>
              <w:adjustRightInd w:val="0"/>
              <w:snapToGrid w:val="0"/>
              <w:spacing w:line="320" w:lineRule="exact"/>
              <w:ind w:firstLine="0" w:firstLineChars="0"/>
              <w:jc w:val="center"/>
              <w:rPr>
                <w:rFonts w:cs="Times New Roman"/>
                <w:snapToGrid w:val="0"/>
                <w:spacing w:val="-10"/>
                <w:kern w:val="0"/>
                <w:sz w:val="21"/>
                <w:szCs w:val="21"/>
              </w:rPr>
            </w:pPr>
          </w:p>
        </w:tc>
        <w:tc>
          <w:tcPr>
            <w:tcW w:w="650" w:type="dxa"/>
            <w:vAlign w:val="center"/>
          </w:tcPr>
          <w:p w14:paraId="49C7DC66">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压缩</w:t>
            </w:r>
          </w:p>
          <w:p w14:paraId="4978F375">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系数</w:t>
            </w:r>
          </w:p>
          <w:p w14:paraId="0B4289F1">
            <w:pPr>
              <w:widowControl/>
              <w:adjustRightInd w:val="0"/>
              <w:snapToGrid w:val="0"/>
              <w:spacing w:line="320" w:lineRule="exact"/>
              <w:ind w:firstLine="0" w:firstLineChars="0"/>
              <w:jc w:val="center"/>
              <w:rPr>
                <w:rFonts w:cs="Times New Roman"/>
                <w:snapToGrid w:val="0"/>
                <w:kern w:val="0"/>
                <w:sz w:val="21"/>
                <w:szCs w:val="21"/>
              </w:rPr>
            </w:pPr>
            <w:r>
              <w:rPr>
                <w:rFonts w:cs="Times New Roman"/>
                <w:i/>
                <w:snapToGrid w:val="0"/>
                <w:kern w:val="0"/>
                <w:sz w:val="21"/>
                <w:szCs w:val="21"/>
              </w:rPr>
              <w:t>a</w:t>
            </w:r>
            <w:r>
              <w:rPr>
                <w:rFonts w:cs="Times New Roman"/>
                <w:i/>
                <w:snapToGrid w:val="0"/>
                <w:kern w:val="0"/>
                <w:sz w:val="21"/>
                <w:szCs w:val="21"/>
                <w:vertAlign w:val="subscript"/>
              </w:rPr>
              <w:t>v</w:t>
            </w:r>
            <w:r>
              <w:rPr>
                <w:rFonts w:cs="Times New Roman"/>
                <w:snapToGrid w:val="0"/>
                <w:kern w:val="0"/>
                <w:sz w:val="21"/>
                <w:szCs w:val="21"/>
                <w:vertAlign w:val="subscript"/>
              </w:rPr>
              <w:t>1-2</w:t>
            </w:r>
          </w:p>
        </w:tc>
        <w:tc>
          <w:tcPr>
            <w:tcW w:w="705" w:type="dxa"/>
            <w:vAlign w:val="center"/>
          </w:tcPr>
          <w:p w14:paraId="101156B6">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压缩</w:t>
            </w:r>
          </w:p>
          <w:p w14:paraId="4B0CE9F7">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模量</w:t>
            </w:r>
          </w:p>
          <w:p w14:paraId="779F9556">
            <w:pPr>
              <w:widowControl/>
              <w:adjustRightInd w:val="0"/>
              <w:snapToGrid w:val="0"/>
              <w:spacing w:line="320" w:lineRule="exact"/>
              <w:ind w:firstLine="0" w:firstLineChars="0"/>
              <w:jc w:val="center"/>
              <w:rPr>
                <w:rFonts w:cs="Times New Roman"/>
                <w:snapToGrid w:val="0"/>
                <w:kern w:val="0"/>
                <w:sz w:val="21"/>
                <w:szCs w:val="21"/>
              </w:rPr>
            </w:pPr>
            <w:r>
              <w:rPr>
                <w:rFonts w:cs="Times New Roman"/>
                <w:i/>
                <w:snapToGrid w:val="0"/>
                <w:kern w:val="0"/>
                <w:sz w:val="21"/>
                <w:szCs w:val="21"/>
              </w:rPr>
              <w:t>Es</w:t>
            </w:r>
            <w:r>
              <w:rPr>
                <w:rFonts w:cs="Times New Roman"/>
                <w:snapToGrid w:val="0"/>
                <w:kern w:val="0"/>
                <w:sz w:val="21"/>
                <w:szCs w:val="21"/>
                <w:vertAlign w:val="subscript"/>
              </w:rPr>
              <w:t>1-2</w:t>
            </w:r>
          </w:p>
        </w:tc>
        <w:tc>
          <w:tcPr>
            <w:tcW w:w="705" w:type="dxa"/>
            <w:vAlign w:val="center"/>
          </w:tcPr>
          <w:p w14:paraId="5C9A0A60">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压缩</w:t>
            </w:r>
          </w:p>
          <w:p w14:paraId="6AA02D8F">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系数</w:t>
            </w:r>
          </w:p>
          <w:p w14:paraId="6A5566D1">
            <w:pPr>
              <w:widowControl/>
              <w:adjustRightInd w:val="0"/>
              <w:snapToGrid w:val="0"/>
              <w:spacing w:line="320" w:lineRule="exact"/>
              <w:ind w:firstLine="0" w:firstLineChars="0"/>
              <w:jc w:val="center"/>
              <w:rPr>
                <w:rFonts w:cs="Times New Roman"/>
                <w:snapToGrid w:val="0"/>
                <w:kern w:val="0"/>
                <w:sz w:val="21"/>
                <w:szCs w:val="21"/>
              </w:rPr>
            </w:pPr>
            <w:r>
              <w:rPr>
                <w:rFonts w:cs="Times New Roman"/>
                <w:i/>
                <w:snapToGrid w:val="0"/>
                <w:kern w:val="0"/>
                <w:sz w:val="21"/>
                <w:szCs w:val="21"/>
              </w:rPr>
              <w:t>a</w:t>
            </w:r>
            <w:r>
              <w:rPr>
                <w:rFonts w:cs="Times New Roman"/>
                <w:i/>
                <w:snapToGrid w:val="0"/>
                <w:kern w:val="0"/>
                <w:sz w:val="21"/>
                <w:szCs w:val="21"/>
                <w:vertAlign w:val="subscript"/>
              </w:rPr>
              <w:t>v</w:t>
            </w:r>
            <w:r>
              <w:rPr>
                <w:rFonts w:cs="Times New Roman"/>
                <w:snapToGrid w:val="0"/>
                <w:kern w:val="0"/>
                <w:sz w:val="21"/>
                <w:szCs w:val="21"/>
                <w:vertAlign w:val="subscript"/>
              </w:rPr>
              <w:t>3-4</w:t>
            </w:r>
          </w:p>
        </w:tc>
        <w:tc>
          <w:tcPr>
            <w:tcW w:w="706" w:type="dxa"/>
            <w:vAlign w:val="center"/>
          </w:tcPr>
          <w:p w14:paraId="6C8F8B53">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压缩</w:t>
            </w:r>
          </w:p>
          <w:p w14:paraId="5E237556">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模量</w:t>
            </w:r>
          </w:p>
          <w:p w14:paraId="70AF282B">
            <w:pPr>
              <w:widowControl/>
              <w:adjustRightInd w:val="0"/>
              <w:snapToGrid w:val="0"/>
              <w:spacing w:line="320" w:lineRule="exact"/>
              <w:ind w:firstLine="0" w:firstLineChars="0"/>
              <w:jc w:val="center"/>
              <w:rPr>
                <w:rFonts w:cs="Times New Roman"/>
                <w:snapToGrid w:val="0"/>
                <w:kern w:val="0"/>
                <w:sz w:val="21"/>
                <w:szCs w:val="21"/>
              </w:rPr>
            </w:pPr>
            <w:r>
              <w:rPr>
                <w:rFonts w:cs="Times New Roman"/>
                <w:i/>
                <w:snapToGrid w:val="0"/>
                <w:kern w:val="0"/>
                <w:sz w:val="21"/>
                <w:szCs w:val="21"/>
              </w:rPr>
              <w:t>Es</w:t>
            </w:r>
            <w:r>
              <w:rPr>
                <w:rFonts w:cs="Times New Roman"/>
                <w:snapToGrid w:val="0"/>
                <w:kern w:val="0"/>
                <w:sz w:val="21"/>
                <w:szCs w:val="21"/>
                <w:vertAlign w:val="subscript"/>
              </w:rPr>
              <w:t>3-4</w:t>
            </w:r>
          </w:p>
        </w:tc>
        <w:tc>
          <w:tcPr>
            <w:tcW w:w="744" w:type="dxa"/>
            <w:vAlign w:val="center"/>
          </w:tcPr>
          <w:p w14:paraId="78357924">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粘聚</w:t>
            </w:r>
          </w:p>
          <w:p w14:paraId="174E4A4A">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力</w:t>
            </w:r>
          </w:p>
          <w:p w14:paraId="2C5FEF81">
            <w:pPr>
              <w:widowControl/>
              <w:adjustRightInd w:val="0"/>
              <w:snapToGrid w:val="0"/>
              <w:spacing w:line="320" w:lineRule="exact"/>
              <w:ind w:firstLine="0" w:firstLineChars="0"/>
              <w:jc w:val="center"/>
              <w:rPr>
                <w:rFonts w:cs="Times New Roman"/>
                <w:i/>
                <w:snapToGrid w:val="0"/>
                <w:kern w:val="0"/>
                <w:sz w:val="21"/>
                <w:szCs w:val="21"/>
              </w:rPr>
            </w:pPr>
            <w:r>
              <w:rPr>
                <w:rFonts w:cs="Times New Roman"/>
                <w:i/>
                <w:snapToGrid w:val="0"/>
                <w:kern w:val="0"/>
                <w:sz w:val="21"/>
                <w:szCs w:val="21"/>
              </w:rPr>
              <w:t>c</w:t>
            </w:r>
          </w:p>
        </w:tc>
        <w:tc>
          <w:tcPr>
            <w:tcW w:w="706" w:type="dxa"/>
            <w:vAlign w:val="center"/>
          </w:tcPr>
          <w:p w14:paraId="5EC86195">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摩擦</w:t>
            </w:r>
          </w:p>
          <w:p w14:paraId="4EC72981">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角</w:t>
            </w:r>
          </w:p>
          <w:p w14:paraId="30D1CD0E">
            <w:pPr>
              <w:widowControl/>
              <w:adjustRightInd w:val="0"/>
              <w:snapToGrid w:val="0"/>
              <w:spacing w:line="320" w:lineRule="exact"/>
              <w:ind w:firstLine="0" w:firstLineChars="0"/>
              <w:jc w:val="center"/>
              <w:rPr>
                <w:rFonts w:cs="Times New Roman"/>
                <w:i/>
                <w:snapToGrid w:val="0"/>
                <w:kern w:val="0"/>
                <w:sz w:val="21"/>
                <w:szCs w:val="21"/>
              </w:rPr>
            </w:pPr>
            <w:r>
              <w:rPr>
                <w:rFonts w:cs="Times New Roman"/>
                <w:i/>
                <w:snapToGrid w:val="0"/>
                <w:kern w:val="0"/>
                <w:sz w:val="21"/>
                <w:szCs w:val="21"/>
              </w:rPr>
              <w:t>Φ</w:t>
            </w:r>
          </w:p>
        </w:tc>
        <w:tc>
          <w:tcPr>
            <w:tcW w:w="744" w:type="dxa"/>
            <w:vAlign w:val="center"/>
          </w:tcPr>
          <w:p w14:paraId="41E6B8A2">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粘聚</w:t>
            </w:r>
          </w:p>
          <w:p w14:paraId="03F680E9">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力</w:t>
            </w:r>
          </w:p>
          <w:p w14:paraId="0AB8119C">
            <w:pPr>
              <w:widowControl/>
              <w:adjustRightInd w:val="0"/>
              <w:snapToGrid w:val="0"/>
              <w:spacing w:line="320" w:lineRule="exact"/>
              <w:ind w:firstLine="0" w:firstLineChars="0"/>
              <w:jc w:val="center"/>
              <w:rPr>
                <w:rFonts w:cs="Times New Roman"/>
                <w:i/>
                <w:snapToGrid w:val="0"/>
                <w:kern w:val="0"/>
                <w:sz w:val="21"/>
                <w:szCs w:val="21"/>
              </w:rPr>
            </w:pPr>
            <w:r>
              <w:rPr>
                <w:rFonts w:cs="Times New Roman"/>
                <w:i/>
                <w:snapToGrid w:val="0"/>
                <w:kern w:val="0"/>
                <w:sz w:val="21"/>
                <w:szCs w:val="21"/>
              </w:rPr>
              <w:t>c</w:t>
            </w:r>
          </w:p>
        </w:tc>
        <w:tc>
          <w:tcPr>
            <w:tcW w:w="706" w:type="dxa"/>
            <w:vAlign w:val="center"/>
          </w:tcPr>
          <w:p w14:paraId="6B5DDDFF">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摩擦</w:t>
            </w:r>
          </w:p>
          <w:p w14:paraId="0A9C29B7">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角</w:t>
            </w:r>
          </w:p>
          <w:p w14:paraId="5EE61EDD">
            <w:pPr>
              <w:widowControl/>
              <w:adjustRightInd w:val="0"/>
              <w:snapToGrid w:val="0"/>
              <w:spacing w:line="320" w:lineRule="exact"/>
              <w:ind w:firstLine="0" w:firstLineChars="0"/>
              <w:jc w:val="center"/>
              <w:rPr>
                <w:rFonts w:cs="Times New Roman"/>
                <w:i/>
                <w:snapToGrid w:val="0"/>
                <w:kern w:val="0"/>
                <w:sz w:val="21"/>
                <w:szCs w:val="21"/>
              </w:rPr>
            </w:pPr>
            <w:r>
              <w:rPr>
                <w:rFonts w:cs="Times New Roman"/>
                <w:i/>
                <w:snapToGrid w:val="0"/>
                <w:kern w:val="0"/>
                <w:sz w:val="21"/>
                <w:szCs w:val="21"/>
              </w:rPr>
              <w:t>Φ</w:t>
            </w:r>
          </w:p>
        </w:tc>
        <w:tc>
          <w:tcPr>
            <w:tcW w:w="744" w:type="dxa"/>
            <w:vAlign w:val="center"/>
          </w:tcPr>
          <w:p w14:paraId="5DAF68EC">
            <w:pPr>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粘聚</w:t>
            </w:r>
          </w:p>
          <w:p w14:paraId="4C2ACC08">
            <w:pPr>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力</w:t>
            </w:r>
          </w:p>
          <w:p w14:paraId="652D0694">
            <w:pPr>
              <w:adjustRightInd w:val="0"/>
              <w:snapToGrid w:val="0"/>
              <w:spacing w:line="320" w:lineRule="exact"/>
              <w:ind w:firstLine="0" w:firstLineChars="0"/>
              <w:jc w:val="center"/>
              <w:rPr>
                <w:rFonts w:cs="Times New Roman"/>
                <w:i/>
                <w:snapToGrid w:val="0"/>
                <w:kern w:val="0"/>
                <w:sz w:val="21"/>
                <w:szCs w:val="21"/>
              </w:rPr>
            </w:pPr>
            <w:r>
              <w:rPr>
                <w:rFonts w:cs="Times New Roman"/>
                <w:i/>
                <w:snapToGrid w:val="0"/>
                <w:kern w:val="0"/>
                <w:sz w:val="21"/>
                <w:szCs w:val="21"/>
              </w:rPr>
              <w:t>c</w:t>
            </w:r>
            <w:r>
              <w:rPr>
                <w:rFonts w:cs="Times New Roman"/>
                <w:i/>
                <w:snapToGrid w:val="0"/>
                <w:kern w:val="0"/>
                <w:sz w:val="21"/>
                <w:szCs w:val="21"/>
                <w:vertAlign w:val="subscript"/>
              </w:rPr>
              <w:t>cu</w:t>
            </w:r>
          </w:p>
        </w:tc>
        <w:tc>
          <w:tcPr>
            <w:tcW w:w="705" w:type="dxa"/>
            <w:vAlign w:val="center"/>
          </w:tcPr>
          <w:p w14:paraId="57FFF441">
            <w:pPr>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摩擦</w:t>
            </w:r>
          </w:p>
          <w:p w14:paraId="27921F4D">
            <w:pPr>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角</w:t>
            </w:r>
          </w:p>
          <w:p w14:paraId="1D700113">
            <w:pPr>
              <w:adjustRightInd w:val="0"/>
              <w:snapToGrid w:val="0"/>
              <w:spacing w:line="320" w:lineRule="exact"/>
              <w:ind w:firstLine="0" w:firstLineChars="0"/>
              <w:jc w:val="center"/>
              <w:rPr>
                <w:rFonts w:cs="Times New Roman"/>
                <w:snapToGrid w:val="0"/>
                <w:kern w:val="0"/>
                <w:sz w:val="21"/>
                <w:szCs w:val="21"/>
              </w:rPr>
            </w:pPr>
            <w:r>
              <w:rPr>
                <w:rFonts w:cs="Times New Roman"/>
                <w:i/>
                <w:snapToGrid w:val="0"/>
                <w:kern w:val="0"/>
                <w:sz w:val="21"/>
                <w:szCs w:val="21"/>
              </w:rPr>
              <w:t>Φ</w:t>
            </w:r>
            <w:r>
              <w:rPr>
                <w:rFonts w:cs="Times New Roman"/>
                <w:i/>
                <w:snapToGrid w:val="0"/>
                <w:kern w:val="0"/>
                <w:sz w:val="21"/>
                <w:szCs w:val="21"/>
                <w:vertAlign w:val="subscript"/>
              </w:rPr>
              <w:t>cu</w:t>
            </w:r>
          </w:p>
        </w:tc>
        <w:tc>
          <w:tcPr>
            <w:tcW w:w="705" w:type="dxa"/>
            <w:vAlign w:val="center"/>
          </w:tcPr>
          <w:p w14:paraId="5086677C">
            <w:pPr>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粘聚</w:t>
            </w:r>
          </w:p>
          <w:p w14:paraId="6A41A969">
            <w:pPr>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力</w:t>
            </w:r>
          </w:p>
          <w:p w14:paraId="4B8D912A">
            <w:pPr>
              <w:adjustRightInd w:val="0"/>
              <w:snapToGrid w:val="0"/>
              <w:spacing w:line="320" w:lineRule="exact"/>
              <w:ind w:firstLine="0" w:firstLineChars="0"/>
              <w:jc w:val="center"/>
              <w:rPr>
                <w:rFonts w:cs="Times New Roman"/>
                <w:i/>
                <w:snapToGrid w:val="0"/>
                <w:kern w:val="0"/>
                <w:sz w:val="21"/>
                <w:szCs w:val="21"/>
              </w:rPr>
            </w:pPr>
            <w:r>
              <w:rPr>
                <w:rFonts w:cs="Times New Roman"/>
                <w:i/>
                <w:snapToGrid w:val="0"/>
                <w:kern w:val="0"/>
                <w:sz w:val="21"/>
                <w:szCs w:val="21"/>
              </w:rPr>
              <w:t>c'</w:t>
            </w:r>
          </w:p>
        </w:tc>
        <w:tc>
          <w:tcPr>
            <w:tcW w:w="708" w:type="dxa"/>
            <w:vAlign w:val="center"/>
          </w:tcPr>
          <w:p w14:paraId="1D71FA8C">
            <w:pPr>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摩擦</w:t>
            </w:r>
          </w:p>
          <w:p w14:paraId="21BF97D5">
            <w:pPr>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角</w:t>
            </w:r>
          </w:p>
          <w:p w14:paraId="69232ECA">
            <w:pPr>
              <w:adjustRightInd w:val="0"/>
              <w:snapToGrid w:val="0"/>
              <w:spacing w:line="320" w:lineRule="exact"/>
              <w:ind w:firstLine="0" w:firstLineChars="0"/>
              <w:jc w:val="center"/>
              <w:rPr>
                <w:rFonts w:cs="Times New Roman"/>
                <w:i/>
                <w:snapToGrid w:val="0"/>
                <w:kern w:val="0"/>
                <w:sz w:val="21"/>
                <w:szCs w:val="21"/>
              </w:rPr>
            </w:pPr>
            <w:r>
              <w:rPr>
                <w:rFonts w:cs="Times New Roman"/>
                <w:i/>
                <w:snapToGrid w:val="0"/>
                <w:kern w:val="0"/>
                <w:sz w:val="21"/>
                <w:szCs w:val="21"/>
              </w:rPr>
              <w:t>Φ'</w:t>
            </w:r>
          </w:p>
        </w:tc>
      </w:tr>
      <w:tr w14:paraId="0C712A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43" w:hRule="atLeast"/>
          <w:jc w:val="center"/>
        </w:trPr>
        <w:tc>
          <w:tcPr>
            <w:tcW w:w="990" w:type="dxa"/>
            <w:vMerge w:val="continue"/>
            <w:vAlign w:val="center"/>
          </w:tcPr>
          <w:p w14:paraId="2E90C8DC">
            <w:pPr>
              <w:adjustRightInd w:val="0"/>
              <w:snapToGrid w:val="0"/>
              <w:spacing w:line="320" w:lineRule="exact"/>
              <w:ind w:firstLine="0" w:firstLineChars="0"/>
              <w:jc w:val="center"/>
              <w:rPr>
                <w:rFonts w:cs="Times New Roman"/>
                <w:snapToGrid w:val="0"/>
                <w:spacing w:val="-10"/>
                <w:kern w:val="0"/>
                <w:sz w:val="21"/>
                <w:szCs w:val="21"/>
              </w:rPr>
            </w:pPr>
          </w:p>
        </w:tc>
        <w:tc>
          <w:tcPr>
            <w:tcW w:w="650" w:type="dxa"/>
            <w:vAlign w:val="center"/>
          </w:tcPr>
          <w:p w14:paraId="338F830B">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MPa</w:t>
            </w:r>
            <w:r>
              <w:rPr>
                <w:rFonts w:cs="Times New Roman"/>
                <w:snapToGrid w:val="0"/>
                <w:spacing w:val="-10"/>
                <w:kern w:val="0"/>
                <w:sz w:val="21"/>
                <w:szCs w:val="21"/>
                <w:vertAlign w:val="superscript"/>
              </w:rPr>
              <w:t>-1</w:t>
            </w:r>
          </w:p>
        </w:tc>
        <w:tc>
          <w:tcPr>
            <w:tcW w:w="705" w:type="dxa"/>
            <w:vAlign w:val="center"/>
          </w:tcPr>
          <w:p w14:paraId="4F9F6309">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MPa</w:t>
            </w:r>
          </w:p>
        </w:tc>
        <w:tc>
          <w:tcPr>
            <w:tcW w:w="705" w:type="dxa"/>
            <w:vAlign w:val="center"/>
          </w:tcPr>
          <w:p w14:paraId="56292E2E">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MPa</w:t>
            </w:r>
            <w:r>
              <w:rPr>
                <w:rFonts w:cs="Times New Roman"/>
                <w:snapToGrid w:val="0"/>
                <w:spacing w:val="-10"/>
                <w:kern w:val="0"/>
                <w:sz w:val="21"/>
                <w:szCs w:val="21"/>
                <w:vertAlign w:val="superscript"/>
              </w:rPr>
              <w:t>-1</w:t>
            </w:r>
          </w:p>
        </w:tc>
        <w:tc>
          <w:tcPr>
            <w:tcW w:w="706" w:type="dxa"/>
            <w:vAlign w:val="center"/>
          </w:tcPr>
          <w:p w14:paraId="5E206218">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MPa</w:t>
            </w:r>
          </w:p>
        </w:tc>
        <w:tc>
          <w:tcPr>
            <w:tcW w:w="744" w:type="dxa"/>
            <w:vAlign w:val="center"/>
          </w:tcPr>
          <w:p w14:paraId="643EDE70">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kPa</w:t>
            </w:r>
          </w:p>
        </w:tc>
        <w:tc>
          <w:tcPr>
            <w:tcW w:w="706" w:type="dxa"/>
            <w:vAlign w:val="center"/>
          </w:tcPr>
          <w:p w14:paraId="0B0DADEE">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w:t>
            </w:r>
          </w:p>
        </w:tc>
        <w:tc>
          <w:tcPr>
            <w:tcW w:w="744" w:type="dxa"/>
            <w:vAlign w:val="center"/>
          </w:tcPr>
          <w:p w14:paraId="36FFBBF3">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kPa</w:t>
            </w:r>
          </w:p>
        </w:tc>
        <w:tc>
          <w:tcPr>
            <w:tcW w:w="706" w:type="dxa"/>
            <w:vAlign w:val="center"/>
          </w:tcPr>
          <w:p w14:paraId="5B6EE6DC">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w:t>
            </w:r>
          </w:p>
        </w:tc>
        <w:tc>
          <w:tcPr>
            <w:tcW w:w="744" w:type="dxa"/>
            <w:vAlign w:val="center"/>
          </w:tcPr>
          <w:p w14:paraId="46F53C91">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kPa</w:t>
            </w:r>
          </w:p>
        </w:tc>
        <w:tc>
          <w:tcPr>
            <w:tcW w:w="705" w:type="dxa"/>
            <w:vAlign w:val="center"/>
          </w:tcPr>
          <w:p w14:paraId="2371B992">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w:t>
            </w:r>
          </w:p>
        </w:tc>
        <w:tc>
          <w:tcPr>
            <w:tcW w:w="705" w:type="dxa"/>
            <w:vAlign w:val="center"/>
          </w:tcPr>
          <w:p w14:paraId="7FCA33FF">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kPa</w:t>
            </w:r>
          </w:p>
        </w:tc>
        <w:tc>
          <w:tcPr>
            <w:tcW w:w="708" w:type="dxa"/>
            <w:vAlign w:val="center"/>
          </w:tcPr>
          <w:p w14:paraId="3DC6A846">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w:t>
            </w:r>
          </w:p>
        </w:tc>
      </w:tr>
      <w:tr w14:paraId="0E8BA0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17" w:hRule="atLeast"/>
          <w:jc w:val="center"/>
        </w:trPr>
        <w:tc>
          <w:tcPr>
            <w:tcW w:w="9518" w:type="dxa"/>
            <w:gridSpan w:val="13"/>
            <w:vAlign w:val="center"/>
          </w:tcPr>
          <w:p w14:paraId="026ADD7C">
            <w:pPr>
              <w:spacing w:line="320" w:lineRule="exact"/>
              <w:ind w:firstLine="0" w:firstLineChars="0"/>
              <w:jc w:val="center"/>
              <w:rPr>
                <w:rFonts w:cs="Times New Roman"/>
                <w:snapToGrid w:val="0"/>
                <w:kern w:val="0"/>
                <w:sz w:val="21"/>
                <w:szCs w:val="21"/>
              </w:rPr>
            </w:pPr>
            <w:r>
              <w:rPr>
                <w:rFonts w:cs="Times New Roman"/>
                <w:spacing w:val="-10"/>
                <w:sz w:val="21"/>
                <w:szCs w:val="21"/>
              </w:rPr>
              <w:t>磷石膏</w:t>
            </w:r>
            <w:r>
              <w:rPr>
                <w:rFonts w:hint="eastAsia" w:ascii="宋体" w:hAnsi="宋体" w:cs="宋体"/>
                <w:spacing w:val="-10"/>
                <w:sz w:val="21"/>
                <w:szCs w:val="21"/>
              </w:rPr>
              <w:t>①</w:t>
            </w:r>
            <w:r>
              <w:rPr>
                <w:rFonts w:cs="Times New Roman"/>
                <w:spacing w:val="-10"/>
                <w:sz w:val="21"/>
                <w:szCs w:val="21"/>
                <w:vertAlign w:val="subscript"/>
              </w:rPr>
              <w:t>1</w:t>
            </w:r>
          </w:p>
        </w:tc>
      </w:tr>
      <w:tr w14:paraId="654566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27" w:hRule="atLeast"/>
          <w:jc w:val="center"/>
        </w:trPr>
        <w:tc>
          <w:tcPr>
            <w:tcW w:w="990" w:type="dxa"/>
            <w:vAlign w:val="center"/>
          </w:tcPr>
          <w:p w14:paraId="7527BC38">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计数</w:t>
            </w:r>
          </w:p>
        </w:tc>
        <w:tc>
          <w:tcPr>
            <w:tcW w:w="650" w:type="dxa"/>
          </w:tcPr>
          <w:p w14:paraId="76F23331">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38</w:t>
            </w:r>
          </w:p>
        </w:tc>
        <w:tc>
          <w:tcPr>
            <w:tcW w:w="705" w:type="dxa"/>
          </w:tcPr>
          <w:p w14:paraId="1504557D">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38</w:t>
            </w:r>
          </w:p>
        </w:tc>
        <w:tc>
          <w:tcPr>
            <w:tcW w:w="705" w:type="dxa"/>
          </w:tcPr>
          <w:p w14:paraId="55B2853D">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38</w:t>
            </w:r>
          </w:p>
        </w:tc>
        <w:tc>
          <w:tcPr>
            <w:tcW w:w="706" w:type="dxa"/>
          </w:tcPr>
          <w:p w14:paraId="259C15F3">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38</w:t>
            </w:r>
          </w:p>
        </w:tc>
        <w:tc>
          <w:tcPr>
            <w:tcW w:w="744" w:type="dxa"/>
          </w:tcPr>
          <w:p w14:paraId="1E22CB87">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8</w:t>
            </w:r>
          </w:p>
        </w:tc>
        <w:tc>
          <w:tcPr>
            <w:tcW w:w="706" w:type="dxa"/>
          </w:tcPr>
          <w:p w14:paraId="1CFCDF8A">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8</w:t>
            </w:r>
          </w:p>
        </w:tc>
        <w:tc>
          <w:tcPr>
            <w:tcW w:w="744" w:type="dxa"/>
            <w:vAlign w:val="center"/>
          </w:tcPr>
          <w:p w14:paraId="27373B90">
            <w:pPr>
              <w:spacing w:line="320" w:lineRule="exact"/>
              <w:ind w:firstLine="0" w:firstLineChars="0"/>
              <w:jc w:val="center"/>
              <w:rPr>
                <w:rFonts w:cs="Times New Roman"/>
                <w:snapToGrid w:val="0"/>
                <w:spacing w:val="-10"/>
                <w:kern w:val="0"/>
                <w:sz w:val="21"/>
                <w:szCs w:val="21"/>
              </w:rPr>
            </w:pPr>
            <w:r>
              <w:rPr>
                <w:rFonts w:eastAsia="等线" w:cs="Times New Roman"/>
                <w:sz w:val="21"/>
                <w:szCs w:val="21"/>
              </w:rPr>
              <w:t>9</w:t>
            </w:r>
          </w:p>
        </w:tc>
        <w:tc>
          <w:tcPr>
            <w:tcW w:w="706" w:type="dxa"/>
            <w:vAlign w:val="center"/>
          </w:tcPr>
          <w:p w14:paraId="023D0D54">
            <w:pPr>
              <w:spacing w:line="320" w:lineRule="exact"/>
              <w:ind w:firstLine="0" w:firstLineChars="0"/>
              <w:jc w:val="center"/>
              <w:rPr>
                <w:rFonts w:cs="Times New Roman"/>
                <w:snapToGrid w:val="0"/>
                <w:spacing w:val="-10"/>
                <w:kern w:val="0"/>
                <w:sz w:val="21"/>
                <w:szCs w:val="21"/>
              </w:rPr>
            </w:pPr>
            <w:r>
              <w:rPr>
                <w:rFonts w:eastAsia="等线" w:cs="Times New Roman"/>
                <w:sz w:val="21"/>
                <w:szCs w:val="21"/>
              </w:rPr>
              <w:t>9</w:t>
            </w:r>
          </w:p>
        </w:tc>
        <w:tc>
          <w:tcPr>
            <w:tcW w:w="744" w:type="dxa"/>
            <w:vAlign w:val="center"/>
          </w:tcPr>
          <w:p w14:paraId="01A3EFAC">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3</w:t>
            </w:r>
          </w:p>
        </w:tc>
        <w:tc>
          <w:tcPr>
            <w:tcW w:w="705" w:type="dxa"/>
            <w:vAlign w:val="center"/>
          </w:tcPr>
          <w:p w14:paraId="7D7D58D1">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3</w:t>
            </w:r>
          </w:p>
        </w:tc>
        <w:tc>
          <w:tcPr>
            <w:tcW w:w="705" w:type="dxa"/>
            <w:vAlign w:val="center"/>
          </w:tcPr>
          <w:p w14:paraId="07A88E79">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3</w:t>
            </w:r>
          </w:p>
        </w:tc>
        <w:tc>
          <w:tcPr>
            <w:tcW w:w="708" w:type="dxa"/>
            <w:vAlign w:val="center"/>
          </w:tcPr>
          <w:p w14:paraId="5C5A1345">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3</w:t>
            </w:r>
          </w:p>
        </w:tc>
      </w:tr>
      <w:tr w14:paraId="41ECB9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27" w:hRule="atLeast"/>
          <w:jc w:val="center"/>
        </w:trPr>
        <w:tc>
          <w:tcPr>
            <w:tcW w:w="990" w:type="dxa"/>
            <w:vAlign w:val="center"/>
          </w:tcPr>
          <w:p w14:paraId="4BEC5F79">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最大值</w:t>
            </w:r>
          </w:p>
        </w:tc>
        <w:tc>
          <w:tcPr>
            <w:tcW w:w="650" w:type="dxa"/>
          </w:tcPr>
          <w:p w14:paraId="46E6053F">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0.64 </w:t>
            </w:r>
          </w:p>
        </w:tc>
        <w:tc>
          <w:tcPr>
            <w:tcW w:w="705" w:type="dxa"/>
          </w:tcPr>
          <w:p w14:paraId="52D354A9">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16.9 </w:t>
            </w:r>
          </w:p>
        </w:tc>
        <w:tc>
          <w:tcPr>
            <w:tcW w:w="705" w:type="dxa"/>
          </w:tcPr>
          <w:p w14:paraId="4A2D919C">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0.40 </w:t>
            </w:r>
          </w:p>
        </w:tc>
        <w:tc>
          <w:tcPr>
            <w:tcW w:w="706" w:type="dxa"/>
          </w:tcPr>
          <w:p w14:paraId="6AEC0321">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26.8 </w:t>
            </w:r>
          </w:p>
        </w:tc>
        <w:tc>
          <w:tcPr>
            <w:tcW w:w="744" w:type="dxa"/>
          </w:tcPr>
          <w:p w14:paraId="4AAA8631">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40.4 </w:t>
            </w:r>
          </w:p>
        </w:tc>
        <w:tc>
          <w:tcPr>
            <w:tcW w:w="706" w:type="dxa"/>
          </w:tcPr>
          <w:p w14:paraId="27520A11">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25.3 </w:t>
            </w:r>
          </w:p>
        </w:tc>
        <w:tc>
          <w:tcPr>
            <w:tcW w:w="744" w:type="dxa"/>
            <w:vAlign w:val="center"/>
          </w:tcPr>
          <w:p w14:paraId="0BB2DCE9">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27.2 </w:t>
            </w:r>
          </w:p>
        </w:tc>
        <w:tc>
          <w:tcPr>
            <w:tcW w:w="706" w:type="dxa"/>
            <w:vAlign w:val="center"/>
          </w:tcPr>
          <w:p w14:paraId="7E4A3808">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21.9 </w:t>
            </w:r>
          </w:p>
        </w:tc>
        <w:tc>
          <w:tcPr>
            <w:tcW w:w="744" w:type="dxa"/>
            <w:vAlign w:val="center"/>
          </w:tcPr>
          <w:p w14:paraId="7FAABB04">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48.4 </w:t>
            </w:r>
          </w:p>
        </w:tc>
        <w:tc>
          <w:tcPr>
            <w:tcW w:w="705" w:type="dxa"/>
            <w:vAlign w:val="center"/>
          </w:tcPr>
          <w:p w14:paraId="51DD1D74">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43.6 </w:t>
            </w:r>
          </w:p>
        </w:tc>
        <w:tc>
          <w:tcPr>
            <w:tcW w:w="705" w:type="dxa"/>
            <w:vAlign w:val="center"/>
          </w:tcPr>
          <w:p w14:paraId="7797A4E4">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39.2 </w:t>
            </w:r>
          </w:p>
        </w:tc>
        <w:tc>
          <w:tcPr>
            <w:tcW w:w="708" w:type="dxa"/>
            <w:vAlign w:val="center"/>
          </w:tcPr>
          <w:p w14:paraId="3BE70DB3">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43.7 </w:t>
            </w:r>
          </w:p>
        </w:tc>
      </w:tr>
      <w:tr w14:paraId="331CC0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27" w:hRule="atLeast"/>
          <w:jc w:val="center"/>
        </w:trPr>
        <w:tc>
          <w:tcPr>
            <w:tcW w:w="990" w:type="dxa"/>
            <w:vAlign w:val="center"/>
          </w:tcPr>
          <w:p w14:paraId="7013F0C7">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最小值</w:t>
            </w:r>
          </w:p>
        </w:tc>
        <w:tc>
          <w:tcPr>
            <w:tcW w:w="650" w:type="dxa"/>
          </w:tcPr>
          <w:p w14:paraId="0522EF0F">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0.12 </w:t>
            </w:r>
          </w:p>
        </w:tc>
        <w:tc>
          <w:tcPr>
            <w:tcW w:w="705" w:type="dxa"/>
          </w:tcPr>
          <w:p w14:paraId="2426E23D">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3.7 </w:t>
            </w:r>
          </w:p>
        </w:tc>
        <w:tc>
          <w:tcPr>
            <w:tcW w:w="705" w:type="dxa"/>
          </w:tcPr>
          <w:p w14:paraId="7FA779E1">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0.08 </w:t>
            </w:r>
          </w:p>
        </w:tc>
        <w:tc>
          <w:tcPr>
            <w:tcW w:w="706" w:type="dxa"/>
          </w:tcPr>
          <w:p w14:paraId="78B11B55">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6.0 </w:t>
            </w:r>
          </w:p>
        </w:tc>
        <w:tc>
          <w:tcPr>
            <w:tcW w:w="744" w:type="dxa"/>
          </w:tcPr>
          <w:p w14:paraId="2AC78724">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33.1 </w:t>
            </w:r>
          </w:p>
        </w:tc>
        <w:tc>
          <w:tcPr>
            <w:tcW w:w="706" w:type="dxa"/>
          </w:tcPr>
          <w:p w14:paraId="0D0897F6">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21.0 </w:t>
            </w:r>
          </w:p>
        </w:tc>
        <w:tc>
          <w:tcPr>
            <w:tcW w:w="744" w:type="dxa"/>
            <w:vAlign w:val="center"/>
          </w:tcPr>
          <w:p w14:paraId="7985A969">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19.4 </w:t>
            </w:r>
          </w:p>
        </w:tc>
        <w:tc>
          <w:tcPr>
            <w:tcW w:w="706" w:type="dxa"/>
            <w:vAlign w:val="center"/>
          </w:tcPr>
          <w:p w14:paraId="5E676457">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19.4 </w:t>
            </w:r>
          </w:p>
        </w:tc>
        <w:tc>
          <w:tcPr>
            <w:tcW w:w="744" w:type="dxa"/>
            <w:vAlign w:val="center"/>
          </w:tcPr>
          <w:p w14:paraId="4971AAC1">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5.7 </w:t>
            </w:r>
          </w:p>
        </w:tc>
        <w:tc>
          <w:tcPr>
            <w:tcW w:w="705" w:type="dxa"/>
            <w:vAlign w:val="center"/>
          </w:tcPr>
          <w:p w14:paraId="5B1A9D32">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37.6 </w:t>
            </w:r>
          </w:p>
        </w:tc>
        <w:tc>
          <w:tcPr>
            <w:tcW w:w="705" w:type="dxa"/>
            <w:vAlign w:val="center"/>
          </w:tcPr>
          <w:p w14:paraId="0A4CB175">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1.6 </w:t>
            </w:r>
          </w:p>
        </w:tc>
        <w:tc>
          <w:tcPr>
            <w:tcW w:w="708" w:type="dxa"/>
            <w:vAlign w:val="center"/>
          </w:tcPr>
          <w:p w14:paraId="40D7A1F7">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37.9 </w:t>
            </w:r>
          </w:p>
        </w:tc>
      </w:tr>
      <w:tr w14:paraId="25AE43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17" w:hRule="atLeast"/>
          <w:jc w:val="center"/>
        </w:trPr>
        <w:tc>
          <w:tcPr>
            <w:tcW w:w="990" w:type="dxa"/>
            <w:vAlign w:val="center"/>
          </w:tcPr>
          <w:p w14:paraId="03FC5DBA">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平均值</w:t>
            </w:r>
          </w:p>
        </w:tc>
        <w:tc>
          <w:tcPr>
            <w:tcW w:w="650" w:type="dxa"/>
          </w:tcPr>
          <w:p w14:paraId="1A52D466">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0.31 </w:t>
            </w:r>
          </w:p>
        </w:tc>
        <w:tc>
          <w:tcPr>
            <w:tcW w:w="705" w:type="dxa"/>
          </w:tcPr>
          <w:p w14:paraId="6075A783">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7.7 </w:t>
            </w:r>
          </w:p>
        </w:tc>
        <w:tc>
          <w:tcPr>
            <w:tcW w:w="705" w:type="dxa"/>
          </w:tcPr>
          <w:p w14:paraId="04A3E7BF">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0.20 </w:t>
            </w:r>
          </w:p>
        </w:tc>
        <w:tc>
          <w:tcPr>
            <w:tcW w:w="706" w:type="dxa"/>
          </w:tcPr>
          <w:p w14:paraId="1DA1DC2D">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12.1 </w:t>
            </w:r>
          </w:p>
        </w:tc>
        <w:tc>
          <w:tcPr>
            <w:tcW w:w="744" w:type="dxa"/>
          </w:tcPr>
          <w:p w14:paraId="0C034895">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35.8 </w:t>
            </w:r>
          </w:p>
        </w:tc>
        <w:tc>
          <w:tcPr>
            <w:tcW w:w="706" w:type="dxa"/>
          </w:tcPr>
          <w:p w14:paraId="0D516941">
            <w:pPr>
              <w:adjustRightInd w:val="0"/>
              <w:snapToGrid w:val="0"/>
              <w:spacing w:line="320" w:lineRule="exact"/>
              <w:ind w:firstLine="0" w:firstLineChars="0"/>
              <w:jc w:val="center"/>
              <w:rPr>
                <w:rFonts w:cs="Times New Roman"/>
                <w:snapToGrid w:val="0"/>
                <w:spacing w:val="-10"/>
                <w:kern w:val="0"/>
                <w:sz w:val="21"/>
                <w:szCs w:val="21"/>
              </w:rPr>
            </w:pPr>
            <w:r>
              <w:rPr>
                <w:rFonts w:cs="Times New Roman"/>
                <w:sz w:val="21"/>
                <w:szCs w:val="21"/>
              </w:rPr>
              <w:t xml:space="preserve">22.4 </w:t>
            </w:r>
          </w:p>
        </w:tc>
        <w:tc>
          <w:tcPr>
            <w:tcW w:w="744" w:type="dxa"/>
            <w:vAlign w:val="center"/>
          </w:tcPr>
          <w:p w14:paraId="110C6F73">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23.2 </w:t>
            </w:r>
          </w:p>
        </w:tc>
        <w:tc>
          <w:tcPr>
            <w:tcW w:w="706" w:type="dxa"/>
            <w:vAlign w:val="center"/>
          </w:tcPr>
          <w:p w14:paraId="6025EED1">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20.9 </w:t>
            </w:r>
          </w:p>
        </w:tc>
        <w:tc>
          <w:tcPr>
            <w:tcW w:w="744" w:type="dxa"/>
            <w:vAlign w:val="center"/>
          </w:tcPr>
          <w:p w14:paraId="324C046D">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30.2 </w:t>
            </w:r>
          </w:p>
        </w:tc>
        <w:tc>
          <w:tcPr>
            <w:tcW w:w="705" w:type="dxa"/>
            <w:vAlign w:val="center"/>
          </w:tcPr>
          <w:p w14:paraId="16438CD8">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40.9 </w:t>
            </w:r>
          </w:p>
        </w:tc>
        <w:tc>
          <w:tcPr>
            <w:tcW w:w="705" w:type="dxa"/>
            <w:vAlign w:val="center"/>
          </w:tcPr>
          <w:p w14:paraId="3A30D21C">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15.5 </w:t>
            </w:r>
          </w:p>
        </w:tc>
        <w:tc>
          <w:tcPr>
            <w:tcW w:w="708" w:type="dxa"/>
            <w:vAlign w:val="center"/>
          </w:tcPr>
          <w:p w14:paraId="68866AA6">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41.5 </w:t>
            </w:r>
          </w:p>
        </w:tc>
      </w:tr>
      <w:tr w14:paraId="0A2A73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32" w:hRule="atLeast"/>
          <w:jc w:val="center"/>
        </w:trPr>
        <w:tc>
          <w:tcPr>
            <w:tcW w:w="990" w:type="dxa"/>
            <w:vAlign w:val="center"/>
          </w:tcPr>
          <w:p w14:paraId="0D4FA62B">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标准差</w:t>
            </w:r>
          </w:p>
        </w:tc>
        <w:tc>
          <w:tcPr>
            <w:tcW w:w="650" w:type="dxa"/>
          </w:tcPr>
          <w:p w14:paraId="282CF2A7">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w:t>
            </w:r>
          </w:p>
        </w:tc>
        <w:tc>
          <w:tcPr>
            <w:tcW w:w="705" w:type="dxa"/>
          </w:tcPr>
          <w:p w14:paraId="78516AE9">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w:t>
            </w:r>
          </w:p>
        </w:tc>
        <w:tc>
          <w:tcPr>
            <w:tcW w:w="705" w:type="dxa"/>
          </w:tcPr>
          <w:p w14:paraId="7027C946">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w:t>
            </w:r>
          </w:p>
        </w:tc>
        <w:tc>
          <w:tcPr>
            <w:tcW w:w="706" w:type="dxa"/>
          </w:tcPr>
          <w:p w14:paraId="3CAB0B26">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w:t>
            </w:r>
          </w:p>
        </w:tc>
        <w:tc>
          <w:tcPr>
            <w:tcW w:w="744" w:type="dxa"/>
          </w:tcPr>
          <w:p w14:paraId="36839435">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 xml:space="preserve">2.483 </w:t>
            </w:r>
          </w:p>
        </w:tc>
        <w:tc>
          <w:tcPr>
            <w:tcW w:w="706" w:type="dxa"/>
          </w:tcPr>
          <w:p w14:paraId="1F3EC4FD">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 xml:space="preserve">1.462 </w:t>
            </w:r>
          </w:p>
        </w:tc>
        <w:tc>
          <w:tcPr>
            <w:tcW w:w="744" w:type="dxa"/>
            <w:vAlign w:val="center"/>
          </w:tcPr>
          <w:p w14:paraId="1155B613">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2.768 </w:t>
            </w:r>
          </w:p>
        </w:tc>
        <w:tc>
          <w:tcPr>
            <w:tcW w:w="706" w:type="dxa"/>
            <w:vAlign w:val="center"/>
          </w:tcPr>
          <w:p w14:paraId="67B63111">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0.721 </w:t>
            </w:r>
          </w:p>
        </w:tc>
        <w:tc>
          <w:tcPr>
            <w:tcW w:w="744" w:type="dxa"/>
          </w:tcPr>
          <w:p w14:paraId="44B9D4B4">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tc>
        <w:tc>
          <w:tcPr>
            <w:tcW w:w="705" w:type="dxa"/>
          </w:tcPr>
          <w:p w14:paraId="7E96AD80">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tc>
        <w:tc>
          <w:tcPr>
            <w:tcW w:w="705" w:type="dxa"/>
          </w:tcPr>
          <w:p w14:paraId="7BD4ACFD">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tc>
        <w:tc>
          <w:tcPr>
            <w:tcW w:w="708" w:type="dxa"/>
          </w:tcPr>
          <w:p w14:paraId="008D09DE">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tc>
      </w:tr>
      <w:tr w14:paraId="52E11F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8" w:hRule="atLeast"/>
          <w:jc w:val="center"/>
        </w:trPr>
        <w:tc>
          <w:tcPr>
            <w:tcW w:w="990" w:type="dxa"/>
            <w:vAlign w:val="center"/>
          </w:tcPr>
          <w:p w14:paraId="3A562D0A">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变异系数</w:t>
            </w:r>
          </w:p>
        </w:tc>
        <w:tc>
          <w:tcPr>
            <w:tcW w:w="650" w:type="dxa"/>
          </w:tcPr>
          <w:p w14:paraId="7248D061">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w:t>
            </w:r>
          </w:p>
        </w:tc>
        <w:tc>
          <w:tcPr>
            <w:tcW w:w="705" w:type="dxa"/>
          </w:tcPr>
          <w:p w14:paraId="1936B475">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w:t>
            </w:r>
          </w:p>
        </w:tc>
        <w:tc>
          <w:tcPr>
            <w:tcW w:w="705" w:type="dxa"/>
          </w:tcPr>
          <w:p w14:paraId="07B12918">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w:t>
            </w:r>
          </w:p>
        </w:tc>
        <w:tc>
          <w:tcPr>
            <w:tcW w:w="706" w:type="dxa"/>
          </w:tcPr>
          <w:p w14:paraId="2F80FEFE">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w:t>
            </w:r>
          </w:p>
        </w:tc>
        <w:tc>
          <w:tcPr>
            <w:tcW w:w="744" w:type="dxa"/>
          </w:tcPr>
          <w:p w14:paraId="6EECF3FC">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 xml:space="preserve">0.069 </w:t>
            </w:r>
          </w:p>
        </w:tc>
        <w:tc>
          <w:tcPr>
            <w:tcW w:w="706" w:type="dxa"/>
          </w:tcPr>
          <w:p w14:paraId="5AC0AC1F">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 xml:space="preserve">0.065 </w:t>
            </w:r>
          </w:p>
        </w:tc>
        <w:tc>
          <w:tcPr>
            <w:tcW w:w="744" w:type="dxa"/>
            <w:vAlign w:val="center"/>
          </w:tcPr>
          <w:p w14:paraId="7E55D6A3">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0.119 </w:t>
            </w:r>
          </w:p>
        </w:tc>
        <w:tc>
          <w:tcPr>
            <w:tcW w:w="706" w:type="dxa"/>
            <w:vAlign w:val="center"/>
          </w:tcPr>
          <w:p w14:paraId="7AFA68A6">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0.034 </w:t>
            </w:r>
          </w:p>
        </w:tc>
        <w:tc>
          <w:tcPr>
            <w:tcW w:w="744" w:type="dxa"/>
          </w:tcPr>
          <w:p w14:paraId="0B12B4A9">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tc>
        <w:tc>
          <w:tcPr>
            <w:tcW w:w="705" w:type="dxa"/>
          </w:tcPr>
          <w:p w14:paraId="12BAD310">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tc>
        <w:tc>
          <w:tcPr>
            <w:tcW w:w="705" w:type="dxa"/>
          </w:tcPr>
          <w:p w14:paraId="0256C1F0">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tc>
        <w:tc>
          <w:tcPr>
            <w:tcW w:w="708" w:type="dxa"/>
          </w:tcPr>
          <w:p w14:paraId="119AAC1F">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tc>
      </w:tr>
      <w:tr w14:paraId="25EFA6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17" w:hRule="atLeast"/>
          <w:jc w:val="center"/>
        </w:trPr>
        <w:tc>
          <w:tcPr>
            <w:tcW w:w="990" w:type="dxa"/>
            <w:vAlign w:val="center"/>
          </w:tcPr>
          <w:p w14:paraId="67820F22">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修正系数</w:t>
            </w:r>
          </w:p>
        </w:tc>
        <w:tc>
          <w:tcPr>
            <w:tcW w:w="650" w:type="dxa"/>
          </w:tcPr>
          <w:p w14:paraId="6AA4A341">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w:t>
            </w:r>
          </w:p>
        </w:tc>
        <w:tc>
          <w:tcPr>
            <w:tcW w:w="705" w:type="dxa"/>
          </w:tcPr>
          <w:p w14:paraId="512AF716">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w:t>
            </w:r>
          </w:p>
        </w:tc>
        <w:tc>
          <w:tcPr>
            <w:tcW w:w="705" w:type="dxa"/>
          </w:tcPr>
          <w:p w14:paraId="26E9FB85">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w:t>
            </w:r>
          </w:p>
        </w:tc>
        <w:tc>
          <w:tcPr>
            <w:tcW w:w="706" w:type="dxa"/>
          </w:tcPr>
          <w:p w14:paraId="08534A23">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w:t>
            </w:r>
          </w:p>
        </w:tc>
        <w:tc>
          <w:tcPr>
            <w:tcW w:w="744" w:type="dxa"/>
          </w:tcPr>
          <w:p w14:paraId="25DEEBCE">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 xml:space="preserve">0.959 </w:t>
            </w:r>
          </w:p>
        </w:tc>
        <w:tc>
          <w:tcPr>
            <w:tcW w:w="706" w:type="dxa"/>
          </w:tcPr>
          <w:p w14:paraId="7C9FD335">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 xml:space="preserve">0.962 </w:t>
            </w:r>
          </w:p>
        </w:tc>
        <w:tc>
          <w:tcPr>
            <w:tcW w:w="744" w:type="dxa"/>
            <w:vAlign w:val="center"/>
          </w:tcPr>
          <w:p w14:paraId="709822AF">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0.934 </w:t>
            </w:r>
          </w:p>
        </w:tc>
        <w:tc>
          <w:tcPr>
            <w:tcW w:w="706" w:type="dxa"/>
            <w:vAlign w:val="center"/>
          </w:tcPr>
          <w:p w14:paraId="025C101A">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0.981 </w:t>
            </w:r>
          </w:p>
        </w:tc>
        <w:tc>
          <w:tcPr>
            <w:tcW w:w="744" w:type="dxa"/>
          </w:tcPr>
          <w:p w14:paraId="6B9274BF">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tc>
        <w:tc>
          <w:tcPr>
            <w:tcW w:w="705" w:type="dxa"/>
          </w:tcPr>
          <w:p w14:paraId="4B14446B">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tc>
        <w:tc>
          <w:tcPr>
            <w:tcW w:w="705" w:type="dxa"/>
          </w:tcPr>
          <w:p w14:paraId="6D53F4E4">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tc>
        <w:tc>
          <w:tcPr>
            <w:tcW w:w="708" w:type="dxa"/>
          </w:tcPr>
          <w:p w14:paraId="79A7C4EA">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tc>
      </w:tr>
      <w:tr w14:paraId="17FFB9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27" w:hRule="atLeast"/>
          <w:jc w:val="center"/>
        </w:trPr>
        <w:tc>
          <w:tcPr>
            <w:tcW w:w="990" w:type="dxa"/>
            <w:vAlign w:val="center"/>
          </w:tcPr>
          <w:p w14:paraId="737FC027">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标准值</w:t>
            </w:r>
          </w:p>
        </w:tc>
        <w:tc>
          <w:tcPr>
            <w:tcW w:w="650" w:type="dxa"/>
          </w:tcPr>
          <w:p w14:paraId="133FFD21">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w:t>
            </w:r>
          </w:p>
        </w:tc>
        <w:tc>
          <w:tcPr>
            <w:tcW w:w="705" w:type="dxa"/>
          </w:tcPr>
          <w:p w14:paraId="4C9FE3D0">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w:t>
            </w:r>
          </w:p>
        </w:tc>
        <w:tc>
          <w:tcPr>
            <w:tcW w:w="705" w:type="dxa"/>
          </w:tcPr>
          <w:p w14:paraId="15CDACFD">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w:t>
            </w:r>
          </w:p>
        </w:tc>
        <w:tc>
          <w:tcPr>
            <w:tcW w:w="706" w:type="dxa"/>
          </w:tcPr>
          <w:p w14:paraId="2CBAC9D5">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w:t>
            </w:r>
          </w:p>
        </w:tc>
        <w:tc>
          <w:tcPr>
            <w:tcW w:w="744" w:type="dxa"/>
          </w:tcPr>
          <w:p w14:paraId="1D3334A4">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 xml:space="preserve">34.4 </w:t>
            </w:r>
          </w:p>
        </w:tc>
        <w:tc>
          <w:tcPr>
            <w:tcW w:w="706" w:type="dxa"/>
          </w:tcPr>
          <w:p w14:paraId="4079A26B">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 xml:space="preserve">21.5 </w:t>
            </w:r>
          </w:p>
        </w:tc>
        <w:tc>
          <w:tcPr>
            <w:tcW w:w="744" w:type="dxa"/>
            <w:vAlign w:val="center"/>
          </w:tcPr>
          <w:p w14:paraId="678AC564">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21.7 </w:t>
            </w:r>
          </w:p>
        </w:tc>
        <w:tc>
          <w:tcPr>
            <w:tcW w:w="706" w:type="dxa"/>
            <w:vAlign w:val="center"/>
          </w:tcPr>
          <w:p w14:paraId="14BDCF2F">
            <w:pPr>
              <w:adjustRightInd w:val="0"/>
              <w:snapToGrid w:val="0"/>
              <w:spacing w:line="320" w:lineRule="exact"/>
              <w:ind w:firstLine="0" w:firstLineChars="0"/>
              <w:jc w:val="center"/>
              <w:rPr>
                <w:rFonts w:cs="Times New Roman"/>
                <w:snapToGrid w:val="0"/>
                <w:spacing w:val="-10"/>
                <w:kern w:val="0"/>
                <w:sz w:val="21"/>
                <w:szCs w:val="21"/>
              </w:rPr>
            </w:pPr>
            <w:r>
              <w:rPr>
                <w:rFonts w:eastAsia="等线" w:cs="Times New Roman"/>
                <w:sz w:val="21"/>
                <w:szCs w:val="21"/>
              </w:rPr>
              <w:t xml:space="preserve">20.5 </w:t>
            </w:r>
          </w:p>
        </w:tc>
        <w:tc>
          <w:tcPr>
            <w:tcW w:w="744" w:type="dxa"/>
          </w:tcPr>
          <w:p w14:paraId="3D456417">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tc>
        <w:tc>
          <w:tcPr>
            <w:tcW w:w="705" w:type="dxa"/>
          </w:tcPr>
          <w:p w14:paraId="6AFF46CB">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tc>
        <w:tc>
          <w:tcPr>
            <w:tcW w:w="705" w:type="dxa"/>
          </w:tcPr>
          <w:p w14:paraId="2155E99A">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tc>
        <w:tc>
          <w:tcPr>
            <w:tcW w:w="708" w:type="dxa"/>
          </w:tcPr>
          <w:p w14:paraId="13E4D5CF">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w:t>
            </w:r>
          </w:p>
        </w:tc>
      </w:tr>
    </w:tbl>
    <w:p w14:paraId="00CA8B9F">
      <w:pPr>
        <w:autoSpaceDE w:val="0"/>
        <w:autoSpaceDN w:val="0"/>
        <w:adjustRightInd w:val="0"/>
        <w:spacing w:line="240" w:lineRule="atLeast"/>
        <w:ind w:firstLine="480"/>
        <w:rPr>
          <w:rFonts w:cs="Times New Roman"/>
          <w:snapToGrid w:val="0"/>
          <w:kern w:val="0"/>
          <w:sz w:val="24"/>
          <w:szCs w:val="24"/>
        </w:rPr>
      </w:pPr>
      <w:r>
        <w:rPr>
          <w:rFonts w:cs="Times New Roman"/>
          <w:snapToGrid w:val="0"/>
          <w:kern w:val="0"/>
          <w:sz w:val="24"/>
          <w:szCs w:val="24"/>
        </w:rPr>
        <w:t>注：统计表见附录5。</w:t>
      </w:r>
    </w:p>
    <w:p w14:paraId="684F37A9">
      <w:pPr>
        <w:ind w:firstLine="0" w:firstLineChars="0"/>
        <w:jc w:val="center"/>
        <w:rPr>
          <w:rFonts w:cs="Times New Roman"/>
          <w:sz w:val="24"/>
          <w:szCs w:val="24"/>
        </w:rPr>
      </w:pPr>
      <w:r>
        <w:rPr>
          <w:rFonts w:cs="Times New Roman"/>
          <w:sz w:val="24"/>
          <w:szCs w:val="24"/>
        </w:rPr>
        <w:t>表</w:t>
      </w:r>
      <w:r>
        <w:rPr>
          <w:rFonts w:hint="eastAsia" w:cs="Times New Roman"/>
          <w:sz w:val="24"/>
          <w:szCs w:val="24"/>
        </w:rPr>
        <w:t>2.3-5</w:t>
      </w:r>
      <w:r>
        <w:rPr>
          <w:rFonts w:cs="Times New Roman"/>
          <w:sz w:val="24"/>
          <w:szCs w:val="24"/>
        </w:rPr>
        <w:t xml:space="preserve">  </w:t>
      </w:r>
      <w:r>
        <w:rPr>
          <w:rFonts w:hint="eastAsia" w:cs="Times New Roman"/>
          <w:sz w:val="24"/>
          <w:szCs w:val="24"/>
        </w:rPr>
        <w:t>磷石膏</w:t>
      </w:r>
      <w:r>
        <w:rPr>
          <w:rFonts w:hint="eastAsia" w:ascii="宋体" w:hAnsi="宋体" w:cs="宋体"/>
          <w:sz w:val="24"/>
          <w:szCs w:val="24"/>
        </w:rPr>
        <w:t>①</w:t>
      </w:r>
      <w:r>
        <w:rPr>
          <w:rFonts w:cs="Times New Roman"/>
          <w:sz w:val="24"/>
          <w:szCs w:val="24"/>
          <w:vertAlign w:val="subscript"/>
        </w:rPr>
        <w:t>1</w:t>
      </w:r>
      <w:r>
        <w:rPr>
          <w:rFonts w:cs="Times New Roman"/>
          <w:sz w:val="24"/>
          <w:szCs w:val="24"/>
        </w:rPr>
        <w:t>现场剪切试验结果汇总表</w:t>
      </w:r>
    </w:p>
    <w:tbl>
      <w:tblPr>
        <w:tblStyle w:val="33"/>
        <w:tblW w:w="4944"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567"/>
        <w:gridCol w:w="2419"/>
        <w:gridCol w:w="1617"/>
        <w:gridCol w:w="1777"/>
        <w:gridCol w:w="1915"/>
      </w:tblGrid>
      <w:tr w14:paraId="7CC9EC1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40" w:hRule="atLeast"/>
          <w:tblHeader/>
          <w:jc w:val="center"/>
        </w:trPr>
        <w:tc>
          <w:tcPr>
            <w:tcW w:w="843" w:type="pct"/>
            <w:tcBorders>
              <w:top w:val="single" w:color="auto" w:sz="4" w:space="0"/>
              <w:left w:val="single" w:color="auto" w:sz="4" w:space="0"/>
              <w:bottom w:val="single" w:color="auto" w:sz="2" w:space="0"/>
              <w:right w:val="single" w:color="auto" w:sz="2" w:space="0"/>
            </w:tcBorders>
            <w:vAlign w:val="center"/>
          </w:tcPr>
          <w:p w14:paraId="283B1012">
            <w:pPr>
              <w:spacing w:line="280" w:lineRule="exact"/>
              <w:ind w:firstLine="0" w:firstLineChars="0"/>
              <w:jc w:val="center"/>
              <w:rPr>
                <w:rFonts w:ascii="宋体" w:hAnsi="宋体" w:cs="Times New Roman"/>
                <w:snapToGrid w:val="0"/>
                <w:kern w:val="0"/>
                <w:sz w:val="21"/>
                <w:szCs w:val="21"/>
              </w:rPr>
            </w:pPr>
            <w:r>
              <w:rPr>
                <w:rFonts w:ascii="宋体" w:hAnsi="宋体" w:cs="Times New Roman"/>
                <w:snapToGrid w:val="0"/>
                <w:kern w:val="0"/>
                <w:sz w:val="21"/>
                <w:szCs w:val="21"/>
              </w:rPr>
              <w:t>试体编号</w:t>
            </w:r>
          </w:p>
        </w:tc>
        <w:tc>
          <w:tcPr>
            <w:tcW w:w="1301" w:type="pct"/>
            <w:tcBorders>
              <w:top w:val="single" w:color="auto" w:sz="4" w:space="0"/>
              <w:left w:val="single" w:color="auto" w:sz="2" w:space="0"/>
              <w:bottom w:val="single" w:color="auto" w:sz="2" w:space="0"/>
              <w:right w:val="single" w:color="auto" w:sz="2" w:space="0"/>
            </w:tcBorders>
            <w:vAlign w:val="center"/>
          </w:tcPr>
          <w:p w14:paraId="49B87DAC">
            <w:pPr>
              <w:spacing w:line="280" w:lineRule="exact"/>
              <w:ind w:firstLine="0" w:firstLineChars="0"/>
              <w:jc w:val="center"/>
              <w:rPr>
                <w:rFonts w:ascii="宋体" w:hAnsi="宋体" w:cs="Times New Roman"/>
                <w:snapToGrid w:val="0"/>
                <w:kern w:val="0"/>
                <w:sz w:val="21"/>
                <w:szCs w:val="21"/>
              </w:rPr>
            </w:pPr>
            <w:r>
              <w:rPr>
                <w:rFonts w:ascii="宋体" w:hAnsi="宋体" w:cs="Times New Roman"/>
                <w:snapToGrid w:val="0"/>
                <w:kern w:val="0"/>
                <w:sz w:val="21"/>
                <w:szCs w:val="21"/>
              </w:rPr>
              <w:t>试验地层</w:t>
            </w:r>
          </w:p>
        </w:tc>
        <w:tc>
          <w:tcPr>
            <w:tcW w:w="870" w:type="pct"/>
            <w:tcBorders>
              <w:top w:val="single" w:color="auto" w:sz="4" w:space="0"/>
              <w:left w:val="single" w:color="auto" w:sz="2" w:space="0"/>
              <w:bottom w:val="single" w:color="auto" w:sz="2" w:space="0"/>
              <w:right w:val="single" w:color="auto" w:sz="2" w:space="0"/>
            </w:tcBorders>
            <w:vAlign w:val="center"/>
          </w:tcPr>
          <w:p w14:paraId="52EB280B">
            <w:pPr>
              <w:spacing w:line="280" w:lineRule="exact"/>
              <w:ind w:firstLine="0" w:firstLineChars="0"/>
              <w:jc w:val="center"/>
              <w:rPr>
                <w:rFonts w:ascii="宋体" w:hAnsi="宋体" w:cs="Times New Roman"/>
                <w:snapToGrid w:val="0"/>
                <w:kern w:val="0"/>
                <w:sz w:val="21"/>
                <w:szCs w:val="21"/>
              </w:rPr>
            </w:pPr>
            <w:r>
              <w:rPr>
                <w:rFonts w:ascii="宋体" w:hAnsi="宋体" w:cs="Times New Roman"/>
                <w:snapToGrid w:val="0"/>
                <w:kern w:val="0"/>
                <w:sz w:val="21"/>
                <w:szCs w:val="21"/>
              </w:rPr>
              <w:t>试验状态</w:t>
            </w:r>
          </w:p>
        </w:tc>
        <w:tc>
          <w:tcPr>
            <w:tcW w:w="956" w:type="pct"/>
            <w:tcBorders>
              <w:top w:val="single" w:color="auto" w:sz="4" w:space="0"/>
              <w:left w:val="single" w:color="auto" w:sz="2" w:space="0"/>
              <w:bottom w:val="single" w:color="auto" w:sz="2" w:space="0"/>
              <w:right w:val="single" w:color="auto" w:sz="2" w:space="0"/>
            </w:tcBorders>
            <w:vAlign w:val="center"/>
          </w:tcPr>
          <w:p w14:paraId="763BE965">
            <w:pPr>
              <w:spacing w:line="280" w:lineRule="exact"/>
              <w:ind w:firstLine="0" w:firstLineChars="0"/>
              <w:jc w:val="center"/>
              <w:rPr>
                <w:rFonts w:ascii="宋体" w:hAnsi="宋体" w:cs="Times New Roman"/>
                <w:snapToGrid w:val="0"/>
                <w:kern w:val="0"/>
                <w:sz w:val="21"/>
                <w:szCs w:val="21"/>
              </w:rPr>
            </w:pPr>
            <w:r>
              <w:rPr>
                <w:rFonts w:ascii="宋体" w:hAnsi="宋体" w:cs="Times New Roman"/>
                <w:snapToGrid w:val="0"/>
                <w:kern w:val="0"/>
                <w:sz w:val="21"/>
                <w:szCs w:val="21"/>
              </w:rPr>
              <w:t>黏聚力c(kPa)</w:t>
            </w:r>
          </w:p>
        </w:tc>
        <w:tc>
          <w:tcPr>
            <w:tcW w:w="1030" w:type="pct"/>
            <w:tcBorders>
              <w:top w:val="single" w:color="auto" w:sz="4" w:space="0"/>
              <w:left w:val="single" w:color="auto" w:sz="2" w:space="0"/>
              <w:bottom w:val="single" w:color="auto" w:sz="2" w:space="0"/>
              <w:right w:val="single" w:color="auto" w:sz="2" w:space="0"/>
            </w:tcBorders>
            <w:vAlign w:val="center"/>
          </w:tcPr>
          <w:p w14:paraId="4D4DBDEC">
            <w:pPr>
              <w:spacing w:line="280" w:lineRule="exact"/>
              <w:ind w:firstLine="0" w:firstLineChars="0"/>
              <w:jc w:val="center"/>
              <w:rPr>
                <w:rFonts w:ascii="宋体" w:hAnsi="宋体" w:cs="Times New Roman"/>
                <w:snapToGrid w:val="0"/>
                <w:kern w:val="0"/>
                <w:sz w:val="21"/>
                <w:szCs w:val="21"/>
              </w:rPr>
            </w:pPr>
            <w:r>
              <w:rPr>
                <w:rFonts w:ascii="宋体" w:hAnsi="宋体" w:cs="Times New Roman"/>
                <w:snapToGrid w:val="0"/>
                <w:kern w:val="0"/>
                <w:sz w:val="21"/>
                <w:szCs w:val="21"/>
              </w:rPr>
              <w:t>内摩擦角φ(°)</w:t>
            </w:r>
          </w:p>
        </w:tc>
      </w:tr>
      <w:tr w14:paraId="40BCD4E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843" w:type="pct"/>
            <w:tcBorders>
              <w:top w:val="single" w:color="auto" w:sz="2" w:space="0"/>
              <w:left w:val="single" w:color="auto" w:sz="4" w:space="0"/>
              <w:bottom w:val="single" w:color="auto" w:sz="2" w:space="0"/>
              <w:right w:val="single" w:color="auto" w:sz="2" w:space="0"/>
            </w:tcBorders>
            <w:vAlign w:val="center"/>
          </w:tcPr>
          <w:p w14:paraId="275A3988">
            <w:pPr>
              <w:spacing w:line="280" w:lineRule="exact"/>
              <w:ind w:firstLine="0" w:firstLineChars="0"/>
              <w:jc w:val="center"/>
              <w:rPr>
                <w:rFonts w:ascii="宋体" w:hAnsi="宋体" w:cs="Times New Roman"/>
                <w:snapToGrid w:val="0"/>
                <w:kern w:val="0"/>
                <w:sz w:val="21"/>
                <w:szCs w:val="21"/>
              </w:rPr>
            </w:pPr>
            <w:r>
              <w:rPr>
                <w:rFonts w:ascii="宋体" w:hAnsi="宋体" w:cs="Times New Roman"/>
                <w:sz w:val="21"/>
                <w:szCs w:val="21"/>
              </w:rPr>
              <w:t>DJ1</w:t>
            </w:r>
          </w:p>
        </w:tc>
        <w:tc>
          <w:tcPr>
            <w:tcW w:w="1301" w:type="pct"/>
            <w:vMerge w:val="restart"/>
            <w:vAlign w:val="center"/>
          </w:tcPr>
          <w:p w14:paraId="1278ED05">
            <w:pPr>
              <w:spacing w:line="280" w:lineRule="exact"/>
              <w:ind w:firstLine="0" w:firstLineChars="0"/>
              <w:jc w:val="center"/>
              <w:rPr>
                <w:rFonts w:ascii="宋体" w:hAnsi="宋体" w:cs="Times New Roman"/>
                <w:sz w:val="21"/>
                <w:szCs w:val="21"/>
              </w:rPr>
            </w:pPr>
            <w:r>
              <w:rPr>
                <w:rFonts w:hint="eastAsia" w:cs="Times New Roman"/>
                <w:sz w:val="21"/>
                <w:szCs w:val="21"/>
              </w:rPr>
              <w:t>磷石膏</w:t>
            </w:r>
            <w:r>
              <w:rPr>
                <w:rFonts w:hint="eastAsia" w:ascii="宋体" w:hAnsi="宋体" w:cs="宋体"/>
                <w:sz w:val="21"/>
                <w:szCs w:val="21"/>
              </w:rPr>
              <w:t>①</w:t>
            </w:r>
            <w:r>
              <w:rPr>
                <w:rFonts w:cs="Times New Roman"/>
                <w:sz w:val="21"/>
                <w:szCs w:val="21"/>
                <w:vertAlign w:val="subscript"/>
              </w:rPr>
              <w:t>1</w:t>
            </w:r>
          </w:p>
        </w:tc>
        <w:tc>
          <w:tcPr>
            <w:tcW w:w="870" w:type="pct"/>
            <w:vMerge w:val="restart"/>
            <w:tcBorders>
              <w:top w:val="single" w:color="auto" w:sz="2" w:space="0"/>
              <w:left w:val="single" w:color="auto" w:sz="2" w:space="0"/>
              <w:right w:val="single" w:color="auto" w:sz="2" w:space="0"/>
            </w:tcBorders>
            <w:vAlign w:val="center"/>
          </w:tcPr>
          <w:p w14:paraId="158940E4">
            <w:pPr>
              <w:spacing w:line="280" w:lineRule="exact"/>
              <w:ind w:firstLine="0" w:firstLineChars="0"/>
              <w:jc w:val="center"/>
              <w:rPr>
                <w:rFonts w:ascii="宋体" w:hAnsi="宋体" w:cs="Times New Roman"/>
                <w:snapToGrid w:val="0"/>
                <w:kern w:val="0"/>
                <w:sz w:val="21"/>
                <w:szCs w:val="21"/>
              </w:rPr>
            </w:pPr>
            <w:r>
              <w:rPr>
                <w:rFonts w:ascii="宋体" w:hAnsi="宋体" w:cs="Times New Roman"/>
                <w:snapToGrid w:val="0"/>
                <w:kern w:val="0"/>
                <w:sz w:val="21"/>
                <w:szCs w:val="21"/>
              </w:rPr>
              <w:t>天然状态</w:t>
            </w:r>
          </w:p>
        </w:tc>
        <w:tc>
          <w:tcPr>
            <w:tcW w:w="956" w:type="pct"/>
            <w:tcBorders>
              <w:top w:val="nil"/>
              <w:left w:val="single" w:color="auto" w:sz="4" w:space="0"/>
              <w:bottom w:val="single" w:color="auto" w:sz="4" w:space="0"/>
              <w:right w:val="single" w:color="auto" w:sz="4" w:space="0"/>
            </w:tcBorders>
            <w:vAlign w:val="center"/>
          </w:tcPr>
          <w:p w14:paraId="4727A70B">
            <w:pPr>
              <w:spacing w:line="280" w:lineRule="exact"/>
              <w:ind w:firstLine="0" w:firstLineChars="0"/>
              <w:jc w:val="center"/>
              <w:rPr>
                <w:rFonts w:ascii="宋体" w:hAnsi="宋体" w:cs="Times New Roman"/>
                <w:sz w:val="21"/>
                <w:szCs w:val="21"/>
              </w:rPr>
            </w:pPr>
            <w:r>
              <w:rPr>
                <w:rFonts w:ascii="宋体" w:hAnsi="宋体" w:cs="Times New Roman"/>
                <w:kern w:val="0"/>
                <w:sz w:val="21"/>
                <w:szCs w:val="21"/>
                <w:lang w:val="zh-CN"/>
              </w:rPr>
              <w:t>24.0</w:t>
            </w:r>
          </w:p>
        </w:tc>
        <w:tc>
          <w:tcPr>
            <w:tcW w:w="1030" w:type="pct"/>
            <w:tcBorders>
              <w:top w:val="nil"/>
              <w:left w:val="single" w:color="auto" w:sz="4" w:space="0"/>
              <w:bottom w:val="single" w:color="auto" w:sz="4" w:space="0"/>
              <w:right w:val="single" w:color="auto" w:sz="4" w:space="0"/>
            </w:tcBorders>
            <w:vAlign w:val="center"/>
          </w:tcPr>
          <w:p w14:paraId="647BD27B">
            <w:pPr>
              <w:spacing w:line="280" w:lineRule="exact"/>
              <w:ind w:firstLine="0" w:firstLineChars="0"/>
              <w:jc w:val="center"/>
              <w:rPr>
                <w:rFonts w:ascii="宋体" w:hAnsi="宋体" w:cs="Times New Roman"/>
                <w:sz w:val="21"/>
                <w:szCs w:val="21"/>
              </w:rPr>
            </w:pPr>
            <w:r>
              <w:rPr>
                <w:rFonts w:ascii="宋体" w:hAnsi="宋体" w:cs="Times New Roman"/>
                <w:kern w:val="0"/>
                <w:sz w:val="21"/>
                <w:szCs w:val="21"/>
                <w:lang w:val="zh-CN"/>
              </w:rPr>
              <w:t>25.8</w:t>
            </w:r>
          </w:p>
        </w:tc>
      </w:tr>
      <w:tr w14:paraId="7582F03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843" w:type="pct"/>
            <w:tcBorders>
              <w:top w:val="single" w:color="auto" w:sz="2" w:space="0"/>
              <w:left w:val="single" w:color="auto" w:sz="4" w:space="0"/>
              <w:bottom w:val="single" w:color="auto" w:sz="2" w:space="0"/>
              <w:right w:val="single" w:color="auto" w:sz="2" w:space="0"/>
            </w:tcBorders>
            <w:vAlign w:val="center"/>
          </w:tcPr>
          <w:p w14:paraId="505DFD51">
            <w:pPr>
              <w:spacing w:line="280" w:lineRule="exact"/>
              <w:ind w:firstLine="0" w:firstLineChars="0"/>
              <w:jc w:val="center"/>
              <w:rPr>
                <w:rFonts w:ascii="宋体" w:hAnsi="宋体" w:cs="Times New Roman"/>
                <w:snapToGrid w:val="0"/>
                <w:kern w:val="0"/>
                <w:sz w:val="21"/>
                <w:szCs w:val="21"/>
              </w:rPr>
            </w:pPr>
            <w:r>
              <w:rPr>
                <w:rFonts w:ascii="宋体" w:hAnsi="宋体" w:cs="Times New Roman"/>
                <w:sz w:val="21"/>
                <w:szCs w:val="21"/>
              </w:rPr>
              <w:t>DJ2</w:t>
            </w:r>
          </w:p>
        </w:tc>
        <w:tc>
          <w:tcPr>
            <w:tcW w:w="1301" w:type="pct"/>
            <w:vMerge w:val="continue"/>
          </w:tcPr>
          <w:p w14:paraId="4A2EAAAA">
            <w:pPr>
              <w:spacing w:line="280" w:lineRule="exact"/>
              <w:ind w:firstLine="0" w:firstLineChars="0"/>
              <w:jc w:val="center"/>
              <w:rPr>
                <w:rFonts w:ascii="宋体" w:hAnsi="宋体" w:cs="Times New Roman"/>
                <w:sz w:val="21"/>
                <w:szCs w:val="21"/>
              </w:rPr>
            </w:pPr>
          </w:p>
        </w:tc>
        <w:tc>
          <w:tcPr>
            <w:tcW w:w="870" w:type="pct"/>
            <w:vMerge w:val="continue"/>
            <w:tcBorders>
              <w:left w:val="single" w:color="auto" w:sz="2" w:space="0"/>
              <w:right w:val="single" w:color="auto" w:sz="2" w:space="0"/>
            </w:tcBorders>
            <w:vAlign w:val="center"/>
          </w:tcPr>
          <w:p w14:paraId="4D7B2845">
            <w:pPr>
              <w:spacing w:line="280" w:lineRule="exact"/>
              <w:ind w:firstLine="0" w:firstLineChars="0"/>
              <w:jc w:val="center"/>
              <w:rPr>
                <w:rFonts w:ascii="宋体" w:hAnsi="宋体" w:cs="Times New Roman"/>
                <w:snapToGrid w:val="0"/>
                <w:kern w:val="0"/>
                <w:sz w:val="21"/>
                <w:szCs w:val="21"/>
              </w:rPr>
            </w:pPr>
          </w:p>
        </w:tc>
        <w:tc>
          <w:tcPr>
            <w:tcW w:w="956" w:type="pct"/>
            <w:tcBorders>
              <w:top w:val="nil"/>
              <w:left w:val="single" w:color="auto" w:sz="4" w:space="0"/>
              <w:bottom w:val="single" w:color="auto" w:sz="4" w:space="0"/>
              <w:right w:val="single" w:color="auto" w:sz="4" w:space="0"/>
            </w:tcBorders>
            <w:vAlign w:val="center"/>
          </w:tcPr>
          <w:p w14:paraId="0DE446EA">
            <w:pPr>
              <w:spacing w:line="280" w:lineRule="exact"/>
              <w:ind w:firstLine="0" w:firstLineChars="0"/>
              <w:jc w:val="center"/>
              <w:rPr>
                <w:rFonts w:ascii="宋体" w:hAnsi="宋体" w:cs="Times New Roman"/>
                <w:sz w:val="21"/>
                <w:szCs w:val="21"/>
              </w:rPr>
            </w:pPr>
            <w:r>
              <w:rPr>
                <w:rFonts w:ascii="宋体" w:hAnsi="宋体" w:cs="Times New Roman"/>
                <w:kern w:val="0"/>
                <w:sz w:val="21"/>
                <w:szCs w:val="21"/>
                <w:lang w:val="zh-CN"/>
              </w:rPr>
              <w:t>23.4</w:t>
            </w:r>
          </w:p>
        </w:tc>
        <w:tc>
          <w:tcPr>
            <w:tcW w:w="1030" w:type="pct"/>
            <w:tcBorders>
              <w:top w:val="nil"/>
              <w:left w:val="single" w:color="auto" w:sz="4" w:space="0"/>
              <w:bottom w:val="single" w:color="auto" w:sz="4" w:space="0"/>
              <w:right w:val="single" w:color="auto" w:sz="4" w:space="0"/>
            </w:tcBorders>
            <w:vAlign w:val="center"/>
          </w:tcPr>
          <w:p w14:paraId="5D34B2DF">
            <w:pPr>
              <w:spacing w:line="280" w:lineRule="exact"/>
              <w:ind w:firstLine="0" w:firstLineChars="0"/>
              <w:jc w:val="center"/>
              <w:rPr>
                <w:rFonts w:ascii="宋体" w:hAnsi="宋体" w:cs="Times New Roman"/>
                <w:sz w:val="21"/>
                <w:szCs w:val="21"/>
              </w:rPr>
            </w:pPr>
            <w:r>
              <w:rPr>
                <w:rFonts w:ascii="宋体" w:hAnsi="宋体" w:cs="Times New Roman"/>
                <w:kern w:val="0"/>
                <w:sz w:val="21"/>
                <w:szCs w:val="21"/>
                <w:lang w:val="zh-CN"/>
              </w:rPr>
              <w:t>25.4</w:t>
            </w:r>
          </w:p>
        </w:tc>
      </w:tr>
      <w:tr w14:paraId="0F5750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843" w:type="pct"/>
            <w:tcBorders>
              <w:top w:val="single" w:color="auto" w:sz="2" w:space="0"/>
              <w:left w:val="single" w:color="auto" w:sz="4" w:space="0"/>
              <w:bottom w:val="single" w:color="auto" w:sz="2" w:space="0"/>
              <w:right w:val="single" w:color="auto" w:sz="2" w:space="0"/>
            </w:tcBorders>
          </w:tcPr>
          <w:p w14:paraId="435E22E5">
            <w:pPr>
              <w:spacing w:line="280" w:lineRule="exact"/>
              <w:ind w:firstLine="0" w:firstLineChars="0"/>
              <w:jc w:val="center"/>
              <w:rPr>
                <w:rFonts w:ascii="宋体" w:hAnsi="宋体" w:cs="Times New Roman"/>
                <w:sz w:val="21"/>
                <w:szCs w:val="21"/>
              </w:rPr>
            </w:pPr>
            <w:r>
              <w:rPr>
                <w:rFonts w:ascii="宋体" w:hAnsi="宋体" w:cs="Times New Roman"/>
                <w:sz w:val="21"/>
                <w:szCs w:val="21"/>
              </w:rPr>
              <w:t>DJ3</w:t>
            </w:r>
          </w:p>
        </w:tc>
        <w:tc>
          <w:tcPr>
            <w:tcW w:w="1301" w:type="pct"/>
            <w:vMerge w:val="continue"/>
          </w:tcPr>
          <w:p w14:paraId="5453F427">
            <w:pPr>
              <w:spacing w:line="280" w:lineRule="exact"/>
              <w:ind w:firstLine="0" w:firstLineChars="0"/>
              <w:jc w:val="center"/>
              <w:rPr>
                <w:rFonts w:cs="Times New Roman"/>
                <w:sz w:val="21"/>
                <w:szCs w:val="21"/>
              </w:rPr>
            </w:pPr>
          </w:p>
        </w:tc>
        <w:tc>
          <w:tcPr>
            <w:tcW w:w="870" w:type="pct"/>
            <w:vMerge w:val="continue"/>
            <w:tcBorders>
              <w:left w:val="single" w:color="auto" w:sz="2" w:space="0"/>
              <w:bottom w:val="single" w:color="auto" w:sz="2" w:space="0"/>
              <w:right w:val="single" w:color="auto" w:sz="2" w:space="0"/>
            </w:tcBorders>
            <w:vAlign w:val="center"/>
          </w:tcPr>
          <w:p w14:paraId="001E23EF">
            <w:pPr>
              <w:spacing w:line="280" w:lineRule="exact"/>
              <w:ind w:firstLine="0" w:firstLineChars="0"/>
              <w:jc w:val="center"/>
              <w:rPr>
                <w:rFonts w:ascii="宋体" w:hAnsi="宋体" w:cs="Times New Roman"/>
                <w:snapToGrid w:val="0"/>
                <w:kern w:val="0"/>
                <w:sz w:val="21"/>
                <w:szCs w:val="21"/>
              </w:rPr>
            </w:pPr>
          </w:p>
        </w:tc>
        <w:tc>
          <w:tcPr>
            <w:tcW w:w="956" w:type="pct"/>
            <w:tcBorders>
              <w:top w:val="nil"/>
              <w:left w:val="single" w:color="auto" w:sz="4" w:space="0"/>
              <w:bottom w:val="single" w:color="auto" w:sz="4" w:space="0"/>
              <w:right w:val="single" w:color="auto" w:sz="4" w:space="0"/>
            </w:tcBorders>
            <w:vAlign w:val="center"/>
          </w:tcPr>
          <w:p w14:paraId="753FCFD3">
            <w:pPr>
              <w:spacing w:line="280" w:lineRule="exact"/>
              <w:ind w:firstLine="0" w:firstLineChars="0"/>
              <w:jc w:val="center"/>
              <w:rPr>
                <w:rFonts w:ascii="宋体" w:hAnsi="宋体" w:cs="Times New Roman"/>
                <w:kern w:val="0"/>
                <w:sz w:val="21"/>
                <w:szCs w:val="21"/>
                <w:lang w:val="zh-CN"/>
              </w:rPr>
            </w:pPr>
            <w:r>
              <w:rPr>
                <w:rFonts w:ascii="宋体" w:hAnsi="宋体" w:cs="Times New Roman"/>
                <w:kern w:val="0"/>
                <w:sz w:val="21"/>
                <w:szCs w:val="21"/>
                <w:lang w:val="zh-CN"/>
              </w:rPr>
              <w:t>25.3</w:t>
            </w:r>
          </w:p>
        </w:tc>
        <w:tc>
          <w:tcPr>
            <w:tcW w:w="1030" w:type="pct"/>
            <w:tcBorders>
              <w:top w:val="nil"/>
              <w:left w:val="single" w:color="auto" w:sz="4" w:space="0"/>
              <w:bottom w:val="single" w:color="auto" w:sz="4" w:space="0"/>
              <w:right w:val="single" w:color="auto" w:sz="4" w:space="0"/>
            </w:tcBorders>
            <w:vAlign w:val="center"/>
          </w:tcPr>
          <w:p w14:paraId="47DEE358">
            <w:pPr>
              <w:spacing w:line="280" w:lineRule="exact"/>
              <w:ind w:firstLine="0" w:firstLineChars="0"/>
              <w:jc w:val="center"/>
              <w:rPr>
                <w:rFonts w:ascii="宋体" w:hAnsi="宋体" w:cs="Times New Roman"/>
                <w:kern w:val="0"/>
                <w:sz w:val="21"/>
                <w:szCs w:val="21"/>
                <w:lang w:val="zh-CN"/>
              </w:rPr>
            </w:pPr>
            <w:r>
              <w:rPr>
                <w:rFonts w:ascii="宋体" w:hAnsi="宋体" w:cs="Times New Roman"/>
                <w:kern w:val="0"/>
                <w:sz w:val="21"/>
                <w:szCs w:val="21"/>
                <w:lang w:val="zh-CN"/>
              </w:rPr>
              <w:t>26.5</w:t>
            </w:r>
          </w:p>
        </w:tc>
      </w:tr>
      <w:tr w14:paraId="2992F61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3014" w:type="pct"/>
            <w:gridSpan w:val="3"/>
            <w:tcBorders>
              <w:top w:val="single" w:color="auto" w:sz="2" w:space="0"/>
              <w:left w:val="single" w:color="auto" w:sz="4" w:space="0"/>
              <w:bottom w:val="single" w:color="auto" w:sz="2" w:space="0"/>
              <w:right w:val="single" w:color="auto" w:sz="2" w:space="0"/>
            </w:tcBorders>
          </w:tcPr>
          <w:p w14:paraId="415E2ACE">
            <w:pPr>
              <w:spacing w:line="280" w:lineRule="exact"/>
              <w:ind w:firstLine="0" w:firstLineChars="0"/>
              <w:jc w:val="center"/>
              <w:rPr>
                <w:rFonts w:ascii="宋体" w:hAnsi="宋体" w:cs="Times New Roman"/>
                <w:snapToGrid w:val="0"/>
                <w:kern w:val="0"/>
                <w:sz w:val="21"/>
                <w:szCs w:val="21"/>
              </w:rPr>
            </w:pPr>
            <w:r>
              <w:rPr>
                <w:rFonts w:hint="eastAsia" w:ascii="宋体" w:hAnsi="宋体" w:cs="Times New Roman"/>
                <w:snapToGrid w:val="0"/>
                <w:kern w:val="0"/>
                <w:sz w:val="21"/>
                <w:szCs w:val="21"/>
              </w:rPr>
              <w:t>天然状态平均值</w:t>
            </w:r>
          </w:p>
        </w:tc>
        <w:tc>
          <w:tcPr>
            <w:tcW w:w="956" w:type="pct"/>
            <w:tcBorders>
              <w:top w:val="nil"/>
              <w:left w:val="single" w:color="auto" w:sz="4" w:space="0"/>
              <w:bottom w:val="single" w:color="auto" w:sz="4" w:space="0"/>
              <w:right w:val="single" w:color="auto" w:sz="4" w:space="0"/>
            </w:tcBorders>
            <w:vAlign w:val="center"/>
          </w:tcPr>
          <w:p w14:paraId="31755A90">
            <w:pPr>
              <w:spacing w:line="280" w:lineRule="exact"/>
              <w:ind w:firstLine="0" w:firstLineChars="0"/>
              <w:jc w:val="center"/>
              <w:rPr>
                <w:rFonts w:ascii="宋体" w:hAnsi="宋体" w:cs="Times New Roman"/>
                <w:b/>
                <w:bCs/>
                <w:kern w:val="0"/>
                <w:sz w:val="21"/>
                <w:szCs w:val="21"/>
                <w:lang w:val="zh-CN"/>
              </w:rPr>
            </w:pPr>
            <w:r>
              <w:rPr>
                <w:rFonts w:hint="eastAsia" w:cs="Times New Roman"/>
                <w:b/>
                <w:bCs/>
                <w:sz w:val="21"/>
                <w:szCs w:val="21"/>
              </w:rPr>
              <w:t xml:space="preserve">24.2 </w:t>
            </w:r>
          </w:p>
        </w:tc>
        <w:tc>
          <w:tcPr>
            <w:tcW w:w="1030" w:type="pct"/>
            <w:tcBorders>
              <w:top w:val="nil"/>
              <w:left w:val="single" w:color="auto" w:sz="4" w:space="0"/>
              <w:bottom w:val="single" w:color="auto" w:sz="4" w:space="0"/>
              <w:right w:val="single" w:color="auto" w:sz="4" w:space="0"/>
            </w:tcBorders>
            <w:vAlign w:val="center"/>
          </w:tcPr>
          <w:p w14:paraId="3B305268">
            <w:pPr>
              <w:spacing w:line="280" w:lineRule="exact"/>
              <w:ind w:firstLine="0" w:firstLineChars="0"/>
              <w:jc w:val="center"/>
              <w:rPr>
                <w:rFonts w:ascii="宋体" w:hAnsi="宋体" w:cs="Times New Roman"/>
                <w:b/>
                <w:bCs/>
                <w:kern w:val="0"/>
                <w:sz w:val="21"/>
                <w:szCs w:val="21"/>
                <w:lang w:val="zh-CN"/>
              </w:rPr>
            </w:pPr>
            <w:r>
              <w:rPr>
                <w:rFonts w:hint="eastAsia" w:cs="Times New Roman"/>
                <w:b/>
                <w:bCs/>
                <w:sz w:val="21"/>
                <w:szCs w:val="21"/>
              </w:rPr>
              <w:t xml:space="preserve">25.9 </w:t>
            </w:r>
          </w:p>
        </w:tc>
      </w:tr>
      <w:tr w14:paraId="568DD0D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843" w:type="pct"/>
            <w:tcBorders>
              <w:top w:val="single" w:color="auto" w:sz="2" w:space="0"/>
              <w:left w:val="single" w:color="auto" w:sz="4" w:space="0"/>
              <w:bottom w:val="single" w:color="auto" w:sz="2" w:space="0"/>
              <w:right w:val="single" w:color="auto" w:sz="2" w:space="0"/>
            </w:tcBorders>
          </w:tcPr>
          <w:p w14:paraId="11730D0E">
            <w:pPr>
              <w:spacing w:line="280" w:lineRule="exact"/>
              <w:ind w:firstLine="0" w:firstLineChars="0"/>
              <w:jc w:val="center"/>
              <w:rPr>
                <w:rFonts w:ascii="宋体" w:hAnsi="宋体" w:cs="Times New Roman"/>
                <w:sz w:val="21"/>
                <w:szCs w:val="21"/>
              </w:rPr>
            </w:pPr>
            <w:r>
              <w:rPr>
                <w:rFonts w:ascii="宋体" w:hAnsi="宋体" w:cs="Times New Roman"/>
                <w:sz w:val="21"/>
                <w:szCs w:val="21"/>
              </w:rPr>
              <w:t>DJ4</w:t>
            </w:r>
          </w:p>
        </w:tc>
        <w:tc>
          <w:tcPr>
            <w:tcW w:w="1301" w:type="pct"/>
            <w:vMerge w:val="restart"/>
            <w:vAlign w:val="center"/>
          </w:tcPr>
          <w:p w14:paraId="11C3B183">
            <w:pPr>
              <w:spacing w:line="280" w:lineRule="exact"/>
              <w:ind w:firstLine="0" w:firstLineChars="0"/>
              <w:jc w:val="center"/>
              <w:rPr>
                <w:rFonts w:cs="Times New Roman"/>
                <w:sz w:val="21"/>
                <w:szCs w:val="21"/>
              </w:rPr>
            </w:pPr>
            <w:r>
              <w:rPr>
                <w:rFonts w:hint="eastAsia" w:cs="Times New Roman"/>
                <w:sz w:val="21"/>
                <w:szCs w:val="21"/>
              </w:rPr>
              <w:t>磷石膏</w:t>
            </w:r>
            <w:r>
              <w:rPr>
                <w:rFonts w:hint="eastAsia" w:ascii="宋体" w:hAnsi="宋体" w:cs="宋体"/>
                <w:sz w:val="21"/>
                <w:szCs w:val="21"/>
              </w:rPr>
              <w:t>①</w:t>
            </w:r>
            <w:r>
              <w:rPr>
                <w:rFonts w:cs="Times New Roman"/>
                <w:sz w:val="21"/>
                <w:szCs w:val="21"/>
                <w:vertAlign w:val="subscript"/>
              </w:rPr>
              <w:t>1</w:t>
            </w:r>
          </w:p>
        </w:tc>
        <w:tc>
          <w:tcPr>
            <w:tcW w:w="870" w:type="pct"/>
            <w:vMerge w:val="restart"/>
            <w:tcBorders>
              <w:top w:val="single" w:color="auto" w:sz="2" w:space="0"/>
              <w:left w:val="single" w:color="auto" w:sz="2" w:space="0"/>
              <w:right w:val="single" w:color="auto" w:sz="2" w:space="0"/>
            </w:tcBorders>
            <w:vAlign w:val="center"/>
          </w:tcPr>
          <w:p w14:paraId="19DD91E2">
            <w:pPr>
              <w:spacing w:line="280" w:lineRule="exact"/>
              <w:ind w:firstLine="0" w:firstLineChars="0"/>
              <w:jc w:val="center"/>
              <w:rPr>
                <w:rFonts w:ascii="宋体" w:hAnsi="宋体" w:cs="Times New Roman"/>
                <w:snapToGrid w:val="0"/>
                <w:kern w:val="0"/>
                <w:sz w:val="21"/>
                <w:szCs w:val="21"/>
              </w:rPr>
            </w:pPr>
            <w:r>
              <w:rPr>
                <w:rFonts w:hint="eastAsia" w:ascii="宋体" w:hAnsi="宋体" w:cs="Times New Roman"/>
                <w:snapToGrid w:val="0"/>
                <w:kern w:val="0"/>
                <w:sz w:val="21"/>
                <w:szCs w:val="21"/>
              </w:rPr>
              <w:t>浸水状态</w:t>
            </w:r>
          </w:p>
        </w:tc>
        <w:tc>
          <w:tcPr>
            <w:tcW w:w="956" w:type="pct"/>
            <w:tcBorders>
              <w:top w:val="nil"/>
              <w:left w:val="single" w:color="auto" w:sz="4" w:space="0"/>
              <w:bottom w:val="single" w:color="auto" w:sz="4" w:space="0"/>
              <w:right w:val="single" w:color="auto" w:sz="4" w:space="0"/>
            </w:tcBorders>
            <w:vAlign w:val="center"/>
          </w:tcPr>
          <w:p w14:paraId="7EDC5F2E">
            <w:pPr>
              <w:spacing w:line="280" w:lineRule="exact"/>
              <w:ind w:firstLine="0" w:firstLineChars="0"/>
              <w:jc w:val="center"/>
              <w:rPr>
                <w:rFonts w:ascii="宋体" w:hAnsi="宋体" w:cs="Times New Roman"/>
                <w:kern w:val="0"/>
                <w:sz w:val="21"/>
                <w:szCs w:val="21"/>
                <w:lang w:val="zh-CN"/>
              </w:rPr>
            </w:pPr>
            <w:r>
              <w:rPr>
                <w:rFonts w:ascii="宋体" w:hAnsi="宋体" w:cs="Times New Roman"/>
                <w:kern w:val="0"/>
                <w:sz w:val="21"/>
                <w:szCs w:val="21"/>
                <w:lang w:val="zh-CN"/>
              </w:rPr>
              <w:t>21.6</w:t>
            </w:r>
          </w:p>
        </w:tc>
        <w:tc>
          <w:tcPr>
            <w:tcW w:w="1030" w:type="pct"/>
            <w:tcBorders>
              <w:top w:val="nil"/>
              <w:left w:val="single" w:color="auto" w:sz="4" w:space="0"/>
              <w:bottom w:val="single" w:color="auto" w:sz="4" w:space="0"/>
              <w:right w:val="single" w:color="auto" w:sz="4" w:space="0"/>
            </w:tcBorders>
            <w:vAlign w:val="center"/>
          </w:tcPr>
          <w:p w14:paraId="632B1D21">
            <w:pPr>
              <w:spacing w:line="280" w:lineRule="exact"/>
              <w:ind w:firstLine="0" w:firstLineChars="0"/>
              <w:jc w:val="center"/>
              <w:rPr>
                <w:rFonts w:ascii="宋体" w:hAnsi="宋体" w:cs="Times New Roman"/>
                <w:kern w:val="0"/>
                <w:sz w:val="21"/>
                <w:szCs w:val="21"/>
                <w:lang w:val="zh-CN"/>
              </w:rPr>
            </w:pPr>
            <w:r>
              <w:rPr>
                <w:rFonts w:hint="eastAsia" w:ascii="宋体" w:hAnsi="宋体" w:cs="Times New Roman"/>
                <w:kern w:val="0"/>
                <w:sz w:val="21"/>
                <w:szCs w:val="21"/>
                <w:lang w:val="zh-CN"/>
              </w:rPr>
              <w:t>2</w:t>
            </w:r>
            <w:r>
              <w:rPr>
                <w:rFonts w:ascii="宋体" w:hAnsi="宋体" w:cs="Times New Roman"/>
                <w:kern w:val="0"/>
                <w:sz w:val="21"/>
                <w:szCs w:val="21"/>
                <w:lang w:val="zh-CN"/>
              </w:rPr>
              <w:t>3.8</w:t>
            </w:r>
          </w:p>
        </w:tc>
      </w:tr>
      <w:tr w14:paraId="7137933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843" w:type="pct"/>
            <w:tcBorders>
              <w:top w:val="single" w:color="auto" w:sz="2" w:space="0"/>
              <w:left w:val="single" w:color="auto" w:sz="4" w:space="0"/>
              <w:bottom w:val="single" w:color="auto" w:sz="2" w:space="0"/>
              <w:right w:val="single" w:color="auto" w:sz="2" w:space="0"/>
            </w:tcBorders>
            <w:vAlign w:val="center"/>
          </w:tcPr>
          <w:p w14:paraId="228D16D7">
            <w:pPr>
              <w:spacing w:line="280" w:lineRule="exact"/>
              <w:ind w:firstLine="0" w:firstLineChars="0"/>
              <w:jc w:val="center"/>
              <w:rPr>
                <w:rFonts w:ascii="宋体" w:hAnsi="宋体" w:cs="Times New Roman"/>
                <w:sz w:val="21"/>
                <w:szCs w:val="21"/>
              </w:rPr>
            </w:pPr>
            <w:r>
              <w:rPr>
                <w:rFonts w:ascii="宋体" w:hAnsi="宋体" w:cs="Times New Roman"/>
                <w:sz w:val="21"/>
                <w:szCs w:val="21"/>
              </w:rPr>
              <w:t>DJ5</w:t>
            </w:r>
          </w:p>
        </w:tc>
        <w:tc>
          <w:tcPr>
            <w:tcW w:w="1301" w:type="pct"/>
            <w:vMerge w:val="continue"/>
          </w:tcPr>
          <w:p w14:paraId="11B76FF8">
            <w:pPr>
              <w:spacing w:line="280" w:lineRule="exact"/>
              <w:ind w:firstLine="0" w:firstLineChars="0"/>
              <w:jc w:val="center"/>
              <w:rPr>
                <w:rFonts w:cs="Times New Roman"/>
                <w:sz w:val="21"/>
                <w:szCs w:val="21"/>
              </w:rPr>
            </w:pPr>
          </w:p>
        </w:tc>
        <w:tc>
          <w:tcPr>
            <w:tcW w:w="870" w:type="pct"/>
            <w:vMerge w:val="continue"/>
            <w:tcBorders>
              <w:left w:val="single" w:color="auto" w:sz="2" w:space="0"/>
              <w:right w:val="single" w:color="auto" w:sz="2" w:space="0"/>
            </w:tcBorders>
          </w:tcPr>
          <w:p w14:paraId="191DF491">
            <w:pPr>
              <w:spacing w:line="280" w:lineRule="exact"/>
              <w:ind w:firstLine="0" w:firstLineChars="0"/>
              <w:jc w:val="center"/>
              <w:rPr>
                <w:rFonts w:ascii="宋体" w:hAnsi="宋体" w:cs="Times New Roman"/>
                <w:snapToGrid w:val="0"/>
                <w:kern w:val="0"/>
                <w:sz w:val="21"/>
                <w:szCs w:val="21"/>
              </w:rPr>
            </w:pPr>
          </w:p>
        </w:tc>
        <w:tc>
          <w:tcPr>
            <w:tcW w:w="956" w:type="pct"/>
            <w:tcBorders>
              <w:top w:val="nil"/>
              <w:left w:val="single" w:color="auto" w:sz="4" w:space="0"/>
              <w:bottom w:val="single" w:color="auto" w:sz="4" w:space="0"/>
              <w:right w:val="single" w:color="auto" w:sz="4" w:space="0"/>
            </w:tcBorders>
            <w:vAlign w:val="center"/>
          </w:tcPr>
          <w:p w14:paraId="373EA504">
            <w:pPr>
              <w:spacing w:line="280" w:lineRule="exact"/>
              <w:ind w:firstLine="0" w:firstLineChars="0"/>
              <w:jc w:val="center"/>
              <w:rPr>
                <w:rFonts w:ascii="宋体" w:hAnsi="宋体" w:cs="Times New Roman"/>
                <w:kern w:val="0"/>
                <w:sz w:val="21"/>
                <w:szCs w:val="21"/>
                <w:lang w:val="zh-CN"/>
              </w:rPr>
            </w:pPr>
            <w:r>
              <w:rPr>
                <w:rFonts w:ascii="宋体" w:hAnsi="宋体" w:cs="Times New Roman"/>
                <w:kern w:val="0"/>
                <w:sz w:val="21"/>
                <w:szCs w:val="21"/>
                <w:lang w:val="zh-CN"/>
              </w:rPr>
              <w:t>23.4</w:t>
            </w:r>
          </w:p>
        </w:tc>
        <w:tc>
          <w:tcPr>
            <w:tcW w:w="1030" w:type="pct"/>
            <w:tcBorders>
              <w:top w:val="nil"/>
              <w:left w:val="single" w:color="auto" w:sz="4" w:space="0"/>
              <w:bottom w:val="single" w:color="auto" w:sz="4" w:space="0"/>
              <w:right w:val="single" w:color="auto" w:sz="4" w:space="0"/>
            </w:tcBorders>
            <w:vAlign w:val="center"/>
          </w:tcPr>
          <w:p w14:paraId="5715FD84">
            <w:pPr>
              <w:spacing w:line="280" w:lineRule="exact"/>
              <w:ind w:firstLine="0" w:firstLineChars="0"/>
              <w:jc w:val="center"/>
              <w:rPr>
                <w:rFonts w:ascii="宋体" w:hAnsi="宋体" w:cs="Times New Roman"/>
                <w:kern w:val="0"/>
                <w:sz w:val="21"/>
                <w:szCs w:val="21"/>
                <w:lang w:val="zh-CN"/>
              </w:rPr>
            </w:pPr>
            <w:r>
              <w:rPr>
                <w:rFonts w:ascii="宋体" w:hAnsi="宋体" w:cs="Times New Roman"/>
                <w:kern w:val="0"/>
                <w:sz w:val="21"/>
                <w:szCs w:val="21"/>
                <w:lang w:val="zh-CN"/>
              </w:rPr>
              <w:t>23.7</w:t>
            </w:r>
          </w:p>
        </w:tc>
      </w:tr>
      <w:tr w14:paraId="1C2D3B5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843" w:type="pct"/>
            <w:tcBorders>
              <w:top w:val="single" w:color="auto" w:sz="2" w:space="0"/>
              <w:left w:val="single" w:color="auto" w:sz="4" w:space="0"/>
              <w:bottom w:val="single" w:color="auto" w:sz="2" w:space="0"/>
              <w:right w:val="single" w:color="auto" w:sz="2" w:space="0"/>
            </w:tcBorders>
            <w:vAlign w:val="center"/>
          </w:tcPr>
          <w:p w14:paraId="1C9C083C">
            <w:pPr>
              <w:spacing w:line="280" w:lineRule="exact"/>
              <w:ind w:firstLine="0" w:firstLineChars="0"/>
              <w:jc w:val="center"/>
              <w:rPr>
                <w:rFonts w:ascii="宋体" w:hAnsi="宋体" w:cs="Times New Roman"/>
                <w:sz w:val="21"/>
                <w:szCs w:val="21"/>
              </w:rPr>
            </w:pPr>
            <w:r>
              <w:rPr>
                <w:rFonts w:ascii="宋体" w:hAnsi="宋体" w:cs="Times New Roman"/>
                <w:sz w:val="21"/>
                <w:szCs w:val="21"/>
              </w:rPr>
              <w:t>DJ6</w:t>
            </w:r>
          </w:p>
        </w:tc>
        <w:tc>
          <w:tcPr>
            <w:tcW w:w="1301" w:type="pct"/>
            <w:vMerge w:val="continue"/>
          </w:tcPr>
          <w:p w14:paraId="7CEDE60E">
            <w:pPr>
              <w:spacing w:line="280" w:lineRule="exact"/>
              <w:ind w:firstLine="0" w:firstLineChars="0"/>
              <w:jc w:val="center"/>
              <w:rPr>
                <w:rFonts w:cs="Times New Roman"/>
                <w:sz w:val="21"/>
                <w:szCs w:val="21"/>
              </w:rPr>
            </w:pPr>
          </w:p>
        </w:tc>
        <w:tc>
          <w:tcPr>
            <w:tcW w:w="870" w:type="pct"/>
            <w:vMerge w:val="continue"/>
            <w:tcBorders>
              <w:left w:val="single" w:color="auto" w:sz="2" w:space="0"/>
              <w:bottom w:val="single" w:color="auto" w:sz="2" w:space="0"/>
              <w:right w:val="single" w:color="auto" w:sz="2" w:space="0"/>
            </w:tcBorders>
          </w:tcPr>
          <w:p w14:paraId="5253365D">
            <w:pPr>
              <w:spacing w:line="280" w:lineRule="exact"/>
              <w:ind w:firstLine="0" w:firstLineChars="0"/>
              <w:jc w:val="center"/>
              <w:rPr>
                <w:rFonts w:ascii="宋体" w:hAnsi="宋体" w:cs="Times New Roman"/>
                <w:snapToGrid w:val="0"/>
                <w:kern w:val="0"/>
                <w:sz w:val="21"/>
                <w:szCs w:val="21"/>
              </w:rPr>
            </w:pPr>
          </w:p>
        </w:tc>
        <w:tc>
          <w:tcPr>
            <w:tcW w:w="956" w:type="pct"/>
            <w:tcBorders>
              <w:top w:val="nil"/>
              <w:left w:val="single" w:color="auto" w:sz="4" w:space="0"/>
              <w:bottom w:val="single" w:color="auto" w:sz="4" w:space="0"/>
              <w:right w:val="single" w:color="auto" w:sz="4" w:space="0"/>
            </w:tcBorders>
            <w:vAlign w:val="center"/>
          </w:tcPr>
          <w:p w14:paraId="7EEE284E">
            <w:pPr>
              <w:spacing w:line="280" w:lineRule="exact"/>
              <w:ind w:firstLine="0" w:firstLineChars="0"/>
              <w:jc w:val="center"/>
              <w:rPr>
                <w:rFonts w:ascii="宋体" w:hAnsi="宋体" w:cs="Times New Roman"/>
                <w:kern w:val="0"/>
                <w:sz w:val="21"/>
                <w:szCs w:val="21"/>
                <w:lang w:val="zh-CN"/>
              </w:rPr>
            </w:pPr>
            <w:r>
              <w:rPr>
                <w:rFonts w:ascii="宋体" w:hAnsi="宋体" w:cs="Times New Roman"/>
                <w:kern w:val="0"/>
                <w:sz w:val="21"/>
                <w:szCs w:val="21"/>
                <w:lang w:val="zh-CN"/>
              </w:rPr>
              <w:t>22.2</w:t>
            </w:r>
          </w:p>
        </w:tc>
        <w:tc>
          <w:tcPr>
            <w:tcW w:w="1030" w:type="pct"/>
            <w:tcBorders>
              <w:top w:val="nil"/>
              <w:left w:val="single" w:color="auto" w:sz="4" w:space="0"/>
              <w:bottom w:val="single" w:color="auto" w:sz="4" w:space="0"/>
              <w:right w:val="single" w:color="auto" w:sz="4" w:space="0"/>
            </w:tcBorders>
            <w:vAlign w:val="center"/>
          </w:tcPr>
          <w:p w14:paraId="7E0973B0">
            <w:pPr>
              <w:spacing w:line="280" w:lineRule="exact"/>
              <w:ind w:firstLine="0" w:firstLineChars="0"/>
              <w:jc w:val="center"/>
              <w:rPr>
                <w:rFonts w:ascii="宋体" w:hAnsi="宋体" w:cs="Times New Roman"/>
                <w:kern w:val="0"/>
                <w:sz w:val="21"/>
                <w:szCs w:val="21"/>
                <w:lang w:val="zh-CN"/>
              </w:rPr>
            </w:pPr>
            <w:r>
              <w:rPr>
                <w:rFonts w:ascii="宋体" w:hAnsi="宋体" w:cs="Times New Roman"/>
                <w:kern w:val="0"/>
                <w:sz w:val="21"/>
                <w:szCs w:val="21"/>
                <w:lang w:val="zh-CN"/>
              </w:rPr>
              <w:t>24.2</w:t>
            </w:r>
          </w:p>
        </w:tc>
      </w:tr>
      <w:tr w14:paraId="3FA281B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3014" w:type="pct"/>
            <w:gridSpan w:val="3"/>
            <w:tcBorders>
              <w:top w:val="single" w:color="auto" w:sz="2" w:space="0"/>
              <w:left w:val="single" w:color="auto" w:sz="4" w:space="0"/>
              <w:bottom w:val="single" w:color="auto" w:sz="2" w:space="0"/>
              <w:right w:val="single" w:color="auto" w:sz="2" w:space="0"/>
            </w:tcBorders>
          </w:tcPr>
          <w:p w14:paraId="74DB8C0D">
            <w:pPr>
              <w:spacing w:line="280" w:lineRule="exact"/>
              <w:ind w:firstLine="0" w:firstLineChars="0"/>
              <w:jc w:val="center"/>
              <w:rPr>
                <w:rFonts w:ascii="宋体" w:hAnsi="宋体" w:cs="Times New Roman"/>
                <w:snapToGrid w:val="0"/>
                <w:kern w:val="0"/>
                <w:sz w:val="21"/>
                <w:szCs w:val="21"/>
              </w:rPr>
            </w:pPr>
            <w:r>
              <w:rPr>
                <w:rFonts w:hint="eastAsia" w:ascii="宋体" w:hAnsi="宋体" w:cs="Times New Roman"/>
                <w:snapToGrid w:val="0"/>
                <w:kern w:val="0"/>
                <w:sz w:val="21"/>
                <w:szCs w:val="21"/>
              </w:rPr>
              <w:t>浸水状态平均值</w:t>
            </w:r>
          </w:p>
        </w:tc>
        <w:tc>
          <w:tcPr>
            <w:tcW w:w="956" w:type="pct"/>
            <w:tcBorders>
              <w:top w:val="nil"/>
              <w:left w:val="single" w:color="auto" w:sz="4" w:space="0"/>
              <w:bottom w:val="single" w:color="auto" w:sz="4" w:space="0"/>
              <w:right w:val="single" w:color="auto" w:sz="4" w:space="0"/>
            </w:tcBorders>
            <w:vAlign w:val="bottom"/>
          </w:tcPr>
          <w:p w14:paraId="6AE68BD9">
            <w:pPr>
              <w:spacing w:line="280" w:lineRule="exact"/>
              <w:ind w:firstLine="0" w:firstLineChars="0"/>
              <w:jc w:val="center"/>
              <w:rPr>
                <w:rFonts w:ascii="宋体" w:hAnsi="宋体" w:cs="Times New Roman"/>
                <w:b/>
                <w:bCs/>
                <w:kern w:val="0"/>
                <w:sz w:val="21"/>
                <w:szCs w:val="21"/>
                <w:lang w:val="zh-CN"/>
              </w:rPr>
            </w:pPr>
            <w:r>
              <w:rPr>
                <w:rFonts w:hint="eastAsia" w:ascii="宋体" w:hAnsi="宋体" w:cs="Times New Roman"/>
                <w:b/>
                <w:bCs/>
                <w:kern w:val="0"/>
                <w:sz w:val="21"/>
                <w:szCs w:val="21"/>
                <w:lang w:val="zh-CN"/>
              </w:rPr>
              <w:t>22.4</w:t>
            </w:r>
          </w:p>
        </w:tc>
        <w:tc>
          <w:tcPr>
            <w:tcW w:w="1030" w:type="pct"/>
            <w:tcBorders>
              <w:top w:val="nil"/>
              <w:left w:val="single" w:color="auto" w:sz="4" w:space="0"/>
              <w:bottom w:val="single" w:color="auto" w:sz="4" w:space="0"/>
              <w:right w:val="single" w:color="auto" w:sz="4" w:space="0"/>
            </w:tcBorders>
            <w:vAlign w:val="bottom"/>
          </w:tcPr>
          <w:p w14:paraId="2DAFA696">
            <w:pPr>
              <w:spacing w:line="280" w:lineRule="exact"/>
              <w:ind w:firstLine="0" w:firstLineChars="0"/>
              <w:jc w:val="center"/>
              <w:rPr>
                <w:rFonts w:ascii="宋体" w:hAnsi="宋体" w:cs="Times New Roman"/>
                <w:b/>
                <w:bCs/>
                <w:kern w:val="0"/>
                <w:sz w:val="21"/>
                <w:szCs w:val="21"/>
                <w:lang w:val="zh-CN"/>
              </w:rPr>
            </w:pPr>
            <w:r>
              <w:rPr>
                <w:rFonts w:hint="eastAsia" w:ascii="宋体" w:hAnsi="宋体" w:cs="Times New Roman"/>
                <w:b/>
                <w:bCs/>
                <w:kern w:val="0"/>
                <w:sz w:val="21"/>
                <w:szCs w:val="21"/>
                <w:lang w:val="zh-CN"/>
              </w:rPr>
              <w:t>23.9</w:t>
            </w:r>
          </w:p>
        </w:tc>
      </w:tr>
    </w:tbl>
    <w:p w14:paraId="6C4FDDE7">
      <w:pPr>
        <w:autoSpaceDE w:val="0"/>
        <w:autoSpaceDN w:val="0"/>
        <w:adjustRightInd w:val="0"/>
        <w:ind w:firstLine="0" w:firstLineChars="0"/>
        <w:jc w:val="center"/>
        <w:rPr>
          <w:rFonts w:cs="Times New Roman"/>
          <w:sz w:val="24"/>
          <w:szCs w:val="24"/>
        </w:rPr>
      </w:pPr>
      <w:r>
        <w:rPr>
          <w:rFonts w:cs="Times New Roman"/>
          <w:snapToGrid w:val="0"/>
          <w:kern w:val="0"/>
          <w:sz w:val="24"/>
          <w:szCs w:val="24"/>
        </w:rPr>
        <w:t xml:space="preserve">    </w:t>
      </w:r>
      <w:r>
        <w:rPr>
          <w:rFonts w:cs="Times New Roman"/>
          <w:sz w:val="24"/>
          <w:szCs w:val="24"/>
        </w:rPr>
        <w:t>表</w:t>
      </w:r>
      <w:r>
        <w:rPr>
          <w:rFonts w:hint="eastAsia" w:cs="Times New Roman"/>
          <w:sz w:val="24"/>
          <w:szCs w:val="24"/>
        </w:rPr>
        <w:t>2.3-6</w:t>
      </w:r>
      <w:r>
        <w:rPr>
          <w:rFonts w:cs="Times New Roman"/>
          <w:sz w:val="24"/>
          <w:szCs w:val="24"/>
        </w:rPr>
        <w:t xml:space="preserve"> 重型击实及击实后的试验成果表</w:t>
      </w:r>
    </w:p>
    <w:tbl>
      <w:tblPr>
        <w:tblStyle w:val="33"/>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28" w:type="dxa"/>
          <w:bottom w:w="0" w:type="dxa"/>
          <w:right w:w="28" w:type="dxa"/>
        </w:tblCellMar>
      </w:tblPr>
      <w:tblGrid>
        <w:gridCol w:w="1067"/>
        <w:gridCol w:w="806"/>
        <w:gridCol w:w="806"/>
        <w:gridCol w:w="806"/>
        <w:gridCol w:w="813"/>
        <w:gridCol w:w="850"/>
        <w:gridCol w:w="808"/>
        <w:gridCol w:w="1107"/>
        <w:gridCol w:w="1253"/>
        <w:gridCol w:w="924"/>
      </w:tblGrid>
      <w:tr w14:paraId="389C35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0" w:hRule="exact"/>
          <w:jc w:val="center"/>
        </w:trPr>
        <w:tc>
          <w:tcPr>
            <w:tcW w:w="578" w:type="pct"/>
            <w:vMerge w:val="restart"/>
            <w:vAlign w:val="center"/>
          </w:tcPr>
          <w:p w14:paraId="40AF4E5B">
            <w:pPr>
              <w:widowControl/>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统计</w:t>
            </w:r>
          </w:p>
          <w:p w14:paraId="67D03466">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项目</w:t>
            </w:r>
          </w:p>
        </w:tc>
        <w:tc>
          <w:tcPr>
            <w:tcW w:w="3244" w:type="pct"/>
            <w:gridSpan w:val="7"/>
            <w:vAlign w:val="center"/>
          </w:tcPr>
          <w:p w14:paraId="48CF6B56">
            <w:pPr>
              <w:widowControl/>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击实后的物理力学性</w:t>
            </w:r>
          </w:p>
        </w:tc>
        <w:tc>
          <w:tcPr>
            <w:tcW w:w="1179" w:type="pct"/>
            <w:gridSpan w:val="2"/>
            <w:vAlign w:val="center"/>
          </w:tcPr>
          <w:p w14:paraId="1DCE8862">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击实试验</w:t>
            </w:r>
          </w:p>
        </w:tc>
      </w:tr>
      <w:tr w14:paraId="5923B6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0" w:hRule="exact"/>
          <w:jc w:val="center"/>
        </w:trPr>
        <w:tc>
          <w:tcPr>
            <w:tcW w:w="578" w:type="pct"/>
            <w:vMerge w:val="continue"/>
            <w:vAlign w:val="center"/>
          </w:tcPr>
          <w:p w14:paraId="6567D767">
            <w:pPr>
              <w:widowControl/>
              <w:adjustRightInd w:val="0"/>
              <w:snapToGrid w:val="0"/>
              <w:spacing w:line="320" w:lineRule="exact"/>
              <w:ind w:firstLine="0" w:firstLineChars="0"/>
              <w:jc w:val="center"/>
              <w:rPr>
                <w:rFonts w:cs="Times New Roman"/>
                <w:snapToGrid w:val="0"/>
                <w:spacing w:val="-10"/>
                <w:kern w:val="0"/>
                <w:sz w:val="21"/>
                <w:szCs w:val="21"/>
              </w:rPr>
            </w:pPr>
          </w:p>
        </w:tc>
        <w:tc>
          <w:tcPr>
            <w:tcW w:w="1748" w:type="pct"/>
            <w:gridSpan w:val="4"/>
            <w:vAlign w:val="center"/>
          </w:tcPr>
          <w:p w14:paraId="23DF948A">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压缩性</w:t>
            </w:r>
          </w:p>
        </w:tc>
        <w:tc>
          <w:tcPr>
            <w:tcW w:w="897" w:type="pct"/>
            <w:gridSpan w:val="2"/>
            <w:vAlign w:val="center"/>
          </w:tcPr>
          <w:p w14:paraId="71A5D979">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饱和快剪</w:t>
            </w:r>
          </w:p>
        </w:tc>
        <w:tc>
          <w:tcPr>
            <w:tcW w:w="599" w:type="pct"/>
            <w:vAlign w:val="center"/>
          </w:tcPr>
          <w:p w14:paraId="6F35AB81">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渗透系数</w:t>
            </w:r>
          </w:p>
        </w:tc>
        <w:tc>
          <w:tcPr>
            <w:tcW w:w="1179" w:type="pct"/>
            <w:gridSpan w:val="2"/>
            <w:vAlign w:val="center"/>
          </w:tcPr>
          <w:p w14:paraId="1C5E3ACC">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重型击实试验</w:t>
            </w:r>
          </w:p>
        </w:tc>
      </w:tr>
      <w:tr w14:paraId="322B40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0" w:hRule="exact"/>
          <w:jc w:val="center"/>
        </w:trPr>
        <w:tc>
          <w:tcPr>
            <w:tcW w:w="578" w:type="pct"/>
            <w:vMerge w:val="continue"/>
            <w:vAlign w:val="center"/>
          </w:tcPr>
          <w:p w14:paraId="661CD5C3">
            <w:pPr>
              <w:adjustRightInd w:val="0"/>
              <w:snapToGrid w:val="0"/>
              <w:spacing w:line="320" w:lineRule="exact"/>
              <w:ind w:firstLine="0" w:firstLineChars="0"/>
              <w:jc w:val="center"/>
              <w:rPr>
                <w:rFonts w:cs="Times New Roman"/>
                <w:snapToGrid w:val="0"/>
                <w:spacing w:val="-10"/>
                <w:kern w:val="0"/>
                <w:sz w:val="21"/>
                <w:szCs w:val="21"/>
              </w:rPr>
            </w:pPr>
          </w:p>
        </w:tc>
        <w:tc>
          <w:tcPr>
            <w:tcW w:w="436" w:type="pct"/>
            <w:vAlign w:val="center"/>
          </w:tcPr>
          <w:p w14:paraId="3EE49C44">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压缩</w:t>
            </w:r>
          </w:p>
          <w:p w14:paraId="5CBAB22B">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系数</w:t>
            </w:r>
          </w:p>
          <w:p w14:paraId="4DA16794">
            <w:pPr>
              <w:widowControl/>
              <w:adjustRightInd w:val="0"/>
              <w:snapToGrid w:val="0"/>
              <w:spacing w:line="320" w:lineRule="exact"/>
              <w:ind w:firstLine="0" w:firstLineChars="0"/>
              <w:jc w:val="center"/>
              <w:rPr>
                <w:rFonts w:cs="Times New Roman"/>
                <w:snapToGrid w:val="0"/>
                <w:kern w:val="0"/>
                <w:sz w:val="21"/>
                <w:szCs w:val="21"/>
              </w:rPr>
            </w:pPr>
            <w:r>
              <w:rPr>
                <w:rFonts w:cs="Times New Roman"/>
                <w:i/>
                <w:snapToGrid w:val="0"/>
                <w:kern w:val="0"/>
                <w:sz w:val="21"/>
                <w:szCs w:val="21"/>
              </w:rPr>
              <w:t>a</w:t>
            </w:r>
            <w:r>
              <w:rPr>
                <w:rFonts w:cs="Times New Roman"/>
                <w:i/>
                <w:snapToGrid w:val="0"/>
                <w:kern w:val="0"/>
                <w:sz w:val="21"/>
                <w:szCs w:val="21"/>
                <w:vertAlign w:val="subscript"/>
              </w:rPr>
              <w:t>v</w:t>
            </w:r>
            <w:r>
              <w:rPr>
                <w:rFonts w:cs="Times New Roman"/>
                <w:snapToGrid w:val="0"/>
                <w:kern w:val="0"/>
                <w:sz w:val="21"/>
                <w:szCs w:val="21"/>
                <w:vertAlign w:val="subscript"/>
              </w:rPr>
              <w:t>1-2</w:t>
            </w:r>
          </w:p>
        </w:tc>
        <w:tc>
          <w:tcPr>
            <w:tcW w:w="436" w:type="pct"/>
            <w:vAlign w:val="center"/>
          </w:tcPr>
          <w:p w14:paraId="2E1C470D">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压缩</w:t>
            </w:r>
          </w:p>
          <w:p w14:paraId="54C8AA5D">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模量</w:t>
            </w:r>
          </w:p>
          <w:p w14:paraId="0353ED30">
            <w:pPr>
              <w:widowControl/>
              <w:adjustRightInd w:val="0"/>
              <w:snapToGrid w:val="0"/>
              <w:spacing w:line="320" w:lineRule="exact"/>
              <w:ind w:firstLine="0" w:firstLineChars="0"/>
              <w:jc w:val="center"/>
              <w:rPr>
                <w:rFonts w:cs="Times New Roman"/>
                <w:snapToGrid w:val="0"/>
                <w:kern w:val="0"/>
                <w:sz w:val="21"/>
                <w:szCs w:val="21"/>
              </w:rPr>
            </w:pPr>
            <w:r>
              <w:rPr>
                <w:rFonts w:cs="Times New Roman"/>
                <w:i/>
                <w:snapToGrid w:val="0"/>
                <w:kern w:val="0"/>
                <w:sz w:val="21"/>
                <w:szCs w:val="21"/>
              </w:rPr>
              <w:t>Es</w:t>
            </w:r>
            <w:r>
              <w:rPr>
                <w:rFonts w:cs="Times New Roman"/>
                <w:snapToGrid w:val="0"/>
                <w:kern w:val="0"/>
                <w:sz w:val="21"/>
                <w:szCs w:val="21"/>
                <w:vertAlign w:val="subscript"/>
              </w:rPr>
              <w:t>1-2</w:t>
            </w:r>
          </w:p>
        </w:tc>
        <w:tc>
          <w:tcPr>
            <w:tcW w:w="436" w:type="pct"/>
            <w:vAlign w:val="center"/>
          </w:tcPr>
          <w:p w14:paraId="6EF16ABC">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压缩</w:t>
            </w:r>
          </w:p>
          <w:p w14:paraId="15E1259C">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系数</w:t>
            </w:r>
          </w:p>
          <w:p w14:paraId="75457A25">
            <w:pPr>
              <w:widowControl/>
              <w:adjustRightInd w:val="0"/>
              <w:snapToGrid w:val="0"/>
              <w:spacing w:line="320" w:lineRule="exact"/>
              <w:ind w:firstLine="0" w:firstLineChars="0"/>
              <w:jc w:val="center"/>
              <w:rPr>
                <w:rFonts w:cs="Times New Roman"/>
                <w:snapToGrid w:val="0"/>
                <w:kern w:val="0"/>
                <w:sz w:val="21"/>
                <w:szCs w:val="21"/>
              </w:rPr>
            </w:pPr>
            <w:r>
              <w:rPr>
                <w:rFonts w:cs="Times New Roman"/>
                <w:i/>
                <w:snapToGrid w:val="0"/>
                <w:kern w:val="0"/>
                <w:sz w:val="21"/>
                <w:szCs w:val="21"/>
              </w:rPr>
              <w:t>a</w:t>
            </w:r>
            <w:r>
              <w:rPr>
                <w:rFonts w:cs="Times New Roman"/>
                <w:i/>
                <w:snapToGrid w:val="0"/>
                <w:kern w:val="0"/>
                <w:sz w:val="21"/>
                <w:szCs w:val="21"/>
                <w:vertAlign w:val="subscript"/>
              </w:rPr>
              <w:t>v</w:t>
            </w:r>
            <w:r>
              <w:rPr>
                <w:rFonts w:cs="Times New Roman"/>
                <w:snapToGrid w:val="0"/>
                <w:kern w:val="0"/>
                <w:sz w:val="21"/>
                <w:szCs w:val="21"/>
                <w:vertAlign w:val="subscript"/>
              </w:rPr>
              <w:t>3-4</w:t>
            </w:r>
          </w:p>
        </w:tc>
        <w:tc>
          <w:tcPr>
            <w:tcW w:w="439" w:type="pct"/>
            <w:vAlign w:val="center"/>
          </w:tcPr>
          <w:p w14:paraId="79B2222D">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压缩</w:t>
            </w:r>
          </w:p>
          <w:p w14:paraId="5DCEF30A">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模量</w:t>
            </w:r>
          </w:p>
          <w:p w14:paraId="498F811C">
            <w:pPr>
              <w:widowControl/>
              <w:adjustRightInd w:val="0"/>
              <w:snapToGrid w:val="0"/>
              <w:spacing w:line="320" w:lineRule="exact"/>
              <w:ind w:firstLine="0" w:firstLineChars="0"/>
              <w:jc w:val="center"/>
              <w:rPr>
                <w:rFonts w:cs="Times New Roman"/>
                <w:snapToGrid w:val="0"/>
                <w:kern w:val="0"/>
                <w:sz w:val="21"/>
                <w:szCs w:val="21"/>
              </w:rPr>
            </w:pPr>
            <w:r>
              <w:rPr>
                <w:rFonts w:cs="Times New Roman"/>
                <w:i/>
                <w:snapToGrid w:val="0"/>
                <w:kern w:val="0"/>
                <w:sz w:val="21"/>
                <w:szCs w:val="21"/>
              </w:rPr>
              <w:t>Es</w:t>
            </w:r>
            <w:r>
              <w:rPr>
                <w:rFonts w:cs="Times New Roman"/>
                <w:snapToGrid w:val="0"/>
                <w:kern w:val="0"/>
                <w:sz w:val="21"/>
                <w:szCs w:val="21"/>
                <w:vertAlign w:val="subscript"/>
              </w:rPr>
              <w:t>3-4</w:t>
            </w:r>
          </w:p>
        </w:tc>
        <w:tc>
          <w:tcPr>
            <w:tcW w:w="460" w:type="pct"/>
            <w:vAlign w:val="center"/>
          </w:tcPr>
          <w:p w14:paraId="0492C5D0">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黏聚</w:t>
            </w:r>
          </w:p>
          <w:p w14:paraId="64C0F0D8">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力</w:t>
            </w:r>
          </w:p>
          <w:p w14:paraId="1E7BCA8C">
            <w:pPr>
              <w:widowControl/>
              <w:adjustRightInd w:val="0"/>
              <w:snapToGrid w:val="0"/>
              <w:spacing w:line="320" w:lineRule="exact"/>
              <w:ind w:firstLine="0" w:firstLineChars="0"/>
              <w:jc w:val="center"/>
              <w:rPr>
                <w:rFonts w:cs="Times New Roman"/>
                <w:i/>
                <w:snapToGrid w:val="0"/>
                <w:kern w:val="0"/>
                <w:sz w:val="21"/>
                <w:szCs w:val="21"/>
              </w:rPr>
            </w:pPr>
            <w:r>
              <w:rPr>
                <w:rFonts w:cs="Times New Roman"/>
                <w:i/>
                <w:snapToGrid w:val="0"/>
                <w:kern w:val="0"/>
                <w:sz w:val="21"/>
                <w:szCs w:val="21"/>
              </w:rPr>
              <w:t>c</w:t>
            </w:r>
          </w:p>
        </w:tc>
        <w:tc>
          <w:tcPr>
            <w:tcW w:w="437" w:type="pct"/>
            <w:vAlign w:val="center"/>
          </w:tcPr>
          <w:p w14:paraId="71E2A886">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摩擦</w:t>
            </w:r>
          </w:p>
          <w:p w14:paraId="3BCB0AD8">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角</w:t>
            </w:r>
          </w:p>
          <w:p w14:paraId="0F6F65C1">
            <w:pPr>
              <w:widowControl/>
              <w:adjustRightInd w:val="0"/>
              <w:snapToGrid w:val="0"/>
              <w:spacing w:line="320" w:lineRule="exact"/>
              <w:ind w:firstLine="0" w:firstLineChars="0"/>
              <w:jc w:val="center"/>
              <w:rPr>
                <w:rFonts w:cs="Times New Roman"/>
                <w:i/>
                <w:snapToGrid w:val="0"/>
                <w:kern w:val="0"/>
                <w:sz w:val="21"/>
                <w:szCs w:val="21"/>
              </w:rPr>
            </w:pPr>
            <w:r>
              <w:rPr>
                <w:rFonts w:cs="Times New Roman"/>
                <w:i/>
                <w:snapToGrid w:val="0"/>
                <w:kern w:val="0"/>
                <w:sz w:val="21"/>
                <w:szCs w:val="21"/>
              </w:rPr>
              <w:t>Φ</w:t>
            </w:r>
          </w:p>
        </w:tc>
        <w:tc>
          <w:tcPr>
            <w:tcW w:w="599" w:type="pct"/>
            <w:vAlign w:val="center"/>
          </w:tcPr>
          <w:p w14:paraId="4A4A4E89">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垂直</w:t>
            </w:r>
          </w:p>
          <w:p w14:paraId="24A9A4EC">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kv</w:t>
            </w:r>
            <w:r>
              <w:rPr>
                <w:rFonts w:cs="Times New Roman"/>
                <w:snapToGrid w:val="0"/>
                <w:kern w:val="0"/>
                <w:sz w:val="21"/>
                <w:szCs w:val="21"/>
                <w:vertAlign w:val="subscript"/>
              </w:rPr>
              <w:t>20</w:t>
            </w:r>
          </w:p>
        </w:tc>
        <w:tc>
          <w:tcPr>
            <w:tcW w:w="678" w:type="pct"/>
            <w:vAlign w:val="center"/>
          </w:tcPr>
          <w:p w14:paraId="19ED29BD">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最大</w:t>
            </w:r>
          </w:p>
          <w:p w14:paraId="2BBFF342">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干密度</w:t>
            </w:r>
          </w:p>
          <w:p w14:paraId="61D90671">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Ρ</w:t>
            </w:r>
            <w:r>
              <w:rPr>
                <w:rFonts w:cs="Times New Roman"/>
                <w:snapToGrid w:val="0"/>
                <w:kern w:val="0"/>
                <w:sz w:val="21"/>
                <w:szCs w:val="21"/>
                <w:vertAlign w:val="subscript"/>
              </w:rPr>
              <w:t>dmax</w:t>
            </w:r>
          </w:p>
        </w:tc>
        <w:tc>
          <w:tcPr>
            <w:tcW w:w="501" w:type="pct"/>
            <w:vAlign w:val="center"/>
          </w:tcPr>
          <w:p w14:paraId="3D5266BE">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最优</w:t>
            </w:r>
          </w:p>
          <w:p w14:paraId="2AC6A697">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含水率</w:t>
            </w:r>
          </w:p>
          <w:p w14:paraId="7E86B260">
            <w:pPr>
              <w:widowControl/>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ω</w:t>
            </w:r>
            <w:r>
              <w:rPr>
                <w:rFonts w:cs="Times New Roman"/>
                <w:snapToGrid w:val="0"/>
                <w:kern w:val="0"/>
                <w:sz w:val="21"/>
                <w:szCs w:val="21"/>
                <w:vertAlign w:val="subscript"/>
              </w:rPr>
              <w:t>opt</w:t>
            </w:r>
          </w:p>
        </w:tc>
      </w:tr>
      <w:tr w14:paraId="1C4F06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0" w:hRule="exact"/>
          <w:jc w:val="center"/>
        </w:trPr>
        <w:tc>
          <w:tcPr>
            <w:tcW w:w="578" w:type="pct"/>
            <w:vMerge w:val="continue"/>
            <w:vAlign w:val="center"/>
          </w:tcPr>
          <w:p w14:paraId="4F576B02">
            <w:pPr>
              <w:adjustRightInd w:val="0"/>
              <w:snapToGrid w:val="0"/>
              <w:spacing w:line="320" w:lineRule="exact"/>
              <w:ind w:firstLine="0" w:firstLineChars="0"/>
              <w:jc w:val="center"/>
              <w:rPr>
                <w:rFonts w:cs="Times New Roman"/>
                <w:snapToGrid w:val="0"/>
                <w:spacing w:val="-10"/>
                <w:kern w:val="0"/>
                <w:sz w:val="21"/>
                <w:szCs w:val="21"/>
              </w:rPr>
            </w:pPr>
          </w:p>
        </w:tc>
        <w:tc>
          <w:tcPr>
            <w:tcW w:w="436" w:type="pct"/>
            <w:vAlign w:val="center"/>
          </w:tcPr>
          <w:p w14:paraId="14E02324">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MPa</w:t>
            </w:r>
            <w:r>
              <w:rPr>
                <w:rFonts w:cs="Times New Roman"/>
                <w:snapToGrid w:val="0"/>
                <w:spacing w:val="-10"/>
                <w:kern w:val="0"/>
                <w:sz w:val="21"/>
                <w:szCs w:val="21"/>
                <w:vertAlign w:val="superscript"/>
              </w:rPr>
              <w:t>-1</w:t>
            </w:r>
          </w:p>
        </w:tc>
        <w:tc>
          <w:tcPr>
            <w:tcW w:w="436" w:type="pct"/>
            <w:vAlign w:val="center"/>
          </w:tcPr>
          <w:p w14:paraId="5D245B1B">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MPa</w:t>
            </w:r>
          </w:p>
        </w:tc>
        <w:tc>
          <w:tcPr>
            <w:tcW w:w="436" w:type="pct"/>
            <w:vAlign w:val="center"/>
          </w:tcPr>
          <w:p w14:paraId="3BD837B0">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MPa</w:t>
            </w:r>
            <w:r>
              <w:rPr>
                <w:rFonts w:cs="Times New Roman"/>
                <w:snapToGrid w:val="0"/>
                <w:spacing w:val="-10"/>
                <w:kern w:val="0"/>
                <w:sz w:val="21"/>
                <w:szCs w:val="21"/>
                <w:vertAlign w:val="superscript"/>
              </w:rPr>
              <w:t>-1</w:t>
            </w:r>
          </w:p>
        </w:tc>
        <w:tc>
          <w:tcPr>
            <w:tcW w:w="439" w:type="pct"/>
            <w:vAlign w:val="center"/>
          </w:tcPr>
          <w:p w14:paraId="33EFFF0F">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MPa</w:t>
            </w:r>
          </w:p>
        </w:tc>
        <w:tc>
          <w:tcPr>
            <w:tcW w:w="460" w:type="pct"/>
            <w:vAlign w:val="center"/>
          </w:tcPr>
          <w:p w14:paraId="2D58A73D">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kPa</w:t>
            </w:r>
          </w:p>
        </w:tc>
        <w:tc>
          <w:tcPr>
            <w:tcW w:w="437" w:type="pct"/>
            <w:vAlign w:val="center"/>
          </w:tcPr>
          <w:p w14:paraId="6BB8E54B">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w:t>
            </w:r>
          </w:p>
        </w:tc>
        <w:tc>
          <w:tcPr>
            <w:tcW w:w="599" w:type="pct"/>
            <w:vAlign w:val="center"/>
          </w:tcPr>
          <w:p w14:paraId="1699BDC4">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cm/s</w:t>
            </w:r>
          </w:p>
        </w:tc>
        <w:tc>
          <w:tcPr>
            <w:tcW w:w="678" w:type="pct"/>
            <w:vAlign w:val="center"/>
          </w:tcPr>
          <w:p w14:paraId="44BB34C3">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g/cm</w:t>
            </w:r>
            <w:r>
              <w:rPr>
                <w:rFonts w:cs="Times New Roman"/>
                <w:snapToGrid w:val="0"/>
                <w:spacing w:val="-10"/>
                <w:kern w:val="0"/>
                <w:sz w:val="21"/>
                <w:szCs w:val="21"/>
                <w:vertAlign w:val="superscript"/>
              </w:rPr>
              <w:t>3</w:t>
            </w:r>
          </w:p>
        </w:tc>
        <w:tc>
          <w:tcPr>
            <w:tcW w:w="501" w:type="pct"/>
            <w:vAlign w:val="center"/>
          </w:tcPr>
          <w:p w14:paraId="5B123966">
            <w:pPr>
              <w:adjustRightInd w:val="0"/>
              <w:snapToGrid w:val="0"/>
              <w:spacing w:line="320" w:lineRule="exact"/>
              <w:ind w:firstLine="0" w:firstLineChars="0"/>
              <w:jc w:val="center"/>
              <w:rPr>
                <w:rFonts w:cs="Times New Roman"/>
                <w:snapToGrid w:val="0"/>
                <w:spacing w:val="-10"/>
                <w:kern w:val="0"/>
                <w:sz w:val="21"/>
                <w:szCs w:val="21"/>
              </w:rPr>
            </w:pPr>
            <w:r>
              <w:rPr>
                <w:rFonts w:cs="Times New Roman"/>
                <w:snapToGrid w:val="0"/>
                <w:spacing w:val="-10"/>
                <w:kern w:val="0"/>
                <w:sz w:val="21"/>
                <w:szCs w:val="21"/>
              </w:rPr>
              <w:t>%</w:t>
            </w:r>
          </w:p>
        </w:tc>
      </w:tr>
      <w:tr w14:paraId="2B198C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0" w:hRule="exact"/>
          <w:jc w:val="center"/>
        </w:trPr>
        <w:tc>
          <w:tcPr>
            <w:tcW w:w="5000" w:type="pct"/>
            <w:gridSpan w:val="10"/>
            <w:vAlign w:val="center"/>
          </w:tcPr>
          <w:p w14:paraId="42E8708F">
            <w:pPr>
              <w:adjustRightInd w:val="0"/>
              <w:snapToGrid w:val="0"/>
              <w:spacing w:line="320" w:lineRule="exact"/>
              <w:ind w:firstLine="0" w:firstLineChars="0"/>
              <w:jc w:val="center"/>
              <w:rPr>
                <w:rFonts w:cs="Times New Roman"/>
                <w:snapToGrid w:val="0"/>
                <w:kern w:val="0"/>
                <w:sz w:val="21"/>
                <w:szCs w:val="21"/>
              </w:rPr>
            </w:pPr>
            <w:r>
              <w:rPr>
                <w:rFonts w:cs="Times New Roman"/>
                <w:snapToGrid w:val="0"/>
                <w:kern w:val="0"/>
                <w:sz w:val="21"/>
                <w:szCs w:val="21"/>
              </w:rPr>
              <w:t>磷石膏</w:t>
            </w:r>
            <w:r>
              <w:rPr>
                <w:rFonts w:hint="eastAsia" w:ascii="宋体" w:hAnsi="宋体" w:cs="宋体"/>
                <w:spacing w:val="-10"/>
                <w:sz w:val="21"/>
                <w:szCs w:val="21"/>
              </w:rPr>
              <w:t>①</w:t>
            </w:r>
            <w:r>
              <w:rPr>
                <w:rFonts w:cs="Times New Roman"/>
                <w:spacing w:val="-10"/>
                <w:sz w:val="21"/>
                <w:szCs w:val="21"/>
                <w:vertAlign w:val="subscript"/>
              </w:rPr>
              <w:t>1</w:t>
            </w:r>
          </w:p>
        </w:tc>
      </w:tr>
      <w:tr w14:paraId="1CE372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0" w:hRule="exact"/>
          <w:jc w:val="center"/>
        </w:trPr>
        <w:tc>
          <w:tcPr>
            <w:tcW w:w="578" w:type="pct"/>
            <w:vAlign w:val="center"/>
          </w:tcPr>
          <w:p w14:paraId="240EB6C7">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计数</w:t>
            </w:r>
          </w:p>
        </w:tc>
        <w:tc>
          <w:tcPr>
            <w:tcW w:w="436" w:type="pct"/>
            <w:vAlign w:val="center"/>
          </w:tcPr>
          <w:p w14:paraId="42CD6E6E">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3</w:t>
            </w:r>
          </w:p>
        </w:tc>
        <w:tc>
          <w:tcPr>
            <w:tcW w:w="436" w:type="pct"/>
            <w:vAlign w:val="center"/>
          </w:tcPr>
          <w:p w14:paraId="73611DED">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3</w:t>
            </w:r>
          </w:p>
        </w:tc>
        <w:tc>
          <w:tcPr>
            <w:tcW w:w="436" w:type="pct"/>
            <w:vAlign w:val="center"/>
          </w:tcPr>
          <w:p w14:paraId="74090645">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3</w:t>
            </w:r>
          </w:p>
        </w:tc>
        <w:tc>
          <w:tcPr>
            <w:tcW w:w="439" w:type="pct"/>
            <w:vAlign w:val="center"/>
          </w:tcPr>
          <w:p w14:paraId="69F7BD22">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3</w:t>
            </w:r>
          </w:p>
        </w:tc>
        <w:tc>
          <w:tcPr>
            <w:tcW w:w="460" w:type="pct"/>
            <w:vAlign w:val="center"/>
          </w:tcPr>
          <w:p w14:paraId="1D939579">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3</w:t>
            </w:r>
          </w:p>
        </w:tc>
        <w:tc>
          <w:tcPr>
            <w:tcW w:w="437" w:type="pct"/>
            <w:vAlign w:val="center"/>
          </w:tcPr>
          <w:p w14:paraId="3276381F">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3</w:t>
            </w:r>
          </w:p>
        </w:tc>
        <w:tc>
          <w:tcPr>
            <w:tcW w:w="599" w:type="pct"/>
            <w:vAlign w:val="center"/>
          </w:tcPr>
          <w:p w14:paraId="08A47F7A">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3</w:t>
            </w:r>
          </w:p>
        </w:tc>
        <w:tc>
          <w:tcPr>
            <w:tcW w:w="678" w:type="pct"/>
            <w:vAlign w:val="center"/>
          </w:tcPr>
          <w:p w14:paraId="2CD9CB75">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3</w:t>
            </w:r>
          </w:p>
        </w:tc>
        <w:tc>
          <w:tcPr>
            <w:tcW w:w="501" w:type="pct"/>
            <w:vAlign w:val="center"/>
          </w:tcPr>
          <w:p w14:paraId="69D73F7D">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3</w:t>
            </w:r>
          </w:p>
        </w:tc>
      </w:tr>
      <w:tr w14:paraId="3871FD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0" w:hRule="exact"/>
          <w:jc w:val="center"/>
        </w:trPr>
        <w:tc>
          <w:tcPr>
            <w:tcW w:w="578" w:type="pct"/>
            <w:vAlign w:val="center"/>
          </w:tcPr>
          <w:p w14:paraId="754164DC">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最大值</w:t>
            </w:r>
          </w:p>
        </w:tc>
        <w:tc>
          <w:tcPr>
            <w:tcW w:w="436" w:type="pct"/>
            <w:vAlign w:val="center"/>
          </w:tcPr>
          <w:p w14:paraId="457D9FE5">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0.14 </w:t>
            </w:r>
          </w:p>
        </w:tc>
        <w:tc>
          <w:tcPr>
            <w:tcW w:w="436" w:type="pct"/>
            <w:vAlign w:val="center"/>
          </w:tcPr>
          <w:p w14:paraId="18133E0D">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16.9 </w:t>
            </w:r>
          </w:p>
        </w:tc>
        <w:tc>
          <w:tcPr>
            <w:tcW w:w="436" w:type="pct"/>
            <w:vAlign w:val="center"/>
          </w:tcPr>
          <w:p w14:paraId="6A42C82B">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0.10 </w:t>
            </w:r>
          </w:p>
        </w:tc>
        <w:tc>
          <w:tcPr>
            <w:tcW w:w="439" w:type="pct"/>
            <w:vAlign w:val="center"/>
          </w:tcPr>
          <w:p w14:paraId="33FAFF39">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26.8 </w:t>
            </w:r>
          </w:p>
        </w:tc>
        <w:tc>
          <w:tcPr>
            <w:tcW w:w="460" w:type="pct"/>
            <w:vAlign w:val="center"/>
          </w:tcPr>
          <w:p w14:paraId="043FB7C5">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56.8 </w:t>
            </w:r>
          </w:p>
        </w:tc>
        <w:tc>
          <w:tcPr>
            <w:tcW w:w="437" w:type="pct"/>
            <w:vAlign w:val="center"/>
          </w:tcPr>
          <w:p w14:paraId="24F06D52">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23.9 </w:t>
            </w:r>
          </w:p>
        </w:tc>
        <w:tc>
          <w:tcPr>
            <w:tcW w:w="599" w:type="pct"/>
            <w:vAlign w:val="center"/>
          </w:tcPr>
          <w:p w14:paraId="7179FFC2">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8.38E-06</w:t>
            </w:r>
          </w:p>
        </w:tc>
        <w:tc>
          <w:tcPr>
            <w:tcW w:w="678" w:type="pct"/>
            <w:vAlign w:val="center"/>
          </w:tcPr>
          <w:p w14:paraId="67CB8936">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1.51 </w:t>
            </w:r>
          </w:p>
        </w:tc>
        <w:tc>
          <w:tcPr>
            <w:tcW w:w="501" w:type="pct"/>
            <w:vAlign w:val="center"/>
          </w:tcPr>
          <w:p w14:paraId="6B0767CA">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26.2 </w:t>
            </w:r>
          </w:p>
        </w:tc>
      </w:tr>
      <w:tr w14:paraId="72B34D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0" w:hRule="exact"/>
          <w:jc w:val="center"/>
        </w:trPr>
        <w:tc>
          <w:tcPr>
            <w:tcW w:w="578" w:type="pct"/>
            <w:vAlign w:val="center"/>
          </w:tcPr>
          <w:p w14:paraId="04E0BAB0">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最小值</w:t>
            </w:r>
          </w:p>
        </w:tc>
        <w:tc>
          <w:tcPr>
            <w:tcW w:w="436" w:type="pct"/>
            <w:vAlign w:val="center"/>
          </w:tcPr>
          <w:p w14:paraId="71B5A199">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0.12 </w:t>
            </w:r>
          </w:p>
        </w:tc>
        <w:tc>
          <w:tcPr>
            <w:tcW w:w="436" w:type="pct"/>
            <w:vAlign w:val="center"/>
          </w:tcPr>
          <w:p w14:paraId="267686A3">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14.3 </w:t>
            </w:r>
          </w:p>
        </w:tc>
        <w:tc>
          <w:tcPr>
            <w:tcW w:w="436" w:type="pct"/>
            <w:vAlign w:val="center"/>
          </w:tcPr>
          <w:p w14:paraId="4F35064C">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0.08 </w:t>
            </w:r>
          </w:p>
        </w:tc>
        <w:tc>
          <w:tcPr>
            <w:tcW w:w="439" w:type="pct"/>
            <w:vAlign w:val="center"/>
          </w:tcPr>
          <w:p w14:paraId="681307D8">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20.6 </w:t>
            </w:r>
          </w:p>
        </w:tc>
        <w:tc>
          <w:tcPr>
            <w:tcW w:w="460" w:type="pct"/>
            <w:vAlign w:val="center"/>
          </w:tcPr>
          <w:p w14:paraId="355177E4">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49.4 </w:t>
            </w:r>
          </w:p>
        </w:tc>
        <w:tc>
          <w:tcPr>
            <w:tcW w:w="437" w:type="pct"/>
            <w:vAlign w:val="center"/>
          </w:tcPr>
          <w:p w14:paraId="2080D95A">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22.2 </w:t>
            </w:r>
          </w:p>
        </w:tc>
        <w:tc>
          <w:tcPr>
            <w:tcW w:w="599" w:type="pct"/>
            <w:vAlign w:val="center"/>
          </w:tcPr>
          <w:p w14:paraId="65EDAA09">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6.38E-06</w:t>
            </w:r>
          </w:p>
        </w:tc>
        <w:tc>
          <w:tcPr>
            <w:tcW w:w="678" w:type="pct"/>
            <w:vAlign w:val="center"/>
          </w:tcPr>
          <w:p w14:paraId="075357E3">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1.46 </w:t>
            </w:r>
          </w:p>
        </w:tc>
        <w:tc>
          <w:tcPr>
            <w:tcW w:w="501" w:type="pct"/>
            <w:vAlign w:val="center"/>
          </w:tcPr>
          <w:p w14:paraId="1992C42A">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22.5 </w:t>
            </w:r>
          </w:p>
        </w:tc>
      </w:tr>
      <w:tr w14:paraId="1C3FA5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0" w:hRule="exact"/>
          <w:jc w:val="center"/>
        </w:trPr>
        <w:tc>
          <w:tcPr>
            <w:tcW w:w="578" w:type="pct"/>
            <w:vAlign w:val="center"/>
          </w:tcPr>
          <w:p w14:paraId="18B81481">
            <w:pPr>
              <w:adjustRightInd w:val="0"/>
              <w:snapToGrid w:val="0"/>
              <w:spacing w:line="320" w:lineRule="exact"/>
              <w:ind w:firstLine="0" w:firstLineChars="0"/>
              <w:jc w:val="center"/>
              <w:rPr>
                <w:rFonts w:cs="Times New Roman"/>
                <w:snapToGrid w:val="0"/>
                <w:w w:val="90"/>
                <w:kern w:val="0"/>
                <w:sz w:val="21"/>
                <w:szCs w:val="21"/>
              </w:rPr>
            </w:pPr>
            <w:r>
              <w:rPr>
                <w:rFonts w:cs="Times New Roman"/>
                <w:snapToGrid w:val="0"/>
                <w:w w:val="90"/>
                <w:kern w:val="0"/>
                <w:sz w:val="21"/>
                <w:szCs w:val="21"/>
              </w:rPr>
              <w:t>平均值</w:t>
            </w:r>
          </w:p>
        </w:tc>
        <w:tc>
          <w:tcPr>
            <w:tcW w:w="436" w:type="pct"/>
            <w:vAlign w:val="center"/>
          </w:tcPr>
          <w:p w14:paraId="347FB1DD">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0.13 </w:t>
            </w:r>
          </w:p>
        </w:tc>
        <w:tc>
          <w:tcPr>
            <w:tcW w:w="436" w:type="pct"/>
            <w:vAlign w:val="center"/>
          </w:tcPr>
          <w:p w14:paraId="0A0FFBB8">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15.4 </w:t>
            </w:r>
          </w:p>
        </w:tc>
        <w:tc>
          <w:tcPr>
            <w:tcW w:w="436" w:type="pct"/>
            <w:vAlign w:val="center"/>
          </w:tcPr>
          <w:p w14:paraId="1F50E6E9">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0.09 </w:t>
            </w:r>
          </w:p>
        </w:tc>
        <w:tc>
          <w:tcPr>
            <w:tcW w:w="439" w:type="pct"/>
            <w:vAlign w:val="center"/>
          </w:tcPr>
          <w:p w14:paraId="6EB4F447">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23.6 </w:t>
            </w:r>
          </w:p>
        </w:tc>
        <w:tc>
          <w:tcPr>
            <w:tcW w:w="460" w:type="pct"/>
            <w:vAlign w:val="center"/>
          </w:tcPr>
          <w:p w14:paraId="28B06B4F">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52.6 </w:t>
            </w:r>
          </w:p>
        </w:tc>
        <w:tc>
          <w:tcPr>
            <w:tcW w:w="437" w:type="pct"/>
            <w:vAlign w:val="center"/>
          </w:tcPr>
          <w:p w14:paraId="0608D3EA">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23.1 </w:t>
            </w:r>
          </w:p>
        </w:tc>
        <w:tc>
          <w:tcPr>
            <w:tcW w:w="599" w:type="pct"/>
            <w:vAlign w:val="center"/>
          </w:tcPr>
          <w:p w14:paraId="556DE715">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7.05E-06</w:t>
            </w:r>
          </w:p>
        </w:tc>
        <w:tc>
          <w:tcPr>
            <w:tcW w:w="678" w:type="pct"/>
            <w:vAlign w:val="center"/>
          </w:tcPr>
          <w:p w14:paraId="4C82C52E">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1.49 </w:t>
            </w:r>
          </w:p>
        </w:tc>
        <w:tc>
          <w:tcPr>
            <w:tcW w:w="501" w:type="pct"/>
            <w:vAlign w:val="center"/>
          </w:tcPr>
          <w:p w14:paraId="139A67BA">
            <w:pPr>
              <w:adjustRightInd w:val="0"/>
              <w:snapToGrid w:val="0"/>
              <w:spacing w:line="320" w:lineRule="exact"/>
              <w:ind w:firstLine="0" w:firstLineChars="0"/>
              <w:jc w:val="center"/>
              <w:rPr>
                <w:rFonts w:cs="Times New Roman"/>
                <w:snapToGrid w:val="0"/>
                <w:kern w:val="0"/>
                <w:sz w:val="21"/>
                <w:szCs w:val="21"/>
              </w:rPr>
            </w:pPr>
            <w:r>
              <w:rPr>
                <w:rFonts w:cs="Times New Roman"/>
                <w:sz w:val="21"/>
                <w:szCs w:val="21"/>
              </w:rPr>
              <w:t xml:space="preserve">24.1 </w:t>
            </w:r>
          </w:p>
        </w:tc>
      </w:tr>
      <w:tr w14:paraId="7BC288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0" w:hRule="exact"/>
          <w:jc w:val="center"/>
        </w:trPr>
        <w:tc>
          <w:tcPr>
            <w:tcW w:w="5000" w:type="pct"/>
            <w:gridSpan w:val="10"/>
            <w:vAlign w:val="center"/>
          </w:tcPr>
          <w:p w14:paraId="01B48A8A">
            <w:pPr>
              <w:adjustRightInd w:val="0"/>
              <w:snapToGrid w:val="0"/>
              <w:spacing w:line="320" w:lineRule="exact"/>
              <w:ind w:firstLine="0" w:firstLineChars="0"/>
              <w:jc w:val="center"/>
              <w:rPr>
                <w:rFonts w:cs="Times New Roman"/>
                <w:sz w:val="21"/>
                <w:szCs w:val="21"/>
              </w:rPr>
            </w:pPr>
            <w:r>
              <w:rPr>
                <w:rFonts w:cs="Times New Roman"/>
                <w:sz w:val="21"/>
                <w:szCs w:val="21"/>
              </w:rPr>
              <w:t>甘松箐改性磷石膏</w:t>
            </w:r>
            <w:r>
              <w:rPr>
                <w:rFonts w:hint="eastAsia" w:ascii="宋体" w:hAnsi="宋体" w:cs="宋体"/>
                <w:sz w:val="21"/>
                <w:szCs w:val="21"/>
              </w:rPr>
              <w:t>①</w:t>
            </w:r>
            <w:r>
              <w:rPr>
                <w:rFonts w:cs="Times New Roman"/>
                <w:sz w:val="21"/>
                <w:szCs w:val="21"/>
                <w:vertAlign w:val="subscript"/>
              </w:rPr>
              <w:t>1</w:t>
            </w:r>
            <w:r>
              <w:rPr>
                <w:rFonts w:cs="Times New Roman"/>
                <w:sz w:val="21"/>
                <w:szCs w:val="21"/>
                <w:vertAlign w:val="superscript"/>
              </w:rPr>
              <w:t>1</w:t>
            </w:r>
          </w:p>
        </w:tc>
      </w:tr>
      <w:tr w14:paraId="7DB003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0" w:hRule="exact"/>
          <w:jc w:val="center"/>
        </w:trPr>
        <w:tc>
          <w:tcPr>
            <w:tcW w:w="578" w:type="pct"/>
          </w:tcPr>
          <w:p w14:paraId="4A015C14">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计数</w:t>
            </w:r>
          </w:p>
        </w:tc>
        <w:tc>
          <w:tcPr>
            <w:tcW w:w="436" w:type="pct"/>
          </w:tcPr>
          <w:p w14:paraId="68D8F9D1">
            <w:pPr>
              <w:adjustRightInd w:val="0"/>
              <w:snapToGrid w:val="0"/>
              <w:spacing w:line="320" w:lineRule="exact"/>
              <w:ind w:firstLine="0" w:firstLineChars="0"/>
              <w:jc w:val="center"/>
              <w:rPr>
                <w:rFonts w:cs="Times New Roman"/>
                <w:sz w:val="21"/>
                <w:szCs w:val="21"/>
              </w:rPr>
            </w:pPr>
            <w:r>
              <w:rPr>
                <w:rFonts w:cs="Times New Roman"/>
                <w:sz w:val="21"/>
                <w:szCs w:val="21"/>
              </w:rPr>
              <w:t>2</w:t>
            </w:r>
          </w:p>
        </w:tc>
        <w:tc>
          <w:tcPr>
            <w:tcW w:w="436" w:type="pct"/>
          </w:tcPr>
          <w:p w14:paraId="0988AACC">
            <w:pPr>
              <w:adjustRightInd w:val="0"/>
              <w:snapToGrid w:val="0"/>
              <w:spacing w:line="320" w:lineRule="exact"/>
              <w:ind w:firstLine="0" w:firstLineChars="0"/>
              <w:jc w:val="center"/>
              <w:rPr>
                <w:rFonts w:cs="Times New Roman"/>
                <w:sz w:val="21"/>
                <w:szCs w:val="21"/>
              </w:rPr>
            </w:pPr>
            <w:r>
              <w:rPr>
                <w:rFonts w:cs="Times New Roman"/>
                <w:sz w:val="21"/>
                <w:szCs w:val="21"/>
              </w:rPr>
              <w:t>2</w:t>
            </w:r>
          </w:p>
        </w:tc>
        <w:tc>
          <w:tcPr>
            <w:tcW w:w="436" w:type="pct"/>
          </w:tcPr>
          <w:p w14:paraId="2DA5C079">
            <w:pPr>
              <w:adjustRightInd w:val="0"/>
              <w:snapToGrid w:val="0"/>
              <w:spacing w:line="320" w:lineRule="exact"/>
              <w:ind w:firstLine="0" w:firstLineChars="0"/>
              <w:jc w:val="center"/>
              <w:rPr>
                <w:rFonts w:cs="Times New Roman"/>
                <w:sz w:val="21"/>
                <w:szCs w:val="21"/>
              </w:rPr>
            </w:pPr>
            <w:r>
              <w:rPr>
                <w:rFonts w:cs="Times New Roman"/>
                <w:sz w:val="21"/>
                <w:szCs w:val="21"/>
              </w:rPr>
              <w:t>2</w:t>
            </w:r>
          </w:p>
        </w:tc>
        <w:tc>
          <w:tcPr>
            <w:tcW w:w="439" w:type="pct"/>
          </w:tcPr>
          <w:p w14:paraId="2934A05B">
            <w:pPr>
              <w:adjustRightInd w:val="0"/>
              <w:snapToGrid w:val="0"/>
              <w:spacing w:line="320" w:lineRule="exact"/>
              <w:ind w:firstLine="0" w:firstLineChars="0"/>
              <w:jc w:val="center"/>
              <w:rPr>
                <w:rFonts w:cs="Times New Roman"/>
                <w:sz w:val="21"/>
                <w:szCs w:val="21"/>
              </w:rPr>
            </w:pPr>
            <w:r>
              <w:rPr>
                <w:rFonts w:cs="Times New Roman"/>
                <w:sz w:val="21"/>
                <w:szCs w:val="21"/>
              </w:rPr>
              <w:t>2</w:t>
            </w:r>
          </w:p>
        </w:tc>
        <w:tc>
          <w:tcPr>
            <w:tcW w:w="460" w:type="pct"/>
          </w:tcPr>
          <w:p w14:paraId="098F2469">
            <w:pPr>
              <w:adjustRightInd w:val="0"/>
              <w:snapToGrid w:val="0"/>
              <w:spacing w:line="320" w:lineRule="exact"/>
              <w:ind w:firstLine="0" w:firstLineChars="0"/>
              <w:jc w:val="center"/>
              <w:rPr>
                <w:rFonts w:cs="Times New Roman"/>
                <w:sz w:val="21"/>
                <w:szCs w:val="21"/>
              </w:rPr>
            </w:pPr>
            <w:r>
              <w:rPr>
                <w:rFonts w:cs="Times New Roman"/>
                <w:sz w:val="21"/>
                <w:szCs w:val="21"/>
              </w:rPr>
              <w:t>2</w:t>
            </w:r>
          </w:p>
        </w:tc>
        <w:tc>
          <w:tcPr>
            <w:tcW w:w="437" w:type="pct"/>
          </w:tcPr>
          <w:p w14:paraId="28A14263">
            <w:pPr>
              <w:adjustRightInd w:val="0"/>
              <w:snapToGrid w:val="0"/>
              <w:spacing w:line="320" w:lineRule="exact"/>
              <w:ind w:firstLine="0" w:firstLineChars="0"/>
              <w:jc w:val="center"/>
              <w:rPr>
                <w:rFonts w:cs="Times New Roman"/>
                <w:sz w:val="21"/>
                <w:szCs w:val="21"/>
              </w:rPr>
            </w:pPr>
            <w:r>
              <w:rPr>
                <w:rFonts w:cs="Times New Roman"/>
                <w:sz w:val="21"/>
                <w:szCs w:val="21"/>
              </w:rPr>
              <w:t>2</w:t>
            </w:r>
          </w:p>
        </w:tc>
        <w:tc>
          <w:tcPr>
            <w:tcW w:w="599" w:type="pct"/>
            <w:vAlign w:val="center"/>
          </w:tcPr>
          <w:p w14:paraId="13025C84">
            <w:pPr>
              <w:adjustRightInd w:val="0"/>
              <w:snapToGrid w:val="0"/>
              <w:spacing w:line="320" w:lineRule="exact"/>
              <w:ind w:firstLine="0" w:firstLineChars="0"/>
              <w:jc w:val="center"/>
              <w:rPr>
                <w:rFonts w:cs="Times New Roman"/>
                <w:sz w:val="21"/>
                <w:szCs w:val="21"/>
              </w:rPr>
            </w:pPr>
            <w:r>
              <w:rPr>
                <w:rFonts w:cs="Times New Roman"/>
                <w:sz w:val="21"/>
                <w:szCs w:val="21"/>
              </w:rPr>
              <w:t>/</w:t>
            </w:r>
          </w:p>
        </w:tc>
        <w:tc>
          <w:tcPr>
            <w:tcW w:w="678" w:type="pct"/>
          </w:tcPr>
          <w:p w14:paraId="21B21FA2">
            <w:pPr>
              <w:adjustRightInd w:val="0"/>
              <w:snapToGrid w:val="0"/>
              <w:spacing w:line="320" w:lineRule="exact"/>
              <w:ind w:firstLine="0" w:firstLineChars="0"/>
              <w:jc w:val="center"/>
              <w:rPr>
                <w:rFonts w:cs="Times New Roman"/>
                <w:sz w:val="21"/>
                <w:szCs w:val="21"/>
              </w:rPr>
            </w:pPr>
            <w:r>
              <w:rPr>
                <w:rFonts w:cs="Times New Roman"/>
                <w:sz w:val="21"/>
                <w:szCs w:val="21"/>
              </w:rPr>
              <w:t>2</w:t>
            </w:r>
          </w:p>
        </w:tc>
        <w:tc>
          <w:tcPr>
            <w:tcW w:w="501" w:type="pct"/>
          </w:tcPr>
          <w:p w14:paraId="4DF6732C">
            <w:pPr>
              <w:adjustRightInd w:val="0"/>
              <w:snapToGrid w:val="0"/>
              <w:spacing w:line="320" w:lineRule="exact"/>
              <w:ind w:firstLine="0" w:firstLineChars="0"/>
              <w:jc w:val="center"/>
              <w:rPr>
                <w:rFonts w:cs="Times New Roman"/>
                <w:sz w:val="21"/>
                <w:szCs w:val="21"/>
              </w:rPr>
            </w:pPr>
            <w:r>
              <w:rPr>
                <w:rFonts w:cs="Times New Roman"/>
                <w:sz w:val="21"/>
                <w:szCs w:val="21"/>
              </w:rPr>
              <w:t>2</w:t>
            </w:r>
          </w:p>
        </w:tc>
      </w:tr>
      <w:tr w14:paraId="4E9AAF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0" w:hRule="exact"/>
          <w:jc w:val="center"/>
        </w:trPr>
        <w:tc>
          <w:tcPr>
            <w:tcW w:w="578" w:type="pct"/>
          </w:tcPr>
          <w:p w14:paraId="58FB7A19">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最大值</w:t>
            </w:r>
          </w:p>
        </w:tc>
        <w:tc>
          <w:tcPr>
            <w:tcW w:w="436" w:type="pct"/>
          </w:tcPr>
          <w:p w14:paraId="3B1AB27F">
            <w:pPr>
              <w:adjustRightInd w:val="0"/>
              <w:snapToGrid w:val="0"/>
              <w:spacing w:line="320" w:lineRule="exact"/>
              <w:ind w:firstLine="0" w:firstLineChars="0"/>
              <w:jc w:val="center"/>
              <w:rPr>
                <w:rFonts w:cs="Times New Roman"/>
                <w:sz w:val="21"/>
                <w:szCs w:val="21"/>
              </w:rPr>
            </w:pPr>
            <w:r>
              <w:rPr>
                <w:rFonts w:cs="Times New Roman"/>
                <w:sz w:val="21"/>
                <w:szCs w:val="21"/>
              </w:rPr>
              <w:t xml:space="preserve">0.14 </w:t>
            </w:r>
          </w:p>
        </w:tc>
        <w:tc>
          <w:tcPr>
            <w:tcW w:w="436" w:type="pct"/>
          </w:tcPr>
          <w:p w14:paraId="42B44320">
            <w:pPr>
              <w:adjustRightInd w:val="0"/>
              <w:snapToGrid w:val="0"/>
              <w:spacing w:line="320" w:lineRule="exact"/>
              <w:ind w:firstLine="0" w:firstLineChars="0"/>
              <w:jc w:val="center"/>
              <w:rPr>
                <w:rFonts w:cs="Times New Roman"/>
                <w:sz w:val="21"/>
                <w:szCs w:val="21"/>
              </w:rPr>
            </w:pPr>
            <w:r>
              <w:rPr>
                <w:rFonts w:cs="Times New Roman"/>
                <w:sz w:val="21"/>
                <w:szCs w:val="21"/>
              </w:rPr>
              <w:t xml:space="preserve">13.0 </w:t>
            </w:r>
          </w:p>
        </w:tc>
        <w:tc>
          <w:tcPr>
            <w:tcW w:w="436" w:type="pct"/>
          </w:tcPr>
          <w:p w14:paraId="139A2161">
            <w:pPr>
              <w:adjustRightInd w:val="0"/>
              <w:snapToGrid w:val="0"/>
              <w:spacing w:line="320" w:lineRule="exact"/>
              <w:ind w:firstLine="0" w:firstLineChars="0"/>
              <w:jc w:val="center"/>
              <w:rPr>
                <w:rFonts w:cs="Times New Roman"/>
                <w:sz w:val="21"/>
                <w:szCs w:val="21"/>
              </w:rPr>
            </w:pPr>
            <w:r>
              <w:rPr>
                <w:rFonts w:cs="Times New Roman"/>
                <w:sz w:val="21"/>
                <w:szCs w:val="21"/>
              </w:rPr>
              <w:t xml:space="preserve">0.09 </w:t>
            </w:r>
          </w:p>
        </w:tc>
        <w:tc>
          <w:tcPr>
            <w:tcW w:w="439" w:type="pct"/>
          </w:tcPr>
          <w:p w14:paraId="5BDC86A1">
            <w:pPr>
              <w:adjustRightInd w:val="0"/>
              <w:snapToGrid w:val="0"/>
              <w:spacing w:line="320" w:lineRule="exact"/>
              <w:ind w:firstLine="0" w:firstLineChars="0"/>
              <w:jc w:val="center"/>
              <w:rPr>
                <w:rFonts w:cs="Times New Roman"/>
                <w:sz w:val="21"/>
                <w:szCs w:val="21"/>
              </w:rPr>
            </w:pPr>
            <w:r>
              <w:rPr>
                <w:rFonts w:cs="Times New Roman"/>
                <w:sz w:val="21"/>
                <w:szCs w:val="21"/>
              </w:rPr>
              <w:t xml:space="preserve">19.8 </w:t>
            </w:r>
          </w:p>
        </w:tc>
        <w:tc>
          <w:tcPr>
            <w:tcW w:w="460" w:type="pct"/>
          </w:tcPr>
          <w:p w14:paraId="060EBB3E">
            <w:pPr>
              <w:adjustRightInd w:val="0"/>
              <w:snapToGrid w:val="0"/>
              <w:spacing w:line="320" w:lineRule="exact"/>
              <w:ind w:firstLine="0" w:firstLineChars="0"/>
              <w:jc w:val="center"/>
              <w:rPr>
                <w:rFonts w:cs="Times New Roman"/>
                <w:b/>
                <w:bCs/>
                <w:i/>
                <w:iCs/>
                <w:sz w:val="21"/>
                <w:szCs w:val="21"/>
              </w:rPr>
            </w:pPr>
            <w:bookmarkStart w:id="31" w:name="_Hlk223186707"/>
            <w:r>
              <w:rPr>
                <w:rFonts w:cs="Times New Roman"/>
                <w:b/>
                <w:bCs/>
                <w:i/>
                <w:iCs/>
                <w:sz w:val="21"/>
                <w:szCs w:val="21"/>
              </w:rPr>
              <w:t xml:space="preserve">43.3 </w:t>
            </w:r>
            <w:bookmarkEnd w:id="31"/>
          </w:p>
        </w:tc>
        <w:tc>
          <w:tcPr>
            <w:tcW w:w="437" w:type="pct"/>
          </w:tcPr>
          <w:p w14:paraId="2E857FE6">
            <w:pPr>
              <w:adjustRightInd w:val="0"/>
              <w:snapToGrid w:val="0"/>
              <w:spacing w:line="320" w:lineRule="exact"/>
              <w:ind w:firstLine="0" w:firstLineChars="0"/>
              <w:jc w:val="center"/>
              <w:rPr>
                <w:rFonts w:cs="Times New Roman"/>
                <w:b/>
                <w:bCs/>
                <w:i/>
                <w:iCs/>
                <w:sz w:val="21"/>
                <w:szCs w:val="21"/>
              </w:rPr>
            </w:pPr>
            <w:r>
              <w:rPr>
                <w:rFonts w:cs="Times New Roman"/>
                <w:b/>
                <w:bCs/>
                <w:i/>
                <w:iCs/>
                <w:sz w:val="21"/>
                <w:szCs w:val="21"/>
              </w:rPr>
              <w:t xml:space="preserve">24.6 </w:t>
            </w:r>
          </w:p>
        </w:tc>
        <w:tc>
          <w:tcPr>
            <w:tcW w:w="599" w:type="pct"/>
          </w:tcPr>
          <w:p w14:paraId="47693B49">
            <w:pPr>
              <w:adjustRightInd w:val="0"/>
              <w:snapToGrid w:val="0"/>
              <w:spacing w:line="320" w:lineRule="exact"/>
              <w:ind w:firstLine="0" w:firstLineChars="0"/>
              <w:jc w:val="center"/>
              <w:rPr>
                <w:rFonts w:cs="Times New Roman"/>
                <w:sz w:val="21"/>
                <w:szCs w:val="21"/>
              </w:rPr>
            </w:pPr>
            <w:r>
              <w:rPr>
                <w:rFonts w:cs="Times New Roman"/>
                <w:sz w:val="21"/>
                <w:szCs w:val="21"/>
              </w:rPr>
              <w:t>/</w:t>
            </w:r>
          </w:p>
        </w:tc>
        <w:tc>
          <w:tcPr>
            <w:tcW w:w="678" w:type="pct"/>
          </w:tcPr>
          <w:p w14:paraId="7D843314">
            <w:pPr>
              <w:adjustRightInd w:val="0"/>
              <w:snapToGrid w:val="0"/>
              <w:spacing w:line="320" w:lineRule="exact"/>
              <w:ind w:firstLine="0" w:firstLineChars="0"/>
              <w:jc w:val="center"/>
              <w:rPr>
                <w:rFonts w:cs="Times New Roman"/>
                <w:sz w:val="21"/>
                <w:szCs w:val="21"/>
              </w:rPr>
            </w:pPr>
            <w:r>
              <w:rPr>
                <w:rFonts w:cs="Times New Roman"/>
                <w:sz w:val="21"/>
                <w:szCs w:val="21"/>
              </w:rPr>
              <w:t xml:space="preserve">1.50 </w:t>
            </w:r>
          </w:p>
        </w:tc>
        <w:tc>
          <w:tcPr>
            <w:tcW w:w="501" w:type="pct"/>
          </w:tcPr>
          <w:p w14:paraId="25FBE82C">
            <w:pPr>
              <w:adjustRightInd w:val="0"/>
              <w:snapToGrid w:val="0"/>
              <w:spacing w:line="320" w:lineRule="exact"/>
              <w:ind w:firstLine="0" w:firstLineChars="0"/>
              <w:jc w:val="center"/>
              <w:rPr>
                <w:rFonts w:cs="Times New Roman"/>
                <w:sz w:val="21"/>
                <w:szCs w:val="21"/>
              </w:rPr>
            </w:pPr>
            <w:r>
              <w:rPr>
                <w:rFonts w:cs="Times New Roman"/>
                <w:sz w:val="21"/>
                <w:szCs w:val="21"/>
              </w:rPr>
              <w:t xml:space="preserve">17.2 </w:t>
            </w:r>
          </w:p>
        </w:tc>
      </w:tr>
      <w:tr w14:paraId="0F9097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0" w:hRule="exact"/>
          <w:jc w:val="center"/>
        </w:trPr>
        <w:tc>
          <w:tcPr>
            <w:tcW w:w="578" w:type="pct"/>
          </w:tcPr>
          <w:p w14:paraId="4045F889">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最小值</w:t>
            </w:r>
          </w:p>
        </w:tc>
        <w:tc>
          <w:tcPr>
            <w:tcW w:w="436" w:type="pct"/>
          </w:tcPr>
          <w:p w14:paraId="71D60C28">
            <w:pPr>
              <w:adjustRightInd w:val="0"/>
              <w:snapToGrid w:val="0"/>
              <w:spacing w:line="320" w:lineRule="exact"/>
              <w:ind w:firstLine="0" w:firstLineChars="0"/>
              <w:jc w:val="center"/>
              <w:rPr>
                <w:rFonts w:cs="Times New Roman"/>
                <w:sz w:val="21"/>
                <w:szCs w:val="21"/>
              </w:rPr>
            </w:pPr>
            <w:r>
              <w:rPr>
                <w:rFonts w:cs="Times New Roman"/>
                <w:sz w:val="21"/>
                <w:szCs w:val="21"/>
              </w:rPr>
              <w:t xml:space="preserve">0.12 </w:t>
            </w:r>
          </w:p>
        </w:tc>
        <w:tc>
          <w:tcPr>
            <w:tcW w:w="436" w:type="pct"/>
          </w:tcPr>
          <w:p w14:paraId="0E4D6B35">
            <w:pPr>
              <w:adjustRightInd w:val="0"/>
              <w:snapToGrid w:val="0"/>
              <w:spacing w:line="320" w:lineRule="exact"/>
              <w:ind w:firstLine="0" w:firstLineChars="0"/>
              <w:jc w:val="center"/>
              <w:rPr>
                <w:rFonts w:cs="Times New Roman"/>
                <w:sz w:val="21"/>
                <w:szCs w:val="21"/>
              </w:rPr>
            </w:pPr>
            <w:r>
              <w:rPr>
                <w:rFonts w:cs="Times New Roman"/>
                <w:sz w:val="21"/>
                <w:szCs w:val="21"/>
              </w:rPr>
              <w:t xml:space="preserve">11.7 </w:t>
            </w:r>
          </w:p>
        </w:tc>
        <w:tc>
          <w:tcPr>
            <w:tcW w:w="436" w:type="pct"/>
          </w:tcPr>
          <w:p w14:paraId="0DCDA578">
            <w:pPr>
              <w:adjustRightInd w:val="0"/>
              <w:snapToGrid w:val="0"/>
              <w:spacing w:line="320" w:lineRule="exact"/>
              <w:ind w:firstLine="0" w:firstLineChars="0"/>
              <w:jc w:val="center"/>
              <w:rPr>
                <w:rFonts w:cs="Times New Roman"/>
                <w:sz w:val="21"/>
                <w:szCs w:val="21"/>
              </w:rPr>
            </w:pPr>
            <w:r>
              <w:rPr>
                <w:rFonts w:cs="Times New Roman"/>
                <w:sz w:val="21"/>
                <w:szCs w:val="21"/>
              </w:rPr>
              <w:t xml:space="preserve">0.08 </w:t>
            </w:r>
          </w:p>
        </w:tc>
        <w:tc>
          <w:tcPr>
            <w:tcW w:w="439" w:type="pct"/>
          </w:tcPr>
          <w:p w14:paraId="4763E61A">
            <w:pPr>
              <w:adjustRightInd w:val="0"/>
              <w:snapToGrid w:val="0"/>
              <w:spacing w:line="320" w:lineRule="exact"/>
              <w:ind w:firstLine="0" w:firstLineChars="0"/>
              <w:jc w:val="center"/>
              <w:rPr>
                <w:rFonts w:cs="Times New Roman"/>
                <w:sz w:val="21"/>
                <w:szCs w:val="21"/>
              </w:rPr>
            </w:pPr>
            <w:r>
              <w:rPr>
                <w:rFonts w:cs="Times New Roman"/>
                <w:sz w:val="21"/>
                <w:szCs w:val="21"/>
              </w:rPr>
              <w:t xml:space="preserve">18.5 </w:t>
            </w:r>
          </w:p>
        </w:tc>
        <w:tc>
          <w:tcPr>
            <w:tcW w:w="460" w:type="pct"/>
          </w:tcPr>
          <w:p w14:paraId="165E14B1">
            <w:pPr>
              <w:adjustRightInd w:val="0"/>
              <w:snapToGrid w:val="0"/>
              <w:spacing w:line="320" w:lineRule="exact"/>
              <w:ind w:firstLine="0" w:firstLineChars="0"/>
              <w:jc w:val="center"/>
              <w:rPr>
                <w:rFonts w:cs="Times New Roman"/>
                <w:b/>
                <w:bCs/>
                <w:i/>
                <w:iCs/>
                <w:sz w:val="21"/>
                <w:szCs w:val="21"/>
              </w:rPr>
            </w:pPr>
            <w:r>
              <w:rPr>
                <w:rFonts w:cs="Times New Roman"/>
                <w:b/>
                <w:bCs/>
                <w:i/>
                <w:iCs/>
                <w:sz w:val="21"/>
                <w:szCs w:val="21"/>
              </w:rPr>
              <w:t xml:space="preserve">39.2 </w:t>
            </w:r>
          </w:p>
        </w:tc>
        <w:tc>
          <w:tcPr>
            <w:tcW w:w="437" w:type="pct"/>
          </w:tcPr>
          <w:p w14:paraId="533136BF">
            <w:pPr>
              <w:adjustRightInd w:val="0"/>
              <w:snapToGrid w:val="0"/>
              <w:spacing w:line="320" w:lineRule="exact"/>
              <w:ind w:firstLine="0" w:firstLineChars="0"/>
              <w:jc w:val="center"/>
              <w:rPr>
                <w:rFonts w:cs="Times New Roman"/>
                <w:b/>
                <w:bCs/>
                <w:i/>
                <w:iCs/>
                <w:sz w:val="21"/>
                <w:szCs w:val="21"/>
              </w:rPr>
            </w:pPr>
            <w:r>
              <w:rPr>
                <w:rFonts w:cs="Times New Roman"/>
                <w:b/>
                <w:bCs/>
                <w:i/>
                <w:iCs/>
                <w:sz w:val="21"/>
                <w:szCs w:val="21"/>
              </w:rPr>
              <w:t xml:space="preserve">24.4 </w:t>
            </w:r>
          </w:p>
        </w:tc>
        <w:tc>
          <w:tcPr>
            <w:tcW w:w="599" w:type="pct"/>
          </w:tcPr>
          <w:p w14:paraId="7A589990">
            <w:pPr>
              <w:adjustRightInd w:val="0"/>
              <w:snapToGrid w:val="0"/>
              <w:spacing w:line="320" w:lineRule="exact"/>
              <w:ind w:firstLine="0" w:firstLineChars="0"/>
              <w:jc w:val="center"/>
              <w:rPr>
                <w:rFonts w:cs="Times New Roman"/>
                <w:sz w:val="21"/>
                <w:szCs w:val="21"/>
              </w:rPr>
            </w:pPr>
            <w:r>
              <w:rPr>
                <w:rFonts w:cs="Times New Roman"/>
                <w:sz w:val="21"/>
                <w:szCs w:val="21"/>
              </w:rPr>
              <w:t>/</w:t>
            </w:r>
          </w:p>
        </w:tc>
        <w:tc>
          <w:tcPr>
            <w:tcW w:w="678" w:type="pct"/>
          </w:tcPr>
          <w:p w14:paraId="208D476C">
            <w:pPr>
              <w:adjustRightInd w:val="0"/>
              <w:snapToGrid w:val="0"/>
              <w:spacing w:line="320" w:lineRule="exact"/>
              <w:ind w:firstLine="0" w:firstLineChars="0"/>
              <w:jc w:val="center"/>
              <w:rPr>
                <w:rFonts w:cs="Times New Roman"/>
                <w:sz w:val="21"/>
                <w:szCs w:val="21"/>
              </w:rPr>
            </w:pPr>
            <w:r>
              <w:rPr>
                <w:rFonts w:cs="Times New Roman"/>
                <w:sz w:val="21"/>
                <w:szCs w:val="21"/>
              </w:rPr>
              <w:t xml:space="preserve">1.47 </w:t>
            </w:r>
          </w:p>
        </w:tc>
        <w:tc>
          <w:tcPr>
            <w:tcW w:w="501" w:type="pct"/>
          </w:tcPr>
          <w:p w14:paraId="3813811A">
            <w:pPr>
              <w:adjustRightInd w:val="0"/>
              <w:snapToGrid w:val="0"/>
              <w:spacing w:line="320" w:lineRule="exact"/>
              <w:ind w:firstLine="0" w:firstLineChars="0"/>
              <w:jc w:val="center"/>
              <w:rPr>
                <w:rFonts w:cs="Times New Roman"/>
                <w:sz w:val="21"/>
                <w:szCs w:val="21"/>
              </w:rPr>
            </w:pPr>
            <w:r>
              <w:rPr>
                <w:rFonts w:cs="Times New Roman"/>
                <w:sz w:val="21"/>
                <w:szCs w:val="21"/>
              </w:rPr>
              <w:t xml:space="preserve">15.6 </w:t>
            </w:r>
          </w:p>
        </w:tc>
      </w:tr>
      <w:tr w14:paraId="72310D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0" w:hRule="exact"/>
          <w:jc w:val="center"/>
        </w:trPr>
        <w:tc>
          <w:tcPr>
            <w:tcW w:w="578" w:type="pct"/>
          </w:tcPr>
          <w:p w14:paraId="2933526E">
            <w:pPr>
              <w:adjustRightInd w:val="0"/>
              <w:snapToGrid w:val="0"/>
              <w:spacing w:line="320" w:lineRule="exact"/>
              <w:ind w:firstLine="0" w:firstLineChars="0"/>
              <w:jc w:val="center"/>
              <w:rPr>
                <w:rFonts w:cs="Times New Roman"/>
                <w:snapToGrid w:val="0"/>
                <w:w w:val="90"/>
                <w:kern w:val="0"/>
                <w:sz w:val="21"/>
                <w:szCs w:val="21"/>
              </w:rPr>
            </w:pPr>
            <w:r>
              <w:rPr>
                <w:rFonts w:cs="Times New Roman"/>
                <w:sz w:val="21"/>
                <w:szCs w:val="21"/>
              </w:rPr>
              <w:t>平均值</w:t>
            </w:r>
          </w:p>
        </w:tc>
        <w:tc>
          <w:tcPr>
            <w:tcW w:w="436" w:type="pct"/>
          </w:tcPr>
          <w:p w14:paraId="2DEF5A62">
            <w:pPr>
              <w:adjustRightInd w:val="0"/>
              <w:snapToGrid w:val="0"/>
              <w:spacing w:line="320" w:lineRule="exact"/>
              <w:ind w:firstLine="0" w:firstLineChars="0"/>
              <w:jc w:val="center"/>
              <w:rPr>
                <w:rFonts w:cs="Times New Roman"/>
                <w:sz w:val="21"/>
                <w:szCs w:val="21"/>
              </w:rPr>
            </w:pPr>
            <w:r>
              <w:rPr>
                <w:rFonts w:cs="Times New Roman"/>
                <w:sz w:val="21"/>
                <w:szCs w:val="21"/>
              </w:rPr>
              <w:t xml:space="preserve">0.13 </w:t>
            </w:r>
          </w:p>
        </w:tc>
        <w:tc>
          <w:tcPr>
            <w:tcW w:w="436" w:type="pct"/>
          </w:tcPr>
          <w:p w14:paraId="44C1DE6C">
            <w:pPr>
              <w:adjustRightInd w:val="0"/>
              <w:snapToGrid w:val="0"/>
              <w:spacing w:line="320" w:lineRule="exact"/>
              <w:ind w:firstLine="0" w:firstLineChars="0"/>
              <w:jc w:val="center"/>
              <w:rPr>
                <w:rFonts w:cs="Times New Roman"/>
                <w:sz w:val="21"/>
                <w:szCs w:val="21"/>
              </w:rPr>
            </w:pPr>
            <w:r>
              <w:rPr>
                <w:rFonts w:cs="Times New Roman"/>
                <w:sz w:val="21"/>
                <w:szCs w:val="21"/>
              </w:rPr>
              <w:t xml:space="preserve">12.4 </w:t>
            </w:r>
          </w:p>
        </w:tc>
        <w:tc>
          <w:tcPr>
            <w:tcW w:w="436" w:type="pct"/>
          </w:tcPr>
          <w:p w14:paraId="53C7A454">
            <w:pPr>
              <w:adjustRightInd w:val="0"/>
              <w:snapToGrid w:val="0"/>
              <w:spacing w:line="320" w:lineRule="exact"/>
              <w:ind w:firstLine="0" w:firstLineChars="0"/>
              <w:jc w:val="center"/>
              <w:rPr>
                <w:rFonts w:cs="Times New Roman"/>
                <w:sz w:val="21"/>
                <w:szCs w:val="21"/>
              </w:rPr>
            </w:pPr>
            <w:r>
              <w:rPr>
                <w:rFonts w:cs="Times New Roman"/>
                <w:sz w:val="21"/>
                <w:szCs w:val="21"/>
              </w:rPr>
              <w:t xml:space="preserve">0.09 </w:t>
            </w:r>
          </w:p>
        </w:tc>
        <w:tc>
          <w:tcPr>
            <w:tcW w:w="439" w:type="pct"/>
          </w:tcPr>
          <w:p w14:paraId="55F38FBE">
            <w:pPr>
              <w:adjustRightInd w:val="0"/>
              <w:snapToGrid w:val="0"/>
              <w:spacing w:line="320" w:lineRule="exact"/>
              <w:ind w:firstLine="0" w:firstLineChars="0"/>
              <w:jc w:val="center"/>
              <w:rPr>
                <w:rFonts w:cs="Times New Roman"/>
                <w:sz w:val="21"/>
                <w:szCs w:val="21"/>
              </w:rPr>
            </w:pPr>
            <w:r>
              <w:rPr>
                <w:rFonts w:cs="Times New Roman"/>
                <w:sz w:val="21"/>
                <w:szCs w:val="21"/>
              </w:rPr>
              <w:t xml:space="preserve">19.2 </w:t>
            </w:r>
          </w:p>
        </w:tc>
        <w:tc>
          <w:tcPr>
            <w:tcW w:w="460" w:type="pct"/>
          </w:tcPr>
          <w:p w14:paraId="2BC41893">
            <w:pPr>
              <w:adjustRightInd w:val="0"/>
              <w:snapToGrid w:val="0"/>
              <w:spacing w:line="320" w:lineRule="exact"/>
              <w:ind w:firstLine="0" w:firstLineChars="0"/>
              <w:jc w:val="center"/>
              <w:rPr>
                <w:rFonts w:cs="Times New Roman"/>
                <w:b/>
                <w:bCs/>
                <w:i/>
                <w:iCs/>
                <w:sz w:val="21"/>
                <w:szCs w:val="21"/>
              </w:rPr>
            </w:pPr>
            <w:r>
              <w:rPr>
                <w:rFonts w:cs="Times New Roman"/>
                <w:b/>
                <w:bCs/>
                <w:i/>
                <w:iCs/>
                <w:sz w:val="21"/>
                <w:szCs w:val="21"/>
              </w:rPr>
              <w:t xml:space="preserve">41.3 </w:t>
            </w:r>
          </w:p>
        </w:tc>
        <w:tc>
          <w:tcPr>
            <w:tcW w:w="437" w:type="pct"/>
          </w:tcPr>
          <w:p w14:paraId="146A933A">
            <w:pPr>
              <w:adjustRightInd w:val="0"/>
              <w:snapToGrid w:val="0"/>
              <w:spacing w:line="320" w:lineRule="exact"/>
              <w:ind w:firstLine="0" w:firstLineChars="0"/>
              <w:jc w:val="center"/>
              <w:rPr>
                <w:rFonts w:cs="Times New Roman"/>
                <w:b/>
                <w:bCs/>
                <w:i/>
                <w:iCs/>
                <w:sz w:val="21"/>
                <w:szCs w:val="21"/>
              </w:rPr>
            </w:pPr>
            <w:r>
              <w:rPr>
                <w:rFonts w:cs="Times New Roman"/>
                <w:b/>
                <w:bCs/>
                <w:i/>
                <w:iCs/>
                <w:sz w:val="21"/>
                <w:szCs w:val="21"/>
              </w:rPr>
              <w:t xml:space="preserve">24.5 </w:t>
            </w:r>
          </w:p>
        </w:tc>
        <w:tc>
          <w:tcPr>
            <w:tcW w:w="599" w:type="pct"/>
          </w:tcPr>
          <w:p w14:paraId="5FB3E883">
            <w:pPr>
              <w:adjustRightInd w:val="0"/>
              <w:snapToGrid w:val="0"/>
              <w:spacing w:line="320" w:lineRule="exact"/>
              <w:ind w:firstLine="0" w:firstLineChars="0"/>
              <w:jc w:val="center"/>
              <w:rPr>
                <w:rFonts w:cs="Times New Roman"/>
                <w:sz w:val="21"/>
                <w:szCs w:val="21"/>
              </w:rPr>
            </w:pPr>
            <w:r>
              <w:rPr>
                <w:rFonts w:cs="Times New Roman"/>
                <w:sz w:val="21"/>
                <w:szCs w:val="21"/>
              </w:rPr>
              <w:t>/</w:t>
            </w:r>
          </w:p>
        </w:tc>
        <w:tc>
          <w:tcPr>
            <w:tcW w:w="678" w:type="pct"/>
          </w:tcPr>
          <w:p w14:paraId="7F61A3F0">
            <w:pPr>
              <w:adjustRightInd w:val="0"/>
              <w:snapToGrid w:val="0"/>
              <w:spacing w:line="320" w:lineRule="exact"/>
              <w:ind w:firstLine="0" w:firstLineChars="0"/>
              <w:jc w:val="center"/>
              <w:rPr>
                <w:rFonts w:cs="Times New Roman"/>
                <w:sz w:val="21"/>
                <w:szCs w:val="21"/>
              </w:rPr>
            </w:pPr>
            <w:r>
              <w:rPr>
                <w:rFonts w:cs="Times New Roman"/>
                <w:sz w:val="21"/>
                <w:szCs w:val="21"/>
              </w:rPr>
              <w:t xml:space="preserve">1.49 </w:t>
            </w:r>
          </w:p>
        </w:tc>
        <w:tc>
          <w:tcPr>
            <w:tcW w:w="501" w:type="pct"/>
          </w:tcPr>
          <w:p w14:paraId="323F6F35">
            <w:pPr>
              <w:adjustRightInd w:val="0"/>
              <w:snapToGrid w:val="0"/>
              <w:spacing w:line="320" w:lineRule="exact"/>
              <w:ind w:firstLine="0" w:firstLineChars="0"/>
              <w:jc w:val="center"/>
              <w:rPr>
                <w:rFonts w:cs="Times New Roman"/>
                <w:sz w:val="21"/>
                <w:szCs w:val="21"/>
              </w:rPr>
            </w:pPr>
            <w:r>
              <w:rPr>
                <w:rFonts w:cs="Times New Roman"/>
                <w:sz w:val="21"/>
                <w:szCs w:val="21"/>
              </w:rPr>
              <w:t xml:space="preserve">16.4 </w:t>
            </w:r>
          </w:p>
        </w:tc>
      </w:tr>
    </w:tbl>
    <w:p w14:paraId="694E18FD">
      <w:pPr>
        <w:ind w:firstLine="480"/>
        <w:jc w:val="left"/>
      </w:pPr>
      <w:r>
        <w:rPr>
          <w:rFonts w:cs="Times New Roman"/>
          <w:snapToGrid w:val="0"/>
          <w:kern w:val="0"/>
          <w:sz w:val="24"/>
          <w:szCs w:val="24"/>
        </w:rPr>
        <w:t>注：统计表见附录5</w:t>
      </w:r>
      <w:r>
        <w:rPr>
          <w:rFonts w:hint="eastAsia" w:cs="Times New Roman"/>
          <w:snapToGrid w:val="0"/>
          <w:kern w:val="0"/>
          <w:sz w:val="24"/>
          <w:szCs w:val="24"/>
        </w:rPr>
        <w:t>；甘松箐改性磷石膏剪切试验指标</w:t>
      </w:r>
      <w:r>
        <w:rPr>
          <w:rFonts w:cs="Times New Roman"/>
          <w:b/>
          <w:bCs/>
          <w:i/>
          <w:iCs/>
          <w:sz w:val="24"/>
          <w:szCs w:val="24"/>
        </w:rPr>
        <w:t>43.3</w:t>
      </w:r>
      <w:r>
        <w:rPr>
          <w:rFonts w:hint="eastAsia" w:cs="Times New Roman"/>
          <w:snapToGrid w:val="0"/>
          <w:kern w:val="0"/>
          <w:sz w:val="24"/>
          <w:szCs w:val="24"/>
        </w:rPr>
        <w:t>为直剪快剪</w:t>
      </w:r>
      <w:r>
        <w:rPr>
          <w:rFonts w:cs="Times New Roman"/>
          <w:snapToGrid w:val="0"/>
          <w:kern w:val="0"/>
          <w:sz w:val="24"/>
          <w:szCs w:val="24"/>
        </w:rPr>
        <w:t>。</w:t>
      </w:r>
    </w:p>
    <w:p w14:paraId="2920B629">
      <w:pPr>
        <w:pStyle w:val="5"/>
      </w:pPr>
      <w:r>
        <w:rPr>
          <w:rFonts w:hint="eastAsia"/>
        </w:rPr>
        <w:t>2.3.2.4地基岩、土层渗透性</w:t>
      </w:r>
      <w:r>
        <w:t xml:space="preserve"> </w:t>
      </w:r>
    </w:p>
    <w:p w14:paraId="4EC48B1B">
      <w:pPr>
        <w:ind w:firstLine="560"/>
        <w:rPr>
          <w:snapToGrid w:val="0"/>
          <w:kern w:val="0"/>
          <w:sz w:val="21"/>
          <w:szCs w:val="21"/>
        </w:rPr>
      </w:pPr>
      <w:r>
        <w:t>根据试验结果，结合场地地质条件综合分析：磷石膏①</w:t>
      </w:r>
      <w:r>
        <w:rPr>
          <w:vertAlign w:val="subscript"/>
        </w:rPr>
        <w:t>1</w:t>
      </w:r>
      <w:r>
        <w:t>层的渗透性，综合考虑可按微透水～弱透水性来考虑；素填土①</w:t>
      </w:r>
      <w:r>
        <w:rPr>
          <w:vertAlign w:val="subscript"/>
        </w:rPr>
        <w:t>3</w:t>
      </w:r>
      <w:r>
        <w:t>室内渗透性试验呈微透水性，局部含有少量碎石、角砾，渗透性不均匀，综合考虑可按微透水～弱透水性来考虑；黏土②层的渗透性，可按微透水来考虑；强风化变质石英砂岩③层裂隙发育，综合按中等透水～强透水性来考虑。</w:t>
      </w:r>
    </w:p>
    <w:p w14:paraId="567A4AE5">
      <w:pPr>
        <w:pStyle w:val="4"/>
      </w:pPr>
      <w:bookmarkStart w:id="32" w:name="_Toc230699568"/>
      <w:r>
        <w:rPr>
          <w:rFonts w:hint="eastAsia"/>
        </w:rPr>
        <w:t>2.3.3 水文地质条件</w:t>
      </w:r>
      <w:bookmarkEnd w:id="32"/>
    </w:p>
    <w:p w14:paraId="0AAFF27B">
      <w:pPr>
        <w:pStyle w:val="5"/>
      </w:pPr>
      <w:r>
        <w:rPr>
          <w:rFonts w:hint="eastAsia"/>
        </w:rPr>
        <w:t>2.3.3.1 地表水</w:t>
      </w:r>
    </w:p>
    <w:p w14:paraId="1203BB6C">
      <w:pPr>
        <w:ind w:firstLine="560"/>
      </w:pPr>
      <w:r>
        <w:t>项目场地区域上隶属螳螂川水系。勘察期间场地内无稳定地表水分布，项目场地周边未见泉眼分布，未发现水源开采情况，亦无水源保护带，未发现潜在不良水文地质现象。</w:t>
      </w:r>
    </w:p>
    <w:p w14:paraId="53761730">
      <w:pPr>
        <w:ind w:firstLine="560"/>
      </w:pPr>
      <w:r>
        <w:t>距离项目场区最近的稳定地表水主要为西南侧约0.6km的二街河，二街河水量一般，主要用途为沿河农田提供排灌，与项目场区高差约60m，对项目场区影响较小。</w:t>
      </w:r>
    </w:p>
    <w:p w14:paraId="5D82CCA6">
      <w:pPr>
        <w:ind w:firstLine="560"/>
      </w:pPr>
      <w:r>
        <w:t>不稳定的地表水主要为大气降雨条件下产生的地表径流。大气降雨条件下产生的地表径流，具有季节性及短时性的特点。大气降雨条件下产生的地表水大部分沿地表向低洼处排泄，最终汇入螳螂江，少部分以蒸发形式排泄，部分入渗到深部土层中，降低土体强度，对项目场地的边坡稳定较为不利，因此需维护好场地截排水设施。</w:t>
      </w:r>
    </w:p>
    <w:p w14:paraId="43D79DBE">
      <w:pPr>
        <w:ind w:firstLine="560"/>
      </w:pPr>
      <w:r>
        <w:t>项目场区汇水面积约为7.76万m</w:t>
      </w:r>
      <w:r>
        <w:rPr>
          <w:rFonts w:hint="eastAsia"/>
          <w:vertAlign w:val="superscript"/>
        </w:rPr>
        <w:t>2</w:t>
      </w:r>
      <w:r>
        <w:rPr>
          <w:rFonts w:hint="eastAsia"/>
        </w:rPr>
        <w:t>。</w:t>
      </w:r>
    </w:p>
    <w:p w14:paraId="35627E7C">
      <w:pPr>
        <w:pStyle w:val="5"/>
      </w:pPr>
      <w:r>
        <w:rPr>
          <w:rFonts w:hint="eastAsia"/>
        </w:rPr>
        <w:t>2.3.3.2 地下水</w:t>
      </w:r>
    </w:p>
    <w:p w14:paraId="4015E052">
      <w:pPr>
        <w:autoSpaceDE w:val="0"/>
        <w:autoSpaceDN w:val="0"/>
        <w:ind w:firstLine="560"/>
        <w:jc w:val="left"/>
        <w:rPr>
          <w:bCs/>
          <w:kern w:val="24"/>
        </w:rPr>
      </w:pPr>
      <w:r>
        <w:rPr>
          <w:bCs/>
          <w:kern w:val="24"/>
        </w:rPr>
        <w:t>（1）地下水类型</w:t>
      </w:r>
    </w:p>
    <w:p w14:paraId="06FC17A9">
      <w:pPr>
        <w:autoSpaceDE w:val="0"/>
        <w:autoSpaceDN w:val="0"/>
        <w:ind w:firstLine="560"/>
        <w:jc w:val="left"/>
        <w:rPr>
          <w:kern w:val="24"/>
        </w:rPr>
      </w:pPr>
      <w:r>
        <w:rPr>
          <w:kern w:val="24"/>
        </w:rPr>
        <w:t>勘察期间各钻孔及探井中均未揭露到地下水。根据钻探揭露情况、现场调查及收集到的资料，结合场地岩土特点及储水特性综合分析，区域内地下水分为松散岩类孔隙水、碳酸盐岩类岩溶水和基岩裂隙水三大类型。</w:t>
      </w:r>
    </w:p>
    <w:p w14:paraId="0DB9F3C8">
      <w:pPr>
        <w:autoSpaceDE w:val="0"/>
        <w:autoSpaceDN w:val="0"/>
        <w:ind w:firstLine="560"/>
        <w:jc w:val="left"/>
        <w:rPr>
          <w:bCs/>
          <w:kern w:val="24"/>
        </w:rPr>
      </w:pPr>
      <w:r>
        <w:rPr>
          <w:bCs/>
          <w:kern w:val="24"/>
        </w:rPr>
        <w:t>（2）地下水补给、径流、排泄条件</w:t>
      </w:r>
    </w:p>
    <w:p w14:paraId="6EEFD5A6">
      <w:pPr>
        <w:autoSpaceDE w:val="0"/>
        <w:autoSpaceDN w:val="0"/>
        <w:ind w:firstLine="560"/>
        <w:jc w:val="left"/>
        <w:rPr>
          <w:kern w:val="24"/>
        </w:rPr>
      </w:pPr>
      <w:r>
        <w:rPr>
          <w:kern w:val="24"/>
        </w:rPr>
        <w:t>地下水的补给、径流及排泄因含水层类型、构造等差异而使其补给、径流及排泄方式也有所不同。</w:t>
      </w:r>
    </w:p>
    <w:p w14:paraId="16AF5D85">
      <w:pPr>
        <w:autoSpaceDE w:val="0"/>
        <w:autoSpaceDN w:val="0"/>
        <w:ind w:firstLine="560"/>
        <w:jc w:val="left"/>
        <w:rPr>
          <w:kern w:val="24"/>
        </w:rPr>
      </w:pPr>
      <w:r>
        <w:rPr>
          <w:kern w:val="24"/>
        </w:rPr>
        <w:t>孔隙水主要受大气降水补给，少量以蒸发的方式排泄，大部分顺沟谷排到下游，部分下渗到到深部地层中。</w:t>
      </w:r>
    </w:p>
    <w:p w14:paraId="21C525DD">
      <w:pPr>
        <w:autoSpaceDE w:val="0"/>
        <w:autoSpaceDN w:val="0"/>
        <w:ind w:firstLine="560"/>
        <w:jc w:val="left"/>
        <w:rPr>
          <w:kern w:val="24"/>
        </w:rPr>
      </w:pPr>
      <w:r>
        <w:rPr>
          <w:kern w:val="24"/>
        </w:rPr>
        <w:t>岩溶裂隙水补给源以大气降水垂向补给为主。大气降雨后，绝大部分直接由地面流走及蒸发，基岩出露地段，部分地表水则沿着各类节理所组成的裂隙网络等往地下渗入。补给强度主要取决于岩石裸露面积、地形坡度及裂隙的发育程度。</w:t>
      </w:r>
    </w:p>
    <w:p w14:paraId="374997B9">
      <w:pPr>
        <w:autoSpaceDE w:val="0"/>
        <w:autoSpaceDN w:val="0"/>
        <w:ind w:firstLine="560"/>
        <w:jc w:val="left"/>
        <w:rPr>
          <w:kern w:val="24"/>
        </w:rPr>
      </w:pPr>
      <w:r>
        <w:rPr>
          <w:kern w:val="24"/>
        </w:rPr>
        <w:t>基岩裂隙水主要接受大气降雨补给为主，其径流、排泄与地形地貌、岩性特征、构造条件关系密切，地下水主要运移于裂隙之中，主要受大气降水补给，具有由高向低就近补给、就近排泄的特点，一般在低凹处呈片状渗出，除此之外地下水在径流运移途中遇到相对隔水层而以泉的形式溢出地表；受季节控制明显。</w:t>
      </w:r>
    </w:p>
    <w:p w14:paraId="3F85A12A">
      <w:pPr>
        <w:ind w:firstLine="560"/>
      </w:pPr>
      <w:r>
        <w:rPr>
          <w:kern w:val="24"/>
        </w:rPr>
        <w:t>项目场地处于地下水的径流区及部分补给区</w:t>
      </w:r>
      <w:r>
        <w:rPr>
          <w:bCs/>
          <w:kern w:val="24"/>
        </w:rPr>
        <w:t>，</w:t>
      </w:r>
      <w:r>
        <w:rPr>
          <w:kern w:val="24"/>
        </w:rPr>
        <w:t>地下水由周围的强～中等透水层向地形深切处或沟谷等地势低洼处汇聚，向南流出场地，最终排入螳螂川。总体水量较小，对周边地下水影响较小。</w:t>
      </w:r>
    </w:p>
    <w:p w14:paraId="09902092">
      <w:pPr>
        <w:pStyle w:val="4"/>
      </w:pPr>
      <w:bookmarkStart w:id="33" w:name="_Toc230699569"/>
      <w:r>
        <w:rPr>
          <w:rFonts w:hint="eastAsia"/>
        </w:rPr>
        <w:t>2.3.4 场地岩土工程条件评价</w:t>
      </w:r>
      <w:bookmarkEnd w:id="33"/>
    </w:p>
    <w:p w14:paraId="7A73687A">
      <w:pPr>
        <w:pStyle w:val="5"/>
      </w:pPr>
      <w:r>
        <w:rPr>
          <w:rFonts w:hint="eastAsia"/>
        </w:rPr>
        <w:t>2.3.4.1 场地稳定性评价</w:t>
      </w:r>
    </w:p>
    <w:p w14:paraId="1FABEB47">
      <w:pPr>
        <w:ind w:firstLine="560"/>
        <w:rPr>
          <w:bCs/>
          <w:kern w:val="0"/>
        </w:rPr>
      </w:pPr>
      <w:r>
        <w:rPr>
          <w:bCs/>
          <w:kern w:val="0"/>
        </w:rPr>
        <w:t>项目场地位于扬子准地台西部，川滇台背斜与滇东台褶皱之交汇部位。普渡河-滇池断裂以西，属武定-石屏隆断束的禄劝断凹陷。根据区域地质资料及野外勘察结果，工程场区10.0km范围内无全新活动断裂及发震断裂分布，场地内无构造断裂通过，项目场地所在地区属于次不稳定区域。</w:t>
      </w:r>
    </w:p>
    <w:p w14:paraId="0AE34588">
      <w:pPr>
        <w:ind w:firstLine="560"/>
      </w:pPr>
      <w:r>
        <w:rPr>
          <w:bCs/>
          <w:kern w:val="0"/>
        </w:rPr>
        <w:t>经现场调查，场地周边无滑坡、泥石流等不良地质作用分布，场地位于中山、低中山斜坡处，现状条件下场地处于基本稳定状态。</w:t>
      </w:r>
    </w:p>
    <w:p w14:paraId="049C30AF">
      <w:pPr>
        <w:pStyle w:val="5"/>
      </w:pPr>
      <w:r>
        <w:rPr>
          <w:rFonts w:hint="eastAsia"/>
        </w:rPr>
        <w:t>2.3.4.2 场地岩土工程性质评价</w:t>
      </w:r>
    </w:p>
    <w:p w14:paraId="0F210C08">
      <w:pPr>
        <w:ind w:firstLine="560"/>
        <w:rPr>
          <w:bCs/>
          <w:kern w:val="0"/>
        </w:rPr>
      </w:pPr>
      <w:r>
        <w:rPr>
          <w:bCs/>
          <w:kern w:val="0"/>
        </w:rPr>
        <w:t>根据本次勘察钻探取芯野外描述鉴定、野外原位测试、以及室内土工试验结果，结合场地周边的勘察资料分析，对勘察场地揭露的地基土进行综合分析评价如下：</w:t>
      </w:r>
    </w:p>
    <w:p w14:paraId="6752301C">
      <w:pPr>
        <w:ind w:firstLine="560"/>
        <w:rPr>
          <w:bCs/>
          <w:kern w:val="0"/>
        </w:rPr>
      </w:pPr>
      <w:r>
        <w:rPr>
          <w:bCs/>
          <w:kern w:val="0"/>
        </w:rPr>
        <w:t>（1）磷石膏①</w:t>
      </w:r>
      <w:r>
        <w:rPr>
          <w:bCs/>
          <w:kern w:val="0"/>
          <w:vertAlign w:val="subscript"/>
        </w:rPr>
        <w:t>1</w:t>
      </w:r>
      <w:r>
        <w:rPr>
          <w:bCs/>
          <w:kern w:val="0"/>
        </w:rPr>
        <w:t>层：该层土天然孔隙比平均值e=1.17，总体呈稍密～中密状态，压缩系数平均值a</w:t>
      </w:r>
      <w:r>
        <w:rPr>
          <w:bCs/>
          <w:kern w:val="0"/>
          <w:vertAlign w:val="subscript"/>
        </w:rPr>
        <w:t>0.1~0.2</w:t>
      </w:r>
      <w:r>
        <w:rPr>
          <w:bCs/>
          <w:kern w:val="0"/>
        </w:rPr>
        <w:t>=0.33MPa</w:t>
      </w:r>
      <w:r>
        <w:rPr>
          <w:bCs/>
          <w:kern w:val="0"/>
          <w:vertAlign w:val="superscript"/>
        </w:rPr>
        <w:t>-1</w:t>
      </w:r>
      <w:r>
        <w:rPr>
          <w:bCs/>
          <w:kern w:val="0"/>
        </w:rPr>
        <w:t>，属中压缩性土，直剪快剪标准值c=22.7kPa，φ=21.7°，浸水快剪标准值c=21.7kPa，φ=20.5°，三轴剪切试验平均值：c</w:t>
      </w:r>
      <w:r>
        <w:rPr>
          <w:bCs/>
          <w:kern w:val="0"/>
          <w:vertAlign w:val="subscript"/>
        </w:rPr>
        <w:t>cu</w:t>
      </w:r>
      <w:r>
        <w:rPr>
          <w:bCs/>
          <w:kern w:val="0"/>
        </w:rPr>
        <w:t>=30.2kPa，φ</w:t>
      </w:r>
      <w:r>
        <w:rPr>
          <w:bCs/>
          <w:kern w:val="0"/>
          <w:vertAlign w:val="subscript"/>
        </w:rPr>
        <w:t>cu</w:t>
      </w:r>
      <w:r>
        <w:rPr>
          <w:bCs/>
          <w:kern w:val="0"/>
        </w:rPr>
        <w:t>=40.9°、c’=15.5kPa，φ’=41.5°。标准贯入试验实测锤击数平均值N=17.2击。该层土的物理力学性质一般。</w:t>
      </w:r>
    </w:p>
    <w:p w14:paraId="6A2BCDAB">
      <w:pPr>
        <w:ind w:firstLine="560"/>
        <w:rPr>
          <w:bCs/>
          <w:kern w:val="0"/>
        </w:rPr>
      </w:pPr>
      <w:r>
        <w:rPr>
          <w:bCs/>
          <w:kern w:val="0"/>
        </w:rPr>
        <w:t>（2）素填土①</w:t>
      </w:r>
      <w:r>
        <w:rPr>
          <w:bCs/>
          <w:kern w:val="0"/>
          <w:vertAlign w:val="subscript"/>
        </w:rPr>
        <w:t>2</w:t>
      </w:r>
      <w:r>
        <w:rPr>
          <w:bCs/>
          <w:kern w:val="0"/>
        </w:rPr>
        <w:t>层：该层土呈稍密～中密状态（硬塑状态），该层土的物理力学性质及工程性能一般。</w:t>
      </w:r>
    </w:p>
    <w:p w14:paraId="23120102">
      <w:pPr>
        <w:ind w:firstLine="560"/>
        <w:rPr>
          <w:bCs/>
          <w:kern w:val="0"/>
        </w:rPr>
      </w:pPr>
      <w:r>
        <w:rPr>
          <w:bCs/>
          <w:kern w:val="0"/>
        </w:rPr>
        <w:t>（3）素填土①</w:t>
      </w:r>
      <w:r>
        <w:rPr>
          <w:bCs/>
          <w:kern w:val="0"/>
          <w:vertAlign w:val="subscript"/>
        </w:rPr>
        <w:t>3</w:t>
      </w:r>
      <w:r>
        <w:rPr>
          <w:bCs/>
          <w:kern w:val="0"/>
        </w:rPr>
        <w:t>层：该层土天然孔隙比平均值e=1.27，液性指数平均值I</w:t>
      </w:r>
      <w:r>
        <w:rPr>
          <w:bCs/>
          <w:kern w:val="0"/>
          <w:vertAlign w:val="subscript"/>
        </w:rPr>
        <w:t>L</w:t>
      </w:r>
      <w:r>
        <w:rPr>
          <w:bCs/>
          <w:kern w:val="0"/>
        </w:rPr>
        <w:t>=0.22，该层土呈稍密～中密状态（硬塑状态），压缩系数平均值a</w:t>
      </w:r>
      <w:r>
        <w:rPr>
          <w:bCs/>
          <w:kern w:val="0"/>
          <w:vertAlign w:val="subscript"/>
        </w:rPr>
        <w:t>0.1~0.2</w:t>
      </w:r>
      <w:r>
        <w:rPr>
          <w:bCs/>
          <w:kern w:val="0"/>
        </w:rPr>
        <w:t>=0.27MPa</w:t>
      </w:r>
      <w:r>
        <w:rPr>
          <w:bCs/>
          <w:kern w:val="0"/>
          <w:vertAlign w:val="superscript"/>
        </w:rPr>
        <w:t>-1</w:t>
      </w:r>
      <w:r>
        <w:rPr>
          <w:bCs/>
          <w:kern w:val="0"/>
        </w:rPr>
        <w:t>，属中压缩性土，直剪快剪标准值c=34.3kPa，φ=7.9°。标准贯入试验实测锤击数平均值N=8.3击。该层土的物理力学性质及工程性能一般。</w:t>
      </w:r>
    </w:p>
    <w:p w14:paraId="0695A983">
      <w:pPr>
        <w:ind w:firstLine="560"/>
        <w:rPr>
          <w:bCs/>
          <w:kern w:val="0"/>
        </w:rPr>
      </w:pPr>
      <w:r>
        <w:rPr>
          <w:bCs/>
          <w:kern w:val="0"/>
        </w:rPr>
        <w:t>（4）黏土②层：该层土天然孔隙比平均值e=1.30，液性指数平均值I</w:t>
      </w:r>
      <w:r>
        <w:rPr>
          <w:bCs/>
          <w:kern w:val="0"/>
          <w:vertAlign w:val="subscript"/>
        </w:rPr>
        <w:t>L</w:t>
      </w:r>
      <w:r>
        <w:rPr>
          <w:bCs/>
          <w:kern w:val="0"/>
        </w:rPr>
        <w:t>=0.34，可塑～硬塑状态，压缩系数平均值a</w:t>
      </w:r>
      <w:r>
        <w:rPr>
          <w:bCs/>
          <w:kern w:val="0"/>
          <w:vertAlign w:val="subscript"/>
        </w:rPr>
        <w:t>0.1~0.2</w:t>
      </w:r>
      <w:r>
        <w:rPr>
          <w:bCs/>
          <w:kern w:val="0"/>
        </w:rPr>
        <w:t>=0.32MPa</w:t>
      </w:r>
      <w:r>
        <w:rPr>
          <w:bCs/>
          <w:kern w:val="0"/>
          <w:vertAlign w:val="superscript"/>
        </w:rPr>
        <w:t>-1</w:t>
      </w:r>
      <w:r>
        <w:rPr>
          <w:bCs/>
          <w:kern w:val="0"/>
        </w:rPr>
        <w:t>，属中压缩性土。直剪快剪标准值c=30.5kPa，φ=7.6°。标准贯入试验实测锤击数平均值N=9.0击。该层土的物理力学性质及工程性能一般。</w:t>
      </w:r>
    </w:p>
    <w:p w14:paraId="07D6B0A6">
      <w:pPr>
        <w:ind w:firstLine="560"/>
      </w:pPr>
      <w:r>
        <w:rPr>
          <w:bCs/>
          <w:kern w:val="0"/>
        </w:rPr>
        <w:t>（5）强风化变质石英砂岩③层：强风化，重型圆锥动力触探试验修正锤击数N</w:t>
      </w:r>
      <w:r>
        <w:rPr>
          <w:bCs/>
          <w:kern w:val="0"/>
          <w:vertAlign w:val="subscript"/>
        </w:rPr>
        <w:t>63.5</w:t>
      </w:r>
      <w:r>
        <w:rPr>
          <w:bCs/>
          <w:kern w:val="0"/>
        </w:rPr>
        <w:t>=15.8～16.9击，</w:t>
      </w:r>
      <w:bookmarkStart w:id="34" w:name="_Hlk39415289"/>
      <w:r>
        <w:rPr>
          <w:bCs/>
          <w:kern w:val="0"/>
        </w:rPr>
        <w:t>平均锤击数为16.3击</w:t>
      </w:r>
      <w:bookmarkEnd w:id="34"/>
      <w:r>
        <w:rPr>
          <w:bCs/>
          <w:kern w:val="0"/>
        </w:rPr>
        <w:t>。力学性质较好，强度较高，承载力较高，岩土工程性质相对好</w:t>
      </w:r>
      <w:r>
        <w:rPr>
          <w:rFonts w:hint="eastAsia"/>
        </w:rPr>
        <w:t>。</w:t>
      </w:r>
    </w:p>
    <w:p w14:paraId="7530F39A">
      <w:pPr>
        <w:pStyle w:val="5"/>
      </w:pPr>
      <w:r>
        <w:rPr>
          <w:rFonts w:hint="eastAsia"/>
        </w:rPr>
        <w:t>2.3.4.3 地基均匀性评价</w:t>
      </w:r>
    </w:p>
    <w:p w14:paraId="19511F17">
      <w:pPr>
        <w:ind w:firstLine="560"/>
        <w:rPr>
          <w:bCs/>
          <w:kern w:val="0"/>
        </w:rPr>
      </w:pPr>
      <w:bookmarkStart w:id="35" w:name="_Toc40267771"/>
      <w:bookmarkStart w:id="36" w:name="_Toc25824549"/>
      <w:bookmarkStart w:id="37" w:name="_Toc436049705"/>
      <w:r>
        <w:rPr>
          <w:bCs/>
          <w:kern w:val="0"/>
        </w:rPr>
        <w:t>项目场地地形起伏较大，各岩土层竖向上埋深及厚度变化较大，岩土均匀性差，</w:t>
      </w:r>
      <w:bookmarkEnd w:id="35"/>
      <w:bookmarkEnd w:id="36"/>
      <w:bookmarkEnd w:id="37"/>
      <w:r>
        <w:rPr>
          <w:bCs/>
          <w:kern w:val="0"/>
        </w:rPr>
        <w:t>基岩埋深起伏大，因此综合判定，场地土不均匀。</w:t>
      </w:r>
    </w:p>
    <w:p w14:paraId="704F89DB">
      <w:pPr>
        <w:pStyle w:val="5"/>
      </w:pPr>
      <w:r>
        <w:rPr>
          <w:rFonts w:hint="eastAsia"/>
        </w:rPr>
        <w:t>2.3.4.4 地震效应评价</w:t>
      </w:r>
    </w:p>
    <w:p w14:paraId="5CD154D1">
      <w:pPr>
        <w:ind w:firstLine="560"/>
        <w:rPr>
          <w:bCs/>
          <w:kern w:val="0"/>
          <w:lang w:val="zh-CN"/>
        </w:rPr>
      </w:pPr>
      <w:bookmarkStart w:id="38" w:name="_Toc90285704"/>
      <w:r>
        <w:rPr>
          <w:bCs/>
          <w:kern w:val="0"/>
          <w:lang w:val="zh-CN"/>
        </w:rPr>
        <w:t>（1）建筑抗震地段划分</w:t>
      </w:r>
      <w:bookmarkEnd w:id="38"/>
    </w:p>
    <w:p w14:paraId="1AD21B84">
      <w:pPr>
        <w:ind w:firstLine="560"/>
        <w:rPr>
          <w:bCs/>
          <w:kern w:val="0"/>
        </w:rPr>
      </w:pPr>
      <w:r>
        <w:rPr>
          <w:bCs/>
          <w:kern w:val="0"/>
        </w:rPr>
        <w:t>项目场区地貌属剥蚀侵蚀中山、低中山斜坡沟谷地貌，场地未位于高耸孤立的山丘，陡坡，陡坎，河岸和边坡的边缘，地层相对较简单，无液化土、软弱土等分布。根据《建筑抗震设计标准（2024年版）》（GB/T 50011-2010），第4.1.1条可将工程场地划分为对建筑抗震一般地段。</w:t>
      </w:r>
    </w:p>
    <w:p w14:paraId="6EC90221">
      <w:pPr>
        <w:ind w:firstLine="560"/>
        <w:rPr>
          <w:bCs/>
          <w:kern w:val="0"/>
          <w:lang w:val="zh-CN"/>
        </w:rPr>
      </w:pPr>
      <w:bookmarkStart w:id="39" w:name="_Toc90285705"/>
      <w:r>
        <w:rPr>
          <w:bCs/>
          <w:kern w:val="0"/>
          <w:lang w:val="zh-CN"/>
        </w:rPr>
        <w:t>（2）场地类别划分</w:t>
      </w:r>
      <w:bookmarkEnd w:id="39"/>
    </w:p>
    <w:p w14:paraId="75192FB9">
      <w:pPr>
        <w:ind w:firstLine="560"/>
        <w:rPr>
          <w:bCs/>
          <w:kern w:val="0"/>
        </w:rPr>
      </w:pPr>
      <w:r>
        <w:rPr>
          <w:bCs/>
          <w:kern w:val="0"/>
        </w:rPr>
        <w:t>勘察中对勘察场地范围内的2个钻孔进行了波速测试，根据场地波速测试成果（波速测试成果见附件“云南兴昆化工有限公司磷石膏渣场中期稳定性校核岩土工程详细勘察地微振与钻孔波速测试报告”），场地各土层主要类型分类统计见下表。</w:t>
      </w:r>
    </w:p>
    <w:p w14:paraId="0B2BF2CA">
      <w:pPr>
        <w:ind w:firstLine="480"/>
        <w:jc w:val="center"/>
        <w:rPr>
          <w:bCs/>
          <w:kern w:val="0"/>
          <w:sz w:val="24"/>
          <w:szCs w:val="24"/>
        </w:rPr>
      </w:pPr>
      <w:r>
        <w:rPr>
          <w:bCs/>
          <w:kern w:val="0"/>
          <w:sz w:val="24"/>
          <w:szCs w:val="24"/>
        </w:rPr>
        <w:t>表</w:t>
      </w:r>
      <w:r>
        <w:rPr>
          <w:rFonts w:hint="eastAsia"/>
          <w:bCs/>
          <w:kern w:val="0"/>
          <w:sz w:val="24"/>
          <w:szCs w:val="24"/>
        </w:rPr>
        <w:t>2.3</w:t>
      </w:r>
      <w:r>
        <w:rPr>
          <w:bCs/>
          <w:kern w:val="0"/>
          <w:sz w:val="24"/>
          <w:szCs w:val="24"/>
        </w:rPr>
        <w:t>-</w:t>
      </w:r>
      <w:r>
        <w:rPr>
          <w:rFonts w:hint="eastAsia"/>
          <w:bCs/>
          <w:kern w:val="0"/>
          <w:sz w:val="24"/>
          <w:szCs w:val="24"/>
        </w:rPr>
        <w:t xml:space="preserve">9 </w:t>
      </w:r>
      <w:r>
        <w:rPr>
          <w:bCs/>
          <w:kern w:val="0"/>
          <w:sz w:val="24"/>
          <w:szCs w:val="24"/>
        </w:rPr>
        <w:t>场地各土层土类别分类统计表</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4"/>
        <w:gridCol w:w="2598"/>
        <w:gridCol w:w="2463"/>
        <w:gridCol w:w="1745"/>
      </w:tblGrid>
      <w:tr w14:paraId="519F8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0" w:type="pct"/>
            <w:vAlign w:val="center"/>
          </w:tcPr>
          <w:p w14:paraId="646613F7">
            <w:pPr>
              <w:spacing w:line="240" w:lineRule="auto"/>
              <w:ind w:firstLine="0" w:firstLineChars="0"/>
              <w:jc w:val="center"/>
              <w:rPr>
                <w:bCs/>
                <w:kern w:val="0"/>
                <w:sz w:val="21"/>
                <w:szCs w:val="21"/>
              </w:rPr>
            </w:pPr>
            <w:r>
              <w:rPr>
                <w:bCs/>
                <w:kern w:val="0"/>
                <w:sz w:val="21"/>
                <w:szCs w:val="21"/>
              </w:rPr>
              <w:t>土层名称</w:t>
            </w:r>
          </w:p>
        </w:tc>
        <w:tc>
          <w:tcPr>
            <w:tcW w:w="1382" w:type="pct"/>
            <w:vAlign w:val="center"/>
          </w:tcPr>
          <w:p w14:paraId="676A7D0F">
            <w:pPr>
              <w:spacing w:line="240" w:lineRule="auto"/>
              <w:ind w:firstLine="0" w:firstLineChars="0"/>
              <w:jc w:val="center"/>
              <w:rPr>
                <w:bCs/>
                <w:kern w:val="0"/>
                <w:sz w:val="21"/>
                <w:szCs w:val="21"/>
              </w:rPr>
            </w:pPr>
            <w:r>
              <w:rPr>
                <w:bCs/>
                <w:kern w:val="0"/>
                <w:sz w:val="21"/>
                <w:szCs w:val="21"/>
              </w:rPr>
              <w:t>剪切波速Vs(m/s)平均值</w:t>
            </w:r>
          </w:p>
        </w:tc>
        <w:tc>
          <w:tcPr>
            <w:tcW w:w="1310" w:type="pct"/>
            <w:vAlign w:val="center"/>
          </w:tcPr>
          <w:p w14:paraId="7232B6E7">
            <w:pPr>
              <w:spacing w:line="240" w:lineRule="auto"/>
              <w:ind w:firstLine="0" w:firstLineChars="0"/>
              <w:jc w:val="center"/>
              <w:rPr>
                <w:bCs/>
                <w:kern w:val="0"/>
                <w:sz w:val="21"/>
                <w:szCs w:val="21"/>
              </w:rPr>
            </w:pPr>
            <w:r>
              <w:rPr>
                <w:bCs/>
                <w:kern w:val="0"/>
                <w:sz w:val="21"/>
                <w:szCs w:val="21"/>
              </w:rPr>
              <w:t>剪切波速Vs(m/s)范围值</w:t>
            </w:r>
          </w:p>
        </w:tc>
        <w:tc>
          <w:tcPr>
            <w:tcW w:w="928" w:type="pct"/>
            <w:vAlign w:val="center"/>
          </w:tcPr>
          <w:p w14:paraId="6AEF83C1">
            <w:pPr>
              <w:spacing w:line="240" w:lineRule="auto"/>
              <w:ind w:firstLine="0" w:firstLineChars="0"/>
              <w:jc w:val="center"/>
              <w:rPr>
                <w:bCs/>
                <w:kern w:val="0"/>
                <w:sz w:val="21"/>
                <w:szCs w:val="21"/>
              </w:rPr>
            </w:pPr>
            <w:r>
              <w:rPr>
                <w:bCs/>
                <w:kern w:val="0"/>
                <w:sz w:val="21"/>
                <w:szCs w:val="21"/>
              </w:rPr>
              <w:t>场地土类别</w:t>
            </w:r>
          </w:p>
        </w:tc>
      </w:tr>
      <w:tr w14:paraId="1497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0" w:type="pct"/>
            <w:vAlign w:val="center"/>
          </w:tcPr>
          <w:p w14:paraId="10040A3B">
            <w:pPr>
              <w:spacing w:line="240" w:lineRule="auto"/>
              <w:ind w:firstLine="0" w:firstLineChars="0"/>
              <w:jc w:val="center"/>
              <w:rPr>
                <w:bCs/>
                <w:kern w:val="0"/>
                <w:sz w:val="21"/>
                <w:szCs w:val="21"/>
              </w:rPr>
            </w:pPr>
            <w:r>
              <w:rPr>
                <w:bCs/>
                <w:kern w:val="0"/>
                <w:sz w:val="21"/>
                <w:szCs w:val="21"/>
              </w:rPr>
              <w:t>磷石膏①</w:t>
            </w:r>
            <w:r>
              <w:rPr>
                <w:bCs/>
                <w:kern w:val="0"/>
                <w:sz w:val="21"/>
                <w:szCs w:val="21"/>
                <w:vertAlign w:val="subscript"/>
              </w:rPr>
              <w:t>1</w:t>
            </w:r>
          </w:p>
        </w:tc>
        <w:tc>
          <w:tcPr>
            <w:tcW w:w="1382" w:type="pct"/>
            <w:vAlign w:val="center"/>
          </w:tcPr>
          <w:p w14:paraId="48E9B831">
            <w:pPr>
              <w:spacing w:line="240" w:lineRule="auto"/>
              <w:ind w:firstLine="0" w:firstLineChars="0"/>
              <w:jc w:val="center"/>
              <w:rPr>
                <w:bCs/>
                <w:kern w:val="0"/>
                <w:sz w:val="21"/>
                <w:szCs w:val="21"/>
              </w:rPr>
            </w:pPr>
            <w:r>
              <w:rPr>
                <w:bCs/>
                <w:kern w:val="0"/>
                <w:sz w:val="21"/>
                <w:szCs w:val="21"/>
              </w:rPr>
              <w:t>193.3</w:t>
            </w:r>
          </w:p>
        </w:tc>
        <w:tc>
          <w:tcPr>
            <w:tcW w:w="1310" w:type="pct"/>
            <w:vAlign w:val="center"/>
          </w:tcPr>
          <w:p w14:paraId="2A057FA7">
            <w:pPr>
              <w:spacing w:line="240" w:lineRule="auto"/>
              <w:ind w:firstLine="0" w:firstLineChars="0"/>
              <w:jc w:val="center"/>
              <w:rPr>
                <w:bCs/>
                <w:kern w:val="0"/>
                <w:sz w:val="21"/>
                <w:szCs w:val="21"/>
              </w:rPr>
            </w:pPr>
            <w:r>
              <w:rPr>
                <w:bCs/>
                <w:kern w:val="0"/>
                <w:sz w:val="21"/>
                <w:szCs w:val="21"/>
              </w:rPr>
              <w:t>178-209</w:t>
            </w:r>
          </w:p>
        </w:tc>
        <w:tc>
          <w:tcPr>
            <w:tcW w:w="928" w:type="pct"/>
            <w:vAlign w:val="center"/>
          </w:tcPr>
          <w:p w14:paraId="5E86842F">
            <w:pPr>
              <w:spacing w:line="240" w:lineRule="auto"/>
              <w:ind w:firstLine="0" w:firstLineChars="0"/>
              <w:jc w:val="center"/>
              <w:rPr>
                <w:bCs/>
                <w:kern w:val="0"/>
                <w:sz w:val="21"/>
                <w:szCs w:val="21"/>
              </w:rPr>
            </w:pPr>
            <w:r>
              <w:rPr>
                <w:bCs/>
                <w:kern w:val="0"/>
                <w:sz w:val="21"/>
                <w:szCs w:val="21"/>
              </w:rPr>
              <w:t>中软土</w:t>
            </w:r>
          </w:p>
        </w:tc>
      </w:tr>
      <w:tr w14:paraId="3F03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0" w:type="pct"/>
            <w:vAlign w:val="center"/>
          </w:tcPr>
          <w:p w14:paraId="2BEDD710">
            <w:pPr>
              <w:spacing w:line="240" w:lineRule="auto"/>
              <w:ind w:firstLine="0" w:firstLineChars="0"/>
              <w:jc w:val="center"/>
              <w:rPr>
                <w:bCs/>
                <w:kern w:val="0"/>
                <w:sz w:val="21"/>
                <w:szCs w:val="21"/>
              </w:rPr>
            </w:pPr>
            <w:r>
              <w:rPr>
                <w:bCs/>
                <w:kern w:val="0"/>
                <w:sz w:val="21"/>
                <w:szCs w:val="21"/>
              </w:rPr>
              <w:t>素填土①</w:t>
            </w:r>
            <w:r>
              <w:rPr>
                <w:bCs/>
                <w:kern w:val="0"/>
                <w:sz w:val="21"/>
                <w:szCs w:val="21"/>
                <w:vertAlign w:val="subscript"/>
              </w:rPr>
              <w:t>3</w:t>
            </w:r>
          </w:p>
        </w:tc>
        <w:tc>
          <w:tcPr>
            <w:tcW w:w="1382" w:type="pct"/>
            <w:vAlign w:val="center"/>
          </w:tcPr>
          <w:p w14:paraId="0F5A512C">
            <w:pPr>
              <w:spacing w:line="240" w:lineRule="auto"/>
              <w:ind w:firstLine="0" w:firstLineChars="0"/>
              <w:jc w:val="center"/>
              <w:rPr>
                <w:bCs/>
                <w:kern w:val="0"/>
                <w:sz w:val="21"/>
                <w:szCs w:val="21"/>
              </w:rPr>
            </w:pPr>
            <w:r>
              <w:rPr>
                <w:bCs/>
                <w:kern w:val="0"/>
                <w:sz w:val="21"/>
                <w:szCs w:val="21"/>
              </w:rPr>
              <w:t>186.0</w:t>
            </w:r>
          </w:p>
        </w:tc>
        <w:tc>
          <w:tcPr>
            <w:tcW w:w="1310" w:type="pct"/>
            <w:vAlign w:val="center"/>
          </w:tcPr>
          <w:p w14:paraId="7C4619BB">
            <w:pPr>
              <w:spacing w:line="240" w:lineRule="auto"/>
              <w:ind w:firstLine="0" w:firstLineChars="0"/>
              <w:jc w:val="center"/>
              <w:rPr>
                <w:bCs/>
                <w:kern w:val="0"/>
                <w:sz w:val="21"/>
                <w:szCs w:val="21"/>
              </w:rPr>
            </w:pPr>
            <w:r>
              <w:rPr>
                <w:bCs/>
                <w:kern w:val="0"/>
                <w:sz w:val="21"/>
                <w:szCs w:val="21"/>
              </w:rPr>
              <w:t>175-197</w:t>
            </w:r>
          </w:p>
        </w:tc>
        <w:tc>
          <w:tcPr>
            <w:tcW w:w="928" w:type="pct"/>
            <w:vAlign w:val="center"/>
          </w:tcPr>
          <w:p w14:paraId="292AD3D4">
            <w:pPr>
              <w:spacing w:line="240" w:lineRule="auto"/>
              <w:ind w:firstLine="0" w:firstLineChars="0"/>
              <w:jc w:val="center"/>
              <w:rPr>
                <w:bCs/>
                <w:kern w:val="0"/>
                <w:sz w:val="21"/>
                <w:szCs w:val="21"/>
              </w:rPr>
            </w:pPr>
            <w:r>
              <w:rPr>
                <w:bCs/>
                <w:kern w:val="0"/>
                <w:sz w:val="21"/>
                <w:szCs w:val="21"/>
              </w:rPr>
              <w:t>中软土</w:t>
            </w:r>
          </w:p>
        </w:tc>
      </w:tr>
      <w:tr w14:paraId="31D48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0" w:type="pct"/>
            <w:vAlign w:val="center"/>
          </w:tcPr>
          <w:p w14:paraId="2A75834B">
            <w:pPr>
              <w:spacing w:line="240" w:lineRule="auto"/>
              <w:ind w:firstLine="0" w:firstLineChars="0"/>
              <w:jc w:val="center"/>
              <w:rPr>
                <w:bCs/>
                <w:kern w:val="0"/>
                <w:sz w:val="21"/>
                <w:szCs w:val="21"/>
              </w:rPr>
            </w:pPr>
            <w:r>
              <w:rPr>
                <w:bCs/>
                <w:kern w:val="0"/>
                <w:sz w:val="21"/>
                <w:szCs w:val="21"/>
              </w:rPr>
              <w:t>黏土②</w:t>
            </w:r>
          </w:p>
        </w:tc>
        <w:tc>
          <w:tcPr>
            <w:tcW w:w="1382" w:type="pct"/>
            <w:vAlign w:val="center"/>
          </w:tcPr>
          <w:p w14:paraId="3213D7B7">
            <w:pPr>
              <w:spacing w:line="240" w:lineRule="auto"/>
              <w:ind w:firstLine="0" w:firstLineChars="0"/>
              <w:jc w:val="center"/>
              <w:rPr>
                <w:bCs/>
                <w:kern w:val="0"/>
                <w:sz w:val="21"/>
                <w:szCs w:val="21"/>
              </w:rPr>
            </w:pPr>
            <w:r>
              <w:rPr>
                <w:bCs/>
                <w:kern w:val="0"/>
                <w:sz w:val="21"/>
                <w:szCs w:val="21"/>
              </w:rPr>
              <w:t>184.0</w:t>
            </w:r>
          </w:p>
        </w:tc>
        <w:tc>
          <w:tcPr>
            <w:tcW w:w="1310" w:type="pct"/>
            <w:vAlign w:val="center"/>
          </w:tcPr>
          <w:p w14:paraId="256F92CE">
            <w:pPr>
              <w:spacing w:line="240" w:lineRule="auto"/>
              <w:ind w:firstLine="0" w:firstLineChars="0"/>
              <w:jc w:val="center"/>
              <w:rPr>
                <w:bCs/>
                <w:kern w:val="0"/>
                <w:sz w:val="21"/>
                <w:szCs w:val="21"/>
              </w:rPr>
            </w:pPr>
            <w:r>
              <w:rPr>
                <w:bCs/>
                <w:kern w:val="0"/>
                <w:sz w:val="21"/>
                <w:szCs w:val="21"/>
              </w:rPr>
              <w:t>184.0</w:t>
            </w:r>
          </w:p>
        </w:tc>
        <w:tc>
          <w:tcPr>
            <w:tcW w:w="928" w:type="pct"/>
            <w:vAlign w:val="center"/>
          </w:tcPr>
          <w:p w14:paraId="4E9D6B0F">
            <w:pPr>
              <w:spacing w:line="240" w:lineRule="auto"/>
              <w:ind w:firstLine="0" w:firstLineChars="0"/>
              <w:jc w:val="center"/>
              <w:rPr>
                <w:bCs/>
                <w:kern w:val="0"/>
                <w:sz w:val="21"/>
                <w:szCs w:val="21"/>
              </w:rPr>
            </w:pPr>
            <w:r>
              <w:rPr>
                <w:bCs/>
                <w:kern w:val="0"/>
                <w:sz w:val="21"/>
                <w:szCs w:val="21"/>
              </w:rPr>
              <w:t>中软土</w:t>
            </w:r>
          </w:p>
        </w:tc>
      </w:tr>
      <w:tr w14:paraId="1387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0" w:type="pct"/>
            <w:vAlign w:val="center"/>
          </w:tcPr>
          <w:p w14:paraId="4353E1F4">
            <w:pPr>
              <w:spacing w:line="240" w:lineRule="auto"/>
              <w:ind w:firstLine="0" w:firstLineChars="0"/>
              <w:jc w:val="center"/>
              <w:rPr>
                <w:bCs/>
                <w:kern w:val="0"/>
                <w:sz w:val="21"/>
                <w:szCs w:val="21"/>
              </w:rPr>
            </w:pPr>
            <w:r>
              <w:rPr>
                <w:bCs/>
                <w:kern w:val="0"/>
                <w:sz w:val="21"/>
                <w:szCs w:val="21"/>
              </w:rPr>
              <w:t>强风化变质石英砂岩③</w:t>
            </w:r>
          </w:p>
        </w:tc>
        <w:tc>
          <w:tcPr>
            <w:tcW w:w="1382" w:type="pct"/>
            <w:vAlign w:val="center"/>
          </w:tcPr>
          <w:p w14:paraId="46C233F3">
            <w:pPr>
              <w:spacing w:line="240" w:lineRule="auto"/>
              <w:ind w:firstLine="0" w:firstLineChars="0"/>
              <w:jc w:val="center"/>
              <w:rPr>
                <w:bCs/>
                <w:kern w:val="0"/>
                <w:sz w:val="21"/>
                <w:szCs w:val="21"/>
              </w:rPr>
            </w:pPr>
            <w:r>
              <w:rPr>
                <w:bCs/>
                <w:kern w:val="0"/>
                <w:sz w:val="21"/>
                <w:szCs w:val="21"/>
              </w:rPr>
              <w:t>675.0</w:t>
            </w:r>
          </w:p>
        </w:tc>
        <w:tc>
          <w:tcPr>
            <w:tcW w:w="1310" w:type="pct"/>
            <w:vAlign w:val="center"/>
          </w:tcPr>
          <w:p w14:paraId="695AABA3">
            <w:pPr>
              <w:spacing w:line="240" w:lineRule="auto"/>
              <w:ind w:firstLine="0" w:firstLineChars="0"/>
              <w:jc w:val="center"/>
              <w:rPr>
                <w:bCs/>
                <w:kern w:val="0"/>
                <w:sz w:val="21"/>
                <w:szCs w:val="21"/>
              </w:rPr>
            </w:pPr>
            <w:r>
              <w:rPr>
                <w:bCs/>
                <w:kern w:val="0"/>
                <w:sz w:val="21"/>
                <w:szCs w:val="21"/>
              </w:rPr>
              <w:t>675.0</w:t>
            </w:r>
          </w:p>
        </w:tc>
        <w:tc>
          <w:tcPr>
            <w:tcW w:w="928" w:type="pct"/>
            <w:vAlign w:val="center"/>
          </w:tcPr>
          <w:p w14:paraId="10D39374">
            <w:pPr>
              <w:spacing w:line="240" w:lineRule="auto"/>
              <w:ind w:firstLine="0" w:firstLineChars="0"/>
              <w:jc w:val="center"/>
              <w:rPr>
                <w:bCs/>
                <w:kern w:val="0"/>
                <w:sz w:val="21"/>
                <w:szCs w:val="21"/>
              </w:rPr>
            </w:pPr>
            <w:r>
              <w:rPr>
                <w:bCs/>
                <w:kern w:val="0"/>
                <w:sz w:val="21"/>
                <w:szCs w:val="21"/>
              </w:rPr>
              <w:t>软质岩石</w:t>
            </w:r>
          </w:p>
        </w:tc>
      </w:tr>
    </w:tbl>
    <w:p w14:paraId="72CD8B78">
      <w:pPr>
        <w:ind w:firstLine="560"/>
        <w:rPr>
          <w:bCs/>
          <w:kern w:val="0"/>
        </w:rPr>
      </w:pPr>
      <w:r>
        <w:rPr>
          <w:bCs/>
          <w:kern w:val="0"/>
        </w:rPr>
        <w:t>场地内土层的等效剪切波速值见下表。</w:t>
      </w:r>
    </w:p>
    <w:p w14:paraId="2C664D99">
      <w:pPr>
        <w:ind w:firstLine="480"/>
        <w:jc w:val="center"/>
        <w:rPr>
          <w:bCs/>
          <w:kern w:val="0"/>
          <w:sz w:val="24"/>
          <w:szCs w:val="24"/>
        </w:rPr>
      </w:pPr>
      <w:r>
        <w:rPr>
          <w:bCs/>
          <w:kern w:val="0"/>
          <w:sz w:val="24"/>
          <w:szCs w:val="24"/>
        </w:rPr>
        <w:t>表</w:t>
      </w:r>
      <w:r>
        <w:rPr>
          <w:rFonts w:hint="eastAsia"/>
          <w:bCs/>
          <w:kern w:val="0"/>
          <w:sz w:val="24"/>
          <w:szCs w:val="24"/>
        </w:rPr>
        <w:t>2.3</w:t>
      </w:r>
      <w:r>
        <w:rPr>
          <w:bCs/>
          <w:kern w:val="0"/>
          <w:sz w:val="24"/>
          <w:szCs w:val="24"/>
        </w:rPr>
        <w:t>-</w:t>
      </w:r>
      <w:r>
        <w:rPr>
          <w:rFonts w:hint="eastAsia"/>
          <w:bCs/>
          <w:kern w:val="0"/>
          <w:sz w:val="24"/>
          <w:szCs w:val="24"/>
        </w:rPr>
        <w:t xml:space="preserve">10 </w:t>
      </w:r>
      <w:r>
        <w:rPr>
          <w:bCs/>
          <w:kern w:val="0"/>
          <w:sz w:val="24"/>
          <w:szCs w:val="24"/>
        </w:rPr>
        <w:t>钻孔等效剪切波速测试成果表</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4"/>
        <w:gridCol w:w="2348"/>
        <w:gridCol w:w="2183"/>
        <w:gridCol w:w="2685"/>
      </w:tblGrid>
      <w:tr w14:paraId="2151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1162" w:type="pct"/>
            <w:vAlign w:val="center"/>
          </w:tcPr>
          <w:p w14:paraId="00104612">
            <w:pPr>
              <w:spacing w:line="240" w:lineRule="auto"/>
              <w:ind w:firstLine="0" w:firstLineChars="0"/>
              <w:jc w:val="center"/>
              <w:rPr>
                <w:bCs/>
                <w:kern w:val="0"/>
                <w:sz w:val="21"/>
                <w:szCs w:val="21"/>
              </w:rPr>
            </w:pPr>
            <w:r>
              <w:rPr>
                <w:bCs/>
                <w:kern w:val="0"/>
                <w:sz w:val="21"/>
                <w:szCs w:val="21"/>
              </w:rPr>
              <w:t>钻孔编号</w:t>
            </w:r>
          </w:p>
        </w:tc>
        <w:tc>
          <w:tcPr>
            <w:tcW w:w="1249" w:type="pct"/>
            <w:vAlign w:val="center"/>
          </w:tcPr>
          <w:p w14:paraId="38285075">
            <w:pPr>
              <w:spacing w:line="240" w:lineRule="auto"/>
              <w:ind w:firstLine="0" w:firstLineChars="0"/>
              <w:jc w:val="center"/>
              <w:rPr>
                <w:bCs/>
                <w:kern w:val="0"/>
                <w:sz w:val="21"/>
                <w:szCs w:val="21"/>
              </w:rPr>
            </w:pPr>
            <w:r>
              <w:rPr>
                <w:bCs/>
                <w:kern w:val="0"/>
                <w:sz w:val="21"/>
                <w:szCs w:val="21"/>
              </w:rPr>
              <w:t>等效剪切波速(m/s)</w:t>
            </w:r>
          </w:p>
        </w:tc>
        <w:tc>
          <w:tcPr>
            <w:tcW w:w="1161" w:type="pct"/>
            <w:vAlign w:val="center"/>
          </w:tcPr>
          <w:p w14:paraId="560E75C8">
            <w:pPr>
              <w:spacing w:line="240" w:lineRule="auto"/>
              <w:ind w:firstLine="0" w:firstLineChars="0"/>
              <w:jc w:val="center"/>
              <w:rPr>
                <w:bCs/>
                <w:kern w:val="0"/>
                <w:sz w:val="21"/>
                <w:szCs w:val="21"/>
              </w:rPr>
            </w:pPr>
            <w:r>
              <w:rPr>
                <w:bCs/>
                <w:kern w:val="0"/>
                <w:sz w:val="21"/>
                <w:szCs w:val="21"/>
              </w:rPr>
              <w:t>覆盖层厚度（m）</w:t>
            </w:r>
          </w:p>
        </w:tc>
        <w:tc>
          <w:tcPr>
            <w:tcW w:w="1428" w:type="pct"/>
            <w:vAlign w:val="center"/>
          </w:tcPr>
          <w:p w14:paraId="1FC40A58">
            <w:pPr>
              <w:spacing w:line="240" w:lineRule="auto"/>
              <w:ind w:firstLine="0" w:firstLineChars="0"/>
              <w:jc w:val="center"/>
              <w:rPr>
                <w:bCs/>
                <w:kern w:val="0"/>
                <w:sz w:val="21"/>
                <w:szCs w:val="21"/>
              </w:rPr>
            </w:pPr>
            <w:r>
              <w:rPr>
                <w:bCs/>
                <w:kern w:val="0"/>
                <w:sz w:val="21"/>
                <w:szCs w:val="21"/>
              </w:rPr>
              <w:t>建筑场地类别</w:t>
            </w:r>
          </w:p>
        </w:tc>
      </w:tr>
      <w:tr w14:paraId="3E94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2" w:type="pct"/>
            <w:vAlign w:val="center"/>
          </w:tcPr>
          <w:p w14:paraId="4409EA9C">
            <w:pPr>
              <w:spacing w:line="240" w:lineRule="auto"/>
              <w:ind w:firstLine="0" w:firstLineChars="0"/>
              <w:jc w:val="center"/>
              <w:rPr>
                <w:bCs/>
                <w:kern w:val="0"/>
                <w:sz w:val="21"/>
                <w:szCs w:val="21"/>
              </w:rPr>
            </w:pPr>
            <w:r>
              <w:rPr>
                <w:bCs/>
                <w:kern w:val="0"/>
                <w:sz w:val="21"/>
                <w:szCs w:val="21"/>
              </w:rPr>
              <w:t>ZK03</w:t>
            </w:r>
          </w:p>
        </w:tc>
        <w:tc>
          <w:tcPr>
            <w:tcW w:w="1249" w:type="pct"/>
            <w:vAlign w:val="center"/>
          </w:tcPr>
          <w:p w14:paraId="20FB0DC6">
            <w:pPr>
              <w:spacing w:line="240" w:lineRule="auto"/>
              <w:ind w:firstLine="0" w:firstLineChars="0"/>
              <w:jc w:val="center"/>
              <w:rPr>
                <w:bCs/>
                <w:kern w:val="0"/>
                <w:sz w:val="21"/>
                <w:szCs w:val="21"/>
              </w:rPr>
            </w:pPr>
            <w:r>
              <w:rPr>
                <w:bCs/>
                <w:kern w:val="0"/>
                <w:sz w:val="21"/>
                <w:szCs w:val="21"/>
              </w:rPr>
              <w:t>189</w:t>
            </w:r>
          </w:p>
        </w:tc>
        <w:tc>
          <w:tcPr>
            <w:tcW w:w="1161" w:type="pct"/>
            <w:vAlign w:val="center"/>
          </w:tcPr>
          <w:p w14:paraId="44B7D1D6">
            <w:pPr>
              <w:spacing w:line="240" w:lineRule="auto"/>
              <w:ind w:firstLine="0" w:firstLineChars="0"/>
              <w:jc w:val="center"/>
              <w:rPr>
                <w:bCs/>
                <w:kern w:val="0"/>
                <w:sz w:val="21"/>
                <w:szCs w:val="21"/>
              </w:rPr>
            </w:pPr>
            <w:r>
              <w:rPr>
                <w:bCs/>
                <w:kern w:val="0"/>
                <w:sz w:val="21"/>
                <w:szCs w:val="21"/>
              </w:rPr>
              <w:t>3～50</w:t>
            </w:r>
          </w:p>
        </w:tc>
        <w:tc>
          <w:tcPr>
            <w:tcW w:w="1428" w:type="pct"/>
            <w:vAlign w:val="center"/>
          </w:tcPr>
          <w:p w14:paraId="536CFF33">
            <w:pPr>
              <w:spacing w:line="240" w:lineRule="auto"/>
              <w:ind w:firstLine="0" w:firstLineChars="0"/>
              <w:jc w:val="center"/>
              <w:rPr>
                <w:bCs/>
                <w:kern w:val="0"/>
                <w:sz w:val="21"/>
                <w:szCs w:val="21"/>
              </w:rPr>
            </w:pPr>
            <w:r>
              <w:rPr>
                <w:bCs/>
                <w:kern w:val="0"/>
                <w:sz w:val="21"/>
                <w:szCs w:val="21"/>
              </w:rPr>
              <w:t>Ⅱ</w:t>
            </w:r>
          </w:p>
        </w:tc>
      </w:tr>
      <w:tr w14:paraId="7A90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2" w:type="pct"/>
            <w:vAlign w:val="center"/>
          </w:tcPr>
          <w:p w14:paraId="64675268">
            <w:pPr>
              <w:spacing w:line="240" w:lineRule="auto"/>
              <w:ind w:firstLine="0" w:firstLineChars="0"/>
              <w:jc w:val="center"/>
              <w:rPr>
                <w:bCs/>
                <w:kern w:val="0"/>
                <w:sz w:val="21"/>
                <w:szCs w:val="21"/>
              </w:rPr>
            </w:pPr>
            <w:r>
              <w:rPr>
                <w:bCs/>
                <w:kern w:val="0"/>
                <w:sz w:val="21"/>
                <w:szCs w:val="21"/>
              </w:rPr>
              <w:t>ZK08</w:t>
            </w:r>
          </w:p>
        </w:tc>
        <w:tc>
          <w:tcPr>
            <w:tcW w:w="1249" w:type="pct"/>
            <w:vAlign w:val="center"/>
          </w:tcPr>
          <w:p w14:paraId="62752250">
            <w:pPr>
              <w:spacing w:line="240" w:lineRule="auto"/>
              <w:ind w:firstLine="0" w:firstLineChars="0"/>
              <w:jc w:val="center"/>
              <w:rPr>
                <w:bCs/>
                <w:kern w:val="0"/>
                <w:sz w:val="21"/>
                <w:szCs w:val="21"/>
              </w:rPr>
            </w:pPr>
            <w:r>
              <w:rPr>
                <w:bCs/>
                <w:kern w:val="0"/>
                <w:sz w:val="21"/>
                <w:szCs w:val="21"/>
              </w:rPr>
              <w:t>192</w:t>
            </w:r>
          </w:p>
        </w:tc>
        <w:tc>
          <w:tcPr>
            <w:tcW w:w="1161" w:type="pct"/>
            <w:vAlign w:val="center"/>
          </w:tcPr>
          <w:p w14:paraId="52F8E01C">
            <w:pPr>
              <w:spacing w:line="240" w:lineRule="auto"/>
              <w:ind w:firstLine="0" w:firstLineChars="0"/>
              <w:jc w:val="center"/>
              <w:rPr>
                <w:bCs/>
                <w:kern w:val="0"/>
                <w:sz w:val="21"/>
                <w:szCs w:val="21"/>
              </w:rPr>
            </w:pPr>
            <w:r>
              <w:rPr>
                <w:bCs/>
                <w:kern w:val="0"/>
                <w:sz w:val="21"/>
                <w:szCs w:val="21"/>
              </w:rPr>
              <w:t>3～50</w:t>
            </w:r>
          </w:p>
        </w:tc>
        <w:tc>
          <w:tcPr>
            <w:tcW w:w="1428" w:type="pct"/>
            <w:vAlign w:val="center"/>
          </w:tcPr>
          <w:p w14:paraId="4D11EB9D">
            <w:pPr>
              <w:spacing w:line="240" w:lineRule="auto"/>
              <w:ind w:firstLine="0" w:firstLineChars="0"/>
              <w:jc w:val="center"/>
              <w:rPr>
                <w:bCs/>
                <w:kern w:val="0"/>
                <w:sz w:val="21"/>
                <w:szCs w:val="21"/>
              </w:rPr>
            </w:pPr>
            <w:r>
              <w:rPr>
                <w:bCs/>
                <w:kern w:val="0"/>
                <w:sz w:val="21"/>
                <w:szCs w:val="21"/>
              </w:rPr>
              <w:t>Ⅱ</w:t>
            </w:r>
          </w:p>
        </w:tc>
      </w:tr>
    </w:tbl>
    <w:p w14:paraId="0A5F5004">
      <w:pPr>
        <w:ind w:firstLine="560"/>
        <w:rPr>
          <w:bCs/>
          <w:kern w:val="0"/>
        </w:rPr>
      </w:pPr>
      <w:r>
        <w:rPr>
          <w:bCs/>
          <w:kern w:val="0"/>
        </w:rPr>
        <w:t>该拟建场地中所测钻孔ZK03、ZK08的等效剪切波速Vse的范围值为189m/s~192m/s，根据钻探结果及查阅资料显示，这2个钻孔的覆盖层厚度在3～50m范围，根据《建筑抗震设计标准（2024年版）》（GB/T 50011-2010）第4.1.3条、表4.1.3、第4.1.4条～4.1.6条以及表4.1.6的相关规定，可将项目场地类别划分为Ⅱ类。</w:t>
      </w:r>
    </w:p>
    <w:p w14:paraId="0EC8C363">
      <w:pPr>
        <w:ind w:firstLine="560"/>
        <w:rPr>
          <w:bCs/>
          <w:kern w:val="0"/>
          <w:lang w:val="zh-CN"/>
        </w:rPr>
      </w:pPr>
      <w:bookmarkStart w:id="40" w:name="_Toc68992996"/>
      <w:bookmarkStart w:id="41" w:name="_Toc10274"/>
      <w:bookmarkStart w:id="42" w:name="_Toc90285706"/>
      <w:r>
        <w:rPr>
          <w:bCs/>
          <w:kern w:val="0"/>
          <w:lang w:val="zh-CN"/>
        </w:rPr>
        <w:t>（3）场地卓越周期</w:t>
      </w:r>
      <w:bookmarkEnd w:id="40"/>
      <w:bookmarkEnd w:id="41"/>
      <w:bookmarkEnd w:id="42"/>
    </w:p>
    <w:p w14:paraId="0CAC15C5">
      <w:pPr>
        <w:ind w:firstLine="560"/>
        <w:rPr>
          <w:bCs/>
          <w:kern w:val="0"/>
        </w:rPr>
      </w:pPr>
      <w:r>
        <w:rPr>
          <w:bCs/>
          <w:kern w:val="0"/>
        </w:rPr>
        <w:t>根据地微振测试结果，见下表</w:t>
      </w:r>
      <w:r>
        <w:rPr>
          <w:rFonts w:hint="eastAsia"/>
          <w:bCs/>
          <w:kern w:val="0"/>
        </w:rPr>
        <w:t>2.3</w:t>
      </w:r>
      <w:r>
        <w:rPr>
          <w:bCs/>
          <w:kern w:val="0"/>
        </w:rPr>
        <w:t>-</w:t>
      </w:r>
      <w:r>
        <w:rPr>
          <w:rFonts w:hint="eastAsia"/>
          <w:bCs/>
          <w:kern w:val="0"/>
        </w:rPr>
        <w:t>11</w:t>
      </w:r>
      <w:r>
        <w:rPr>
          <w:bCs/>
          <w:kern w:val="0"/>
        </w:rPr>
        <w:t>，场区建（构）筑物特征周期应避开该范围，以避免地震时产生共振而加大对建（构）筑物的损坏。</w:t>
      </w:r>
    </w:p>
    <w:p w14:paraId="39F1EB1B">
      <w:pPr>
        <w:ind w:firstLine="480"/>
        <w:jc w:val="center"/>
        <w:rPr>
          <w:bCs/>
          <w:kern w:val="0"/>
          <w:sz w:val="24"/>
          <w:szCs w:val="24"/>
        </w:rPr>
      </w:pPr>
      <w:r>
        <w:rPr>
          <w:bCs/>
          <w:kern w:val="0"/>
          <w:sz w:val="24"/>
          <w:szCs w:val="24"/>
        </w:rPr>
        <w:t>表</w:t>
      </w:r>
      <w:r>
        <w:rPr>
          <w:rFonts w:hint="eastAsia"/>
          <w:bCs/>
          <w:kern w:val="0"/>
          <w:sz w:val="24"/>
          <w:szCs w:val="24"/>
        </w:rPr>
        <w:t xml:space="preserve">2.3-11 </w:t>
      </w:r>
      <w:r>
        <w:rPr>
          <w:bCs/>
          <w:kern w:val="0"/>
          <w:sz w:val="24"/>
          <w:szCs w:val="24"/>
        </w:rPr>
        <w:t>场地卓越周期一览表</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10"/>
        <w:gridCol w:w="4390"/>
      </w:tblGrid>
      <w:tr w14:paraId="04F4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2665" w:type="pct"/>
            <w:vAlign w:val="center"/>
          </w:tcPr>
          <w:p w14:paraId="57FB045F">
            <w:pPr>
              <w:spacing w:line="240" w:lineRule="auto"/>
              <w:ind w:firstLine="0" w:firstLineChars="0"/>
              <w:jc w:val="center"/>
              <w:rPr>
                <w:bCs/>
                <w:kern w:val="0"/>
                <w:sz w:val="21"/>
                <w:szCs w:val="21"/>
              </w:rPr>
            </w:pPr>
            <w:r>
              <w:rPr>
                <w:bCs/>
                <w:kern w:val="0"/>
                <w:sz w:val="21"/>
                <w:szCs w:val="21"/>
              </w:rPr>
              <w:t>点号</w:t>
            </w:r>
          </w:p>
        </w:tc>
        <w:tc>
          <w:tcPr>
            <w:tcW w:w="2335" w:type="pct"/>
            <w:vAlign w:val="center"/>
          </w:tcPr>
          <w:p w14:paraId="5F147DCF">
            <w:pPr>
              <w:spacing w:line="240" w:lineRule="auto"/>
              <w:ind w:firstLine="0" w:firstLineChars="0"/>
              <w:jc w:val="center"/>
              <w:rPr>
                <w:bCs/>
                <w:kern w:val="0"/>
                <w:sz w:val="21"/>
                <w:szCs w:val="21"/>
              </w:rPr>
            </w:pPr>
            <w:r>
              <w:rPr>
                <w:bCs/>
                <w:kern w:val="0"/>
                <w:sz w:val="21"/>
                <w:szCs w:val="21"/>
              </w:rPr>
              <w:t>Dm1[ZK08孔旁]</w:t>
            </w:r>
          </w:p>
        </w:tc>
      </w:tr>
      <w:tr w14:paraId="5371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2665" w:type="pct"/>
            <w:vAlign w:val="center"/>
          </w:tcPr>
          <w:p w14:paraId="60E66625">
            <w:pPr>
              <w:spacing w:line="240" w:lineRule="auto"/>
              <w:ind w:firstLine="0" w:firstLineChars="0"/>
              <w:jc w:val="center"/>
              <w:rPr>
                <w:bCs/>
                <w:kern w:val="0"/>
                <w:sz w:val="21"/>
                <w:szCs w:val="21"/>
              </w:rPr>
            </w:pPr>
            <w:r>
              <w:rPr>
                <w:bCs/>
                <w:kern w:val="0"/>
                <w:sz w:val="21"/>
                <w:szCs w:val="21"/>
              </w:rPr>
              <w:t>卓越周期T(s)</w:t>
            </w:r>
          </w:p>
        </w:tc>
        <w:tc>
          <w:tcPr>
            <w:tcW w:w="2335" w:type="pct"/>
            <w:vAlign w:val="center"/>
          </w:tcPr>
          <w:p w14:paraId="21DEE977">
            <w:pPr>
              <w:spacing w:line="240" w:lineRule="auto"/>
              <w:ind w:firstLine="0" w:firstLineChars="0"/>
              <w:jc w:val="center"/>
              <w:rPr>
                <w:bCs/>
                <w:kern w:val="0"/>
                <w:sz w:val="21"/>
                <w:szCs w:val="21"/>
              </w:rPr>
            </w:pPr>
            <w:r>
              <w:rPr>
                <w:bCs/>
                <w:kern w:val="0"/>
                <w:sz w:val="21"/>
                <w:szCs w:val="21"/>
              </w:rPr>
              <w:t>0.463</w:t>
            </w:r>
          </w:p>
        </w:tc>
      </w:tr>
    </w:tbl>
    <w:p w14:paraId="2205941B">
      <w:pPr>
        <w:ind w:firstLine="560"/>
        <w:rPr>
          <w:bCs/>
          <w:kern w:val="0"/>
          <w:lang w:val="zh-CN"/>
        </w:rPr>
      </w:pPr>
      <w:bookmarkStart w:id="43" w:name="_Toc90285707"/>
      <w:r>
        <w:rPr>
          <w:bCs/>
          <w:kern w:val="0"/>
          <w:lang w:val="zh-CN"/>
        </w:rPr>
        <w:t>（4）抗震设防参数</w:t>
      </w:r>
      <w:bookmarkEnd w:id="43"/>
    </w:p>
    <w:p w14:paraId="484B6B26">
      <w:pPr>
        <w:ind w:firstLine="560"/>
        <w:rPr>
          <w:bCs/>
          <w:kern w:val="0"/>
        </w:rPr>
      </w:pPr>
      <w:r>
        <w:rPr>
          <w:bCs/>
          <w:kern w:val="0"/>
        </w:rPr>
        <w:t>据《建筑抗震设计标准（2024年版）》（GB/T 50011-2010）附录A第A.0.25，场地所处昆明市晋宁区抗震设防烈度为8度，设计基本地震加速度值为0.2g，所属的设计地震分组为第三组，设计应按有关规定进行设防。按《中国地震动参数区划图》（GB18306-2015）C.25(续)晋宁区二街镇Ⅱ类场地基本地震动峰值参加速度值为0.20g，基本地震动加速度反应谱特征周期值为0.45s。</w:t>
      </w:r>
    </w:p>
    <w:p w14:paraId="6EEC557F">
      <w:pPr>
        <w:ind w:firstLine="560"/>
        <w:rPr>
          <w:bCs/>
          <w:kern w:val="0"/>
          <w:lang w:val="zh-CN"/>
        </w:rPr>
      </w:pPr>
      <w:bookmarkStart w:id="44" w:name="_Toc90285708"/>
      <w:r>
        <w:rPr>
          <w:bCs/>
          <w:kern w:val="0"/>
          <w:lang w:val="zh-CN"/>
        </w:rPr>
        <w:t>（5）地震液化</w:t>
      </w:r>
      <w:bookmarkEnd w:id="44"/>
    </w:p>
    <w:p w14:paraId="0C2562F3">
      <w:pPr>
        <w:ind w:firstLine="560"/>
        <w:rPr>
          <w:bCs/>
          <w:kern w:val="0"/>
        </w:rPr>
      </w:pPr>
      <w:r>
        <w:rPr>
          <w:bCs/>
          <w:kern w:val="0"/>
        </w:rPr>
        <w:t>场地内磷石膏为干堆，钻探深度内未见地下水，干堆磷石膏（磷石膏①</w:t>
      </w:r>
      <w:r>
        <w:rPr>
          <w:bCs/>
          <w:kern w:val="0"/>
          <w:vertAlign w:val="subscript"/>
        </w:rPr>
        <w:t>1</w:t>
      </w:r>
      <w:r>
        <w:rPr>
          <w:bCs/>
          <w:kern w:val="0"/>
        </w:rPr>
        <w:t>）层位于地下水位以上，不属于饱和砂土，且场地位于一斜坡处，地形位于周边相对较高处，地下水及地表水排泄条件较好，磷石膏渣场形成饱和的可能性较小，可不考虑地震液化问题。</w:t>
      </w:r>
    </w:p>
    <w:p w14:paraId="21EA112E">
      <w:pPr>
        <w:pStyle w:val="5"/>
      </w:pPr>
      <w:r>
        <w:rPr>
          <w:rFonts w:hint="eastAsia"/>
        </w:rPr>
        <w:t>2.3.4.5 环境水、土对建筑材料及金属的腐蚀性评价</w:t>
      </w:r>
    </w:p>
    <w:p w14:paraId="4F9B57B3">
      <w:pPr>
        <w:ind w:firstLine="560"/>
        <w:rPr>
          <w:bCs/>
          <w:kern w:val="0"/>
        </w:rPr>
      </w:pPr>
      <w:r>
        <w:rPr>
          <w:bCs/>
          <w:kern w:val="0"/>
        </w:rPr>
        <w:t>为查明场地内地表水、地下水位以上主要土层对建筑材料的腐蚀性，本次勘察采取4件土样及2件集液池水样进行水、土的腐蚀性分析，试验及评价结果如下：</w:t>
      </w:r>
    </w:p>
    <w:p w14:paraId="73FE569F">
      <w:pPr>
        <w:ind w:firstLine="560"/>
        <w:rPr>
          <w:bCs/>
          <w:kern w:val="0"/>
        </w:rPr>
      </w:pPr>
      <w:r>
        <w:rPr>
          <w:bCs/>
          <w:kern w:val="0"/>
        </w:rPr>
        <w:t>（1）土的腐蚀性评价</w:t>
      </w:r>
    </w:p>
    <w:p w14:paraId="7301CD9E">
      <w:pPr>
        <w:ind w:firstLine="560"/>
        <w:rPr>
          <w:bCs/>
          <w:kern w:val="0"/>
        </w:rPr>
      </w:pPr>
      <w:r>
        <w:rPr>
          <w:bCs/>
          <w:kern w:val="0"/>
        </w:rPr>
        <w:t>本次勘察在地下水位以上土层中采取土样4件进行土的腐蚀性分析。根据《岩土工程勘察规范》GB50021-2001（20</w:t>
      </w:r>
      <w:r>
        <w:rPr>
          <w:rFonts w:hint="eastAsia"/>
          <w:bCs/>
          <w:kern w:val="0"/>
        </w:rPr>
        <w:t>09</w:t>
      </w:r>
      <w:r>
        <w:rPr>
          <w:bCs/>
          <w:kern w:val="0"/>
        </w:rPr>
        <w:t>年版）相关条款按场地环境类型Ⅲ类，地层渗透性B类判定，结果见下表“场地土腐蚀性评价表”。</w:t>
      </w:r>
    </w:p>
    <w:p w14:paraId="69D90354">
      <w:pPr>
        <w:ind w:firstLine="560"/>
        <w:rPr>
          <w:bCs/>
          <w:kern w:val="0"/>
        </w:rPr>
      </w:pPr>
      <w:r>
        <w:rPr>
          <w:bCs/>
          <w:kern w:val="0"/>
        </w:rPr>
        <w:t>根据表</w:t>
      </w:r>
      <w:r>
        <w:rPr>
          <w:rFonts w:hint="eastAsia"/>
          <w:bCs/>
          <w:kern w:val="0"/>
        </w:rPr>
        <w:t>2.3-12</w:t>
      </w:r>
      <w:r>
        <w:rPr>
          <w:bCs/>
          <w:kern w:val="0"/>
        </w:rPr>
        <w:t>，场地土磷石膏①</w:t>
      </w:r>
      <w:r>
        <w:rPr>
          <w:bCs/>
          <w:kern w:val="0"/>
          <w:vertAlign w:val="subscript"/>
        </w:rPr>
        <w:t>1</w:t>
      </w:r>
      <w:r>
        <w:rPr>
          <w:bCs/>
          <w:kern w:val="0"/>
        </w:rPr>
        <w:t>对混凝土结构具强腐蚀性，素填土①</w:t>
      </w:r>
      <w:r>
        <w:rPr>
          <w:bCs/>
          <w:kern w:val="0"/>
          <w:vertAlign w:val="subscript"/>
        </w:rPr>
        <w:t>3</w:t>
      </w:r>
      <w:r>
        <w:rPr>
          <w:bCs/>
          <w:kern w:val="0"/>
        </w:rPr>
        <w:t>层对混凝土结构具弱腐蚀性；磷石膏①</w:t>
      </w:r>
      <w:r>
        <w:rPr>
          <w:bCs/>
          <w:kern w:val="0"/>
          <w:vertAlign w:val="subscript"/>
        </w:rPr>
        <w:t>1</w:t>
      </w:r>
      <w:r>
        <w:rPr>
          <w:bCs/>
          <w:kern w:val="0"/>
        </w:rPr>
        <w:t>对混凝土结构中钢筋具微腐蚀性，对钢结构具有微腐蚀性，素填土①</w:t>
      </w:r>
      <w:r>
        <w:rPr>
          <w:bCs/>
          <w:kern w:val="0"/>
          <w:vertAlign w:val="subscript"/>
        </w:rPr>
        <w:t>3</w:t>
      </w:r>
      <w:r>
        <w:rPr>
          <w:bCs/>
          <w:kern w:val="0"/>
        </w:rPr>
        <w:t>层对混凝土结构中钢筋具微腐蚀性，对钢结构具有微腐蚀性</w:t>
      </w:r>
      <w:r>
        <w:rPr>
          <w:rFonts w:hint="eastAsia"/>
          <w:bCs/>
          <w:kern w:val="0"/>
        </w:rPr>
        <w:t>。</w:t>
      </w:r>
    </w:p>
    <w:p w14:paraId="6869EEA0">
      <w:pPr>
        <w:ind w:firstLine="560"/>
        <w:rPr>
          <w:bCs/>
          <w:kern w:val="0"/>
        </w:rPr>
      </w:pPr>
      <w:r>
        <w:rPr>
          <w:bCs/>
          <w:kern w:val="0"/>
        </w:rPr>
        <w:t>（2）水的腐蚀性评价</w:t>
      </w:r>
    </w:p>
    <w:p w14:paraId="596CC45C">
      <w:pPr>
        <w:ind w:firstLine="560"/>
        <w:rPr>
          <w:bCs/>
          <w:kern w:val="0"/>
        </w:rPr>
      </w:pPr>
      <w:r>
        <w:rPr>
          <w:bCs/>
          <w:kern w:val="0"/>
        </w:rPr>
        <w:t>本次勘察在地表采取2件水样进行水质简分析。根据《岩土工程勘察规范》GB50021-2001（20</w:t>
      </w:r>
      <w:r>
        <w:rPr>
          <w:rFonts w:hint="eastAsia"/>
          <w:bCs/>
          <w:kern w:val="0"/>
        </w:rPr>
        <w:t>09</w:t>
      </w:r>
      <w:r>
        <w:rPr>
          <w:bCs/>
          <w:kern w:val="0"/>
        </w:rPr>
        <w:t>年版）相关条款按场地环境类型Ⅲ类，地层渗透性B类判定，分析结果见下表“地下水腐蚀性评价表”。</w:t>
      </w:r>
    </w:p>
    <w:p w14:paraId="7CD46629">
      <w:pPr>
        <w:ind w:firstLine="560"/>
        <w:rPr>
          <w:bCs/>
          <w:kern w:val="0"/>
        </w:rPr>
      </w:pPr>
      <w:r>
        <w:rPr>
          <w:bCs/>
          <w:kern w:val="0"/>
        </w:rPr>
        <w:t>根据表</w:t>
      </w:r>
      <w:r>
        <w:rPr>
          <w:rFonts w:hint="eastAsia"/>
          <w:bCs/>
          <w:kern w:val="0"/>
        </w:rPr>
        <w:t>2.3-13</w:t>
      </w:r>
      <w:r>
        <w:rPr>
          <w:bCs/>
          <w:kern w:val="0"/>
        </w:rPr>
        <w:t>，综合判定场地集液池内水对混凝土结构具弱腐蚀性；对钢筋混凝土结构中钢筋具微腐蚀性。</w:t>
      </w:r>
    </w:p>
    <w:p w14:paraId="12B00C3A">
      <w:pPr>
        <w:pStyle w:val="4"/>
      </w:pPr>
      <w:bookmarkStart w:id="45" w:name="_Toc230699570"/>
      <w:r>
        <w:rPr>
          <w:rFonts w:hint="eastAsia"/>
        </w:rPr>
        <w:t>2.3.5 磷石膏库现状稳定性分析及评价</w:t>
      </w:r>
      <w:bookmarkEnd w:id="45"/>
    </w:p>
    <w:p w14:paraId="014EF349">
      <w:pPr>
        <w:pStyle w:val="5"/>
      </w:pPr>
      <w:r>
        <w:rPr>
          <w:rFonts w:hint="eastAsia"/>
        </w:rPr>
        <w:t>2.3.5.1 定性评价</w:t>
      </w:r>
    </w:p>
    <w:p w14:paraId="4FD3642B">
      <w:pPr>
        <w:adjustRightInd w:val="0"/>
        <w:snapToGrid w:val="0"/>
        <w:ind w:firstLine="560"/>
        <w:rPr>
          <w:bCs/>
          <w:kern w:val="0"/>
        </w:rPr>
      </w:pPr>
      <w:r>
        <w:rPr>
          <w:bCs/>
          <w:kern w:val="0"/>
        </w:rPr>
        <w:t>（1）基底及岸坡定性评价</w:t>
      </w:r>
    </w:p>
    <w:p w14:paraId="1B1E4DF5">
      <w:pPr>
        <w:adjustRightInd w:val="0"/>
        <w:snapToGrid w:val="0"/>
        <w:ind w:firstLine="560"/>
        <w:rPr>
          <w:bCs/>
          <w:kern w:val="0"/>
        </w:rPr>
      </w:pPr>
      <w:r>
        <w:rPr>
          <w:bCs/>
          <w:kern w:val="0"/>
        </w:rPr>
        <w:t>渣库基底覆盖坡残积黏土层，残积土下伏基岩为变质石英砂岩等岩石。根据钻探揭露场地基底无软弱地层分布，基岩中无软弱夹层，岩体强度较高，岩层稳定，不会产生震陷和较大差异沉降，磷石膏库基底稳定。</w:t>
      </w:r>
    </w:p>
    <w:p w14:paraId="1E23CAFC">
      <w:pPr>
        <w:adjustRightInd w:val="0"/>
        <w:snapToGrid w:val="0"/>
        <w:ind w:firstLine="560"/>
        <w:rPr>
          <w:bCs/>
          <w:kern w:val="0"/>
        </w:rPr>
      </w:pPr>
      <w:r>
        <w:rPr>
          <w:bCs/>
          <w:kern w:val="0"/>
        </w:rPr>
        <w:t>岸坡现状由第四系坡残积黏土覆盖，下伏岩层为石英砂岩，自然坡度约为10°～25°，植被覆盖较好，地表无坍塌、开裂等现象，岸坡稳定。</w:t>
      </w:r>
    </w:p>
    <w:p w14:paraId="195F6A45">
      <w:pPr>
        <w:adjustRightInd w:val="0"/>
        <w:snapToGrid w:val="0"/>
        <w:ind w:firstLine="560"/>
        <w:rPr>
          <w:bCs/>
          <w:kern w:val="0"/>
        </w:rPr>
      </w:pPr>
      <w:r>
        <w:rPr>
          <w:bCs/>
          <w:kern w:val="0"/>
        </w:rPr>
        <w:t>（2）磷石膏渣场稳定性初步评价</w:t>
      </w:r>
    </w:p>
    <w:p w14:paraId="4F89BD2A">
      <w:pPr>
        <w:adjustRightInd w:val="0"/>
        <w:snapToGrid w:val="0"/>
        <w:ind w:firstLine="560"/>
        <w:rPr>
          <w:bCs/>
          <w:kern w:val="0"/>
        </w:rPr>
      </w:pPr>
      <w:r>
        <w:rPr>
          <w:bCs/>
          <w:kern w:val="0"/>
        </w:rPr>
        <w:t>磷石膏库现状堆排面及坡顶未发现变形、坡脚未发现底鼓现象，磷石膏库岩土体主要为磷石膏</w:t>
      </w:r>
      <w:r>
        <w:rPr>
          <w:rFonts w:hint="eastAsia" w:ascii="宋体" w:hAnsi="宋体" w:cs="宋体"/>
          <w:bCs/>
          <w:kern w:val="0"/>
        </w:rPr>
        <w:t>①</w:t>
      </w:r>
      <w:r>
        <w:rPr>
          <w:bCs/>
          <w:kern w:val="0"/>
          <w:vertAlign w:val="subscript"/>
        </w:rPr>
        <w:t>1</w:t>
      </w:r>
      <w:r>
        <w:rPr>
          <w:bCs/>
          <w:kern w:val="0"/>
        </w:rPr>
        <w:t>层、素填土</w:t>
      </w:r>
      <w:r>
        <w:rPr>
          <w:rFonts w:hint="eastAsia" w:ascii="宋体" w:hAnsi="宋体" w:cs="宋体"/>
          <w:bCs/>
          <w:kern w:val="0"/>
        </w:rPr>
        <w:t>①</w:t>
      </w:r>
      <w:r>
        <w:rPr>
          <w:bCs/>
          <w:kern w:val="0"/>
          <w:vertAlign w:val="subscript"/>
        </w:rPr>
        <w:t>2</w:t>
      </w:r>
      <w:r>
        <w:rPr>
          <w:bCs/>
          <w:kern w:val="0"/>
        </w:rPr>
        <w:t>层、素填土</w:t>
      </w:r>
      <w:r>
        <w:rPr>
          <w:rFonts w:hint="eastAsia" w:ascii="宋体" w:hAnsi="宋体" w:cs="宋体"/>
          <w:bCs/>
          <w:kern w:val="0"/>
        </w:rPr>
        <w:t>①</w:t>
      </w:r>
      <w:r>
        <w:rPr>
          <w:bCs/>
          <w:kern w:val="0"/>
          <w:vertAlign w:val="subscript"/>
        </w:rPr>
        <w:t>3</w:t>
      </w:r>
      <w:r>
        <w:rPr>
          <w:bCs/>
          <w:kern w:val="0"/>
        </w:rPr>
        <w:t>层、黏土</w:t>
      </w:r>
      <w:r>
        <w:rPr>
          <w:rFonts w:hint="eastAsia" w:ascii="宋体" w:hAnsi="宋体" w:cs="宋体"/>
          <w:bCs/>
          <w:kern w:val="0"/>
        </w:rPr>
        <w:t>②</w:t>
      </w:r>
      <w:r>
        <w:rPr>
          <w:bCs/>
          <w:kern w:val="0"/>
        </w:rPr>
        <w:t>层、强风化变质石英砂岩</w:t>
      </w:r>
      <w:r>
        <w:rPr>
          <w:rFonts w:hint="eastAsia" w:ascii="宋体" w:hAnsi="宋体" w:cs="宋体"/>
          <w:bCs/>
          <w:kern w:val="0"/>
        </w:rPr>
        <w:t>③</w:t>
      </w:r>
      <w:r>
        <w:rPr>
          <w:bCs/>
          <w:kern w:val="0"/>
        </w:rPr>
        <w:t>层等，坡面地层在环境变化及雨水作用下其强度会逐渐降低，此时可能会沿填土层内部发生圆弧滑动失稳。</w:t>
      </w:r>
    </w:p>
    <w:p w14:paraId="07A21203">
      <w:pPr>
        <w:pStyle w:val="5"/>
      </w:pPr>
      <w:r>
        <w:rPr>
          <w:rFonts w:hint="eastAsia"/>
        </w:rPr>
        <w:t>2.3.5.2 稳定性验算及结果分析</w:t>
      </w:r>
    </w:p>
    <w:p w14:paraId="6617CF90">
      <w:pPr>
        <w:adjustRightInd w:val="0"/>
        <w:snapToGrid w:val="0"/>
        <w:ind w:firstLine="560"/>
        <w:rPr>
          <w:bCs/>
          <w:kern w:val="0"/>
        </w:rPr>
      </w:pPr>
      <w:r>
        <w:rPr>
          <w:bCs/>
          <w:kern w:val="0"/>
        </w:rPr>
        <w:t>（1）验算工况</w:t>
      </w:r>
    </w:p>
    <w:p w14:paraId="27FA8197">
      <w:pPr>
        <w:adjustRightInd w:val="0"/>
        <w:snapToGrid w:val="0"/>
        <w:ind w:firstLine="560"/>
        <w:rPr>
          <w:bCs/>
          <w:kern w:val="0"/>
        </w:rPr>
      </w:pPr>
      <w:r>
        <w:rPr>
          <w:bCs/>
          <w:kern w:val="0"/>
        </w:rPr>
        <w:t>由于本场地覆盖层多为磷石膏及黏性土层，为土质边坡，根据《磷石膏库安全技术规程》（AQ2059-2016），结合《尾矿堆积坝岩土工程技术标准》（GB</w:t>
      </w:r>
      <w:r>
        <w:rPr>
          <w:rFonts w:hint="eastAsia"/>
          <w:bCs/>
          <w:kern w:val="0"/>
        </w:rPr>
        <w:t xml:space="preserve">/T </w:t>
      </w:r>
      <w:r>
        <w:rPr>
          <w:bCs/>
          <w:kern w:val="0"/>
        </w:rPr>
        <w:t>50547-20</w:t>
      </w:r>
      <w:r>
        <w:rPr>
          <w:rFonts w:hint="eastAsia"/>
          <w:bCs/>
          <w:kern w:val="0"/>
        </w:rPr>
        <w:t>22</w:t>
      </w:r>
      <w:r>
        <w:rPr>
          <w:bCs/>
          <w:kern w:val="0"/>
        </w:rPr>
        <w:t>）及《建筑边坡工程技术规范》GB50330-2013 4.3.7条的相关规定，正常运行和特殊运行采用天然重度及直接快剪指标进行验算，洪水运行采用饱和重度和浸水快剪指标进行验算。特殊运行水平地震影响系数取值，根据《建筑抗震设计标准（2024年版）》（GB/T 50011-2010）5.1.4相关规定，8°设防烈度水平，多遇地震工况下，水平地震影响系数最大值为0.24，参考相关水工规范，需对其进行折减（折减系数为0.25），最后取值为0.06。《建筑边坡工程技术规范》</w:t>
      </w:r>
      <w:r>
        <w:rPr>
          <w:rFonts w:hint="eastAsia"/>
          <w:bCs/>
          <w:kern w:val="0"/>
        </w:rPr>
        <w:t>（</w:t>
      </w:r>
      <w:r>
        <w:rPr>
          <w:bCs/>
          <w:kern w:val="0"/>
        </w:rPr>
        <w:t>GB50330-2013）推荐地震基本烈度为8°时的综合水平地震系数为0.075，本报告书取0.06。</w:t>
      </w:r>
    </w:p>
    <w:p w14:paraId="40F24FAC">
      <w:pPr>
        <w:adjustRightInd w:val="0"/>
        <w:snapToGrid w:val="0"/>
        <w:ind w:firstLine="560"/>
        <w:rPr>
          <w:bCs/>
          <w:kern w:val="0"/>
        </w:rPr>
      </w:pPr>
      <w:r>
        <w:rPr>
          <w:rFonts w:hint="eastAsia"/>
          <w:bCs/>
          <w:kern w:val="0"/>
        </w:rPr>
        <w:t>（2）</w:t>
      </w:r>
      <w:r>
        <w:rPr>
          <w:bCs/>
          <w:kern w:val="0"/>
        </w:rPr>
        <w:t>参数选取</w:t>
      </w:r>
    </w:p>
    <w:p w14:paraId="0B122CD6">
      <w:pPr>
        <w:adjustRightInd w:val="0"/>
        <w:snapToGrid w:val="0"/>
        <w:ind w:firstLine="560"/>
        <w:rPr>
          <w:bCs/>
          <w:kern w:val="0"/>
        </w:rPr>
      </w:pPr>
      <w:r>
        <w:rPr>
          <w:bCs/>
          <w:kern w:val="0"/>
        </w:rPr>
        <w:t>本次勘察针对土层的抗剪强度指标取值，系考虑现状条件下磷石膏渣场的稳定状况下的反算结果、结合室内土工试验成果、原位测试及类似工程工程经验综合确定。各岩土层的稳定性验算指标建议值，详见下表。</w:t>
      </w:r>
    </w:p>
    <w:p w14:paraId="28564AA9">
      <w:pPr>
        <w:adjustRightInd w:val="0"/>
        <w:snapToGrid w:val="0"/>
        <w:ind w:firstLine="0" w:firstLineChars="0"/>
        <w:jc w:val="center"/>
        <w:rPr>
          <w:bCs/>
          <w:kern w:val="0"/>
          <w:sz w:val="24"/>
          <w:szCs w:val="24"/>
        </w:rPr>
      </w:pPr>
      <w:r>
        <w:rPr>
          <w:bCs/>
          <w:kern w:val="0"/>
          <w:sz w:val="24"/>
          <w:szCs w:val="24"/>
        </w:rPr>
        <w:t>表</w:t>
      </w:r>
      <w:r>
        <w:rPr>
          <w:rFonts w:hint="eastAsia"/>
          <w:bCs/>
          <w:kern w:val="0"/>
          <w:sz w:val="24"/>
          <w:szCs w:val="24"/>
        </w:rPr>
        <w:t>2.3-14</w:t>
      </w:r>
      <w:r>
        <w:rPr>
          <w:bCs/>
          <w:kern w:val="0"/>
          <w:sz w:val="24"/>
          <w:szCs w:val="24"/>
        </w:rPr>
        <w:t xml:space="preserve"> 磷石膏渣库稳定性验算指标取值</w:t>
      </w:r>
    </w:p>
    <w:tbl>
      <w:tblPr>
        <w:tblStyle w:val="33"/>
        <w:tblW w:w="517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2350"/>
        <w:gridCol w:w="1110"/>
        <w:gridCol w:w="1110"/>
        <w:gridCol w:w="1410"/>
        <w:gridCol w:w="1248"/>
        <w:gridCol w:w="1083"/>
        <w:gridCol w:w="1205"/>
      </w:tblGrid>
      <w:tr w14:paraId="731C9E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96" w:hRule="exact"/>
          <w:jc w:val="center"/>
        </w:trPr>
        <w:tc>
          <w:tcPr>
            <w:tcW w:w="1235" w:type="pct"/>
            <w:vMerge w:val="restart"/>
            <w:tcBorders>
              <w:top w:val="single" w:color="auto" w:sz="2" w:space="0"/>
              <w:left w:val="single" w:color="auto" w:sz="2" w:space="0"/>
              <w:bottom w:val="single" w:color="auto" w:sz="2" w:space="0"/>
              <w:right w:val="single" w:color="auto" w:sz="2" w:space="0"/>
              <w:tl2br w:val="single" w:color="auto" w:sz="4" w:space="0"/>
            </w:tcBorders>
            <w:vAlign w:val="center"/>
          </w:tcPr>
          <w:p w14:paraId="31CC33DA">
            <w:pPr>
              <w:adjustRightInd w:val="0"/>
              <w:snapToGrid w:val="0"/>
              <w:spacing w:line="240" w:lineRule="auto"/>
              <w:ind w:firstLine="0" w:firstLineChars="0"/>
              <w:jc w:val="right"/>
              <w:rPr>
                <w:bCs/>
                <w:kern w:val="0"/>
                <w:sz w:val="21"/>
                <w:szCs w:val="21"/>
              </w:rPr>
            </w:pPr>
            <w:r>
              <w:rPr>
                <w:bCs/>
                <w:kern w:val="0"/>
                <w:sz w:val="21"/>
                <w:szCs w:val="21"/>
              </w:rPr>
              <w:t>指标名称</w:t>
            </w:r>
          </w:p>
          <w:p w14:paraId="03ADB23C">
            <w:pPr>
              <w:adjustRightInd w:val="0"/>
              <w:snapToGrid w:val="0"/>
              <w:spacing w:line="240" w:lineRule="auto"/>
              <w:ind w:firstLine="0" w:firstLineChars="0"/>
              <w:jc w:val="center"/>
              <w:rPr>
                <w:bCs/>
                <w:kern w:val="0"/>
                <w:sz w:val="21"/>
                <w:szCs w:val="21"/>
              </w:rPr>
            </w:pPr>
          </w:p>
          <w:p w14:paraId="43753B85">
            <w:pPr>
              <w:adjustRightInd w:val="0"/>
              <w:snapToGrid w:val="0"/>
              <w:spacing w:line="240" w:lineRule="auto"/>
              <w:ind w:firstLine="0" w:firstLineChars="0"/>
              <w:jc w:val="left"/>
              <w:rPr>
                <w:bCs/>
                <w:kern w:val="0"/>
                <w:sz w:val="21"/>
                <w:szCs w:val="21"/>
              </w:rPr>
            </w:pPr>
          </w:p>
          <w:p w14:paraId="1F23B5B6">
            <w:pPr>
              <w:adjustRightInd w:val="0"/>
              <w:snapToGrid w:val="0"/>
              <w:spacing w:line="240" w:lineRule="auto"/>
              <w:ind w:firstLine="0" w:firstLineChars="0"/>
              <w:jc w:val="left"/>
              <w:rPr>
                <w:bCs/>
                <w:kern w:val="0"/>
                <w:sz w:val="21"/>
                <w:szCs w:val="21"/>
              </w:rPr>
            </w:pPr>
            <w:r>
              <w:rPr>
                <w:bCs/>
                <w:kern w:val="0"/>
                <w:sz w:val="21"/>
                <w:szCs w:val="21"/>
              </w:rPr>
              <w:t>地层名称及代号</w:t>
            </w:r>
          </w:p>
        </w:tc>
        <w:tc>
          <w:tcPr>
            <w:tcW w:w="583" w:type="pct"/>
            <w:vMerge w:val="restart"/>
            <w:tcBorders>
              <w:top w:val="single" w:color="auto" w:sz="2" w:space="0"/>
              <w:left w:val="single" w:color="auto" w:sz="2" w:space="0"/>
              <w:bottom w:val="single" w:color="auto" w:sz="2" w:space="0"/>
              <w:right w:val="single" w:color="auto" w:sz="2" w:space="0"/>
            </w:tcBorders>
            <w:vAlign w:val="center"/>
          </w:tcPr>
          <w:p w14:paraId="50FA739D">
            <w:pPr>
              <w:adjustRightInd w:val="0"/>
              <w:snapToGrid w:val="0"/>
              <w:spacing w:line="240" w:lineRule="auto"/>
              <w:ind w:firstLine="0" w:firstLineChars="0"/>
              <w:jc w:val="center"/>
              <w:rPr>
                <w:bCs/>
                <w:kern w:val="0"/>
                <w:sz w:val="21"/>
                <w:szCs w:val="21"/>
              </w:rPr>
            </w:pPr>
            <w:r>
              <w:rPr>
                <w:bCs/>
                <w:kern w:val="0"/>
                <w:sz w:val="21"/>
                <w:szCs w:val="21"/>
              </w:rPr>
              <w:t>天然</w:t>
            </w:r>
          </w:p>
          <w:p w14:paraId="08125DD5">
            <w:pPr>
              <w:adjustRightInd w:val="0"/>
              <w:snapToGrid w:val="0"/>
              <w:spacing w:line="240" w:lineRule="auto"/>
              <w:ind w:firstLine="0" w:firstLineChars="0"/>
              <w:jc w:val="center"/>
              <w:rPr>
                <w:bCs/>
                <w:kern w:val="0"/>
                <w:sz w:val="21"/>
                <w:szCs w:val="21"/>
              </w:rPr>
            </w:pPr>
            <w:r>
              <w:rPr>
                <w:bCs/>
                <w:kern w:val="0"/>
                <w:sz w:val="21"/>
                <w:szCs w:val="21"/>
              </w:rPr>
              <w:t>重度</w:t>
            </w:r>
          </w:p>
          <w:p w14:paraId="1092B2B2">
            <w:pPr>
              <w:adjustRightInd w:val="0"/>
              <w:snapToGrid w:val="0"/>
              <w:spacing w:line="240" w:lineRule="auto"/>
              <w:ind w:firstLine="0" w:firstLineChars="0"/>
              <w:jc w:val="center"/>
              <w:rPr>
                <w:bCs/>
                <w:kern w:val="0"/>
                <w:sz w:val="21"/>
                <w:szCs w:val="21"/>
              </w:rPr>
            </w:pPr>
            <w:r>
              <w:rPr>
                <w:bCs/>
                <w:kern w:val="0"/>
                <w:sz w:val="21"/>
                <w:szCs w:val="21"/>
              </w:rPr>
              <w:t>γ(kN/m</w:t>
            </w:r>
            <w:r>
              <w:rPr>
                <w:bCs/>
                <w:kern w:val="0"/>
                <w:sz w:val="21"/>
                <w:szCs w:val="21"/>
                <w:vertAlign w:val="superscript"/>
              </w:rPr>
              <w:t>3</w:t>
            </w:r>
            <w:r>
              <w:rPr>
                <w:bCs/>
                <w:kern w:val="0"/>
                <w:sz w:val="21"/>
                <w:szCs w:val="21"/>
              </w:rPr>
              <w:t>)</w:t>
            </w:r>
          </w:p>
        </w:tc>
        <w:tc>
          <w:tcPr>
            <w:tcW w:w="583" w:type="pct"/>
            <w:vMerge w:val="restart"/>
            <w:tcBorders>
              <w:top w:val="single" w:color="auto" w:sz="2" w:space="0"/>
              <w:left w:val="single" w:color="auto" w:sz="2" w:space="0"/>
              <w:right w:val="single" w:color="auto" w:sz="2" w:space="0"/>
            </w:tcBorders>
            <w:vAlign w:val="center"/>
          </w:tcPr>
          <w:p w14:paraId="5F496C39">
            <w:pPr>
              <w:adjustRightInd w:val="0"/>
              <w:snapToGrid w:val="0"/>
              <w:spacing w:line="240" w:lineRule="auto"/>
              <w:ind w:firstLine="0" w:firstLineChars="0"/>
              <w:jc w:val="center"/>
              <w:rPr>
                <w:bCs/>
                <w:kern w:val="0"/>
                <w:sz w:val="21"/>
                <w:szCs w:val="21"/>
              </w:rPr>
            </w:pPr>
            <w:r>
              <w:rPr>
                <w:bCs/>
                <w:kern w:val="0"/>
                <w:sz w:val="21"/>
                <w:szCs w:val="21"/>
              </w:rPr>
              <w:t>饱和</w:t>
            </w:r>
          </w:p>
          <w:p w14:paraId="1AA23AA4">
            <w:pPr>
              <w:adjustRightInd w:val="0"/>
              <w:snapToGrid w:val="0"/>
              <w:spacing w:line="240" w:lineRule="auto"/>
              <w:ind w:firstLine="0" w:firstLineChars="0"/>
              <w:jc w:val="center"/>
              <w:rPr>
                <w:bCs/>
                <w:kern w:val="0"/>
                <w:sz w:val="21"/>
                <w:szCs w:val="21"/>
              </w:rPr>
            </w:pPr>
            <w:r>
              <w:rPr>
                <w:bCs/>
                <w:kern w:val="0"/>
                <w:sz w:val="21"/>
                <w:szCs w:val="21"/>
              </w:rPr>
              <w:t>重度</w:t>
            </w:r>
          </w:p>
          <w:p w14:paraId="72DBBB9A">
            <w:pPr>
              <w:adjustRightInd w:val="0"/>
              <w:snapToGrid w:val="0"/>
              <w:spacing w:line="240" w:lineRule="auto"/>
              <w:ind w:firstLine="0" w:firstLineChars="0"/>
              <w:jc w:val="center"/>
              <w:rPr>
                <w:bCs/>
                <w:kern w:val="0"/>
                <w:sz w:val="21"/>
                <w:szCs w:val="21"/>
              </w:rPr>
            </w:pPr>
            <w:r>
              <w:rPr>
                <w:bCs/>
                <w:kern w:val="0"/>
                <w:sz w:val="21"/>
                <w:szCs w:val="21"/>
              </w:rPr>
              <w:t>γ(kN/m</w:t>
            </w:r>
            <w:r>
              <w:rPr>
                <w:bCs/>
                <w:kern w:val="0"/>
                <w:sz w:val="21"/>
                <w:szCs w:val="21"/>
                <w:vertAlign w:val="superscript"/>
              </w:rPr>
              <w:t>3</w:t>
            </w:r>
            <w:r>
              <w:rPr>
                <w:bCs/>
                <w:kern w:val="0"/>
                <w:sz w:val="21"/>
                <w:szCs w:val="21"/>
              </w:rPr>
              <w:t>)</w:t>
            </w:r>
          </w:p>
        </w:tc>
        <w:tc>
          <w:tcPr>
            <w:tcW w:w="1397" w:type="pct"/>
            <w:gridSpan w:val="2"/>
            <w:tcBorders>
              <w:top w:val="single" w:color="auto" w:sz="2" w:space="0"/>
              <w:left w:val="single" w:color="auto" w:sz="2" w:space="0"/>
              <w:right w:val="single" w:color="auto" w:sz="2" w:space="0"/>
            </w:tcBorders>
            <w:vAlign w:val="center"/>
          </w:tcPr>
          <w:p w14:paraId="058DB4B7">
            <w:pPr>
              <w:adjustRightInd w:val="0"/>
              <w:snapToGrid w:val="0"/>
              <w:spacing w:line="240" w:lineRule="auto"/>
              <w:ind w:firstLine="0" w:firstLineChars="0"/>
              <w:jc w:val="center"/>
              <w:rPr>
                <w:bCs/>
                <w:kern w:val="0"/>
                <w:sz w:val="21"/>
                <w:szCs w:val="21"/>
              </w:rPr>
            </w:pPr>
            <w:r>
              <w:rPr>
                <w:bCs/>
                <w:kern w:val="0"/>
                <w:sz w:val="21"/>
                <w:szCs w:val="21"/>
              </w:rPr>
              <w:t>天然状态下的抗剪强度指标</w:t>
            </w:r>
          </w:p>
        </w:tc>
        <w:tc>
          <w:tcPr>
            <w:tcW w:w="1202" w:type="pct"/>
            <w:gridSpan w:val="2"/>
            <w:tcBorders>
              <w:top w:val="single" w:color="auto" w:sz="2" w:space="0"/>
              <w:left w:val="single" w:color="auto" w:sz="4" w:space="0"/>
              <w:bottom w:val="single" w:color="auto" w:sz="2" w:space="0"/>
              <w:right w:val="single" w:color="auto" w:sz="4" w:space="0"/>
            </w:tcBorders>
            <w:vAlign w:val="center"/>
          </w:tcPr>
          <w:p w14:paraId="5B8B8E42">
            <w:pPr>
              <w:adjustRightInd w:val="0"/>
              <w:snapToGrid w:val="0"/>
              <w:spacing w:line="240" w:lineRule="auto"/>
              <w:ind w:firstLine="0" w:firstLineChars="0"/>
              <w:jc w:val="center"/>
              <w:rPr>
                <w:bCs/>
                <w:kern w:val="0"/>
                <w:sz w:val="21"/>
                <w:szCs w:val="21"/>
              </w:rPr>
            </w:pPr>
            <w:r>
              <w:rPr>
                <w:bCs/>
                <w:kern w:val="0"/>
                <w:sz w:val="21"/>
                <w:szCs w:val="21"/>
              </w:rPr>
              <w:t>浸水抗剪强度指标</w:t>
            </w:r>
          </w:p>
        </w:tc>
      </w:tr>
      <w:tr w14:paraId="66C770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49" w:hRule="exact"/>
          <w:jc w:val="center"/>
        </w:trPr>
        <w:tc>
          <w:tcPr>
            <w:tcW w:w="1235" w:type="pct"/>
            <w:vMerge w:val="continue"/>
            <w:tcBorders>
              <w:top w:val="single" w:color="auto" w:sz="2" w:space="0"/>
              <w:left w:val="single" w:color="auto" w:sz="2" w:space="0"/>
              <w:bottom w:val="single" w:color="auto" w:sz="2" w:space="0"/>
              <w:right w:val="single" w:color="auto" w:sz="2" w:space="0"/>
            </w:tcBorders>
            <w:vAlign w:val="center"/>
          </w:tcPr>
          <w:p w14:paraId="5D4B735E">
            <w:pPr>
              <w:adjustRightInd w:val="0"/>
              <w:snapToGrid w:val="0"/>
              <w:spacing w:line="240" w:lineRule="auto"/>
              <w:ind w:firstLine="0" w:firstLineChars="0"/>
              <w:jc w:val="center"/>
              <w:rPr>
                <w:bCs/>
                <w:kern w:val="0"/>
                <w:sz w:val="21"/>
                <w:szCs w:val="21"/>
              </w:rPr>
            </w:pPr>
          </w:p>
        </w:tc>
        <w:tc>
          <w:tcPr>
            <w:tcW w:w="583" w:type="pct"/>
            <w:vMerge w:val="continue"/>
            <w:tcBorders>
              <w:top w:val="single" w:color="auto" w:sz="2" w:space="0"/>
              <w:left w:val="single" w:color="auto" w:sz="2" w:space="0"/>
              <w:bottom w:val="single" w:color="auto" w:sz="2" w:space="0"/>
              <w:right w:val="single" w:color="auto" w:sz="2" w:space="0"/>
            </w:tcBorders>
            <w:vAlign w:val="center"/>
          </w:tcPr>
          <w:p w14:paraId="5FA37466">
            <w:pPr>
              <w:adjustRightInd w:val="0"/>
              <w:snapToGrid w:val="0"/>
              <w:spacing w:line="240" w:lineRule="auto"/>
              <w:ind w:firstLine="0" w:firstLineChars="0"/>
              <w:jc w:val="center"/>
              <w:rPr>
                <w:bCs/>
                <w:kern w:val="0"/>
                <w:sz w:val="21"/>
                <w:szCs w:val="21"/>
              </w:rPr>
            </w:pPr>
          </w:p>
        </w:tc>
        <w:tc>
          <w:tcPr>
            <w:tcW w:w="583" w:type="pct"/>
            <w:vMerge w:val="continue"/>
            <w:tcBorders>
              <w:left w:val="single" w:color="auto" w:sz="2" w:space="0"/>
              <w:bottom w:val="single" w:color="auto" w:sz="2" w:space="0"/>
              <w:right w:val="single" w:color="auto" w:sz="2" w:space="0"/>
            </w:tcBorders>
            <w:vAlign w:val="center"/>
          </w:tcPr>
          <w:p w14:paraId="7F99AC7B">
            <w:pPr>
              <w:adjustRightInd w:val="0"/>
              <w:snapToGrid w:val="0"/>
              <w:spacing w:line="240" w:lineRule="auto"/>
              <w:ind w:firstLine="0" w:firstLineChars="0"/>
              <w:jc w:val="center"/>
              <w:rPr>
                <w:bCs/>
                <w:kern w:val="0"/>
                <w:sz w:val="21"/>
                <w:szCs w:val="21"/>
              </w:rPr>
            </w:pPr>
          </w:p>
        </w:tc>
        <w:tc>
          <w:tcPr>
            <w:tcW w:w="741" w:type="pct"/>
            <w:tcBorders>
              <w:left w:val="single" w:color="auto" w:sz="2" w:space="0"/>
              <w:bottom w:val="single" w:color="auto" w:sz="2" w:space="0"/>
              <w:right w:val="single" w:color="auto" w:sz="2" w:space="0"/>
            </w:tcBorders>
            <w:vAlign w:val="center"/>
          </w:tcPr>
          <w:p w14:paraId="2ED14380">
            <w:pPr>
              <w:adjustRightInd w:val="0"/>
              <w:snapToGrid w:val="0"/>
              <w:spacing w:line="240" w:lineRule="auto"/>
              <w:ind w:firstLine="0" w:firstLineChars="0"/>
              <w:jc w:val="center"/>
              <w:rPr>
                <w:bCs/>
                <w:kern w:val="0"/>
                <w:sz w:val="21"/>
                <w:szCs w:val="21"/>
              </w:rPr>
            </w:pPr>
            <w:r>
              <w:rPr>
                <w:bCs/>
                <w:kern w:val="0"/>
                <w:sz w:val="21"/>
                <w:szCs w:val="21"/>
              </w:rPr>
              <w:t>粘聚力</w:t>
            </w:r>
          </w:p>
          <w:p w14:paraId="2EFC54DB">
            <w:pPr>
              <w:adjustRightInd w:val="0"/>
              <w:snapToGrid w:val="0"/>
              <w:spacing w:line="240" w:lineRule="auto"/>
              <w:ind w:firstLine="0" w:firstLineChars="0"/>
              <w:jc w:val="center"/>
              <w:rPr>
                <w:bCs/>
                <w:kern w:val="0"/>
                <w:sz w:val="21"/>
                <w:szCs w:val="21"/>
              </w:rPr>
            </w:pPr>
            <w:r>
              <w:rPr>
                <w:bCs/>
                <w:kern w:val="0"/>
                <w:sz w:val="21"/>
                <w:szCs w:val="21"/>
              </w:rPr>
              <w:t>c(kPa)</w:t>
            </w:r>
          </w:p>
        </w:tc>
        <w:tc>
          <w:tcPr>
            <w:tcW w:w="655" w:type="pct"/>
            <w:tcBorders>
              <w:left w:val="single" w:color="auto" w:sz="2" w:space="0"/>
              <w:bottom w:val="single" w:color="auto" w:sz="2" w:space="0"/>
              <w:right w:val="single" w:color="auto" w:sz="2" w:space="0"/>
            </w:tcBorders>
            <w:vAlign w:val="center"/>
          </w:tcPr>
          <w:p w14:paraId="003BF596">
            <w:pPr>
              <w:adjustRightInd w:val="0"/>
              <w:snapToGrid w:val="0"/>
              <w:spacing w:line="240" w:lineRule="auto"/>
              <w:ind w:firstLine="0" w:firstLineChars="0"/>
              <w:jc w:val="center"/>
              <w:rPr>
                <w:bCs/>
                <w:kern w:val="0"/>
                <w:sz w:val="21"/>
                <w:szCs w:val="21"/>
              </w:rPr>
            </w:pPr>
            <w:r>
              <w:rPr>
                <w:bCs/>
                <w:kern w:val="0"/>
                <w:sz w:val="21"/>
                <w:szCs w:val="21"/>
              </w:rPr>
              <w:t>内摩擦</w:t>
            </w:r>
          </w:p>
          <w:p w14:paraId="13DD92FC">
            <w:pPr>
              <w:adjustRightInd w:val="0"/>
              <w:snapToGrid w:val="0"/>
              <w:spacing w:line="240" w:lineRule="auto"/>
              <w:ind w:firstLine="0" w:firstLineChars="0"/>
              <w:jc w:val="center"/>
              <w:rPr>
                <w:bCs/>
                <w:kern w:val="0"/>
                <w:sz w:val="21"/>
                <w:szCs w:val="21"/>
              </w:rPr>
            </w:pPr>
            <w:r>
              <w:rPr>
                <w:bCs/>
                <w:kern w:val="0"/>
                <w:sz w:val="21"/>
                <w:szCs w:val="21"/>
              </w:rPr>
              <w:t>角φ(°)</w:t>
            </w:r>
          </w:p>
        </w:tc>
        <w:tc>
          <w:tcPr>
            <w:tcW w:w="569" w:type="pct"/>
            <w:tcBorders>
              <w:top w:val="single" w:color="auto" w:sz="2" w:space="0"/>
              <w:left w:val="single" w:color="auto" w:sz="2" w:space="0"/>
              <w:bottom w:val="single" w:color="auto" w:sz="2" w:space="0"/>
              <w:right w:val="single" w:color="auto" w:sz="2" w:space="0"/>
            </w:tcBorders>
            <w:vAlign w:val="center"/>
          </w:tcPr>
          <w:p w14:paraId="3F9C5D54">
            <w:pPr>
              <w:adjustRightInd w:val="0"/>
              <w:snapToGrid w:val="0"/>
              <w:spacing w:line="240" w:lineRule="auto"/>
              <w:ind w:firstLine="0" w:firstLineChars="0"/>
              <w:jc w:val="center"/>
              <w:rPr>
                <w:bCs/>
                <w:kern w:val="0"/>
                <w:sz w:val="21"/>
                <w:szCs w:val="21"/>
              </w:rPr>
            </w:pPr>
            <w:r>
              <w:rPr>
                <w:bCs/>
                <w:kern w:val="0"/>
                <w:sz w:val="21"/>
                <w:szCs w:val="21"/>
              </w:rPr>
              <w:t>粘聚力</w:t>
            </w:r>
          </w:p>
          <w:p w14:paraId="2FB1FB3F">
            <w:pPr>
              <w:adjustRightInd w:val="0"/>
              <w:snapToGrid w:val="0"/>
              <w:spacing w:line="240" w:lineRule="auto"/>
              <w:ind w:firstLine="0" w:firstLineChars="0"/>
              <w:jc w:val="center"/>
              <w:rPr>
                <w:bCs/>
                <w:kern w:val="0"/>
                <w:sz w:val="21"/>
                <w:szCs w:val="21"/>
              </w:rPr>
            </w:pPr>
            <w:r>
              <w:rPr>
                <w:bCs/>
                <w:kern w:val="0"/>
                <w:sz w:val="21"/>
                <w:szCs w:val="21"/>
              </w:rPr>
              <w:t>c(kPa)</w:t>
            </w:r>
          </w:p>
        </w:tc>
        <w:tc>
          <w:tcPr>
            <w:tcW w:w="633" w:type="pct"/>
            <w:tcBorders>
              <w:top w:val="single" w:color="auto" w:sz="2" w:space="0"/>
              <w:left w:val="single" w:color="auto" w:sz="2" w:space="0"/>
              <w:bottom w:val="single" w:color="auto" w:sz="2" w:space="0"/>
              <w:right w:val="single" w:color="auto" w:sz="2" w:space="0"/>
            </w:tcBorders>
            <w:vAlign w:val="center"/>
          </w:tcPr>
          <w:p w14:paraId="5500A48E">
            <w:pPr>
              <w:adjustRightInd w:val="0"/>
              <w:snapToGrid w:val="0"/>
              <w:spacing w:line="240" w:lineRule="auto"/>
              <w:ind w:firstLine="0" w:firstLineChars="0"/>
              <w:jc w:val="center"/>
              <w:rPr>
                <w:bCs/>
                <w:kern w:val="0"/>
                <w:sz w:val="21"/>
                <w:szCs w:val="21"/>
              </w:rPr>
            </w:pPr>
            <w:r>
              <w:rPr>
                <w:bCs/>
                <w:kern w:val="0"/>
                <w:sz w:val="21"/>
                <w:szCs w:val="21"/>
              </w:rPr>
              <w:t>内摩擦</w:t>
            </w:r>
          </w:p>
          <w:p w14:paraId="35C09DC4">
            <w:pPr>
              <w:adjustRightInd w:val="0"/>
              <w:snapToGrid w:val="0"/>
              <w:spacing w:line="240" w:lineRule="auto"/>
              <w:ind w:firstLine="0" w:firstLineChars="0"/>
              <w:jc w:val="center"/>
              <w:rPr>
                <w:bCs/>
                <w:kern w:val="0"/>
                <w:sz w:val="21"/>
                <w:szCs w:val="21"/>
              </w:rPr>
            </w:pPr>
            <w:r>
              <w:rPr>
                <w:bCs/>
                <w:kern w:val="0"/>
                <w:sz w:val="21"/>
                <w:szCs w:val="21"/>
              </w:rPr>
              <w:t>角φ(°)</w:t>
            </w:r>
          </w:p>
        </w:tc>
      </w:tr>
      <w:tr w14:paraId="7D31A4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0" w:hRule="exact"/>
          <w:jc w:val="center"/>
        </w:trPr>
        <w:tc>
          <w:tcPr>
            <w:tcW w:w="1235" w:type="pct"/>
            <w:tcBorders>
              <w:top w:val="single" w:color="auto" w:sz="2" w:space="0"/>
              <w:left w:val="single" w:color="auto" w:sz="2" w:space="0"/>
              <w:bottom w:val="single" w:color="auto" w:sz="2" w:space="0"/>
              <w:right w:val="single" w:color="auto" w:sz="2" w:space="0"/>
            </w:tcBorders>
            <w:vAlign w:val="center"/>
          </w:tcPr>
          <w:p w14:paraId="0997F237">
            <w:pPr>
              <w:adjustRightInd w:val="0"/>
              <w:snapToGrid w:val="0"/>
              <w:spacing w:line="240" w:lineRule="auto"/>
              <w:ind w:firstLine="0" w:firstLineChars="0"/>
              <w:jc w:val="center"/>
              <w:rPr>
                <w:bCs/>
                <w:kern w:val="0"/>
                <w:sz w:val="21"/>
                <w:szCs w:val="21"/>
              </w:rPr>
            </w:pPr>
            <w:r>
              <w:rPr>
                <w:bCs/>
                <w:kern w:val="0"/>
                <w:sz w:val="21"/>
                <w:szCs w:val="21"/>
              </w:rPr>
              <w:t>磷石膏①</w:t>
            </w:r>
            <w:r>
              <w:rPr>
                <w:bCs/>
                <w:kern w:val="0"/>
                <w:sz w:val="21"/>
                <w:szCs w:val="21"/>
                <w:vertAlign w:val="subscript"/>
              </w:rPr>
              <w:t>1</w:t>
            </w:r>
          </w:p>
        </w:tc>
        <w:tc>
          <w:tcPr>
            <w:tcW w:w="583" w:type="pct"/>
            <w:tcBorders>
              <w:top w:val="single" w:color="auto" w:sz="2" w:space="0"/>
              <w:left w:val="single" w:color="auto" w:sz="2" w:space="0"/>
              <w:bottom w:val="single" w:color="auto" w:sz="2" w:space="0"/>
              <w:right w:val="single" w:color="auto" w:sz="2" w:space="0"/>
            </w:tcBorders>
            <w:vAlign w:val="center"/>
          </w:tcPr>
          <w:p w14:paraId="5C2CB18E">
            <w:pPr>
              <w:adjustRightInd w:val="0"/>
              <w:snapToGrid w:val="0"/>
              <w:spacing w:line="240" w:lineRule="auto"/>
              <w:ind w:firstLine="0" w:firstLineChars="0"/>
              <w:jc w:val="center"/>
              <w:rPr>
                <w:bCs/>
                <w:kern w:val="0"/>
                <w:sz w:val="21"/>
                <w:szCs w:val="21"/>
              </w:rPr>
            </w:pPr>
            <w:r>
              <w:rPr>
                <w:bCs/>
                <w:kern w:val="0"/>
                <w:sz w:val="21"/>
                <w:szCs w:val="21"/>
              </w:rPr>
              <w:t>15.8</w:t>
            </w:r>
          </w:p>
        </w:tc>
        <w:tc>
          <w:tcPr>
            <w:tcW w:w="583" w:type="pct"/>
            <w:tcBorders>
              <w:top w:val="single" w:color="auto" w:sz="2" w:space="0"/>
              <w:left w:val="single" w:color="auto" w:sz="2" w:space="0"/>
              <w:bottom w:val="single" w:color="auto" w:sz="2" w:space="0"/>
              <w:right w:val="single" w:color="auto" w:sz="2" w:space="0"/>
            </w:tcBorders>
            <w:vAlign w:val="center"/>
          </w:tcPr>
          <w:p w14:paraId="5FE390C7">
            <w:pPr>
              <w:adjustRightInd w:val="0"/>
              <w:snapToGrid w:val="0"/>
              <w:spacing w:line="240" w:lineRule="auto"/>
              <w:ind w:firstLine="0" w:firstLineChars="0"/>
              <w:jc w:val="center"/>
              <w:rPr>
                <w:bCs/>
                <w:kern w:val="0"/>
                <w:sz w:val="21"/>
                <w:szCs w:val="21"/>
              </w:rPr>
            </w:pPr>
            <w:r>
              <w:rPr>
                <w:bCs/>
                <w:kern w:val="0"/>
                <w:sz w:val="21"/>
                <w:szCs w:val="21"/>
              </w:rPr>
              <w:t>17.0</w:t>
            </w:r>
          </w:p>
        </w:tc>
        <w:tc>
          <w:tcPr>
            <w:tcW w:w="741" w:type="pct"/>
            <w:tcBorders>
              <w:top w:val="single" w:color="auto" w:sz="2" w:space="0"/>
              <w:left w:val="single" w:color="auto" w:sz="2" w:space="0"/>
              <w:bottom w:val="single" w:color="auto" w:sz="2" w:space="0"/>
              <w:right w:val="single" w:color="auto" w:sz="2" w:space="0"/>
            </w:tcBorders>
            <w:vAlign w:val="center"/>
          </w:tcPr>
          <w:p w14:paraId="63E01015">
            <w:pPr>
              <w:adjustRightInd w:val="0"/>
              <w:snapToGrid w:val="0"/>
              <w:spacing w:line="240" w:lineRule="auto"/>
              <w:ind w:firstLine="0" w:firstLineChars="0"/>
              <w:jc w:val="center"/>
              <w:rPr>
                <w:bCs/>
                <w:kern w:val="0"/>
                <w:sz w:val="21"/>
                <w:szCs w:val="21"/>
              </w:rPr>
            </w:pPr>
            <w:r>
              <w:rPr>
                <w:bCs/>
                <w:kern w:val="0"/>
                <w:sz w:val="21"/>
                <w:szCs w:val="21"/>
              </w:rPr>
              <w:t>22.1</w:t>
            </w:r>
          </w:p>
        </w:tc>
        <w:tc>
          <w:tcPr>
            <w:tcW w:w="655" w:type="pct"/>
            <w:tcBorders>
              <w:top w:val="single" w:color="auto" w:sz="2" w:space="0"/>
              <w:left w:val="single" w:color="auto" w:sz="2" w:space="0"/>
              <w:bottom w:val="single" w:color="auto" w:sz="2" w:space="0"/>
              <w:right w:val="single" w:color="auto" w:sz="2" w:space="0"/>
            </w:tcBorders>
            <w:vAlign w:val="center"/>
          </w:tcPr>
          <w:p w14:paraId="6113AC77">
            <w:pPr>
              <w:adjustRightInd w:val="0"/>
              <w:snapToGrid w:val="0"/>
              <w:spacing w:line="240" w:lineRule="auto"/>
              <w:ind w:firstLine="0" w:firstLineChars="0"/>
              <w:jc w:val="center"/>
              <w:rPr>
                <w:bCs/>
                <w:kern w:val="0"/>
                <w:sz w:val="21"/>
                <w:szCs w:val="21"/>
              </w:rPr>
            </w:pPr>
            <w:r>
              <w:rPr>
                <w:bCs/>
                <w:kern w:val="0"/>
                <w:sz w:val="21"/>
                <w:szCs w:val="21"/>
              </w:rPr>
              <w:t>24.6</w:t>
            </w:r>
          </w:p>
        </w:tc>
        <w:tc>
          <w:tcPr>
            <w:tcW w:w="569" w:type="pct"/>
            <w:tcBorders>
              <w:top w:val="single" w:color="auto" w:sz="2" w:space="0"/>
              <w:left w:val="single" w:color="auto" w:sz="2" w:space="0"/>
              <w:bottom w:val="single" w:color="auto" w:sz="2" w:space="0"/>
              <w:right w:val="single" w:color="auto" w:sz="2" w:space="0"/>
            </w:tcBorders>
            <w:vAlign w:val="center"/>
          </w:tcPr>
          <w:p w14:paraId="58B7B9E5">
            <w:pPr>
              <w:adjustRightInd w:val="0"/>
              <w:snapToGrid w:val="0"/>
              <w:spacing w:line="240" w:lineRule="auto"/>
              <w:ind w:firstLine="0" w:firstLineChars="0"/>
              <w:jc w:val="center"/>
              <w:rPr>
                <w:bCs/>
                <w:kern w:val="0"/>
                <w:sz w:val="21"/>
                <w:szCs w:val="21"/>
              </w:rPr>
            </w:pPr>
            <w:r>
              <w:rPr>
                <w:bCs/>
                <w:kern w:val="0"/>
                <w:sz w:val="21"/>
                <w:szCs w:val="21"/>
              </w:rPr>
              <w:t>21.3</w:t>
            </w:r>
          </w:p>
        </w:tc>
        <w:tc>
          <w:tcPr>
            <w:tcW w:w="633" w:type="pct"/>
            <w:tcBorders>
              <w:top w:val="single" w:color="auto" w:sz="2" w:space="0"/>
              <w:left w:val="single" w:color="auto" w:sz="2" w:space="0"/>
              <w:bottom w:val="single" w:color="auto" w:sz="2" w:space="0"/>
              <w:right w:val="single" w:color="auto" w:sz="2" w:space="0"/>
            </w:tcBorders>
            <w:vAlign w:val="center"/>
          </w:tcPr>
          <w:p w14:paraId="6DEBD50A">
            <w:pPr>
              <w:adjustRightInd w:val="0"/>
              <w:snapToGrid w:val="0"/>
              <w:spacing w:line="240" w:lineRule="auto"/>
              <w:ind w:firstLine="0" w:firstLineChars="0"/>
              <w:jc w:val="center"/>
              <w:rPr>
                <w:bCs/>
                <w:kern w:val="0"/>
                <w:sz w:val="21"/>
                <w:szCs w:val="21"/>
              </w:rPr>
            </w:pPr>
            <w:r>
              <w:rPr>
                <w:bCs/>
                <w:kern w:val="0"/>
                <w:sz w:val="21"/>
                <w:szCs w:val="21"/>
              </w:rPr>
              <w:t>23.4</w:t>
            </w:r>
          </w:p>
        </w:tc>
      </w:tr>
      <w:tr w14:paraId="3D84D1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0" w:hRule="exact"/>
          <w:jc w:val="center"/>
        </w:trPr>
        <w:tc>
          <w:tcPr>
            <w:tcW w:w="1235" w:type="pct"/>
            <w:tcBorders>
              <w:top w:val="single" w:color="auto" w:sz="2" w:space="0"/>
              <w:left w:val="single" w:color="auto" w:sz="2" w:space="0"/>
              <w:bottom w:val="single" w:color="auto" w:sz="2" w:space="0"/>
              <w:right w:val="single" w:color="auto" w:sz="2" w:space="0"/>
            </w:tcBorders>
            <w:vAlign w:val="center"/>
          </w:tcPr>
          <w:p w14:paraId="5904E5E4">
            <w:pPr>
              <w:adjustRightInd w:val="0"/>
              <w:snapToGrid w:val="0"/>
              <w:spacing w:line="240" w:lineRule="auto"/>
              <w:ind w:firstLine="0" w:firstLineChars="0"/>
              <w:jc w:val="center"/>
              <w:rPr>
                <w:bCs/>
                <w:kern w:val="0"/>
                <w:sz w:val="21"/>
                <w:szCs w:val="21"/>
                <w:vertAlign w:val="subscript"/>
              </w:rPr>
            </w:pPr>
            <w:r>
              <w:rPr>
                <w:bCs/>
                <w:kern w:val="0"/>
                <w:sz w:val="21"/>
                <w:szCs w:val="21"/>
              </w:rPr>
              <w:t>素填土①</w:t>
            </w:r>
            <w:r>
              <w:rPr>
                <w:bCs/>
                <w:kern w:val="0"/>
                <w:sz w:val="21"/>
                <w:szCs w:val="21"/>
                <w:vertAlign w:val="subscript"/>
              </w:rPr>
              <w:t>2</w:t>
            </w:r>
          </w:p>
        </w:tc>
        <w:tc>
          <w:tcPr>
            <w:tcW w:w="583" w:type="pct"/>
            <w:tcBorders>
              <w:top w:val="single" w:color="auto" w:sz="2" w:space="0"/>
              <w:left w:val="single" w:color="auto" w:sz="2" w:space="0"/>
              <w:bottom w:val="single" w:color="auto" w:sz="2" w:space="0"/>
              <w:right w:val="single" w:color="auto" w:sz="2" w:space="0"/>
            </w:tcBorders>
            <w:vAlign w:val="center"/>
          </w:tcPr>
          <w:p w14:paraId="557CF3F9">
            <w:pPr>
              <w:adjustRightInd w:val="0"/>
              <w:snapToGrid w:val="0"/>
              <w:spacing w:line="240" w:lineRule="auto"/>
              <w:ind w:firstLine="0" w:firstLineChars="0"/>
              <w:jc w:val="center"/>
              <w:rPr>
                <w:bCs/>
                <w:kern w:val="0"/>
                <w:sz w:val="21"/>
                <w:szCs w:val="21"/>
              </w:rPr>
            </w:pPr>
            <w:r>
              <w:rPr>
                <w:bCs/>
                <w:kern w:val="0"/>
                <w:sz w:val="21"/>
                <w:szCs w:val="21"/>
              </w:rPr>
              <w:t>17.7</w:t>
            </w:r>
          </w:p>
        </w:tc>
        <w:tc>
          <w:tcPr>
            <w:tcW w:w="583" w:type="pct"/>
            <w:tcBorders>
              <w:top w:val="single" w:color="auto" w:sz="2" w:space="0"/>
              <w:left w:val="single" w:color="auto" w:sz="2" w:space="0"/>
              <w:bottom w:val="single" w:color="auto" w:sz="2" w:space="0"/>
              <w:right w:val="single" w:color="auto" w:sz="2" w:space="0"/>
            </w:tcBorders>
            <w:vAlign w:val="center"/>
          </w:tcPr>
          <w:p w14:paraId="2F29D926">
            <w:pPr>
              <w:adjustRightInd w:val="0"/>
              <w:snapToGrid w:val="0"/>
              <w:spacing w:line="240" w:lineRule="auto"/>
              <w:ind w:firstLine="0" w:firstLineChars="0"/>
              <w:jc w:val="center"/>
              <w:rPr>
                <w:bCs/>
                <w:kern w:val="0"/>
                <w:sz w:val="21"/>
                <w:szCs w:val="21"/>
              </w:rPr>
            </w:pPr>
            <w:r>
              <w:rPr>
                <w:bCs/>
                <w:kern w:val="0"/>
                <w:sz w:val="21"/>
                <w:szCs w:val="21"/>
              </w:rPr>
              <w:t>18.5</w:t>
            </w:r>
          </w:p>
        </w:tc>
        <w:tc>
          <w:tcPr>
            <w:tcW w:w="741" w:type="pct"/>
            <w:tcBorders>
              <w:top w:val="single" w:color="auto" w:sz="2" w:space="0"/>
              <w:left w:val="single" w:color="auto" w:sz="2" w:space="0"/>
              <w:bottom w:val="single" w:color="auto" w:sz="2" w:space="0"/>
              <w:right w:val="single" w:color="auto" w:sz="2" w:space="0"/>
            </w:tcBorders>
            <w:vAlign w:val="center"/>
          </w:tcPr>
          <w:p w14:paraId="1F673009">
            <w:pPr>
              <w:adjustRightInd w:val="0"/>
              <w:snapToGrid w:val="0"/>
              <w:spacing w:line="240" w:lineRule="auto"/>
              <w:ind w:firstLine="0" w:firstLineChars="0"/>
              <w:jc w:val="center"/>
              <w:rPr>
                <w:bCs/>
                <w:kern w:val="0"/>
                <w:sz w:val="21"/>
                <w:szCs w:val="21"/>
              </w:rPr>
            </w:pPr>
            <w:r>
              <w:rPr>
                <w:bCs/>
                <w:kern w:val="0"/>
                <w:sz w:val="21"/>
                <w:szCs w:val="21"/>
              </w:rPr>
              <w:t>30</w:t>
            </w:r>
          </w:p>
        </w:tc>
        <w:tc>
          <w:tcPr>
            <w:tcW w:w="655" w:type="pct"/>
            <w:tcBorders>
              <w:top w:val="single" w:color="auto" w:sz="2" w:space="0"/>
              <w:left w:val="single" w:color="auto" w:sz="2" w:space="0"/>
              <w:bottom w:val="single" w:color="auto" w:sz="2" w:space="0"/>
              <w:right w:val="single" w:color="auto" w:sz="2" w:space="0"/>
            </w:tcBorders>
            <w:vAlign w:val="center"/>
          </w:tcPr>
          <w:p w14:paraId="29F2B998">
            <w:pPr>
              <w:adjustRightInd w:val="0"/>
              <w:snapToGrid w:val="0"/>
              <w:spacing w:line="240" w:lineRule="auto"/>
              <w:ind w:firstLine="0" w:firstLineChars="0"/>
              <w:jc w:val="center"/>
              <w:rPr>
                <w:bCs/>
                <w:kern w:val="0"/>
                <w:sz w:val="21"/>
                <w:szCs w:val="21"/>
              </w:rPr>
            </w:pPr>
            <w:r>
              <w:rPr>
                <w:bCs/>
                <w:kern w:val="0"/>
                <w:sz w:val="21"/>
                <w:szCs w:val="21"/>
              </w:rPr>
              <w:t>11.3</w:t>
            </w:r>
          </w:p>
        </w:tc>
        <w:tc>
          <w:tcPr>
            <w:tcW w:w="569" w:type="pct"/>
            <w:tcBorders>
              <w:top w:val="single" w:color="auto" w:sz="2" w:space="0"/>
              <w:left w:val="single" w:color="auto" w:sz="2" w:space="0"/>
              <w:bottom w:val="single" w:color="auto" w:sz="2" w:space="0"/>
              <w:right w:val="single" w:color="auto" w:sz="2" w:space="0"/>
            </w:tcBorders>
            <w:vAlign w:val="center"/>
          </w:tcPr>
          <w:p w14:paraId="653A850B">
            <w:pPr>
              <w:adjustRightInd w:val="0"/>
              <w:snapToGrid w:val="0"/>
              <w:spacing w:line="240" w:lineRule="auto"/>
              <w:ind w:firstLine="0" w:firstLineChars="0"/>
              <w:jc w:val="center"/>
              <w:rPr>
                <w:bCs/>
                <w:kern w:val="0"/>
                <w:sz w:val="21"/>
                <w:szCs w:val="21"/>
              </w:rPr>
            </w:pPr>
            <w:r>
              <w:rPr>
                <w:bCs/>
                <w:kern w:val="0"/>
                <w:sz w:val="21"/>
                <w:szCs w:val="21"/>
              </w:rPr>
              <w:t>25.0</w:t>
            </w:r>
          </w:p>
        </w:tc>
        <w:tc>
          <w:tcPr>
            <w:tcW w:w="633" w:type="pct"/>
            <w:tcBorders>
              <w:top w:val="single" w:color="auto" w:sz="2" w:space="0"/>
              <w:left w:val="single" w:color="auto" w:sz="2" w:space="0"/>
              <w:bottom w:val="single" w:color="auto" w:sz="2" w:space="0"/>
              <w:right w:val="single" w:color="auto" w:sz="2" w:space="0"/>
            </w:tcBorders>
            <w:vAlign w:val="center"/>
          </w:tcPr>
          <w:p w14:paraId="122291F3">
            <w:pPr>
              <w:adjustRightInd w:val="0"/>
              <w:snapToGrid w:val="0"/>
              <w:spacing w:line="240" w:lineRule="auto"/>
              <w:ind w:firstLine="0" w:firstLineChars="0"/>
              <w:jc w:val="center"/>
              <w:rPr>
                <w:bCs/>
                <w:kern w:val="0"/>
                <w:sz w:val="21"/>
                <w:szCs w:val="21"/>
              </w:rPr>
            </w:pPr>
            <w:r>
              <w:rPr>
                <w:bCs/>
                <w:kern w:val="0"/>
                <w:sz w:val="21"/>
                <w:szCs w:val="21"/>
              </w:rPr>
              <w:t>10.1</w:t>
            </w:r>
          </w:p>
        </w:tc>
      </w:tr>
      <w:tr w14:paraId="345DCD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0" w:hRule="exact"/>
          <w:jc w:val="center"/>
        </w:trPr>
        <w:tc>
          <w:tcPr>
            <w:tcW w:w="1235" w:type="pct"/>
            <w:tcBorders>
              <w:top w:val="single" w:color="auto" w:sz="2" w:space="0"/>
              <w:left w:val="single" w:color="auto" w:sz="2" w:space="0"/>
              <w:bottom w:val="single" w:color="auto" w:sz="2" w:space="0"/>
              <w:right w:val="single" w:color="auto" w:sz="2" w:space="0"/>
            </w:tcBorders>
            <w:vAlign w:val="center"/>
          </w:tcPr>
          <w:p w14:paraId="250A3727">
            <w:pPr>
              <w:adjustRightInd w:val="0"/>
              <w:snapToGrid w:val="0"/>
              <w:spacing w:line="240" w:lineRule="auto"/>
              <w:ind w:firstLine="0" w:firstLineChars="0"/>
              <w:jc w:val="center"/>
              <w:rPr>
                <w:bCs/>
                <w:kern w:val="0"/>
                <w:sz w:val="21"/>
                <w:szCs w:val="21"/>
              </w:rPr>
            </w:pPr>
            <w:r>
              <w:rPr>
                <w:bCs/>
                <w:kern w:val="0"/>
                <w:sz w:val="21"/>
                <w:szCs w:val="21"/>
              </w:rPr>
              <w:t>素填土①</w:t>
            </w:r>
            <w:r>
              <w:rPr>
                <w:bCs/>
                <w:kern w:val="0"/>
                <w:sz w:val="21"/>
                <w:szCs w:val="21"/>
                <w:vertAlign w:val="subscript"/>
              </w:rPr>
              <w:t>3</w:t>
            </w:r>
          </w:p>
        </w:tc>
        <w:tc>
          <w:tcPr>
            <w:tcW w:w="583" w:type="pct"/>
            <w:tcBorders>
              <w:top w:val="single" w:color="auto" w:sz="2" w:space="0"/>
              <w:left w:val="single" w:color="auto" w:sz="2" w:space="0"/>
              <w:bottom w:val="single" w:color="auto" w:sz="2" w:space="0"/>
              <w:right w:val="single" w:color="auto" w:sz="2" w:space="0"/>
            </w:tcBorders>
            <w:vAlign w:val="center"/>
          </w:tcPr>
          <w:p w14:paraId="7ED19F3B">
            <w:pPr>
              <w:adjustRightInd w:val="0"/>
              <w:snapToGrid w:val="0"/>
              <w:spacing w:line="240" w:lineRule="auto"/>
              <w:ind w:firstLine="0" w:firstLineChars="0"/>
              <w:jc w:val="center"/>
              <w:rPr>
                <w:bCs/>
                <w:kern w:val="0"/>
                <w:sz w:val="21"/>
                <w:szCs w:val="21"/>
              </w:rPr>
            </w:pPr>
            <w:r>
              <w:rPr>
                <w:bCs/>
                <w:kern w:val="0"/>
                <w:sz w:val="21"/>
                <w:szCs w:val="21"/>
              </w:rPr>
              <w:t>17.6</w:t>
            </w:r>
          </w:p>
        </w:tc>
        <w:tc>
          <w:tcPr>
            <w:tcW w:w="583" w:type="pct"/>
            <w:tcBorders>
              <w:top w:val="single" w:color="auto" w:sz="2" w:space="0"/>
              <w:left w:val="single" w:color="auto" w:sz="2" w:space="0"/>
              <w:bottom w:val="single" w:color="auto" w:sz="2" w:space="0"/>
              <w:right w:val="single" w:color="auto" w:sz="2" w:space="0"/>
            </w:tcBorders>
            <w:vAlign w:val="center"/>
          </w:tcPr>
          <w:p w14:paraId="13612ADE">
            <w:pPr>
              <w:adjustRightInd w:val="0"/>
              <w:snapToGrid w:val="0"/>
              <w:spacing w:line="240" w:lineRule="auto"/>
              <w:ind w:firstLine="0" w:firstLineChars="0"/>
              <w:jc w:val="center"/>
              <w:rPr>
                <w:bCs/>
                <w:kern w:val="0"/>
                <w:sz w:val="21"/>
                <w:szCs w:val="21"/>
              </w:rPr>
            </w:pPr>
            <w:r>
              <w:rPr>
                <w:bCs/>
                <w:kern w:val="0"/>
                <w:sz w:val="21"/>
                <w:szCs w:val="21"/>
              </w:rPr>
              <w:t>18.6</w:t>
            </w:r>
          </w:p>
        </w:tc>
        <w:tc>
          <w:tcPr>
            <w:tcW w:w="741" w:type="pct"/>
            <w:tcBorders>
              <w:top w:val="single" w:color="auto" w:sz="2" w:space="0"/>
              <w:left w:val="single" w:color="auto" w:sz="2" w:space="0"/>
              <w:bottom w:val="single" w:color="auto" w:sz="2" w:space="0"/>
              <w:right w:val="single" w:color="auto" w:sz="2" w:space="0"/>
            </w:tcBorders>
            <w:vAlign w:val="center"/>
          </w:tcPr>
          <w:p w14:paraId="06918E65">
            <w:pPr>
              <w:adjustRightInd w:val="0"/>
              <w:snapToGrid w:val="0"/>
              <w:spacing w:line="240" w:lineRule="auto"/>
              <w:ind w:firstLine="0" w:firstLineChars="0"/>
              <w:jc w:val="center"/>
              <w:rPr>
                <w:bCs/>
                <w:kern w:val="0"/>
                <w:sz w:val="21"/>
                <w:szCs w:val="21"/>
              </w:rPr>
            </w:pPr>
            <w:r>
              <w:rPr>
                <w:bCs/>
                <w:kern w:val="0"/>
                <w:sz w:val="21"/>
                <w:szCs w:val="21"/>
              </w:rPr>
              <w:t>31</w:t>
            </w:r>
          </w:p>
        </w:tc>
        <w:tc>
          <w:tcPr>
            <w:tcW w:w="655" w:type="pct"/>
            <w:tcBorders>
              <w:top w:val="single" w:color="auto" w:sz="2" w:space="0"/>
              <w:left w:val="single" w:color="auto" w:sz="2" w:space="0"/>
              <w:bottom w:val="single" w:color="auto" w:sz="2" w:space="0"/>
              <w:right w:val="single" w:color="auto" w:sz="2" w:space="0"/>
            </w:tcBorders>
            <w:vAlign w:val="center"/>
          </w:tcPr>
          <w:p w14:paraId="22C79828">
            <w:pPr>
              <w:adjustRightInd w:val="0"/>
              <w:snapToGrid w:val="0"/>
              <w:spacing w:line="240" w:lineRule="auto"/>
              <w:ind w:firstLine="0" w:firstLineChars="0"/>
              <w:jc w:val="center"/>
              <w:rPr>
                <w:bCs/>
                <w:kern w:val="0"/>
                <w:sz w:val="21"/>
                <w:szCs w:val="21"/>
              </w:rPr>
            </w:pPr>
            <w:r>
              <w:rPr>
                <w:bCs/>
                <w:kern w:val="0"/>
                <w:sz w:val="21"/>
                <w:szCs w:val="21"/>
              </w:rPr>
              <w:t>13.4</w:t>
            </w:r>
          </w:p>
        </w:tc>
        <w:tc>
          <w:tcPr>
            <w:tcW w:w="569" w:type="pct"/>
            <w:tcBorders>
              <w:top w:val="single" w:color="auto" w:sz="2" w:space="0"/>
              <w:left w:val="single" w:color="auto" w:sz="2" w:space="0"/>
              <w:bottom w:val="single" w:color="auto" w:sz="2" w:space="0"/>
              <w:right w:val="single" w:color="auto" w:sz="2" w:space="0"/>
            </w:tcBorders>
            <w:vAlign w:val="center"/>
          </w:tcPr>
          <w:p w14:paraId="1C69200E">
            <w:pPr>
              <w:adjustRightInd w:val="0"/>
              <w:snapToGrid w:val="0"/>
              <w:spacing w:line="240" w:lineRule="auto"/>
              <w:ind w:firstLine="0" w:firstLineChars="0"/>
              <w:jc w:val="center"/>
              <w:rPr>
                <w:bCs/>
                <w:kern w:val="0"/>
                <w:sz w:val="21"/>
                <w:szCs w:val="21"/>
              </w:rPr>
            </w:pPr>
            <w:r>
              <w:rPr>
                <w:bCs/>
                <w:kern w:val="0"/>
                <w:sz w:val="21"/>
                <w:szCs w:val="21"/>
              </w:rPr>
              <w:t>26.0</w:t>
            </w:r>
          </w:p>
        </w:tc>
        <w:tc>
          <w:tcPr>
            <w:tcW w:w="633" w:type="pct"/>
            <w:tcBorders>
              <w:top w:val="single" w:color="auto" w:sz="2" w:space="0"/>
              <w:left w:val="single" w:color="auto" w:sz="2" w:space="0"/>
              <w:bottom w:val="single" w:color="auto" w:sz="2" w:space="0"/>
              <w:right w:val="single" w:color="auto" w:sz="2" w:space="0"/>
            </w:tcBorders>
            <w:vAlign w:val="center"/>
          </w:tcPr>
          <w:p w14:paraId="076D9044">
            <w:pPr>
              <w:adjustRightInd w:val="0"/>
              <w:snapToGrid w:val="0"/>
              <w:spacing w:line="240" w:lineRule="auto"/>
              <w:ind w:firstLine="0" w:firstLineChars="0"/>
              <w:jc w:val="center"/>
              <w:rPr>
                <w:bCs/>
                <w:kern w:val="0"/>
                <w:sz w:val="21"/>
                <w:szCs w:val="21"/>
              </w:rPr>
            </w:pPr>
            <w:r>
              <w:rPr>
                <w:bCs/>
                <w:kern w:val="0"/>
                <w:sz w:val="21"/>
                <w:szCs w:val="21"/>
              </w:rPr>
              <w:t>12.5</w:t>
            </w:r>
          </w:p>
        </w:tc>
      </w:tr>
      <w:tr w14:paraId="2B19D9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0" w:hRule="exact"/>
          <w:jc w:val="center"/>
        </w:trPr>
        <w:tc>
          <w:tcPr>
            <w:tcW w:w="1235" w:type="pct"/>
            <w:tcBorders>
              <w:top w:val="single" w:color="auto" w:sz="2" w:space="0"/>
              <w:left w:val="single" w:color="auto" w:sz="2" w:space="0"/>
              <w:bottom w:val="single" w:color="auto" w:sz="2" w:space="0"/>
              <w:right w:val="single" w:color="auto" w:sz="2" w:space="0"/>
            </w:tcBorders>
            <w:vAlign w:val="center"/>
          </w:tcPr>
          <w:p w14:paraId="5C5FB869">
            <w:pPr>
              <w:adjustRightInd w:val="0"/>
              <w:snapToGrid w:val="0"/>
              <w:spacing w:line="240" w:lineRule="auto"/>
              <w:ind w:firstLine="0" w:firstLineChars="0"/>
              <w:jc w:val="center"/>
              <w:rPr>
                <w:bCs/>
                <w:kern w:val="0"/>
                <w:sz w:val="21"/>
                <w:szCs w:val="21"/>
              </w:rPr>
            </w:pPr>
            <w:r>
              <w:rPr>
                <w:bCs/>
                <w:kern w:val="0"/>
                <w:sz w:val="21"/>
                <w:szCs w:val="21"/>
              </w:rPr>
              <w:t>黏土②</w:t>
            </w:r>
          </w:p>
        </w:tc>
        <w:tc>
          <w:tcPr>
            <w:tcW w:w="583" w:type="pct"/>
            <w:tcBorders>
              <w:top w:val="single" w:color="auto" w:sz="2" w:space="0"/>
              <w:left w:val="single" w:color="auto" w:sz="2" w:space="0"/>
              <w:bottom w:val="single" w:color="auto" w:sz="2" w:space="0"/>
              <w:right w:val="single" w:color="auto" w:sz="2" w:space="0"/>
            </w:tcBorders>
            <w:vAlign w:val="center"/>
          </w:tcPr>
          <w:p w14:paraId="00944D43">
            <w:pPr>
              <w:adjustRightInd w:val="0"/>
              <w:snapToGrid w:val="0"/>
              <w:spacing w:line="240" w:lineRule="auto"/>
              <w:ind w:firstLine="0" w:firstLineChars="0"/>
              <w:jc w:val="center"/>
              <w:rPr>
                <w:bCs/>
                <w:kern w:val="0"/>
                <w:sz w:val="21"/>
                <w:szCs w:val="21"/>
              </w:rPr>
            </w:pPr>
            <w:r>
              <w:rPr>
                <w:bCs/>
                <w:kern w:val="0"/>
                <w:sz w:val="21"/>
                <w:szCs w:val="21"/>
              </w:rPr>
              <w:t>17.8</w:t>
            </w:r>
          </w:p>
        </w:tc>
        <w:tc>
          <w:tcPr>
            <w:tcW w:w="583" w:type="pct"/>
            <w:tcBorders>
              <w:top w:val="single" w:color="auto" w:sz="2" w:space="0"/>
              <w:left w:val="single" w:color="auto" w:sz="2" w:space="0"/>
              <w:bottom w:val="single" w:color="auto" w:sz="2" w:space="0"/>
              <w:right w:val="single" w:color="auto" w:sz="2" w:space="0"/>
            </w:tcBorders>
            <w:vAlign w:val="center"/>
          </w:tcPr>
          <w:p w14:paraId="6A13EB62">
            <w:pPr>
              <w:adjustRightInd w:val="0"/>
              <w:snapToGrid w:val="0"/>
              <w:spacing w:line="240" w:lineRule="auto"/>
              <w:ind w:firstLine="0" w:firstLineChars="0"/>
              <w:jc w:val="center"/>
              <w:rPr>
                <w:bCs/>
                <w:kern w:val="0"/>
                <w:sz w:val="21"/>
                <w:szCs w:val="21"/>
              </w:rPr>
            </w:pPr>
            <w:r>
              <w:rPr>
                <w:bCs/>
                <w:kern w:val="0"/>
                <w:sz w:val="21"/>
                <w:szCs w:val="21"/>
              </w:rPr>
              <w:t>18.8</w:t>
            </w:r>
          </w:p>
        </w:tc>
        <w:tc>
          <w:tcPr>
            <w:tcW w:w="741" w:type="pct"/>
            <w:tcBorders>
              <w:top w:val="single" w:color="auto" w:sz="2" w:space="0"/>
              <w:left w:val="single" w:color="auto" w:sz="2" w:space="0"/>
              <w:bottom w:val="single" w:color="auto" w:sz="2" w:space="0"/>
              <w:right w:val="single" w:color="auto" w:sz="2" w:space="0"/>
            </w:tcBorders>
            <w:vAlign w:val="center"/>
          </w:tcPr>
          <w:p w14:paraId="4EF84E42">
            <w:pPr>
              <w:adjustRightInd w:val="0"/>
              <w:snapToGrid w:val="0"/>
              <w:spacing w:line="240" w:lineRule="auto"/>
              <w:ind w:firstLine="0" w:firstLineChars="0"/>
              <w:jc w:val="center"/>
              <w:rPr>
                <w:bCs/>
                <w:kern w:val="0"/>
                <w:sz w:val="21"/>
                <w:szCs w:val="21"/>
              </w:rPr>
            </w:pPr>
            <w:r>
              <w:rPr>
                <w:bCs/>
                <w:kern w:val="0"/>
                <w:sz w:val="21"/>
                <w:szCs w:val="21"/>
              </w:rPr>
              <w:t>27.8</w:t>
            </w:r>
          </w:p>
        </w:tc>
        <w:tc>
          <w:tcPr>
            <w:tcW w:w="655" w:type="pct"/>
            <w:tcBorders>
              <w:top w:val="single" w:color="auto" w:sz="2" w:space="0"/>
              <w:left w:val="single" w:color="auto" w:sz="2" w:space="0"/>
              <w:bottom w:val="single" w:color="auto" w:sz="2" w:space="0"/>
              <w:right w:val="single" w:color="auto" w:sz="2" w:space="0"/>
            </w:tcBorders>
            <w:vAlign w:val="center"/>
          </w:tcPr>
          <w:p w14:paraId="53C85F24">
            <w:pPr>
              <w:adjustRightInd w:val="0"/>
              <w:snapToGrid w:val="0"/>
              <w:spacing w:line="240" w:lineRule="auto"/>
              <w:ind w:firstLine="0" w:firstLineChars="0"/>
              <w:jc w:val="center"/>
              <w:rPr>
                <w:bCs/>
                <w:kern w:val="0"/>
                <w:sz w:val="21"/>
                <w:szCs w:val="21"/>
              </w:rPr>
            </w:pPr>
            <w:r>
              <w:rPr>
                <w:bCs/>
                <w:kern w:val="0"/>
                <w:sz w:val="21"/>
                <w:szCs w:val="21"/>
              </w:rPr>
              <w:t>12.5</w:t>
            </w:r>
          </w:p>
        </w:tc>
        <w:tc>
          <w:tcPr>
            <w:tcW w:w="569" w:type="pct"/>
            <w:tcBorders>
              <w:top w:val="single" w:color="auto" w:sz="2" w:space="0"/>
              <w:left w:val="single" w:color="auto" w:sz="2" w:space="0"/>
              <w:bottom w:val="single" w:color="auto" w:sz="2" w:space="0"/>
              <w:right w:val="single" w:color="auto" w:sz="2" w:space="0"/>
            </w:tcBorders>
            <w:vAlign w:val="center"/>
          </w:tcPr>
          <w:p w14:paraId="7A408E52">
            <w:pPr>
              <w:adjustRightInd w:val="0"/>
              <w:snapToGrid w:val="0"/>
              <w:spacing w:line="240" w:lineRule="auto"/>
              <w:ind w:firstLine="0" w:firstLineChars="0"/>
              <w:jc w:val="center"/>
              <w:rPr>
                <w:bCs/>
                <w:kern w:val="0"/>
                <w:sz w:val="21"/>
                <w:szCs w:val="21"/>
              </w:rPr>
            </w:pPr>
            <w:r>
              <w:rPr>
                <w:bCs/>
                <w:kern w:val="0"/>
                <w:sz w:val="21"/>
                <w:szCs w:val="21"/>
              </w:rPr>
              <w:t>24.5</w:t>
            </w:r>
          </w:p>
        </w:tc>
        <w:tc>
          <w:tcPr>
            <w:tcW w:w="633" w:type="pct"/>
            <w:tcBorders>
              <w:top w:val="single" w:color="auto" w:sz="2" w:space="0"/>
              <w:left w:val="single" w:color="auto" w:sz="2" w:space="0"/>
              <w:bottom w:val="single" w:color="auto" w:sz="2" w:space="0"/>
              <w:right w:val="single" w:color="auto" w:sz="2" w:space="0"/>
            </w:tcBorders>
            <w:vAlign w:val="center"/>
          </w:tcPr>
          <w:p w14:paraId="46A5820F">
            <w:pPr>
              <w:adjustRightInd w:val="0"/>
              <w:snapToGrid w:val="0"/>
              <w:spacing w:line="240" w:lineRule="auto"/>
              <w:ind w:firstLine="0" w:firstLineChars="0"/>
              <w:jc w:val="center"/>
              <w:rPr>
                <w:bCs/>
                <w:kern w:val="0"/>
                <w:sz w:val="21"/>
                <w:szCs w:val="21"/>
              </w:rPr>
            </w:pPr>
            <w:r>
              <w:rPr>
                <w:bCs/>
                <w:kern w:val="0"/>
                <w:sz w:val="21"/>
                <w:szCs w:val="21"/>
              </w:rPr>
              <w:t>11.5</w:t>
            </w:r>
          </w:p>
        </w:tc>
      </w:tr>
      <w:tr w14:paraId="319F7D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8" w:hRule="exact"/>
          <w:jc w:val="center"/>
        </w:trPr>
        <w:tc>
          <w:tcPr>
            <w:tcW w:w="1235" w:type="pct"/>
            <w:tcBorders>
              <w:top w:val="single" w:color="auto" w:sz="2" w:space="0"/>
              <w:left w:val="single" w:color="auto" w:sz="2" w:space="0"/>
              <w:bottom w:val="single" w:color="auto" w:sz="2" w:space="0"/>
              <w:right w:val="single" w:color="auto" w:sz="2" w:space="0"/>
            </w:tcBorders>
            <w:vAlign w:val="center"/>
          </w:tcPr>
          <w:p w14:paraId="54A9E57A">
            <w:pPr>
              <w:adjustRightInd w:val="0"/>
              <w:snapToGrid w:val="0"/>
              <w:spacing w:line="240" w:lineRule="auto"/>
              <w:ind w:firstLine="0" w:firstLineChars="0"/>
              <w:jc w:val="center"/>
              <w:rPr>
                <w:bCs/>
                <w:kern w:val="0"/>
                <w:sz w:val="21"/>
                <w:szCs w:val="21"/>
              </w:rPr>
            </w:pPr>
            <w:r>
              <w:rPr>
                <w:bCs/>
                <w:kern w:val="0"/>
                <w:sz w:val="21"/>
                <w:szCs w:val="21"/>
              </w:rPr>
              <w:t>强风化变质石英砂岩③</w:t>
            </w:r>
          </w:p>
        </w:tc>
        <w:tc>
          <w:tcPr>
            <w:tcW w:w="583" w:type="pct"/>
            <w:tcBorders>
              <w:top w:val="single" w:color="auto" w:sz="2" w:space="0"/>
              <w:left w:val="single" w:color="auto" w:sz="2" w:space="0"/>
              <w:bottom w:val="single" w:color="auto" w:sz="2" w:space="0"/>
              <w:right w:val="single" w:color="auto" w:sz="2" w:space="0"/>
            </w:tcBorders>
            <w:vAlign w:val="center"/>
          </w:tcPr>
          <w:p w14:paraId="1AFD0B9B">
            <w:pPr>
              <w:adjustRightInd w:val="0"/>
              <w:snapToGrid w:val="0"/>
              <w:spacing w:line="240" w:lineRule="auto"/>
              <w:ind w:firstLine="0" w:firstLineChars="0"/>
              <w:jc w:val="center"/>
              <w:rPr>
                <w:bCs/>
                <w:kern w:val="0"/>
                <w:sz w:val="21"/>
                <w:szCs w:val="21"/>
              </w:rPr>
            </w:pPr>
            <w:r>
              <w:rPr>
                <w:bCs/>
                <w:kern w:val="0"/>
                <w:sz w:val="21"/>
                <w:szCs w:val="21"/>
              </w:rPr>
              <w:t>22.0</w:t>
            </w:r>
          </w:p>
        </w:tc>
        <w:tc>
          <w:tcPr>
            <w:tcW w:w="583" w:type="pct"/>
            <w:tcBorders>
              <w:top w:val="single" w:color="auto" w:sz="2" w:space="0"/>
              <w:left w:val="single" w:color="auto" w:sz="2" w:space="0"/>
              <w:bottom w:val="single" w:color="auto" w:sz="2" w:space="0"/>
              <w:right w:val="single" w:color="auto" w:sz="2" w:space="0"/>
            </w:tcBorders>
            <w:vAlign w:val="center"/>
          </w:tcPr>
          <w:p w14:paraId="3670E5F9">
            <w:pPr>
              <w:adjustRightInd w:val="0"/>
              <w:snapToGrid w:val="0"/>
              <w:spacing w:line="240" w:lineRule="auto"/>
              <w:ind w:firstLine="0" w:firstLineChars="0"/>
              <w:jc w:val="center"/>
              <w:rPr>
                <w:bCs/>
                <w:kern w:val="0"/>
                <w:sz w:val="21"/>
                <w:szCs w:val="21"/>
              </w:rPr>
            </w:pPr>
            <w:r>
              <w:rPr>
                <w:bCs/>
                <w:kern w:val="0"/>
                <w:sz w:val="21"/>
                <w:szCs w:val="21"/>
              </w:rPr>
              <w:t>23.0</w:t>
            </w:r>
          </w:p>
        </w:tc>
        <w:tc>
          <w:tcPr>
            <w:tcW w:w="741" w:type="pct"/>
            <w:tcBorders>
              <w:top w:val="single" w:color="auto" w:sz="2" w:space="0"/>
              <w:left w:val="single" w:color="auto" w:sz="2" w:space="0"/>
              <w:bottom w:val="single" w:color="auto" w:sz="2" w:space="0"/>
              <w:right w:val="single" w:color="auto" w:sz="2" w:space="0"/>
            </w:tcBorders>
            <w:vAlign w:val="center"/>
          </w:tcPr>
          <w:p w14:paraId="20EB18CB">
            <w:pPr>
              <w:adjustRightInd w:val="0"/>
              <w:snapToGrid w:val="0"/>
              <w:spacing w:line="240" w:lineRule="auto"/>
              <w:ind w:firstLine="0" w:firstLineChars="0"/>
              <w:jc w:val="center"/>
              <w:rPr>
                <w:bCs/>
                <w:kern w:val="0"/>
                <w:sz w:val="21"/>
                <w:szCs w:val="21"/>
              </w:rPr>
            </w:pPr>
            <w:r>
              <w:rPr>
                <w:bCs/>
                <w:kern w:val="0"/>
                <w:sz w:val="21"/>
                <w:szCs w:val="21"/>
              </w:rPr>
              <w:t>120.0</w:t>
            </w:r>
          </w:p>
        </w:tc>
        <w:tc>
          <w:tcPr>
            <w:tcW w:w="655" w:type="pct"/>
            <w:tcBorders>
              <w:top w:val="single" w:color="auto" w:sz="2" w:space="0"/>
              <w:left w:val="single" w:color="auto" w:sz="2" w:space="0"/>
              <w:bottom w:val="single" w:color="auto" w:sz="2" w:space="0"/>
              <w:right w:val="single" w:color="auto" w:sz="2" w:space="0"/>
            </w:tcBorders>
            <w:vAlign w:val="center"/>
          </w:tcPr>
          <w:p w14:paraId="6C60F77A">
            <w:pPr>
              <w:adjustRightInd w:val="0"/>
              <w:snapToGrid w:val="0"/>
              <w:spacing w:line="240" w:lineRule="auto"/>
              <w:ind w:firstLine="0" w:firstLineChars="0"/>
              <w:jc w:val="center"/>
              <w:rPr>
                <w:bCs/>
                <w:kern w:val="0"/>
                <w:sz w:val="21"/>
                <w:szCs w:val="21"/>
              </w:rPr>
            </w:pPr>
            <w:r>
              <w:rPr>
                <w:bCs/>
                <w:kern w:val="0"/>
                <w:sz w:val="21"/>
                <w:szCs w:val="21"/>
              </w:rPr>
              <w:t>30.0</w:t>
            </w:r>
          </w:p>
        </w:tc>
        <w:tc>
          <w:tcPr>
            <w:tcW w:w="569" w:type="pct"/>
            <w:tcBorders>
              <w:top w:val="single" w:color="auto" w:sz="2" w:space="0"/>
              <w:left w:val="single" w:color="auto" w:sz="2" w:space="0"/>
              <w:bottom w:val="single" w:color="auto" w:sz="2" w:space="0"/>
              <w:right w:val="single" w:color="auto" w:sz="2" w:space="0"/>
            </w:tcBorders>
            <w:vAlign w:val="center"/>
          </w:tcPr>
          <w:p w14:paraId="0834FFB0">
            <w:pPr>
              <w:adjustRightInd w:val="0"/>
              <w:snapToGrid w:val="0"/>
              <w:spacing w:line="240" w:lineRule="auto"/>
              <w:ind w:firstLine="0" w:firstLineChars="0"/>
              <w:jc w:val="center"/>
              <w:rPr>
                <w:bCs/>
                <w:kern w:val="0"/>
                <w:sz w:val="21"/>
                <w:szCs w:val="21"/>
              </w:rPr>
            </w:pPr>
            <w:r>
              <w:rPr>
                <w:bCs/>
                <w:kern w:val="0"/>
                <w:sz w:val="21"/>
                <w:szCs w:val="21"/>
              </w:rPr>
              <w:t>100</w:t>
            </w:r>
          </w:p>
        </w:tc>
        <w:tc>
          <w:tcPr>
            <w:tcW w:w="633" w:type="pct"/>
            <w:tcBorders>
              <w:top w:val="single" w:color="auto" w:sz="2" w:space="0"/>
              <w:left w:val="single" w:color="auto" w:sz="2" w:space="0"/>
              <w:bottom w:val="single" w:color="auto" w:sz="2" w:space="0"/>
              <w:right w:val="single" w:color="auto" w:sz="2" w:space="0"/>
            </w:tcBorders>
            <w:vAlign w:val="center"/>
          </w:tcPr>
          <w:p w14:paraId="45A4BD5D">
            <w:pPr>
              <w:adjustRightInd w:val="0"/>
              <w:snapToGrid w:val="0"/>
              <w:spacing w:line="240" w:lineRule="auto"/>
              <w:ind w:firstLine="0" w:firstLineChars="0"/>
              <w:jc w:val="center"/>
              <w:rPr>
                <w:bCs/>
                <w:kern w:val="0"/>
                <w:sz w:val="21"/>
                <w:szCs w:val="21"/>
              </w:rPr>
            </w:pPr>
            <w:r>
              <w:rPr>
                <w:bCs/>
                <w:kern w:val="0"/>
                <w:sz w:val="21"/>
                <w:szCs w:val="21"/>
              </w:rPr>
              <w:t>28.0</w:t>
            </w:r>
          </w:p>
        </w:tc>
      </w:tr>
    </w:tbl>
    <w:p w14:paraId="6DD1738D">
      <w:pPr>
        <w:adjustRightInd w:val="0"/>
        <w:snapToGrid w:val="0"/>
        <w:spacing w:line="520" w:lineRule="exact"/>
        <w:ind w:firstLine="560"/>
        <w:rPr>
          <w:bCs/>
          <w:kern w:val="0"/>
        </w:rPr>
      </w:pPr>
      <w:r>
        <w:rPr>
          <w:bCs/>
          <w:kern w:val="0"/>
        </w:rPr>
        <w:t>（3）验算剖面</w:t>
      </w:r>
    </w:p>
    <w:p w14:paraId="0E0640C5">
      <w:pPr>
        <w:adjustRightInd w:val="0"/>
        <w:snapToGrid w:val="0"/>
        <w:spacing w:line="520" w:lineRule="exact"/>
        <w:ind w:firstLine="560"/>
        <w:rPr>
          <w:bCs/>
          <w:kern w:val="0"/>
        </w:rPr>
      </w:pPr>
      <w:r>
        <w:rPr>
          <w:bCs/>
          <w:kern w:val="0"/>
        </w:rPr>
        <w:t>验算剖面选择垂直或近于垂直边坡走向的典型剖面8-8’、 9-9’为稳定性验算断面，此2条剖面边坡高度最高，堆填厚度最厚，为本场地最不利剖面，因此边坡验算中选取此2条剖面作为代表进行分析，以得到最不利稳定系数。图</w:t>
      </w:r>
      <w:r>
        <w:rPr>
          <w:rFonts w:hint="eastAsia"/>
          <w:bCs/>
          <w:kern w:val="0"/>
        </w:rPr>
        <w:t>2.3-4</w:t>
      </w:r>
      <w:r>
        <w:rPr>
          <w:bCs/>
          <w:kern w:val="0"/>
        </w:rPr>
        <w:t>～</w:t>
      </w:r>
      <w:r>
        <w:rPr>
          <w:rFonts w:hint="eastAsia"/>
          <w:bCs/>
          <w:kern w:val="0"/>
        </w:rPr>
        <w:t>2.3-5</w:t>
      </w:r>
      <w:r>
        <w:rPr>
          <w:bCs/>
          <w:kern w:val="0"/>
        </w:rPr>
        <w:t>为验算剖面简图。</w:t>
      </w:r>
    </w:p>
    <w:p w14:paraId="5513EB1D">
      <w:pPr>
        <w:adjustRightInd w:val="0"/>
        <w:snapToGrid w:val="0"/>
        <w:ind w:firstLine="560"/>
        <w:rPr>
          <w:bCs/>
          <w:kern w:val="0"/>
        </w:rPr>
      </w:pPr>
      <w:r>
        <w:rPr>
          <w:bCs/>
          <w:kern w:val="0"/>
        </w:rPr>
        <w:t>（4）</w:t>
      </w:r>
      <w:r>
        <w:rPr>
          <w:rFonts w:hint="eastAsia"/>
          <w:bCs/>
          <w:kern w:val="0"/>
        </w:rPr>
        <w:t>稳定性验算</w:t>
      </w:r>
    </w:p>
    <w:p w14:paraId="3EBCCDC4">
      <w:pPr>
        <w:adjustRightInd w:val="0"/>
        <w:snapToGrid w:val="0"/>
        <w:ind w:firstLine="560"/>
        <w:rPr>
          <w:bCs/>
          <w:kern w:val="0"/>
        </w:rPr>
      </w:pPr>
      <w:r>
        <w:rPr>
          <w:bCs/>
          <w:kern w:val="0"/>
        </w:rPr>
        <w:t>由于边坡类型为土质边坡，参照《建筑边坡工程技术规范》的相关规定，其失稳形式可能为圆弧滑动，边坡稳定系数采用极限平衡分析法计算，计算方法采用简化Bishop法。</w:t>
      </w:r>
    </w:p>
    <w:p w14:paraId="459804EF">
      <w:pPr>
        <w:adjustRightInd w:val="0"/>
        <w:snapToGrid w:val="0"/>
        <w:ind w:firstLine="0" w:firstLineChars="0"/>
        <w:jc w:val="center"/>
        <w:rPr>
          <w:bCs/>
          <w:kern w:val="0"/>
          <w:sz w:val="24"/>
          <w:szCs w:val="24"/>
        </w:rPr>
      </w:pPr>
      <w:r>
        <w:rPr>
          <w:bCs/>
          <w:kern w:val="0"/>
          <w:sz w:val="24"/>
          <w:szCs w:val="24"/>
        </w:rPr>
        <w:t>表</w:t>
      </w:r>
      <w:r>
        <w:rPr>
          <w:rFonts w:hint="eastAsia"/>
          <w:bCs/>
          <w:kern w:val="0"/>
          <w:sz w:val="24"/>
          <w:szCs w:val="24"/>
        </w:rPr>
        <w:t xml:space="preserve">2.3-15 </w:t>
      </w:r>
      <w:r>
        <w:rPr>
          <w:bCs/>
          <w:kern w:val="0"/>
          <w:sz w:val="24"/>
          <w:szCs w:val="24"/>
        </w:rPr>
        <w:t>边坡稳定性验算结果（按现状）</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2613"/>
        <w:gridCol w:w="1322"/>
        <w:gridCol w:w="786"/>
        <w:gridCol w:w="1259"/>
        <w:gridCol w:w="1259"/>
        <w:gridCol w:w="1221"/>
      </w:tblGrid>
      <w:tr w14:paraId="0C50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 w:type="pct"/>
            <w:vMerge w:val="restart"/>
            <w:vAlign w:val="center"/>
          </w:tcPr>
          <w:p w14:paraId="13303A6C">
            <w:pPr>
              <w:adjustRightInd w:val="0"/>
              <w:snapToGrid w:val="0"/>
              <w:spacing w:line="240" w:lineRule="auto"/>
              <w:ind w:firstLine="0" w:firstLineChars="0"/>
              <w:jc w:val="center"/>
              <w:rPr>
                <w:bCs/>
                <w:kern w:val="0"/>
                <w:sz w:val="21"/>
                <w:szCs w:val="21"/>
              </w:rPr>
            </w:pPr>
            <w:r>
              <w:rPr>
                <w:bCs/>
                <w:kern w:val="0"/>
                <w:sz w:val="21"/>
                <w:szCs w:val="21"/>
              </w:rPr>
              <w:t>验算</w:t>
            </w:r>
          </w:p>
          <w:p w14:paraId="57A47F0A">
            <w:pPr>
              <w:adjustRightInd w:val="0"/>
              <w:snapToGrid w:val="0"/>
              <w:spacing w:line="240" w:lineRule="auto"/>
              <w:ind w:firstLine="0" w:firstLineChars="0"/>
              <w:jc w:val="center"/>
              <w:rPr>
                <w:bCs/>
                <w:kern w:val="0"/>
                <w:sz w:val="21"/>
                <w:szCs w:val="21"/>
              </w:rPr>
            </w:pPr>
            <w:r>
              <w:rPr>
                <w:bCs/>
                <w:kern w:val="0"/>
                <w:sz w:val="21"/>
                <w:szCs w:val="21"/>
              </w:rPr>
              <w:t>剖面</w:t>
            </w:r>
          </w:p>
        </w:tc>
        <w:tc>
          <w:tcPr>
            <w:tcW w:w="1389" w:type="pct"/>
            <w:vMerge w:val="restart"/>
            <w:vAlign w:val="center"/>
          </w:tcPr>
          <w:p w14:paraId="74AA59D0">
            <w:pPr>
              <w:adjustRightInd w:val="0"/>
              <w:snapToGrid w:val="0"/>
              <w:spacing w:line="240" w:lineRule="auto"/>
              <w:ind w:firstLine="0" w:firstLineChars="0"/>
              <w:jc w:val="center"/>
              <w:rPr>
                <w:bCs/>
                <w:kern w:val="0"/>
                <w:sz w:val="21"/>
                <w:szCs w:val="21"/>
              </w:rPr>
            </w:pPr>
            <w:r>
              <w:rPr>
                <w:bCs/>
                <w:kern w:val="0"/>
                <w:sz w:val="21"/>
                <w:szCs w:val="21"/>
              </w:rPr>
              <w:t>滑面位置</w:t>
            </w:r>
          </w:p>
        </w:tc>
        <w:tc>
          <w:tcPr>
            <w:tcW w:w="703" w:type="pct"/>
            <w:vMerge w:val="restart"/>
            <w:vAlign w:val="center"/>
          </w:tcPr>
          <w:p w14:paraId="707BE62F">
            <w:pPr>
              <w:adjustRightInd w:val="0"/>
              <w:snapToGrid w:val="0"/>
              <w:spacing w:line="240" w:lineRule="auto"/>
              <w:ind w:firstLine="0" w:firstLineChars="0"/>
              <w:jc w:val="center"/>
              <w:rPr>
                <w:bCs/>
                <w:kern w:val="0"/>
                <w:sz w:val="21"/>
                <w:szCs w:val="21"/>
              </w:rPr>
            </w:pPr>
            <w:r>
              <w:rPr>
                <w:bCs/>
                <w:kern w:val="0"/>
                <w:sz w:val="21"/>
                <w:szCs w:val="21"/>
              </w:rPr>
              <w:t>验算工况</w:t>
            </w:r>
          </w:p>
        </w:tc>
        <w:tc>
          <w:tcPr>
            <w:tcW w:w="418" w:type="pct"/>
            <w:vMerge w:val="restart"/>
            <w:vAlign w:val="center"/>
          </w:tcPr>
          <w:p w14:paraId="553417FF">
            <w:pPr>
              <w:adjustRightInd w:val="0"/>
              <w:snapToGrid w:val="0"/>
              <w:spacing w:line="240" w:lineRule="auto"/>
              <w:ind w:firstLine="0" w:firstLineChars="0"/>
              <w:jc w:val="center"/>
              <w:rPr>
                <w:bCs/>
                <w:kern w:val="0"/>
                <w:sz w:val="21"/>
                <w:szCs w:val="21"/>
              </w:rPr>
            </w:pPr>
            <w:r>
              <w:rPr>
                <w:bCs/>
                <w:kern w:val="0"/>
                <w:sz w:val="21"/>
                <w:szCs w:val="21"/>
              </w:rPr>
              <w:t>边坡类型</w:t>
            </w:r>
          </w:p>
        </w:tc>
        <w:tc>
          <w:tcPr>
            <w:tcW w:w="1987" w:type="pct"/>
            <w:gridSpan w:val="3"/>
            <w:vAlign w:val="center"/>
          </w:tcPr>
          <w:p w14:paraId="4204CD9C">
            <w:pPr>
              <w:adjustRightInd w:val="0"/>
              <w:snapToGrid w:val="0"/>
              <w:spacing w:line="240" w:lineRule="auto"/>
              <w:ind w:firstLine="0" w:firstLineChars="0"/>
              <w:jc w:val="center"/>
              <w:rPr>
                <w:bCs/>
                <w:kern w:val="0"/>
                <w:sz w:val="21"/>
                <w:szCs w:val="21"/>
              </w:rPr>
            </w:pPr>
            <w:r>
              <w:rPr>
                <w:bCs/>
                <w:kern w:val="0"/>
                <w:sz w:val="21"/>
                <w:szCs w:val="21"/>
              </w:rPr>
              <w:t>稳定性状况</w:t>
            </w:r>
          </w:p>
        </w:tc>
      </w:tr>
      <w:tr w14:paraId="1CA9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 w:type="pct"/>
            <w:vMerge w:val="continue"/>
            <w:vAlign w:val="center"/>
          </w:tcPr>
          <w:p w14:paraId="64733722">
            <w:pPr>
              <w:adjustRightInd w:val="0"/>
              <w:snapToGrid w:val="0"/>
              <w:spacing w:line="240" w:lineRule="auto"/>
              <w:ind w:firstLine="0" w:firstLineChars="0"/>
              <w:jc w:val="center"/>
              <w:rPr>
                <w:bCs/>
                <w:kern w:val="0"/>
                <w:sz w:val="21"/>
                <w:szCs w:val="21"/>
              </w:rPr>
            </w:pPr>
          </w:p>
        </w:tc>
        <w:tc>
          <w:tcPr>
            <w:tcW w:w="1389" w:type="pct"/>
            <w:vMerge w:val="continue"/>
            <w:vAlign w:val="center"/>
          </w:tcPr>
          <w:p w14:paraId="37B4220D">
            <w:pPr>
              <w:adjustRightInd w:val="0"/>
              <w:snapToGrid w:val="0"/>
              <w:spacing w:line="240" w:lineRule="auto"/>
              <w:ind w:firstLine="0" w:firstLineChars="0"/>
              <w:jc w:val="center"/>
              <w:rPr>
                <w:bCs/>
                <w:kern w:val="0"/>
                <w:sz w:val="21"/>
                <w:szCs w:val="21"/>
              </w:rPr>
            </w:pPr>
          </w:p>
        </w:tc>
        <w:tc>
          <w:tcPr>
            <w:tcW w:w="703" w:type="pct"/>
            <w:vMerge w:val="continue"/>
            <w:vAlign w:val="center"/>
          </w:tcPr>
          <w:p w14:paraId="11D98756">
            <w:pPr>
              <w:adjustRightInd w:val="0"/>
              <w:snapToGrid w:val="0"/>
              <w:spacing w:line="240" w:lineRule="auto"/>
              <w:ind w:firstLine="0" w:firstLineChars="0"/>
              <w:jc w:val="center"/>
              <w:rPr>
                <w:bCs/>
                <w:kern w:val="0"/>
                <w:sz w:val="21"/>
                <w:szCs w:val="21"/>
              </w:rPr>
            </w:pPr>
          </w:p>
        </w:tc>
        <w:tc>
          <w:tcPr>
            <w:tcW w:w="418" w:type="pct"/>
            <w:vMerge w:val="continue"/>
            <w:vAlign w:val="center"/>
          </w:tcPr>
          <w:p w14:paraId="440AC646">
            <w:pPr>
              <w:adjustRightInd w:val="0"/>
              <w:snapToGrid w:val="0"/>
              <w:spacing w:line="240" w:lineRule="auto"/>
              <w:ind w:firstLine="0" w:firstLineChars="0"/>
              <w:jc w:val="center"/>
              <w:rPr>
                <w:bCs/>
                <w:kern w:val="0"/>
                <w:sz w:val="21"/>
                <w:szCs w:val="21"/>
              </w:rPr>
            </w:pPr>
          </w:p>
        </w:tc>
        <w:tc>
          <w:tcPr>
            <w:tcW w:w="669" w:type="pct"/>
            <w:vAlign w:val="center"/>
          </w:tcPr>
          <w:p w14:paraId="664685D8">
            <w:pPr>
              <w:adjustRightInd w:val="0"/>
              <w:snapToGrid w:val="0"/>
              <w:spacing w:line="240" w:lineRule="auto"/>
              <w:ind w:firstLine="0" w:firstLineChars="0"/>
              <w:jc w:val="center"/>
              <w:rPr>
                <w:bCs/>
                <w:kern w:val="0"/>
                <w:sz w:val="21"/>
                <w:szCs w:val="21"/>
              </w:rPr>
            </w:pPr>
            <w:r>
              <w:rPr>
                <w:bCs/>
                <w:kern w:val="0"/>
                <w:sz w:val="21"/>
                <w:szCs w:val="21"/>
              </w:rPr>
              <w:t>安全系数</w:t>
            </w:r>
          </w:p>
        </w:tc>
        <w:tc>
          <w:tcPr>
            <w:tcW w:w="669" w:type="pct"/>
            <w:vAlign w:val="center"/>
          </w:tcPr>
          <w:p w14:paraId="456BD0A0">
            <w:pPr>
              <w:adjustRightInd w:val="0"/>
              <w:snapToGrid w:val="0"/>
              <w:spacing w:line="240" w:lineRule="auto"/>
              <w:ind w:firstLine="0" w:firstLineChars="0"/>
              <w:jc w:val="center"/>
              <w:rPr>
                <w:bCs/>
                <w:kern w:val="0"/>
                <w:sz w:val="21"/>
                <w:szCs w:val="21"/>
              </w:rPr>
            </w:pPr>
            <w:r>
              <w:rPr>
                <w:bCs/>
                <w:kern w:val="0"/>
                <w:sz w:val="21"/>
                <w:szCs w:val="21"/>
              </w:rPr>
              <w:t>稳定系数</w:t>
            </w:r>
          </w:p>
        </w:tc>
        <w:tc>
          <w:tcPr>
            <w:tcW w:w="647" w:type="pct"/>
            <w:vAlign w:val="center"/>
          </w:tcPr>
          <w:p w14:paraId="5ED9E44C">
            <w:pPr>
              <w:adjustRightInd w:val="0"/>
              <w:snapToGrid w:val="0"/>
              <w:spacing w:line="240" w:lineRule="auto"/>
              <w:ind w:firstLine="0" w:firstLineChars="0"/>
              <w:jc w:val="center"/>
              <w:rPr>
                <w:bCs/>
                <w:kern w:val="0"/>
                <w:sz w:val="21"/>
                <w:szCs w:val="21"/>
              </w:rPr>
            </w:pPr>
            <w:r>
              <w:rPr>
                <w:bCs/>
                <w:kern w:val="0"/>
                <w:sz w:val="21"/>
                <w:szCs w:val="21"/>
              </w:rPr>
              <w:t>稳定性</w:t>
            </w:r>
          </w:p>
        </w:tc>
      </w:tr>
      <w:tr w14:paraId="3190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 w:type="pct"/>
            <w:vMerge w:val="restart"/>
            <w:vAlign w:val="center"/>
          </w:tcPr>
          <w:p w14:paraId="54888D4A">
            <w:pPr>
              <w:adjustRightInd w:val="0"/>
              <w:snapToGrid w:val="0"/>
              <w:spacing w:line="240" w:lineRule="auto"/>
              <w:ind w:firstLine="0" w:firstLineChars="0"/>
              <w:jc w:val="center"/>
              <w:rPr>
                <w:bCs/>
                <w:kern w:val="0"/>
                <w:sz w:val="21"/>
                <w:szCs w:val="21"/>
              </w:rPr>
            </w:pPr>
            <w:r>
              <w:rPr>
                <w:bCs/>
                <w:kern w:val="0"/>
                <w:sz w:val="21"/>
                <w:szCs w:val="21"/>
              </w:rPr>
              <w:t>8-8’</w:t>
            </w:r>
          </w:p>
        </w:tc>
        <w:tc>
          <w:tcPr>
            <w:tcW w:w="1389" w:type="pct"/>
            <w:vAlign w:val="center"/>
          </w:tcPr>
          <w:p w14:paraId="301377B0">
            <w:pPr>
              <w:adjustRightInd w:val="0"/>
              <w:snapToGrid w:val="0"/>
              <w:spacing w:line="240" w:lineRule="auto"/>
              <w:ind w:firstLine="0" w:firstLineChars="0"/>
              <w:jc w:val="center"/>
              <w:rPr>
                <w:bCs/>
                <w:kern w:val="0"/>
                <w:sz w:val="21"/>
                <w:szCs w:val="21"/>
              </w:rPr>
            </w:pPr>
            <w:r>
              <w:rPr>
                <w:bCs/>
                <w:kern w:val="0"/>
                <w:sz w:val="21"/>
                <w:szCs w:val="21"/>
              </w:rPr>
              <w:t>自动搜索最危险滑面</w:t>
            </w:r>
          </w:p>
        </w:tc>
        <w:tc>
          <w:tcPr>
            <w:tcW w:w="703" w:type="pct"/>
            <w:vAlign w:val="center"/>
          </w:tcPr>
          <w:p w14:paraId="585A9730">
            <w:pPr>
              <w:adjustRightInd w:val="0"/>
              <w:snapToGrid w:val="0"/>
              <w:spacing w:line="240" w:lineRule="auto"/>
              <w:ind w:firstLine="0" w:firstLineChars="0"/>
              <w:jc w:val="center"/>
              <w:rPr>
                <w:bCs/>
                <w:kern w:val="0"/>
                <w:sz w:val="21"/>
                <w:szCs w:val="21"/>
              </w:rPr>
            </w:pPr>
            <w:r>
              <w:rPr>
                <w:bCs/>
                <w:kern w:val="0"/>
                <w:sz w:val="21"/>
                <w:szCs w:val="21"/>
              </w:rPr>
              <w:t>天然状态</w:t>
            </w:r>
          </w:p>
        </w:tc>
        <w:tc>
          <w:tcPr>
            <w:tcW w:w="418" w:type="pct"/>
            <w:vMerge w:val="restart"/>
            <w:vAlign w:val="center"/>
          </w:tcPr>
          <w:p w14:paraId="195BA9F7">
            <w:pPr>
              <w:adjustRightInd w:val="0"/>
              <w:snapToGrid w:val="0"/>
              <w:spacing w:line="240" w:lineRule="auto"/>
              <w:ind w:firstLine="0" w:firstLineChars="0"/>
              <w:jc w:val="center"/>
              <w:rPr>
                <w:bCs/>
                <w:kern w:val="0"/>
                <w:sz w:val="21"/>
                <w:szCs w:val="21"/>
              </w:rPr>
            </w:pPr>
            <w:r>
              <w:rPr>
                <w:bCs/>
                <w:kern w:val="0"/>
                <w:sz w:val="21"/>
                <w:szCs w:val="21"/>
              </w:rPr>
              <w:t>土质边坡</w:t>
            </w:r>
          </w:p>
        </w:tc>
        <w:tc>
          <w:tcPr>
            <w:tcW w:w="669" w:type="pct"/>
            <w:vAlign w:val="center"/>
          </w:tcPr>
          <w:p w14:paraId="7779A72F">
            <w:pPr>
              <w:adjustRightInd w:val="0"/>
              <w:snapToGrid w:val="0"/>
              <w:spacing w:line="240" w:lineRule="auto"/>
              <w:ind w:firstLine="0" w:firstLineChars="0"/>
              <w:jc w:val="center"/>
              <w:rPr>
                <w:bCs/>
                <w:kern w:val="0"/>
                <w:sz w:val="21"/>
                <w:szCs w:val="21"/>
              </w:rPr>
            </w:pPr>
            <w:r>
              <w:rPr>
                <w:bCs/>
                <w:kern w:val="0"/>
                <w:sz w:val="21"/>
                <w:szCs w:val="21"/>
              </w:rPr>
              <w:t>Fst=1.25</w:t>
            </w:r>
          </w:p>
        </w:tc>
        <w:tc>
          <w:tcPr>
            <w:tcW w:w="669" w:type="pct"/>
            <w:vAlign w:val="center"/>
          </w:tcPr>
          <w:p w14:paraId="073CA48D">
            <w:pPr>
              <w:adjustRightInd w:val="0"/>
              <w:snapToGrid w:val="0"/>
              <w:spacing w:line="240" w:lineRule="auto"/>
              <w:ind w:firstLine="0" w:firstLineChars="0"/>
              <w:jc w:val="center"/>
              <w:rPr>
                <w:bCs/>
                <w:kern w:val="0"/>
                <w:sz w:val="21"/>
                <w:szCs w:val="21"/>
              </w:rPr>
            </w:pPr>
            <w:r>
              <w:rPr>
                <w:bCs/>
                <w:kern w:val="0"/>
                <w:sz w:val="21"/>
                <w:szCs w:val="21"/>
              </w:rPr>
              <w:t>1.373</w:t>
            </w:r>
          </w:p>
        </w:tc>
        <w:tc>
          <w:tcPr>
            <w:tcW w:w="647" w:type="pct"/>
            <w:vAlign w:val="center"/>
          </w:tcPr>
          <w:p w14:paraId="51D339B0">
            <w:pPr>
              <w:adjustRightInd w:val="0"/>
              <w:snapToGrid w:val="0"/>
              <w:spacing w:line="240" w:lineRule="auto"/>
              <w:ind w:firstLine="0" w:firstLineChars="0"/>
              <w:jc w:val="center"/>
              <w:rPr>
                <w:bCs/>
                <w:kern w:val="0"/>
                <w:sz w:val="21"/>
                <w:szCs w:val="21"/>
              </w:rPr>
            </w:pPr>
            <w:r>
              <w:rPr>
                <w:bCs/>
                <w:kern w:val="0"/>
                <w:sz w:val="21"/>
                <w:szCs w:val="21"/>
              </w:rPr>
              <w:t>稳定</w:t>
            </w:r>
          </w:p>
        </w:tc>
      </w:tr>
      <w:tr w14:paraId="26489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 w:type="pct"/>
            <w:vMerge w:val="continue"/>
            <w:vAlign w:val="center"/>
          </w:tcPr>
          <w:p w14:paraId="70CCC2CF">
            <w:pPr>
              <w:adjustRightInd w:val="0"/>
              <w:snapToGrid w:val="0"/>
              <w:spacing w:line="240" w:lineRule="auto"/>
              <w:ind w:firstLine="0" w:firstLineChars="0"/>
              <w:jc w:val="center"/>
              <w:rPr>
                <w:bCs/>
                <w:kern w:val="0"/>
                <w:sz w:val="21"/>
                <w:szCs w:val="21"/>
              </w:rPr>
            </w:pPr>
          </w:p>
        </w:tc>
        <w:tc>
          <w:tcPr>
            <w:tcW w:w="1389" w:type="pct"/>
            <w:vAlign w:val="center"/>
          </w:tcPr>
          <w:p w14:paraId="2DC0C777">
            <w:pPr>
              <w:adjustRightInd w:val="0"/>
              <w:snapToGrid w:val="0"/>
              <w:spacing w:line="240" w:lineRule="auto"/>
              <w:ind w:firstLine="0" w:firstLineChars="0"/>
              <w:jc w:val="center"/>
              <w:rPr>
                <w:bCs/>
                <w:kern w:val="0"/>
                <w:sz w:val="21"/>
                <w:szCs w:val="21"/>
              </w:rPr>
            </w:pPr>
            <w:r>
              <w:rPr>
                <w:bCs/>
                <w:kern w:val="0"/>
                <w:sz w:val="21"/>
                <w:szCs w:val="21"/>
              </w:rPr>
              <w:t>自动搜索最危险滑面</w:t>
            </w:r>
          </w:p>
        </w:tc>
        <w:tc>
          <w:tcPr>
            <w:tcW w:w="703" w:type="pct"/>
            <w:vAlign w:val="center"/>
          </w:tcPr>
          <w:p w14:paraId="5A6AC7A4">
            <w:pPr>
              <w:adjustRightInd w:val="0"/>
              <w:snapToGrid w:val="0"/>
              <w:spacing w:line="240" w:lineRule="auto"/>
              <w:ind w:firstLine="0" w:firstLineChars="0"/>
              <w:jc w:val="center"/>
              <w:rPr>
                <w:bCs/>
                <w:kern w:val="0"/>
                <w:sz w:val="21"/>
                <w:szCs w:val="21"/>
              </w:rPr>
            </w:pPr>
            <w:r>
              <w:rPr>
                <w:bCs/>
                <w:kern w:val="0"/>
                <w:sz w:val="21"/>
                <w:szCs w:val="21"/>
              </w:rPr>
              <w:t>洪水运行</w:t>
            </w:r>
          </w:p>
        </w:tc>
        <w:tc>
          <w:tcPr>
            <w:tcW w:w="418" w:type="pct"/>
            <w:vMerge w:val="continue"/>
            <w:vAlign w:val="center"/>
          </w:tcPr>
          <w:p w14:paraId="1D50CBDD">
            <w:pPr>
              <w:adjustRightInd w:val="0"/>
              <w:snapToGrid w:val="0"/>
              <w:spacing w:line="240" w:lineRule="auto"/>
              <w:ind w:firstLine="0" w:firstLineChars="0"/>
              <w:jc w:val="center"/>
              <w:rPr>
                <w:bCs/>
                <w:kern w:val="0"/>
                <w:sz w:val="21"/>
                <w:szCs w:val="21"/>
              </w:rPr>
            </w:pPr>
          </w:p>
        </w:tc>
        <w:tc>
          <w:tcPr>
            <w:tcW w:w="669" w:type="pct"/>
            <w:vAlign w:val="center"/>
          </w:tcPr>
          <w:p w14:paraId="10EE08A3">
            <w:pPr>
              <w:adjustRightInd w:val="0"/>
              <w:snapToGrid w:val="0"/>
              <w:spacing w:line="240" w:lineRule="auto"/>
              <w:ind w:firstLine="0" w:firstLineChars="0"/>
              <w:jc w:val="center"/>
              <w:rPr>
                <w:bCs/>
                <w:kern w:val="0"/>
                <w:sz w:val="21"/>
                <w:szCs w:val="21"/>
              </w:rPr>
            </w:pPr>
            <w:r>
              <w:rPr>
                <w:bCs/>
                <w:kern w:val="0"/>
                <w:sz w:val="21"/>
                <w:szCs w:val="21"/>
              </w:rPr>
              <w:t>Fst=1.15</w:t>
            </w:r>
          </w:p>
        </w:tc>
        <w:tc>
          <w:tcPr>
            <w:tcW w:w="669" w:type="pct"/>
            <w:vAlign w:val="center"/>
          </w:tcPr>
          <w:p w14:paraId="3E49BDDF">
            <w:pPr>
              <w:adjustRightInd w:val="0"/>
              <w:snapToGrid w:val="0"/>
              <w:spacing w:line="240" w:lineRule="auto"/>
              <w:ind w:firstLine="0" w:firstLineChars="0"/>
              <w:jc w:val="center"/>
              <w:rPr>
                <w:bCs/>
                <w:kern w:val="0"/>
                <w:sz w:val="21"/>
                <w:szCs w:val="21"/>
              </w:rPr>
            </w:pPr>
            <w:r>
              <w:rPr>
                <w:bCs/>
                <w:kern w:val="0"/>
                <w:sz w:val="21"/>
                <w:szCs w:val="21"/>
              </w:rPr>
              <w:t>1.217</w:t>
            </w:r>
          </w:p>
        </w:tc>
        <w:tc>
          <w:tcPr>
            <w:tcW w:w="647" w:type="pct"/>
            <w:vAlign w:val="center"/>
          </w:tcPr>
          <w:p w14:paraId="6F5D9C80">
            <w:pPr>
              <w:adjustRightInd w:val="0"/>
              <w:snapToGrid w:val="0"/>
              <w:spacing w:line="240" w:lineRule="auto"/>
              <w:ind w:firstLine="0" w:firstLineChars="0"/>
              <w:jc w:val="center"/>
              <w:rPr>
                <w:bCs/>
                <w:kern w:val="0"/>
                <w:sz w:val="21"/>
                <w:szCs w:val="21"/>
              </w:rPr>
            </w:pPr>
            <w:r>
              <w:rPr>
                <w:bCs/>
                <w:kern w:val="0"/>
                <w:sz w:val="21"/>
                <w:szCs w:val="21"/>
              </w:rPr>
              <w:t>稳定</w:t>
            </w:r>
          </w:p>
        </w:tc>
      </w:tr>
      <w:tr w14:paraId="3989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 w:type="pct"/>
            <w:vMerge w:val="continue"/>
            <w:vAlign w:val="center"/>
          </w:tcPr>
          <w:p w14:paraId="2C2B3F29">
            <w:pPr>
              <w:adjustRightInd w:val="0"/>
              <w:snapToGrid w:val="0"/>
              <w:spacing w:line="240" w:lineRule="auto"/>
              <w:ind w:firstLine="0" w:firstLineChars="0"/>
              <w:jc w:val="center"/>
              <w:rPr>
                <w:bCs/>
                <w:kern w:val="0"/>
                <w:sz w:val="21"/>
                <w:szCs w:val="21"/>
              </w:rPr>
            </w:pPr>
          </w:p>
        </w:tc>
        <w:tc>
          <w:tcPr>
            <w:tcW w:w="1389" w:type="pct"/>
            <w:vAlign w:val="center"/>
          </w:tcPr>
          <w:p w14:paraId="49476A16">
            <w:pPr>
              <w:adjustRightInd w:val="0"/>
              <w:snapToGrid w:val="0"/>
              <w:spacing w:line="240" w:lineRule="auto"/>
              <w:ind w:firstLine="0" w:firstLineChars="0"/>
              <w:jc w:val="center"/>
              <w:rPr>
                <w:bCs/>
                <w:kern w:val="0"/>
                <w:sz w:val="21"/>
                <w:szCs w:val="21"/>
              </w:rPr>
            </w:pPr>
            <w:r>
              <w:rPr>
                <w:bCs/>
                <w:kern w:val="0"/>
                <w:sz w:val="21"/>
                <w:szCs w:val="21"/>
              </w:rPr>
              <w:t>自动搜索最危险滑面</w:t>
            </w:r>
          </w:p>
        </w:tc>
        <w:tc>
          <w:tcPr>
            <w:tcW w:w="703" w:type="pct"/>
            <w:vAlign w:val="center"/>
          </w:tcPr>
          <w:p w14:paraId="63A51A94">
            <w:pPr>
              <w:adjustRightInd w:val="0"/>
              <w:snapToGrid w:val="0"/>
              <w:spacing w:line="240" w:lineRule="auto"/>
              <w:ind w:firstLine="0" w:firstLineChars="0"/>
              <w:jc w:val="center"/>
              <w:rPr>
                <w:bCs/>
                <w:kern w:val="0"/>
                <w:sz w:val="21"/>
                <w:szCs w:val="21"/>
              </w:rPr>
            </w:pPr>
            <w:r>
              <w:rPr>
                <w:bCs/>
                <w:kern w:val="0"/>
                <w:sz w:val="21"/>
                <w:szCs w:val="21"/>
              </w:rPr>
              <w:t>8°地震</w:t>
            </w:r>
          </w:p>
        </w:tc>
        <w:tc>
          <w:tcPr>
            <w:tcW w:w="418" w:type="pct"/>
            <w:vMerge w:val="continue"/>
            <w:vAlign w:val="center"/>
          </w:tcPr>
          <w:p w14:paraId="06236572">
            <w:pPr>
              <w:adjustRightInd w:val="0"/>
              <w:snapToGrid w:val="0"/>
              <w:spacing w:line="240" w:lineRule="auto"/>
              <w:ind w:firstLine="0" w:firstLineChars="0"/>
              <w:jc w:val="center"/>
              <w:rPr>
                <w:bCs/>
                <w:kern w:val="0"/>
                <w:sz w:val="21"/>
                <w:szCs w:val="21"/>
              </w:rPr>
            </w:pPr>
          </w:p>
        </w:tc>
        <w:tc>
          <w:tcPr>
            <w:tcW w:w="669" w:type="pct"/>
            <w:vAlign w:val="center"/>
          </w:tcPr>
          <w:p w14:paraId="7C6EB70E">
            <w:pPr>
              <w:adjustRightInd w:val="0"/>
              <w:snapToGrid w:val="0"/>
              <w:spacing w:line="240" w:lineRule="auto"/>
              <w:ind w:firstLine="0" w:firstLineChars="0"/>
              <w:jc w:val="center"/>
              <w:rPr>
                <w:bCs/>
                <w:kern w:val="0"/>
                <w:sz w:val="21"/>
                <w:szCs w:val="21"/>
              </w:rPr>
            </w:pPr>
            <w:r>
              <w:rPr>
                <w:bCs/>
                <w:kern w:val="0"/>
                <w:sz w:val="21"/>
                <w:szCs w:val="21"/>
              </w:rPr>
              <w:t>Fst=1.10</w:t>
            </w:r>
          </w:p>
        </w:tc>
        <w:tc>
          <w:tcPr>
            <w:tcW w:w="669" w:type="pct"/>
            <w:vAlign w:val="center"/>
          </w:tcPr>
          <w:p w14:paraId="100F9B21">
            <w:pPr>
              <w:adjustRightInd w:val="0"/>
              <w:snapToGrid w:val="0"/>
              <w:spacing w:line="240" w:lineRule="auto"/>
              <w:ind w:firstLine="0" w:firstLineChars="0"/>
              <w:jc w:val="center"/>
              <w:rPr>
                <w:bCs/>
                <w:kern w:val="0"/>
                <w:sz w:val="21"/>
                <w:szCs w:val="21"/>
              </w:rPr>
            </w:pPr>
            <w:r>
              <w:rPr>
                <w:bCs/>
                <w:kern w:val="0"/>
                <w:sz w:val="21"/>
                <w:szCs w:val="21"/>
              </w:rPr>
              <w:t>1.179</w:t>
            </w:r>
          </w:p>
        </w:tc>
        <w:tc>
          <w:tcPr>
            <w:tcW w:w="647" w:type="pct"/>
            <w:vAlign w:val="center"/>
          </w:tcPr>
          <w:p w14:paraId="21157020">
            <w:pPr>
              <w:adjustRightInd w:val="0"/>
              <w:snapToGrid w:val="0"/>
              <w:spacing w:line="240" w:lineRule="auto"/>
              <w:ind w:firstLine="0" w:firstLineChars="0"/>
              <w:jc w:val="center"/>
              <w:rPr>
                <w:bCs/>
                <w:kern w:val="0"/>
                <w:sz w:val="21"/>
                <w:szCs w:val="21"/>
              </w:rPr>
            </w:pPr>
            <w:r>
              <w:rPr>
                <w:bCs/>
                <w:kern w:val="0"/>
                <w:sz w:val="21"/>
                <w:szCs w:val="21"/>
              </w:rPr>
              <w:t>稳定</w:t>
            </w:r>
          </w:p>
        </w:tc>
      </w:tr>
      <w:tr w14:paraId="6CD9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 w:type="pct"/>
            <w:vMerge w:val="restart"/>
            <w:vAlign w:val="center"/>
          </w:tcPr>
          <w:p w14:paraId="6E80CDD3">
            <w:pPr>
              <w:adjustRightInd w:val="0"/>
              <w:snapToGrid w:val="0"/>
              <w:spacing w:line="240" w:lineRule="auto"/>
              <w:ind w:firstLine="0" w:firstLineChars="0"/>
              <w:jc w:val="center"/>
              <w:rPr>
                <w:bCs/>
                <w:kern w:val="0"/>
                <w:sz w:val="21"/>
                <w:szCs w:val="21"/>
              </w:rPr>
            </w:pPr>
            <w:r>
              <w:rPr>
                <w:bCs/>
                <w:kern w:val="0"/>
                <w:sz w:val="21"/>
                <w:szCs w:val="21"/>
              </w:rPr>
              <w:t>9-9’</w:t>
            </w:r>
          </w:p>
        </w:tc>
        <w:tc>
          <w:tcPr>
            <w:tcW w:w="1389" w:type="pct"/>
            <w:vAlign w:val="center"/>
          </w:tcPr>
          <w:p w14:paraId="3B08EFA2">
            <w:pPr>
              <w:adjustRightInd w:val="0"/>
              <w:snapToGrid w:val="0"/>
              <w:spacing w:line="240" w:lineRule="auto"/>
              <w:ind w:firstLine="0" w:firstLineChars="0"/>
              <w:jc w:val="center"/>
              <w:rPr>
                <w:bCs/>
                <w:kern w:val="0"/>
                <w:sz w:val="21"/>
                <w:szCs w:val="21"/>
              </w:rPr>
            </w:pPr>
            <w:r>
              <w:rPr>
                <w:bCs/>
                <w:kern w:val="0"/>
                <w:sz w:val="21"/>
                <w:szCs w:val="21"/>
              </w:rPr>
              <w:t>自动搜索最危险滑面</w:t>
            </w:r>
          </w:p>
        </w:tc>
        <w:tc>
          <w:tcPr>
            <w:tcW w:w="703" w:type="pct"/>
            <w:vAlign w:val="center"/>
          </w:tcPr>
          <w:p w14:paraId="41F1CFDB">
            <w:pPr>
              <w:adjustRightInd w:val="0"/>
              <w:snapToGrid w:val="0"/>
              <w:spacing w:line="240" w:lineRule="auto"/>
              <w:ind w:firstLine="0" w:firstLineChars="0"/>
              <w:jc w:val="center"/>
              <w:rPr>
                <w:bCs/>
                <w:kern w:val="0"/>
                <w:sz w:val="21"/>
                <w:szCs w:val="21"/>
              </w:rPr>
            </w:pPr>
            <w:r>
              <w:rPr>
                <w:bCs/>
                <w:kern w:val="0"/>
                <w:sz w:val="21"/>
                <w:szCs w:val="21"/>
              </w:rPr>
              <w:t>天然状态</w:t>
            </w:r>
          </w:p>
        </w:tc>
        <w:tc>
          <w:tcPr>
            <w:tcW w:w="418" w:type="pct"/>
            <w:vMerge w:val="restart"/>
            <w:vAlign w:val="center"/>
          </w:tcPr>
          <w:p w14:paraId="279732D7">
            <w:pPr>
              <w:adjustRightInd w:val="0"/>
              <w:snapToGrid w:val="0"/>
              <w:spacing w:line="240" w:lineRule="auto"/>
              <w:ind w:firstLine="0" w:firstLineChars="0"/>
              <w:jc w:val="center"/>
              <w:rPr>
                <w:bCs/>
                <w:kern w:val="0"/>
                <w:sz w:val="21"/>
                <w:szCs w:val="21"/>
              </w:rPr>
            </w:pPr>
            <w:r>
              <w:rPr>
                <w:bCs/>
                <w:kern w:val="0"/>
                <w:sz w:val="21"/>
                <w:szCs w:val="21"/>
              </w:rPr>
              <w:t>土质边坡</w:t>
            </w:r>
          </w:p>
        </w:tc>
        <w:tc>
          <w:tcPr>
            <w:tcW w:w="669" w:type="pct"/>
            <w:vAlign w:val="center"/>
          </w:tcPr>
          <w:p w14:paraId="2C3C90C3">
            <w:pPr>
              <w:adjustRightInd w:val="0"/>
              <w:snapToGrid w:val="0"/>
              <w:spacing w:line="240" w:lineRule="auto"/>
              <w:ind w:firstLine="0" w:firstLineChars="0"/>
              <w:jc w:val="center"/>
              <w:rPr>
                <w:bCs/>
                <w:kern w:val="0"/>
                <w:sz w:val="21"/>
                <w:szCs w:val="21"/>
              </w:rPr>
            </w:pPr>
            <w:r>
              <w:rPr>
                <w:bCs/>
                <w:kern w:val="0"/>
                <w:sz w:val="21"/>
                <w:szCs w:val="21"/>
              </w:rPr>
              <w:t>Fst=1.25</w:t>
            </w:r>
          </w:p>
        </w:tc>
        <w:tc>
          <w:tcPr>
            <w:tcW w:w="669" w:type="pct"/>
            <w:vAlign w:val="center"/>
          </w:tcPr>
          <w:p w14:paraId="539C3403">
            <w:pPr>
              <w:adjustRightInd w:val="0"/>
              <w:snapToGrid w:val="0"/>
              <w:spacing w:line="240" w:lineRule="auto"/>
              <w:ind w:firstLine="0" w:firstLineChars="0"/>
              <w:jc w:val="center"/>
              <w:rPr>
                <w:bCs/>
                <w:kern w:val="0"/>
                <w:sz w:val="21"/>
                <w:szCs w:val="21"/>
              </w:rPr>
            </w:pPr>
            <w:r>
              <w:rPr>
                <w:bCs/>
                <w:kern w:val="0"/>
                <w:sz w:val="21"/>
                <w:szCs w:val="21"/>
              </w:rPr>
              <w:t>1.253</w:t>
            </w:r>
          </w:p>
        </w:tc>
        <w:tc>
          <w:tcPr>
            <w:tcW w:w="647" w:type="pct"/>
            <w:vAlign w:val="center"/>
          </w:tcPr>
          <w:p w14:paraId="63C009EF">
            <w:pPr>
              <w:adjustRightInd w:val="0"/>
              <w:snapToGrid w:val="0"/>
              <w:spacing w:line="240" w:lineRule="auto"/>
              <w:ind w:firstLine="0" w:firstLineChars="0"/>
              <w:jc w:val="center"/>
              <w:rPr>
                <w:bCs/>
                <w:kern w:val="0"/>
                <w:sz w:val="21"/>
                <w:szCs w:val="21"/>
              </w:rPr>
            </w:pPr>
            <w:r>
              <w:rPr>
                <w:bCs/>
                <w:kern w:val="0"/>
                <w:sz w:val="21"/>
                <w:szCs w:val="21"/>
              </w:rPr>
              <w:t>稳定</w:t>
            </w:r>
          </w:p>
        </w:tc>
      </w:tr>
      <w:tr w14:paraId="0BDB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 w:type="pct"/>
            <w:vMerge w:val="continue"/>
            <w:vAlign w:val="center"/>
          </w:tcPr>
          <w:p w14:paraId="429BCA1C">
            <w:pPr>
              <w:adjustRightInd w:val="0"/>
              <w:snapToGrid w:val="0"/>
              <w:spacing w:line="240" w:lineRule="auto"/>
              <w:ind w:firstLine="0" w:firstLineChars="0"/>
              <w:jc w:val="center"/>
              <w:rPr>
                <w:bCs/>
                <w:kern w:val="0"/>
                <w:sz w:val="21"/>
                <w:szCs w:val="21"/>
              </w:rPr>
            </w:pPr>
          </w:p>
        </w:tc>
        <w:tc>
          <w:tcPr>
            <w:tcW w:w="1389" w:type="pct"/>
            <w:vAlign w:val="center"/>
          </w:tcPr>
          <w:p w14:paraId="543ADA63">
            <w:pPr>
              <w:adjustRightInd w:val="0"/>
              <w:snapToGrid w:val="0"/>
              <w:spacing w:line="240" w:lineRule="auto"/>
              <w:ind w:firstLine="0" w:firstLineChars="0"/>
              <w:jc w:val="center"/>
              <w:rPr>
                <w:bCs/>
                <w:kern w:val="0"/>
                <w:sz w:val="21"/>
                <w:szCs w:val="21"/>
              </w:rPr>
            </w:pPr>
            <w:r>
              <w:rPr>
                <w:bCs/>
                <w:kern w:val="0"/>
                <w:sz w:val="21"/>
                <w:szCs w:val="21"/>
              </w:rPr>
              <w:t>自动搜索最危险滑面</w:t>
            </w:r>
          </w:p>
        </w:tc>
        <w:tc>
          <w:tcPr>
            <w:tcW w:w="703" w:type="pct"/>
            <w:vAlign w:val="center"/>
          </w:tcPr>
          <w:p w14:paraId="0E1B65B2">
            <w:pPr>
              <w:adjustRightInd w:val="0"/>
              <w:snapToGrid w:val="0"/>
              <w:spacing w:line="240" w:lineRule="auto"/>
              <w:ind w:firstLine="0" w:firstLineChars="0"/>
              <w:jc w:val="center"/>
              <w:rPr>
                <w:bCs/>
                <w:kern w:val="0"/>
                <w:sz w:val="21"/>
                <w:szCs w:val="21"/>
              </w:rPr>
            </w:pPr>
            <w:r>
              <w:rPr>
                <w:bCs/>
                <w:kern w:val="0"/>
                <w:sz w:val="21"/>
                <w:szCs w:val="21"/>
              </w:rPr>
              <w:t>洪水运行</w:t>
            </w:r>
          </w:p>
        </w:tc>
        <w:tc>
          <w:tcPr>
            <w:tcW w:w="418" w:type="pct"/>
            <w:vMerge w:val="continue"/>
            <w:vAlign w:val="center"/>
          </w:tcPr>
          <w:p w14:paraId="272E88B2">
            <w:pPr>
              <w:adjustRightInd w:val="0"/>
              <w:snapToGrid w:val="0"/>
              <w:spacing w:line="240" w:lineRule="auto"/>
              <w:ind w:firstLine="0" w:firstLineChars="0"/>
              <w:jc w:val="center"/>
              <w:rPr>
                <w:bCs/>
                <w:kern w:val="0"/>
                <w:sz w:val="21"/>
                <w:szCs w:val="21"/>
              </w:rPr>
            </w:pPr>
          </w:p>
        </w:tc>
        <w:tc>
          <w:tcPr>
            <w:tcW w:w="669" w:type="pct"/>
            <w:vAlign w:val="center"/>
          </w:tcPr>
          <w:p w14:paraId="513792E6">
            <w:pPr>
              <w:adjustRightInd w:val="0"/>
              <w:snapToGrid w:val="0"/>
              <w:spacing w:line="240" w:lineRule="auto"/>
              <w:ind w:firstLine="0" w:firstLineChars="0"/>
              <w:jc w:val="center"/>
              <w:rPr>
                <w:bCs/>
                <w:kern w:val="0"/>
                <w:sz w:val="21"/>
                <w:szCs w:val="21"/>
              </w:rPr>
            </w:pPr>
            <w:r>
              <w:rPr>
                <w:bCs/>
                <w:kern w:val="0"/>
                <w:sz w:val="21"/>
                <w:szCs w:val="21"/>
              </w:rPr>
              <w:t>Fst=1.15</w:t>
            </w:r>
          </w:p>
        </w:tc>
        <w:tc>
          <w:tcPr>
            <w:tcW w:w="669" w:type="pct"/>
            <w:vAlign w:val="center"/>
          </w:tcPr>
          <w:p w14:paraId="086A6208">
            <w:pPr>
              <w:adjustRightInd w:val="0"/>
              <w:snapToGrid w:val="0"/>
              <w:spacing w:line="240" w:lineRule="auto"/>
              <w:ind w:firstLine="0" w:firstLineChars="0"/>
              <w:jc w:val="center"/>
              <w:rPr>
                <w:bCs/>
                <w:kern w:val="0"/>
                <w:sz w:val="21"/>
                <w:szCs w:val="21"/>
              </w:rPr>
            </w:pPr>
            <w:r>
              <w:rPr>
                <w:bCs/>
                <w:kern w:val="0"/>
                <w:sz w:val="21"/>
                <w:szCs w:val="21"/>
              </w:rPr>
              <w:t>1.151</w:t>
            </w:r>
          </w:p>
        </w:tc>
        <w:tc>
          <w:tcPr>
            <w:tcW w:w="647" w:type="pct"/>
            <w:vAlign w:val="center"/>
          </w:tcPr>
          <w:p w14:paraId="33FC580C">
            <w:pPr>
              <w:adjustRightInd w:val="0"/>
              <w:snapToGrid w:val="0"/>
              <w:spacing w:line="240" w:lineRule="auto"/>
              <w:ind w:firstLine="0" w:firstLineChars="0"/>
              <w:jc w:val="center"/>
              <w:rPr>
                <w:bCs/>
                <w:kern w:val="0"/>
                <w:sz w:val="21"/>
                <w:szCs w:val="21"/>
              </w:rPr>
            </w:pPr>
            <w:r>
              <w:rPr>
                <w:bCs/>
                <w:kern w:val="0"/>
                <w:sz w:val="21"/>
                <w:szCs w:val="21"/>
              </w:rPr>
              <w:t>稳定</w:t>
            </w:r>
          </w:p>
        </w:tc>
      </w:tr>
      <w:tr w14:paraId="4F00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 w:type="pct"/>
            <w:vMerge w:val="continue"/>
            <w:vAlign w:val="center"/>
          </w:tcPr>
          <w:p w14:paraId="7DE8598F">
            <w:pPr>
              <w:adjustRightInd w:val="0"/>
              <w:snapToGrid w:val="0"/>
              <w:spacing w:line="240" w:lineRule="auto"/>
              <w:ind w:firstLine="0" w:firstLineChars="0"/>
              <w:jc w:val="center"/>
              <w:rPr>
                <w:bCs/>
                <w:kern w:val="0"/>
                <w:sz w:val="21"/>
                <w:szCs w:val="21"/>
              </w:rPr>
            </w:pPr>
          </w:p>
        </w:tc>
        <w:tc>
          <w:tcPr>
            <w:tcW w:w="1389" w:type="pct"/>
            <w:vAlign w:val="center"/>
          </w:tcPr>
          <w:p w14:paraId="756615F9">
            <w:pPr>
              <w:adjustRightInd w:val="0"/>
              <w:snapToGrid w:val="0"/>
              <w:spacing w:line="240" w:lineRule="auto"/>
              <w:ind w:firstLine="0" w:firstLineChars="0"/>
              <w:jc w:val="center"/>
              <w:rPr>
                <w:bCs/>
                <w:kern w:val="0"/>
                <w:sz w:val="21"/>
                <w:szCs w:val="21"/>
              </w:rPr>
            </w:pPr>
            <w:r>
              <w:rPr>
                <w:bCs/>
                <w:kern w:val="0"/>
                <w:sz w:val="21"/>
                <w:szCs w:val="21"/>
              </w:rPr>
              <w:t>自动搜索最危险滑面</w:t>
            </w:r>
          </w:p>
        </w:tc>
        <w:tc>
          <w:tcPr>
            <w:tcW w:w="703" w:type="pct"/>
            <w:vAlign w:val="center"/>
          </w:tcPr>
          <w:p w14:paraId="6BC0E2A1">
            <w:pPr>
              <w:adjustRightInd w:val="0"/>
              <w:snapToGrid w:val="0"/>
              <w:spacing w:line="240" w:lineRule="auto"/>
              <w:ind w:firstLine="0" w:firstLineChars="0"/>
              <w:jc w:val="center"/>
              <w:rPr>
                <w:bCs/>
                <w:kern w:val="0"/>
                <w:sz w:val="21"/>
                <w:szCs w:val="21"/>
              </w:rPr>
            </w:pPr>
            <w:r>
              <w:rPr>
                <w:bCs/>
                <w:kern w:val="0"/>
                <w:sz w:val="21"/>
                <w:szCs w:val="21"/>
              </w:rPr>
              <w:t>8°地震</w:t>
            </w:r>
          </w:p>
        </w:tc>
        <w:tc>
          <w:tcPr>
            <w:tcW w:w="418" w:type="pct"/>
            <w:vMerge w:val="continue"/>
            <w:vAlign w:val="center"/>
          </w:tcPr>
          <w:p w14:paraId="748ED579">
            <w:pPr>
              <w:adjustRightInd w:val="0"/>
              <w:snapToGrid w:val="0"/>
              <w:spacing w:line="240" w:lineRule="auto"/>
              <w:ind w:firstLine="0" w:firstLineChars="0"/>
              <w:jc w:val="center"/>
              <w:rPr>
                <w:bCs/>
                <w:kern w:val="0"/>
                <w:sz w:val="21"/>
                <w:szCs w:val="21"/>
              </w:rPr>
            </w:pPr>
          </w:p>
        </w:tc>
        <w:tc>
          <w:tcPr>
            <w:tcW w:w="669" w:type="pct"/>
            <w:vAlign w:val="center"/>
          </w:tcPr>
          <w:p w14:paraId="0D899F04">
            <w:pPr>
              <w:adjustRightInd w:val="0"/>
              <w:snapToGrid w:val="0"/>
              <w:spacing w:line="240" w:lineRule="auto"/>
              <w:ind w:firstLine="0" w:firstLineChars="0"/>
              <w:jc w:val="center"/>
              <w:rPr>
                <w:bCs/>
                <w:kern w:val="0"/>
                <w:sz w:val="21"/>
                <w:szCs w:val="21"/>
              </w:rPr>
            </w:pPr>
            <w:r>
              <w:rPr>
                <w:bCs/>
                <w:kern w:val="0"/>
                <w:sz w:val="21"/>
                <w:szCs w:val="21"/>
              </w:rPr>
              <w:t>Fst=1.10</w:t>
            </w:r>
          </w:p>
        </w:tc>
        <w:tc>
          <w:tcPr>
            <w:tcW w:w="669" w:type="pct"/>
            <w:vAlign w:val="center"/>
          </w:tcPr>
          <w:p w14:paraId="3A13610B">
            <w:pPr>
              <w:adjustRightInd w:val="0"/>
              <w:snapToGrid w:val="0"/>
              <w:spacing w:line="240" w:lineRule="auto"/>
              <w:ind w:firstLine="0" w:firstLineChars="0"/>
              <w:jc w:val="center"/>
              <w:rPr>
                <w:bCs/>
                <w:kern w:val="0"/>
                <w:sz w:val="21"/>
                <w:szCs w:val="21"/>
              </w:rPr>
            </w:pPr>
            <w:r>
              <w:rPr>
                <w:bCs/>
                <w:kern w:val="0"/>
                <w:sz w:val="21"/>
                <w:szCs w:val="21"/>
              </w:rPr>
              <w:t>1.102</w:t>
            </w:r>
          </w:p>
        </w:tc>
        <w:tc>
          <w:tcPr>
            <w:tcW w:w="647" w:type="pct"/>
            <w:vAlign w:val="center"/>
          </w:tcPr>
          <w:p w14:paraId="43A75CD1">
            <w:pPr>
              <w:adjustRightInd w:val="0"/>
              <w:snapToGrid w:val="0"/>
              <w:spacing w:line="240" w:lineRule="auto"/>
              <w:ind w:firstLine="0" w:firstLineChars="0"/>
              <w:jc w:val="center"/>
              <w:rPr>
                <w:bCs/>
                <w:kern w:val="0"/>
                <w:sz w:val="21"/>
                <w:szCs w:val="21"/>
              </w:rPr>
            </w:pPr>
            <w:r>
              <w:rPr>
                <w:bCs/>
                <w:kern w:val="0"/>
                <w:sz w:val="21"/>
                <w:szCs w:val="21"/>
              </w:rPr>
              <w:t>稳定</w:t>
            </w:r>
          </w:p>
        </w:tc>
      </w:tr>
    </w:tbl>
    <w:p w14:paraId="56FC446C">
      <w:pPr>
        <w:adjustRightInd w:val="0"/>
        <w:snapToGrid w:val="0"/>
        <w:ind w:firstLine="560"/>
        <w:rPr>
          <w:bCs/>
          <w:kern w:val="0"/>
        </w:rPr>
      </w:pPr>
      <w:r>
        <w:rPr>
          <w:bCs/>
          <w:kern w:val="0"/>
        </w:rPr>
        <w:t>稳定性验算结果表明：磷石膏渣场现状处于稳定状态</w:t>
      </w:r>
      <w:r>
        <w:rPr>
          <w:rFonts w:hint="eastAsia"/>
          <w:bCs/>
          <w:kern w:val="0"/>
        </w:rPr>
        <w:t>。</w:t>
      </w:r>
    </w:p>
    <w:p w14:paraId="78BAC681">
      <w:pPr>
        <w:pStyle w:val="4"/>
      </w:pPr>
      <w:bookmarkStart w:id="46" w:name="_Toc230699571"/>
      <w:r>
        <w:rPr>
          <w:rFonts w:hint="eastAsia"/>
        </w:rPr>
        <w:t>2.3.6 勘察结论</w:t>
      </w:r>
      <w:bookmarkEnd w:id="46"/>
    </w:p>
    <w:p w14:paraId="3995FC45">
      <w:pPr>
        <w:adjustRightInd w:val="0"/>
        <w:snapToGrid w:val="0"/>
        <w:ind w:firstLine="560"/>
        <w:jc w:val="left"/>
        <w:rPr>
          <w:szCs w:val="20"/>
        </w:rPr>
      </w:pPr>
      <w:r>
        <w:rPr>
          <w:szCs w:val="20"/>
        </w:rPr>
        <w:t>（1）工程场区在大地构造上位于武扬子准地台西部，川滇台背斜与滇东台褶皱之交汇部位，普渡河-滇池断裂以西，属武定-石屏隆断束的禄劝断凹陷。工程场区10.0km范围内无全新活动断裂及发震断裂分布，可不考虑近场影响问题。项目场地所在地区属于次不稳定区域。场地周边无不良地质作用分布，也未发现对工程不利的埋藏物，场地基本稳定。</w:t>
      </w:r>
    </w:p>
    <w:p w14:paraId="0F25F2C2">
      <w:pPr>
        <w:adjustRightInd w:val="0"/>
        <w:snapToGrid w:val="0"/>
        <w:ind w:firstLine="560"/>
        <w:jc w:val="left"/>
        <w:rPr>
          <w:szCs w:val="20"/>
        </w:rPr>
      </w:pPr>
      <w:r>
        <w:rPr>
          <w:szCs w:val="20"/>
        </w:rPr>
        <w:t>（2）本次勘探深度范围内为第四系人工堆积（Q</w:t>
      </w:r>
      <w:r>
        <w:rPr>
          <w:szCs w:val="20"/>
          <w:vertAlign w:val="subscript"/>
        </w:rPr>
        <w:t>4</w:t>
      </w:r>
      <w:r>
        <w:rPr>
          <w:i/>
          <w:szCs w:val="20"/>
          <w:vertAlign w:val="superscript"/>
        </w:rPr>
        <w:t>ml</w:t>
      </w:r>
      <w:r>
        <w:rPr>
          <w:szCs w:val="20"/>
        </w:rPr>
        <w:t>）素填土和磷石膏、第四系坡残积（Q</w:t>
      </w:r>
      <w:r>
        <w:rPr>
          <w:szCs w:val="20"/>
          <w:vertAlign w:val="subscript"/>
        </w:rPr>
        <w:t>4</w:t>
      </w:r>
      <w:r>
        <w:rPr>
          <w:i/>
          <w:szCs w:val="20"/>
          <w:vertAlign w:val="superscript"/>
        </w:rPr>
        <w:t>dl+el</w:t>
      </w:r>
      <w:r>
        <w:rPr>
          <w:szCs w:val="20"/>
        </w:rPr>
        <w:t>）黏土层、元古界昆阳群黑头山组（Pt</w:t>
      </w:r>
      <w:r>
        <w:rPr>
          <w:szCs w:val="20"/>
          <w:vertAlign w:val="subscript"/>
        </w:rPr>
        <w:t>1</w:t>
      </w:r>
      <w:r>
        <w:rPr>
          <w:i/>
          <w:szCs w:val="20"/>
        </w:rPr>
        <w:t>hs</w:t>
      </w:r>
      <w:r>
        <w:rPr>
          <w:szCs w:val="20"/>
        </w:rPr>
        <w:t>）变质石英砂岩等地层。</w:t>
      </w:r>
    </w:p>
    <w:p w14:paraId="4C83D015">
      <w:pPr>
        <w:adjustRightInd w:val="0"/>
        <w:snapToGrid w:val="0"/>
        <w:ind w:firstLine="560"/>
        <w:jc w:val="left"/>
        <w:rPr>
          <w:szCs w:val="20"/>
        </w:rPr>
      </w:pPr>
      <w:r>
        <w:rPr>
          <w:szCs w:val="20"/>
        </w:rPr>
        <w:t>（3）本次勘察场地未揭露地下水。场地地下水主要为孔隙水、岩溶裂隙水和基岩裂隙水三类。孔隙水主要赋存于浅部第四系土层中，水量较小；岩溶裂隙水和基岩裂隙水埋藏深度较大，对磷石膏渣场影响较小。</w:t>
      </w:r>
    </w:p>
    <w:p w14:paraId="62E2D558">
      <w:pPr>
        <w:adjustRightInd w:val="0"/>
        <w:snapToGrid w:val="0"/>
        <w:ind w:firstLine="560"/>
        <w:jc w:val="left"/>
        <w:rPr>
          <w:szCs w:val="20"/>
        </w:rPr>
      </w:pPr>
      <w:r>
        <w:rPr>
          <w:szCs w:val="20"/>
        </w:rPr>
        <w:t>（4）场地处于地表水径流区域，雨季会汇集一定的地表水，须保证有效的截排水措施。</w:t>
      </w:r>
    </w:p>
    <w:p w14:paraId="39E0997E">
      <w:pPr>
        <w:adjustRightInd w:val="0"/>
        <w:snapToGrid w:val="0"/>
        <w:ind w:firstLine="560"/>
        <w:jc w:val="left"/>
        <w:rPr>
          <w:szCs w:val="20"/>
        </w:rPr>
      </w:pPr>
      <w:r>
        <w:rPr>
          <w:szCs w:val="20"/>
        </w:rPr>
        <w:t>（5）场地磷石膏</w:t>
      </w:r>
      <w:r>
        <w:rPr>
          <w:rFonts w:hint="eastAsia" w:ascii="宋体" w:hAnsi="宋体" w:cs="宋体"/>
          <w:szCs w:val="20"/>
        </w:rPr>
        <w:t>①</w:t>
      </w:r>
      <w:r>
        <w:rPr>
          <w:szCs w:val="20"/>
          <w:vertAlign w:val="subscript"/>
        </w:rPr>
        <w:t>1</w:t>
      </w:r>
      <w:r>
        <w:rPr>
          <w:szCs w:val="20"/>
        </w:rPr>
        <w:t>对混凝土结构具强腐蚀性，素填土</w:t>
      </w:r>
      <w:r>
        <w:rPr>
          <w:rFonts w:hint="eastAsia" w:ascii="宋体" w:hAnsi="宋体" w:cs="宋体"/>
          <w:szCs w:val="20"/>
        </w:rPr>
        <w:t>①</w:t>
      </w:r>
      <w:r>
        <w:rPr>
          <w:szCs w:val="20"/>
          <w:vertAlign w:val="subscript"/>
        </w:rPr>
        <w:t>3</w:t>
      </w:r>
      <w:r>
        <w:rPr>
          <w:szCs w:val="20"/>
        </w:rPr>
        <w:t>层对混凝土结构具弱腐蚀性；磷石膏</w:t>
      </w:r>
      <w:r>
        <w:rPr>
          <w:rFonts w:hint="eastAsia" w:ascii="宋体" w:hAnsi="宋体" w:cs="宋体"/>
          <w:szCs w:val="20"/>
        </w:rPr>
        <w:t>①</w:t>
      </w:r>
      <w:r>
        <w:rPr>
          <w:szCs w:val="20"/>
          <w:vertAlign w:val="subscript"/>
        </w:rPr>
        <w:t>1</w:t>
      </w:r>
      <w:r>
        <w:rPr>
          <w:szCs w:val="20"/>
        </w:rPr>
        <w:t>对混凝土结构中钢筋具微腐蚀性，对钢结构具有微腐蚀性，素填土</w:t>
      </w:r>
      <w:r>
        <w:rPr>
          <w:rFonts w:hint="eastAsia" w:ascii="宋体" w:hAnsi="宋体" w:cs="宋体"/>
          <w:szCs w:val="20"/>
        </w:rPr>
        <w:t>①</w:t>
      </w:r>
      <w:r>
        <w:rPr>
          <w:szCs w:val="20"/>
          <w:vertAlign w:val="subscript"/>
        </w:rPr>
        <w:t>3</w:t>
      </w:r>
      <w:r>
        <w:rPr>
          <w:szCs w:val="20"/>
        </w:rPr>
        <w:t>层对混凝土结构中钢筋具微腐蚀性，对钢结构具有微腐蚀性。</w:t>
      </w:r>
    </w:p>
    <w:p w14:paraId="0592EF48">
      <w:pPr>
        <w:adjustRightInd w:val="0"/>
        <w:snapToGrid w:val="0"/>
        <w:ind w:firstLine="560"/>
        <w:jc w:val="left"/>
        <w:rPr>
          <w:szCs w:val="20"/>
        </w:rPr>
      </w:pPr>
      <w:r>
        <w:rPr>
          <w:szCs w:val="20"/>
        </w:rPr>
        <w:t>场地集液池内水对混凝土结构具弱腐蚀性；对钢筋混凝土结构中钢筋具微腐蚀性。</w:t>
      </w:r>
    </w:p>
    <w:p w14:paraId="6782AB9F">
      <w:pPr>
        <w:adjustRightInd w:val="0"/>
        <w:snapToGrid w:val="0"/>
        <w:ind w:firstLine="560"/>
        <w:jc w:val="left"/>
        <w:rPr>
          <w:szCs w:val="20"/>
        </w:rPr>
      </w:pPr>
      <w:r>
        <w:rPr>
          <w:szCs w:val="20"/>
        </w:rPr>
        <w:t>（6）项目场地各岩土层竖向上埋深及厚度变化较大，岩土均匀性差，基岩埋深起伏大，场地土不均匀。</w:t>
      </w:r>
    </w:p>
    <w:p w14:paraId="26F85C07">
      <w:pPr>
        <w:adjustRightInd w:val="0"/>
        <w:snapToGrid w:val="0"/>
        <w:ind w:firstLine="560"/>
        <w:jc w:val="left"/>
        <w:rPr>
          <w:szCs w:val="20"/>
        </w:rPr>
      </w:pPr>
      <w:r>
        <w:rPr>
          <w:szCs w:val="20"/>
        </w:rPr>
        <w:t>（7）场地所处昆明市晋宁区抗震设防烈度为8度，设计基本地震加速度值为0.2g，所属的设计地震分组为第三组，设计应按有关规定进行设防。晋宁区二街镇Ⅱ类场地基本地震动峰值参加速度值为0.20g，基本地震动加速度反应谱特征周期值为0.45s。</w:t>
      </w:r>
    </w:p>
    <w:p w14:paraId="2E6384A4">
      <w:pPr>
        <w:adjustRightInd w:val="0"/>
        <w:snapToGrid w:val="0"/>
        <w:ind w:firstLine="560"/>
        <w:jc w:val="left"/>
        <w:rPr>
          <w:szCs w:val="20"/>
        </w:rPr>
      </w:pPr>
      <w:r>
        <w:rPr>
          <w:szCs w:val="20"/>
        </w:rPr>
        <w:t>（8）工程场地20m深度范围内无饱和砂土分布，可不考虑地震液化问题。</w:t>
      </w:r>
    </w:p>
    <w:p w14:paraId="33BD0063">
      <w:pPr>
        <w:adjustRightInd w:val="0"/>
        <w:snapToGrid w:val="0"/>
        <w:ind w:firstLine="560"/>
        <w:jc w:val="left"/>
        <w:rPr>
          <w:szCs w:val="20"/>
        </w:rPr>
      </w:pPr>
      <w:r>
        <w:rPr>
          <w:szCs w:val="20"/>
        </w:rPr>
        <w:t>（9）磷石膏渣场现状稳定。</w:t>
      </w:r>
    </w:p>
    <w:p w14:paraId="074D2E08">
      <w:pPr>
        <w:adjustRightInd w:val="0"/>
        <w:snapToGrid w:val="0"/>
        <w:ind w:firstLine="560"/>
        <w:jc w:val="left"/>
        <w:rPr>
          <w:szCs w:val="20"/>
        </w:rPr>
      </w:pPr>
      <w:r>
        <w:rPr>
          <w:szCs w:val="20"/>
        </w:rPr>
        <w:t>（1</w:t>
      </w:r>
      <w:r>
        <w:rPr>
          <w:rFonts w:hint="eastAsia"/>
          <w:szCs w:val="20"/>
        </w:rPr>
        <w:t>0</w:t>
      </w:r>
      <w:r>
        <w:rPr>
          <w:szCs w:val="20"/>
        </w:rPr>
        <w:t>）根据野外钻探、原位测试、室内试验结合地区经验，按相关规范要求综合提出各岩土层的主要物理力学指标参数见下表。</w:t>
      </w:r>
    </w:p>
    <w:p w14:paraId="79F7B02D">
      <w:pPr>
        <w:pStyle w:val="3"/>
      </w:pPr>
      <w:bookmarkStart w:id="47" w:name="_Toc230699572"/>
      <w:r>
        <w:rPr>
          <w:rFonts w:hint="eastAsia"/>
        </w:rPr>
        <w:t>2.4 磷石膏渣库基本情况</w:t>
      </w:r>
      <w:bookmarkEnd w:id="47"/>
    </w:p>
    <w:p w14:paraId="17188391">
      <w:pPr>
        <w:pStyle w:val="4"/>
      </w:pPr>
      <w:bookmarkStart w:id="48" w:name="_Toc230699573"/>
      <w:r>
        <w:rPr>
          <w:rFonts w:hint="eastAsia"/>
        </w:rPr>
        <w:t>2.4.1 渣场原设计概述</w:t>
      </w:r>
      <w:bookmarkEnd w:id="48"/>
    </w:p>
    <w:p w14:paraId="7DC7C820">
      <w:pPr>
        <w:ind w:firstLine="560"/>
        <w:jc w:val="left"/>
      </w:pPr>
      <w:r>
        <w:t>云南兴昆化工有限公司磷石膏渣场根据晋宁春禾生态环境工程有限公司（持丙级资质）2007年11月编制的《云南兴昆化工有限公司技改扩能项目水土保持方案初步设计报告书（报批稿）》进行设计，由云南兴昆化工有限公司于2007年11月自主建设。</w:t>
      </w:r>
    </w:p>
    <w:p w14:paraId="5EC39697">
      <w:pPr>
        <w:ind w:firstLine="560"/>
        <w:jc w:val="left"/>
        <w:rPr>
          <w:bCs/>
        </w:rPr>
      </w:pPr>
      <w:r>
        <w:rPr>
          <w:bCs/>
        </w:rPr>
        <w:t>设计概况：</w:t>
      </w:r>
    </w:p>
    <w:p w14:paraId="223F5E46">
      <w:pPr>
        <w:ind w:firstLine="560"/>
        <w:jc w:val="left"/>
      </w:pPr>
      <w:r>
        <w:t>（一）磷石膏渣场参数、指标</w:t>
      </w:r>
    </w:p>
    <w:p w14:paraId="0913654D">
      <w:pPr>
        <w:ind w:firstLine="560"/>
        <w:jc w:val="left"/>
      </w:pPr>
      <w:r>
        <w:t>（二）拦渣坝</w:t>
      </w:r>
    </w:p>
    <w:p w14:paraId="146D1096">
      <w:pPr>
        <w:ind w:firstLine="560"/>
        <w:jc w:val="left"/>
      </w:pPr>
      <w:r>
        <w:t>（三）磷石膏渣场周边截洪沟</w:t>
      </w:r>
    </w:p>
    <w:p w14:paraId="2112AF16">
      <w:pPr>
        <w:ind w:firstLine="560"/>
        <w:jc w:val="left"/>
      </w:pPr>
      <w:r>
        <w:t>（四）磷石膏渣场防渗处理</w:t>
      </w:r>
    </w:p>
    <w:p w14:paraId="21F8D728">
      <w:pPr>
        <w:ind w:firstLine="560"/>
        <w:jc w:val="left"/>
      </w:pPr>
      <w:r>
        <w:t>（五）磷石膏浸出淅沥液调节池</w:t>
      </w:r>
    </w:p>
    <w:p w14:paraId="590E2186">
      <w:pPr>
        <w:ind w:firstLine="560"/>
        <w:jc w:val="left"/>
      </w:pPr>
      <w:r>
        <w:t>（六）堆排工艺</w:t>
      </w:r>
    </w:p>
    <w:p w14:paraId="565EB610">
      <w:pPr>
        <w:ind w:firstLine="560"/>
        <w:jc w:val="left"/>
      </w:pPr>
      <w:r>
        <w:t>（七）值班室的设置</w:t>
      </w:r>
    </w:p>
    <w:p w14:paraId="502490FC">
      <w:pPr>
        <w:pStyle w:val="4"/>
      </w:pPr>
      <w:bookmarkStart w:id="49" w:name="_Toc230699574"/>
      <w:r>
        <w:rPr>
          <w:rFonts w:hint="eastAsia"/>
        </w:rPr>
        <w:t>2.4.2 渣场原设计施工概况</w:t>
      </w:r>
      <w:bookmarkEnd w:id="49"/>
    </w:p>
    <w:p w14:paraId="5462CD00">
      <w:pPr>
        <w:ind w:firstLine="560"/>
      </w:pPr>
      <w:r>
        <w:t>磷石膏渣场由持水保丙级资质的晋宁春禾生态环境工程有限公司（资质证书号：（云）水保资证丙字第200406号）2007年11月编制设计，由云南兴昆化工有限公司于2007年11月自主建设，质量验收结论为：本工程已按设计要求完成，验收小组查阅有关资料后，认为工程质量合格，同意验收。</w:t>
      </w:r>
    </w:p>
    <w:p w14:paraId="08B47508">
      <w:pPr>
        <w:pStyle w:val="4"/>
      </w:pPr>
      <w:bookmarkStart w:id="50" w:name="_Toc230699575"/>
      <w:r>
        <w:rPr>
          <w:rFonts w:hint="eastAsia"/>
        </w:rPr>
        <w:t>2.4.3 渣场整改设计概况</w:t>
      </w:r>
      <w:bookmarkEnd w:id="50"/>
    </w:p>
    <w:p w14:paraId="6383053F">
      <w:pPr>
        <w:ind w:firstLine="560"/>
      </w:pPr>
      <w:r>
        <w:t>根据《中华人民共和国安全生产法》、《磷石膏库安全技术规程》（AQ2059-2016）等国家有关安全生产法律、法规、标准和规范的要求，并接合（晋）安监管责改（2017）</w:t>
      </w:r>
      <w:r>
        <w:rPr>
          <w:rFonts w:hint="eastAsia"/>
        </w:rPr>
        <w:t>24</w:t>
      </w:r>
      <w:r>
        <w:t>号整改指令和云南兴昆化工有限公司磷石膏渣场安全现状评价报告书的内容，2017年9月，企业委托昆钢集团设计院有限公司开展了云南兴昆化工有限公司磷石膏渣场整改设计。</w:t>
      </w:r>
    </w:p>
    <w:p w14:paraId="3B27F9B6">
      <w:pPr>
        <w:pStyle w:val="4"/>
      </w:pPr>
      <w:bookmarkStart w:id="51" w:name="_Toc230699576"/>
      <w:r>
        <w:rPr>
          <w:rFonts w:hint="eastAsia"/>
        </w:rPr>
        <w:t>2.4.4 渣场回采设计概况</w:t>
      </w:r>
      <w:bookmarkEnd w:id="51"/>
    </w:p>
    <w:p w14:paraId="59AAAEAB">
      <w:pPr>
        <w:ind w:firstLine="560"/>
        <w:jc w:val="left"/>
        <w:rPr>
          <w:rFonts w:hint="eastAsia"/>
        </w:rPr>
      </w:pPr>
      <w:r>
        <w:rPr>
          <w:rFonts w:hint="eastAsia"/>
        </w:rPr>
        <w:t>2021年，由于综合利用需求，需要再渣库内回采磷石膏，</w:t>
      </w:r>
      <w:r>
        <w:t>云南兴昆化工有限公司</w:t>
      </w:r>
      <w:r>
        <w:rPr>
          <w:rFonts w:hint="eastAsia"/>
        </w:rPr>
        <w:t>委托昆明坤泽矿业技术有限责任公司进行回采设计，渣库回采从渣库顶部分层开挖，回采的同时新入场的磷石膏堆存在场区东南侧，根据渣库情况，在原初期坝下游40m位置新建拦渣坝，新入场磷石膏以拦渣坝为基础进行堆存，堆积边坡按1:2，每5m设置宽度2.0m的平台，总体坡度1:2.4。</w:t>
      </w:r>
    </w:p>
    <w:p w14:paraId="2725C323">
      <w:pPr>
        <w:ind w:firstLine="560"/>
        <w:jc w:val="left"/>
        <w:rPr>
          <w:rFonts w:hint="eastAsia"/>
          <w:lang w:eastAsia="zh-CN"/>
        </w:rPr>
      </w:pPr>
      <w:bookmarkStart w:id="52" w:name="_Toc230699577"/>
      <w:r>
        <w:rPr>
          <w:rFonts w:hint="eastAsia"/>
          <w:lang w:eastAsia="zh-CN"/>
        </w:rPr>
        <w:t>……</w:t>
      </w:r>
    </w:p>
    <w:p w14:paraId="33A949A8">
      <w:pPr>
        <w:pStyle w:val="4"/>
      </w:pPr>
      <w:r>
        <w:rPr>
          <w:rFonts w:hint="eastAsia"/>
        </w:rPr>
        <w:t>2.4.5 渣场现状概况</w:t>
      </w:r>
      <w:bookmarkEnd w:id="52"/>
    </w:p>
    <w:p w14:paraId="571C44DD">
      <w:pPr>
        <w:ind w:firstLine="560"/>
        <w:jc w:val="left"/>
        <w:rPr>
          <w:rFonts w:cs="Times New Roman"/>
        </w:rPr>
      </w:pPr>
      <w:r>
        <w:rPr>
          <w:rFonts w:cs="Times New Roman"/>
        </w:rPr>
        <w:t>磷石膏渣库现呈椭圆形，自2008年6月启用以来，现占地面积74亩，长约295m，宽约200m，最大深度约44m，设计库容148万m</w:t>
      </w:r>
      <w:r>
        <w:rPr>
          <w:rFonts w:cs="Times New Roman"/>
          <w:vertAlign w:val="superscript"/>
        </w:rPr>
        <w:t>3</w:t>
      </w:r>
      <w:r>
        <w:rPr>
          <w:rFonts w:cs="Times New Roman"/>
        </w:rPr>
        <w:t>，服务年限16年，堆存方式采用干式堆渣、干排干堆，磷石膏以汽车运输的方式运至渣库，在渣库内用推土机摊铺平整后压实，拦渣坝内按设计进行了防渗处理。</w:t>
      </w:r>
    </w:p>
    <w:p w14:paraId="12F32B91">
      <w:pPr>
        <w:ind w:firstLine="560"/>
        <w:rPr>
          <w:rFonts w:cs="Times New Roman"/>
        </w:rPr>
      </w:pPr>
      <w:r>
        <w:rPr>
          <w:rFonts w:cs="Times New Roman"/>
        </w:rPr>
        <w:t>渣库外围建设有0.5m宽、0.5m深的导洪渠和截洪沟，防止雨天库外坡</w:t>
      </w:r>
    </w:p>
    <w:p w14:paraId="17F9A4D0">
      <w:pPr>
        <w:pStyle w:val="4"/>
      </w:pPr>
      <w:bookmarkStart w:id="53" w:name="_Toc230699578"/>
      <w:r>
        <w:rPr>
          <w:rFonts w:hint="eastAsia"/>
        </w:rPr>
        <w:t>2.4.6 库址和堆存方式适宜性分析</w:t>
      </w:r>
      <w:bookmarkEnd w:id="53"/>
    </w:p>
    <w:p w14:paraId="16CDE9F4">
      <w:pPr>
        <w:ind w:firstLine="560"/>
        <w:rPr>
          <w:rFonts w:cs="Times New Roman"/>
        </w:rPr>
      </w:pPr>
      <w:r>
        <w:rPr>
          <w:rFonts w:cs="Times New Roman"/>
        </w:rPr>
        <w:t>综上所述，磷石膏渣场所在位置进行堆存整治是可行的。</w:t>
      </w:r>
    </w:p>
    <w:p w14:paraId="228754DB">
      <w:pPr>
        <w:ind w:firstLine="560"/>
        <w:rPr>
          <w:rFonts w:eastAsia="黑体"/>
          <w:sz w:val="30"/>
        </w:rPr>
      </w:pPr>
      <w:r>
        <w:rPr>
          <w:rFonts w:cs="Times New Roman"/>
        </w:rPr>
        <w:t>本次磷石膏渣场堆存整治沿用原设计的分层碾压干堆工艺，整治设计对磷石膏渣场进行了稳定性分析及排洪验算，均满足设计及规范要求。磷石膏渣场堆存整治的采用分层碾压干堆方式是可行的。</w:t>
      </w:r>
    </w:p>
    <w:p w14:paraId="3B8447BA">
      <w:pPr>
        <w:pStyle w:val="3"/>
      </w:pPr>
      <w:bookmarkStart w:id="54" w:name="_Toc230699579"/>
      <w:r>
        <w:rPr>
          <w:rFonts w:hint="eastAsia"/>
        </w:rPr>
        <w:t>2.5 渣场堆存整治设计</w:t>
      </w:r>
      <w:bookmarkEnd w:id="54"/>
    </w:p>
    <w:p w14:paraId="0AD0F678">
      <w:pPr>
        <w:pStyle w:val="4"/>
      </w:pPr>
      <w:bookmarkStart w:id="55" w:name="_Toc230699580"/>
      <w:r>
        <w:rPr>
          <w:rFonts w:hint="eastAsia"/>
        </w:rPr>
        <w:t>2.5.1 渣场堆存整治设计主要内容</w:t>
      </w:r>
      <w:bookmarkEnd w:id="55"/>
    </w:p>
    <w:p w14:paraId="0CF85D81">
      <w:pPr>
        <w:ind w:firstLine="560"/>
      </w:pPr>
      <w:r>
        <w:rPr>
          <w:rFonts w:cs="Times New Roman"/>
          <w:lang w:bidi="ar"/>
        </w:rPr>
        <w:t>现状大坟箐磷石膏渣场拦渣坝高7m，堆积坝高4</w:t>
      </w:r>
      <w:r>
        <w:rPr>
          <w:rFonts w:hint="eastAsia" w:cs="Times New Roman"/>
          <w:lang w:bidi="ar"/>
        </w:rPr>
        <w:t>4</w:t>
      </w:r>
      <w:r>
        <w:rPr>
          <w:rFonts w:cs="Times New Roman"/>
          <w:lang w:bidi="ar"/>
        </w:rPr>
        <w:t>.5m，总坝高5</w:t>
      </w:r>
      <w:r>
        <w:rPr>
          <w:rFonts w:hint="eastAsia" w:cs="Times New Roman"/>
          <w:lang w:bidi="ar"/>
        </w:rPr>
        <w:t>1.5</w:t>
      </w:r>
      <w:r>
        <w:rPr>
          <w:rFonts w:cs="Times New Roman"/>
          <w:lang w:bidi="ar"/>
        </w:rPr>
        <w:t>m，堆存磷石膏69.62万m</w:t>
      </w:r>
      <w:r>
        <w:rPr>
          <w:rFonts w:cs="Times New Roman"/>
          <w:vertAlign w:val="superscript"/>
          <w:lang w:bidi="ar"/>
        </w:rPr>
        <w:t>3</w:t>
      </w:r>
      <w:r>
        <w:rPr>
          <w:rFonts w:cs="Times New Roman"/>
          <w:lang w:bidi="ar"/>
        </w:rPr>
        <w:t>，根据渣场环境风险隐患整治一库一策，后续需要堆填甘松箐磷石膏渣场的改性磷石膏60.91万m</w:t>
      </w:r>
      <w:r>
        <w:rPr>
          <w:rFonts w:cs="Times New Roman"/>
          <w:vertAlign w:val="superscript"/>
          <w:lang w:bidi="ar"/>
        </w:rPr>
        <w:t>3</w:t>
      </w:r>
      <w:r>
        <w:rPr>
          <w:rFonts w:cs="Times New Roman"/>
          <w:lang w:bidi="ar"/>
        </w:rPr>
        <w:t>，结合现状地形和磷石膏堆存要求，需要对渣场东南侧进行清理、防渗，然后堆填无害化磷石膏，最终堆填标高为2072.5m，堆积坝高55m，总坝高62.5m，总库容130.53万m</w:t>
      </w:r>
      <w:r>
        <w:rPr>
          <w:rFonts w:cs="Times New Roman"/>
          <w:vertAlign w:val="superscript"/>
          <w:lang w:bidi="ar"/>
        </w:rPr>
        <w:t>3</w:t>
      </w:r>
      <w:r>
        <w:rPr>
          <w:rFonts w:cs="Times New Roman"/>
          <w:lang w:bidi="ar"/>
        </w:rPr>
        <w:t>，按《磷石膏库安全技术规程》（AQ2059-2016），属于三等库。</w:t>
      </w:r>
    </w:p>
    <w:p w14:paraId="0071FCEB">
      <w:pPr>
        <w:pStyle w:val="53"/>
        <w:ind w:firstLine="560"/>
        <w:rPr>
          <w:sz w:val="28"/>
          <w:szCs w:val="28"/>
          <w:lang w:bidi="ar"/>
        </w:rPr>
      </w:pPr>
      <w:r>
        <w:rPr>
          <w:sz w:val="28"/>
          <w:szCs w:val="28"/>
          <w:lang w:bidi="ar"/>
        </w:rPr>
        <w:t>根据《云南兴昆化工有限公司大坟箐磷石膏渣场堆存整治设计》，本次大坟箐磷石膏渣场</w:t>
      </w:r>
      <w:r>
        <w:rPr>
          <w:rFonts w:hint="eastAsia"/>
          <w:sz w:val="28"/>
          <w:szCs w:val="28"/>
          <w:lang w:bidi="ar"/>
        </w:rPr>
        <w:t>堆存整治设计针对渣场现状边坡较陡，后续需要堆存甘松箐磷石膏渣场的改性磷石膏问题，采取</w:t>
      </w:r>
      <w:r>
        <w:rPr>
          <w:sz w:val="28"/>
          <w:szCs w:val="28"/>
          <w:lang w:bidi="ar"/>
        </w:rPr>
        <w:t>渣场现状边坡修整、渣场东侧地表清理及防渗、接收甘松箐磷石膏渣库改性磷石膏进场堆存、堆存完后渣场表层防渗及覆土复绿、完善截排水设施、监测设施建设等措施，</w:t>
      </w:r>
      <w:r>
        <w:rPr>
          <w:rFonts w:hint="eastAsia"/>
          <w:sz w:val="28"/>
          <w:szCs w:val="28"/>
          <w:lang w:bidi="ar"/>
        </w:rPr>
        <w:t>项目主要工程内容为：</w:t>
      </w:r>
    </w:p>
    <w:p w14:paraId="143D9D51">
      <w:pPr>
        <w:pStyle w:val="4"/>
      </w:pPr>
      <w:bookmarkStart w:id="56" w:name="_Toc230699581"/>
      <w:r>
        <w:rPr>
          <w:rFonts w:hint="eastAsia"/>
        </w:rPr>
        <w:t>2.5.2渣场现状边坡修整</w:t>
      </w:r>
      <w:bookmarkEnd w:id="56"/>
    </w:p>
    <w:p w14:paraId="18B19B36">
      <w:pPr>
        <w:widowControl/>
        <w:ind w:firstLine="560"/>
        <w:jc w:val="left"/>
      </w:pPr>
      <w:r>
        <w:t>根据渣场现状稳定性分析，</w:t>
      </w:r>
      <w:r>
        <w:rPr>
          <w:rFonts w:hint="eastAsia" w:cs="Times New Roman"/>
        </w:rPr>
        <w:t>在现状为四等库情况下，渣场</w:t>
      </w:r>
      <w:r>
        <w:t>在正常运行工况下安全系数1.26-1.54，处于稳定状态，特殊运行工况下安全系数1.10-1.27，处于稳定状态。</w:t>
      </w:r>
      <w:r>
        <w:rPr>
          <w:rFonts w:hint="eastAsia"/>
        </w:rPr>
        <w:t>但后续需要继续堆高，最终渣场等级为三等库，按三等库安全稳定系数要求，现状边坡不满足要求，需要进行处理处置。</w:t>
      </w:r>
    </w:p>
    <w:p w14:paraId="7B201738">
      <w:pPr>
        <w:widowControl/>
        <w:ind w:firstLine="560"/>
        <w:jc w:val="left"/>
        <w:rPr>
          <w:rFonts w:cs="Times New Roman"/>
        </w:rPr>
      </w:pPr>
      <w:r>
        <w:rPr>
          <w:rFonts w:hint="eastAsia" w:cs="Times New Roman"/>
        </w:rPr>
        <w:t>现状</w:t>
      </w:r>
      <w:r>
        <w:rPr>
          <w:rFonts w:cs="Times New Roman"/>
        </w:rPr>
        <w:t>堆积磷石膏现已形成9个平台，目前磷石膏渣堆高约</w:t>
      </w:r>
      <w:r>
        <w:rPr>
          <w:rFonts w:hint="eastAsia" w:cs="Times New Roman"/>
        </w:rPr>
        <w:t>44.5</w:t>
      </w:r>
      <w:r>
        <w:rPr>
          <w:rFonts w:cs="Times New Roman"/>
        </w:rPr>
        <w:t>m，第9个平台为顶部平台，现状已停止生产，各个平台间高度约为5m，第三、第四、第五平台外坡比约</w:t>
      </w:r>
      <w:r>
        <w:rPr>
          <w:rFonts w:hint="eastAsia" w:cs="Times New Roman"/>
        </w:rPr>
        <w:t>1：1.07（</w:t>
      </w:r>
      <w:r>
        <w:rPr>
          <w:rFonts w:cs="Times New Roman"/>
        </w:rPr>
        <w:t>坡面角约43°），第六-第九平台外坡比约</w:t>
      </w:r>
      <w:r>
        <w:rPr>
          <w:rFonts w:hint="eastAsia" w:cs="Times New Roman"/>
        </w:rPr>
        <w:t>1：0.7（</w:t>
      </w:r>
      <w:r>
        <w:rPr>
          <w:rFonts w:cs="Times New Roman"/>
        </w:rPr>
        <w:t>坡面角约55°），平台宽约1.5～2.5m左右。</w:t>
      </w:r>
    </w:p>
    <w:p w14:paraId="1B48D063">
      <w:pPr>
        <w:pStyle w:val="38"/>
        <w:ind w:firstLine="560" w:firstLineChars="200"/>
        <w:jc w:val="both"/>
        <w:rPr>
          <w:rFonts w:hint="default" w:cs="Times New Roman"/>
          <w:sz w:val="28"/>
        </w:rPr>
      </w:pPr>
      <w:r>
        <w:rPr>
          <w:rFonts w:hint="default" w:cs="Times New Roman"/>
          <w:sz w:val="28"/>
        </w:rPr>
        <w:t>在磷石膏削坡整形的开挖过程中，应通过工程施工组织设计，减少开挖作业面裸露面积及时间，做好现场喷雾、洒水等扬尘控制措施，并及时对开挖作业面进行覆盖。同时做好开挖区域周边的截排水沟，防止雨水进入开挖区域形成渗滤液。</w:t>
      </w:r>
      <w:r>
        <w:rPr>
          <w:rFonts w:cs="Times New Roman"/>
          <w:sz w:val="28"/>
        </w:rPr>
        <w:t>渣场边坡修整剖面图详见附图5。</w:t>
      </w:r>
    </w:p>
    <w:p w14:paraId="65107F04">
      <w:pPr>
        <w:pStyle w:val="4"/>
      </w:pPr>
      <w:bookmarkStart w:id="57" w:name="_Toc230699582"/>
      <w:r>
        <w:rPr>
          <w:rFonts w:hint="eastAsia"/>
        </w:rPr>
        <w:t>2.5.3渣场东南侧地表清理及防渗</w:t>
      </w:r>
      <w:bookmarkEnd w:id="57"/>
    </w:p>
    <w:p w14:paraId="22274071">
      <w:pPr>
        <w:widowControl/>
        <w:ind w:firstLine="560"/>
        <w:jc w:val="left"/>
        <w:rPr>
          <w:rFonts w:cs="Times New Roman"/>
        </w:rPr>
      </w:pPr>
      <w:r>
        <w:rPr>
          <w:rFonts w:cs="Times New Roman"/>
        </w:rPr>
        <w:t>根据整治设计，渣场削坡整形至安全稳定状态后，接纳从甘松箐磷石膏渣场运输过来的改性磷石膏进行堆存，根据大坟箐磷石膏渣场现状，改性磷石膏主要堆存在渣场东</w:t>
      </w:r>
      <w:r>
        <w:rPr>
          <w:rFonts w:hint="eastAsia" w:cs="Times New Roman"/>
        </w:rPr>
        <w:t>南</w:t>
      </w:r>
      <w:r>
        <w:rPr>
          <w:rFonts w:cs="Times New Roman"/>
        </w:rPr>
        <w:t>侧及顶部，根据现状地形图测算，东</w:t>
      </w:r>
      <w:r>
        <w:rPr>
          <w:rFonts w:hint="eastAsia" w:cs="Times New Roman"/>
        </w:rPr>
        <w:t>南</w:t>
      </w:r>
      <w:r>
        <w:rPr>
          <w:rFonts w:cs="Times New Roman"/>
        </w:rPr>
        <w:t>侧约10381.6</w:t>
      </w:r>
      <w:r>
        <w:rPr>
          <w:rFonts w:hint="eastAsia" w:cs="Times New Roman"/>
        </w:rPr>
        <w:t>5</w:t>
      </w:r>
      <w:r>
        <w:rPr>
          <w:rFonts w:cs="Times New Roman"/>
        </w:rPr>
        <w:t>m</w:t>
      </w:r>
      <w:r>
        <w:rPr>
          <w:rFonts w:cs="Times New Roman"/>
          <w:vertAlign w:val="superscript"/>
        </w:rPr>
        <w:t>2</w:t>
      </w:r>
      <w:r>
        <w:rPr>
          <w:rFonts w:cs="Times New Roman"/>
        </w:rPr>
        <w:t>区域需要堆填改性磷石膏，因此对东</w:t>
      </w:r>
      <w:r>
        <w:rPr>
          <w:rFonts w:hint="eastAsia" w:cs="Times New Roman"/>
        </w:rPr>
        <w:t>南</w:t>
      </w:r>
      <w:r>
        <w:rPr>
          <w:rFonts w:cs="Times New Roman"/>
        </w:rPr>
        <w:t>侧区域进行表层清理，清除表层植被、腐殖土等，然后</w:t>
      </w:r>
      <w:r>
        <w:rPr>
          <w:rFonts w:hint="eastAsia" w:cs="Times New Roman"/>
        </w:rPr>
        <w:t>铺设底部</w:t>
      </w:r>
      <w:r>
        <w:rPr>
          <w:rFonts w:cs="Times New Roman"/>
        </w:rPr>
        <w:t>防渗层，</w:t>
      </w:r>
      <w:r>
        <w:rPr>
          <w:rFonts w:hint="eastAsia" w:cs="Times New Roman"/>
        </w:rPr>
        <w:t>采用1.5mmHDPE防渗膜防渗</w:t>
      </w:r>
      <w:r>
        <w:rPr>
          <w:rFonts w:cs="Times New Roman"/>
        </w:rPr>
        <w:t>。</w:t>
      </w:r>
    </w:p>
    <w:p w14:paraId="3B3353A2">
      <w:pPr>
        <w:widowControl/>
        <w:ind w:firstLine="560"/>
        <w:jc w:val="left"/>
        <w:rPr>
          <w:rFonts w:cs="Times New Roman"/>
        </w:rPr>
      </w:pPr>
      <w:r>
        <w:rPr>
          <w:rFonts w:hint="eastAsia" w:cs="Times New Roman"/>
        </w:rPr>
        <w:t>底部</w:t>
      </w:r>
      <w:r>
        <w:rPr>
          <w:rFonts w:cs="Times New Roman"/>
        </w:rPr>
        <w:t>防渗层结构参照《一般工业固体废物贮存和填埋污染控制标准》（GB18599-2020）II类处置场，设置</w:t>
      </w:r>
      <w:r>
        <w:rPr>
          <w:rFonts w:hint="eastAsia" w:cs="Times New Roman"/>
        </w:rPr>
        <w:t>0.75m压实粘土支撑层+两布一膜（400g/m</w:t>
      </w:r>
      <w:r>
        <w:rPr>
          <w:rFonts w:hint="eastAsia" w:cs="Times New Roman"/>
          <w:vertAlign w:val="superscript"/>
        </w:rPr>
        <w:t>2</w:t>
      </w:r>
      <w:r>
        <w:rPr>
          <w:rFonts w:hint="eastAsia" w:cs="Times New Roman"/>
        </w:rPr>
        <w:t>无纺长丝土工布+1.5mm单糙面HDPE防渗膜+400g/m</w:t>
      </w:r>
      <w:r>
        <w:rPr>
          <w:rFonts w:hint="eastAsia" w:cs="Times New Roman"/>
          <w:vertAlign w:val="superscript"/>
        </w:rPr>
        <w:t>2</w:t>
      </w:r>
      <w:r>
        <w:rPr>
          <w:rFonts w:hint="eastAsia" w:cs="Times New Roman"/>
        </w:rPr>
        <w:t>无纺长丝土工布）防渗层</w:t>
      </w:r>
      <w:r>
        <w:rPr>
          <w:rFonts w:cs="Times New Roman"/>
        </w:rPr>
        <w:t>。</w:t>
      </w:r>
    </w:p>
    <w:p w14:paraId="089B8CA9">
      <w:pPr>
        <w:pStyle w:val="4"/>
      </w:pPr>
      <w:bookmarkStart w:id="58" w:name="_Toc230699583"/>
      <w:r>
        <w:rPr>
          <w:rFonts w:hint="eastAsia"/>
        </w:rPr>
        <w:t>2.5.4改性磷石膏堆存</w:t>
      </w:r>
      <w:bookmarkEnd w:id="58"/>
    </w:p>
    <w:p w14:paraId="4F866E63">
      <w:pPr>
        <w:widowControl/>
        <w:ind w:firstLine="560"/>
        <w:jc w:val="left"/>
        <w:rPr>
          <w:rFonts w:cs="Times New Roman"/>
        </w:rPr>
      </w:pPr>
      <w:r>
        <w:rPr>
          <w:rFonts w:cs="Times New Roman"/>
        </w:rPr>
        <w:t>根据甘松箐磷石膏渣场环境风险隐患排查报告及大坟箐磷石膏渣场堆存整治设计，甘松箐磷石膏渣场堆存磷石膏的量为</w:t>
      </w:r>
      <w:r>
        <w:rPr>
          <w:rFonts w:hint="eastAsia" w:cs="Times New Roman"/>
        </w:rPr>
        <w:t>60.91</w:t>
      </w:r>
      <w:r>
        <w:rPr>
          <w:rFonts w:cs="Times New Roman"/>
        </w:rPr>
        <w:t>万m</w:t>
      </w:r>
      <w:r>
        <w:rPr>
          <w:rFonts w:cs="Times New Roman"/>
          <w:vertAlign w:val="superscript"/>
        </w:rPr>
        <w:t>3</w:t>
      </w:r>
      <w:r>
        <w:rPr>
          <w:rFonts w:cs="Times New Roman"/>
        </w:rPr>
        <w:t>，全部改性无害化处理后运输至大坟箐磷石膏渣场堆存。根据大坟箐磷石膏渣场现状，堆存运输过来的</w:t>
      </w:r>
      <w:r>
        <w:rPr>
          <w:rFonts w:hint="eastAsia" w:cs="Times New Roman"/>
        </w:rPr>
        <w:t>60.91</w:t>
      </w:r>
      <w:r>
        <w:rPr>
          <w:rFonts w:cs="Times New Roman"/>
        </w:rPr>
        <w:t>万m</w:t>
      </w:r>
      <w:r>
        <w:rPr>
          <w:rFonts w:cs="Times New Roman"/>
          <w:vertAlign w:val="superscript"/>
        </w:rPr>
        <w:t>3</w:t>
      </w:r>
      <w:r>
        <w:rPr>
          <w:rFonts w:cs="Times New Roman"/>
        </w:rPr>
        <w:t>改性磷石膏，需要占用渣场东南侧约</w:t>
      </w:r>
      <w:r>
        <w:rPr>
          <w:rFonts w:hint="eastAsia" w:cs="Times New Roman"/>
        </w:rPr>
        <w:t>10381.65</w:t>
      </w:r>
      <w:r>
        <w:rPr>
          <w:rFonts w:cs="Times New Roman"/>
        </w:rPr>
        <w:t>m</w:t>
      </w:r>
      <w:r>
        <w:rPr>
          <w:rFonts w:cs="Times New Roman"/>
          <w:vertAlign w:val="superscript"/>
        </w:rPr>
        <w:t>2</w:t>
      </w:r>
      <w:r>
        <w:rPr>
          <w:rFonts w:cs="Times New Roman"/>
        </w:rPr>
        <w:t>区域，并从现有顶部平台再堆高1</w:t>
      </w:r>
      <w:r>
        <w:rPr>
          <w:rFonts w:hint="eastAsia" w:cs="Times New Roman"/>
        </w:rPr>
        <w:t>0</w:t>
      </w:r>
      <w:r>
        <w:rPr>
          <w:rFonts w:cs="Times New Roman"/>
        </w:rPr>
        <w:t>m，至标高207</w:t>
      </w:r>
      <w:r>
        <w:rPr>
          <w:rFonts w:hint="eastAsia" w:cs="Times New Roman"/>
        </w:rPr>
        <w:t>2.5</w:t>
      </w:r>
      <w:r>
        <w:rPr>
          <w:rFonts w:cs="Times New Roman"/>
        </w:rPr>
        <w:t>m标高。</w:t>
      </w:r>
    </w:p>
    <w:p w14:paraId="3B2DED08">
      <w:pPr>
        <w:widowControl/>
        <w:ind w:firstLine="560"/>
        <w:jc w:val="left"/>
        <w:rPr>
          <w:rFonts w:cs="Times New Roman"/>
        </w:rPr>
      </w:pPr>
      <w:r>
        <w:rPr>
          <w:rFonts w:cs="Times New Roman"/>
        </w:rPr>
        <w:t>改性磷石膏堆存</w:t>
      </w:r>
      <w:r>
        <w:rPr>
          <w:rFonts w:hint="eastAsia" w:cs="Times New Roman"/>
        </w:rPr>
        <w:t>在渣场东南侧，堆积标高从2017.5-2072.5m，从下往上分层碾压堆存，</w:t>
      </w:r>
      <w:r>
        <w:rPr>
          <w:rFonts w:cs="Times New Roman"/>
        </w:rPr>
        <w:t>控制总坡比1:2.4。改性磷石膏堆填方式为干堆，要求改性磷石膏入场含水率小于</w:t>
      </w:r>
      <w:r>
        <w:rPr>
          <w:rFonts w:hint="eastAsia" w:cs="Times New Roman"/>
        </w:rPr>
        <w:t>3</w:t>
      </w:r>
      <w:r>
        <w:rPr>
          <w:rFonts w:cs="Times New Roman"/>
        </w:rPr>
        <w:t xml:space="preserve">0%。从场地西侧至东侧分层碾压堆填，改性磷石膏由汽车运输至堆填区内，通过配套推土机、压路机、挖掘机等机械设备予以分区、分层碾压堆存，分层厚度≤0.5m，具体分层厚度和碾压遍数根据碾压试验确定，达到压实度0.92。外坡每5m高差分一层，修整外坡坡比1:2.0，再留置层间平台，宽度2m，总坡比控制1:2.4，场内顶部平整坡度按2%控制。 </w:t>
      </w:r>
    </w:p>
    <w:p w14:paraId="7A52C39D">
      <w:pPr>
        <w:widowControl/>
        <w:ind w:firstLine="560"/>
        <w:jc w:val="left"/>
        <w:rPr>
          <w:rFonts w:cs="Times New Roman"/>
        </w:rPr>
      </w:pPr>
      <w:r>
        <w:rPr>
          <w:rFonts w:cs="Times New Roman"/>
        </w:rPr>
        <w:t>在每层平台上修建坡面雨水沟，沟断面</w:t>
      </w:r>
      <w:r>
        <w:rPr>
          <w:rFonts w:hint="eastAsia" w:cs="Times New Roman"/>
        </w:rPr>
        <w:t>3</w:t>
      </w:r>
      <w:r>
        <w:rPr>
          <w:rFonts w:cs="Times New Roman"/>
        </w:rPr>
        <w:t>00mm×</w:t>
      </w:r>
      <w:r>
        <w:rPr>
          <w:rFonts w:hint="eastAsia" w:cs="Times New Roman"/>
        </w:rPr>
        <w:t>4</w:t>
      </w:r>
      <w:r>
        <w:rPr>
          <w:rFonts w:cs="Times New Roman"/>
        </w:rPr>
        <w:t>00mm，坡度不小于0.01，坡向坝坡纵向坡面排水沟，纵向坡面排水沟间隔100m设置一条，断面500mm×600mm。</w:t>
      </w:r>
      <w:r>
        <w:rPr>
          <w:rFonts w:hint="eastAsia" w:cs="Times New Roman"/>
        </w:rPr>
        <w:t>无害化磷石膏</w:t>
      </w:r>
      <w:r>
        <w:rPr>
          <w:rFonts w:cs="Times New Roman"/>
        </w:rPr>
        <w:t>堆填期间表层雨水导流至渗滤液收集池，</w:t>
      </w:r>
      <w:r>
        <w:rPr>
          <w:rFonts w:hint="eastAsia" w:cs="Times New Roman"/>
        </w:rPr>
        <w:t>与渣场原渗滤液分开收集，原渣场渗滤液用于原堆填区域洒水降尘，无害化磷石膏堆存产生的渗滤液用于无害化磷石膏堆存区</w:t>
      </w:r>
      <w:r>
        <w:rPr>
          <w:rFonts w:cs="Times New Roman"/>
        </w:rPr>
        <w:t>场地回喷抑尘。</w:t>
      </w:r>
      <w:r>
        <w:rPr>
          <w:rFonts w:hint="eastAsia" w:cs="Times New Roman"/>
        </w:rPr>
        <w:t>利用不完的，采用罐车拉回至云南兴昆化工有限公司进行处理后厂区回用。</w:t>
      </w:r>
    </w:p>
    <w:p w14:paraId="01D26394">
      <w:pPr>
        <w:pStyle w:val="4"/>
      </w:pPr>
      <w:bookmarkStart w:id="59" w:name="_Toc230699584"/>
      <w:r>
        <w:rPr>
          <w:rFonts w:hint="eastAsia"/>
        </w:rPr>
        <w:t>2.5.5 封场表层防渗及覆土复绿</w:t>
      </w:r>
      <w:bookmarkEnd w:id="59"/>
    </w:p>
    <w:p w14:paraId="7EA297B4">
      <w:pPr>
        <w:widowControl/>
        <w:ind w:firstLine="560"/>
        <w:jc w:val="left"/>
        <w:rPr>
          <w:rFonts w:cs="Times New Roman"/>
        </w:rPr>
      </w:pPr>
      <w:r>
        <w:rPr>
          <w:rFonts w:cs="Times New Roman"/>
        </w:rPr>
        <w:t>根据整治设计，甘松箐改性磷石膏全部堆填完成，对大坟箐渣场进行封场，首先对顶部做表层防渗处理，以阻隔场内表层雨水渗入堆体，减少渗滤液的产生，然后覆土复绿。</w:t>
      </w:r>
    </w:p>
    <w:p w14:paraId="266FBE49">
      <w:pPr>
        <w:widowControl/>
        <w:ind w:firstLine="560"/>
        <w:jc w:val="left"/>
        <w:rPr>
          <w:rFonts w:cs="Times New Roman"/>
        </w:rPr>
      </w:pPr>
      <w:r>
        <w:rPr>
          <w:rFonts w:cs="Times New Roman"/>
        </w:rPr>
        <w:t>表层防渗层结构参照《一般工业固体废物贮存和填埋污染控制标准》（GB18599-2020）II类处置场封场结构，设置阻隔层、雨水导排层、覆盖土层。阻隔层采用1.5mmHDPE防渗膜，雨水导排层采用6.0mm复合土工排水网，覆盖土层分为二层，首先铺设一层0.5m厚的支持土层，然后表层铺设0.3m厚的耕植营养土层，覆土完成后播撒草籽复绿，然后种植小型灌木复垦为灌木林地。</w:t>
      </w:r>
    </w:p>
    <w:p w14:paraId="4ABA3375">
      <w:pPr>
        <w:pStyle w:val="4"/>
      </w:pPr>
      <w:bookmarkStart w:id="60" w:name="_Toc230699585"/>
      <w:r>
        <w:rPr>
          <w:rFonts w:hint="eastAsia"/>
        </w:rPr>
        <w:t>2.5.6完善截排水设施</w:t>
      </w:r>
      <w:bookmarkEnd w:id="60"/>
    </w:p>
    <w:p w14:paraId="7E804F9D">
      <w:pPr>
        <w:ind w:firstLine="560"/>
      </w:pPr>
      <w:r>
        <w:rPr>
          <w:rFonts w:hint="eastAsia"/>
        </w:rPr>
        <w:t>根据设计资料，结合现场勘查，该渣场在东侧设置有截洪沟，在西侧设置有排水沟，底部设有1座调节池，除东南侧坡脚设有雨水沟外，各堆至平台未设置排水设施。</w:t>
      </w:r>
    </w:p>
    <w:p w14:paraId="0AF5A979">
      <w:pPr>
        <w:pStyle w:val="5"/>
      </w:pPr>
      <w:r>
        <w:rPr>
          <w:rFonts w:hint="eastAsia"/>
        </w:rPr>
        <w:t>2.5.6.1渣场现状排洪设施验算</w:t>
      </w:r>
    </w:p>
    <w:p w14:paraId="2F78986A">
      <w:pPr>
        <w:ind w:firstLine="560"/>
      </w:pPr>
      <w:r>
        <w:rPr>
          <w:rFonts w:hint="eastAsia"/>
        </w:rPr>
        <w:t>根据</w:t>
      </w:r>
      <w:r>
        <w:t>《云南兴昆化工有限公司大坟箐磷石膏渣场堆存整治设计》，将渣场现状排洪设施验算简述如下：</w:t>
      </w:r>
    </w:p>
    <w:p w14:paraId="4E843874">
      <w:pPr>
        <w:ind w:firstLine="562"/>
        <w:rPr>
          <w:b/>
        </w:rPr>
      </w:pPr>
      <w:r>
        <w:rPr>
          <w:rFonts w:hint="eastAsia"/>
          <w:b/>
        </w:rPr>
        <w:t>一、洪水计算</w:t>
      </w:r>
    </w:p>
    <w:p w14:paraId="0AFAA83D">
      <w:pPr>
        <w:ind w:firstLine="560"/>
      </w:pPr>
      <w:r>
        <w:t>（</w:t>
      </w:r>
      <w:r>
        <w:rPr>
          <w:rFonts w:hint="eastAsia"/>
        </w:rPr>
        <w:t>1</w:t>
      </w:r>
      <w:r>
        <w:t>）防洪标准</w:t>
      </w:r>
    </w:p>
    <w:p w14:paraId="200A3EA1">
      <w:pPr>
        <w:ind w:firstLine="560"/>
      </w:pPr>
      <w:r>
        <w:rPr>
          <w:bCs/>
        </w:rPr>
        <w:t>云南兴昆化工有限公司甸头村大坟箐磷石膏渣场现状</w:t>
      </w:r>
      <w:r>
        <w:t>总坝高50.0m，库容</w:t>
      </w:r>
      <w:r>
        <w:rPr>
          <w:rFonts w:hint="eastAsia"/>
        </w:rPr>
        <w:t>69.62</w:t>
      </w:r>
      <w:r>
        <w:t>万m</w:t>
      </w:r>
      <w:r>
        <w:rPr>
          <w:vertAlign w:val="superscript"/>
        </w:rPr>
        <w:t>3</w:t>
      </w:r>
      <w:r>
        <w:t>，根据《磷石膏库安全技术规程》（AQ2059-2016），该磷石膏渣场现状为</w:t>
      </w:r>
      <w:r>
        <w:rPr>
          <w:bCs/>
        </w:rPr>
        <w:t>四等</w:t>
      </w:r>
      <w:r>
        <w:t>库。</w:t>
      </w:r>
      <w:r>
        <w:rPr>
          <w:bCs/>
        </w:rPr>
        <w:t>设计</w:t>
      </w:r>
      <w:r>
        <w:t>洪水标准为100年一遇（P=1%）洪水重现期。</w:t>
      </w:r>
    </w:p>
    <w:p w14:paraId="729845E4">
      <w:pPr>
        <w:ind w:firstLine="560"/>
      </w:pPr>
      <w:r>
        <w:rPr>
          <w:rFonts w:hint="eastAsia"/>
        </w:rPr>
        <w:t>（2）汇水面积</w:t>
      </w:r>
    </w:p>
    <w:p w14:paraId="3400ADE8">
      <w:pPr>
        <w:ind w:firstLine="560"/>
      </w:pPr>
      <w:r>
        <w:t>根据磷石膏渣场区域卫星地图，</w:t>
      </w:r>
      <w:r>
        <w:rPr>
          <w:bCs/>
        </w:rPr>
        <w:t>云南兴昆化工有限公司甸头村大坟箐磷石膏渣场</w:t>
      </w:r>
      <w:r>
        <w:t>总汇流面积0.0776km</w:t>
      </w:r>
      <w:r>
        <w:rPr>
          <w:vertAlign w:val="superscript"/>
        </w:rPr>
        <w:t>2</w:t>
      </w:r>
      <w:r>
        <w:t>。</w:t>
      </w:r>
    </w:p>
    <w:p w14:paraId="6E5BCDAF">
      <w:pPr>
        <w:tabs>
          <w:tab w:val="right" w:leader="middleDot" w:pos="9450"/>
        </w:tabs>
        <w:spacing w:line="240" w:lineRule="auto"/>
        <w:ind w:firstLine="0" w:firstLineChars="0"/>
        <w:jc w:val="center"/>
        <w:rPr>
          <w:sz w:val="24"/>
          <w:szCs w:val="24"/>
        </w:rPr>
      </w:pPr>
    </w:p>
    <w:p w14:paraId="22925BE2">
      <w:pPr>
        <w:tabs>
          <w:tab w:val="left" w:pos="142"/>
        </w:tabs>
        <w:spacing w:line="240" w:lineRule="auto"/>
        <w:ind w:firstLine="560"/>
        <w:jc w:val="left"/>
      </w:pPr>
      <w:r>
        <w:t>渣场汇水面积为0.</w:t>
      </w:r>
      <w:r>
        <w:rPr>
          <w:rFonts w:hint="eastAsia"/>
        </w:rPr>
        <w:t>0776</w:t>
      </w:r>
      <w:r>
        <w:t>km</w:t>
      </w:r>
      <w:r>
        <w:rPr>
          <w:vertAlign w:val="superscript"/>
        </w:rPr>
        <w:t>2</w:t>
      </w:r>
      <w:r>
        <w:t>，径流长0.41km，流域坡降0.12，</w:t>
      </w:r>
      <w:r>
        <w:rPr>
          <w:bCs/>
        </w:rPr>
        <w:t>流域系数：</w:t>
      </w:r>
      <w:r>
        <w:rPr>
          <w:position w:val="-24"/>
        </w:rPr>
        <w:object>
          <v:shape id="_x0000_i1026" o:spt="75" type="#_x0000_t75" style="height:33.2pt;width:82.45pt;" o:ole="t" filled="f" o:preferrelative="t" stroked="f" coordsize="21600,21600">
            <v:path/>
            <v:fill on="f" focussize="0,0"/>
            <v:stroke on="f" joinstyle="miter"/>
            <v:imagedata r:id="rId19" o:title=""/>
            <o:lock v:ext="edit" aspectratio="t"/>
            <w10:wrap type="none"/>
            <w10:anchorlock/>
          </v:shape>
          <o:OLEObject Type="Embed" ProgID="Equation.3" ShapeID="_x0000_i1026" DrawAspect="Content" ObjectID="_1468075725" r:id="rId18">
            <o:LockedField>false</o:LockedField>
          </o:OLEObject>
        </w:object>
      </w:r>
      <w:r>
        <w:t>。</w:t>
      </w:r>
    </w:p>
    <w:p w14:paraId="7772FF0D">
      <w:pPr>
        <w:ind w:firstLine="560"/>
      </w:pPr>
      <w:r>
        <w:rPr>
          <w:rFonts w:hint="eastAsia"/>
        </w:rPr>
        <w:t>（3）水文计算参数</w:t>
      </w:r>
    </w:p>
    <w:p w14:paraId="24223993">
      <w:pPr>
        <w:tabs>
          <w:tab w:val="right" w:leader="middleDot" w:pos="9450"/>
        </w:tabs>
        <w:ind w:firstLine="560"/>
      </w:pPr>
      <w:r>
        <w:t>查《云南省暴雨洪水查算实用手册》（1992年版）和《云南省暴雨统计参数图表》（2007年版）：</w:t>
      </w:r>
    </w:p>
    <w:p w14:paraId="0D34ABB8">
      <w:pPr>
        <w:tabs>
          <w:tab w:val="left" w:pos="142"/>
        </w:tabs>
        <w:ind w:firstLine="560"/>
      </w:pPr>
      <w:r>
        <w:t>晋宁地区的年最大24小时暴雨均值：H</w:t>
      </w:r>
      <w:r>
        <w:rPr>
          <w:vertAlign w:val="subscript"/>
        </w:rPr>
        <w:t>24均值</w:t>
      </w:r>
      <w:r>
        <w:t>=70mm，</w:t>
      </w:r>
    </w:p>
    <w:p w14:paraId="05503F26">
      <w:pPr>
        <w:tabs>
          <w:tab w:val="right" w:leader="middleDot" w:pos="9450"/>
        </w:tabs>
        <w:ind w:firstLine="560"/>
      </w:pPr>
      <w:r>
        <w:t>暴雨统计参数为Cv = 0.4，Cs = 3.5Cv。</w:t>
      </w:r>
    </w:p>
    <w:p w14:paraId="35D88D6D">
      <w:pPr>
        <w:tabs>
          <w:tab w:val="right" w:leader="middleDot" w:pos="9450"/>
        </w:tabs>
        <w:ind w:firstLine="560"/>
        <w:rPr>
          <w:bCs/>
        </w:rPr>
      </w:pPr>
      <w:r>
        <w:rPr>
          <w:bCs/>
        </w:rPr>
        <w:t>暴雨分区：11</w:t>
      </w:r>
      <w:r>
        <w:rPr>
          <w:bCs/>
          <w:vertAlign w:val="subscript"/>
        </w:rPr>
        <w:t>2</w:t>
      </w:r>
    </w:p>
    <w:p w14:paraId="5AAC4CC9">
      <w:pPr>
        <w:tabs>
          <w:tab w:val="right" w:leader="middleDot" w:pos="9450"/>
        </w:tabs>
        <w:ind w:firstLine="560"/>
        <w:rPr>
          <w:bCs/>
        </w:rPr>
      </w:pPr>
      <w:r>
        <w:rPr>
          <w:bCs/>
        </w:rPr>
        <w:t>产流参数分区：2</w:t>
      </w:r>
    </w:p>
    <w:p w14:paraId="74404AB2">
      <w:pPr>
        <w:tabs>
          <w:tab w:val="right" w:leader="middleDot" w:pos="9450"/>
        </w:tabs>
        <w:ind w:firstLine="560"/>
        <w:rPr>
          <w:bCs/>
        </w:rPr>
      </w:pPr>
      <w:r>
        <w:rPr>
          <w:bCs/>
        </w:rPr>
        <w:t>Wm（土壤前期最大缺水量）=100mm</w:t>
      </w:r>
    </w:p>
    <w:p w14:paraId="4E61C0D8">
      <w:pPr>
        <w:tabs>
          <w:tab w:val="right" w:leader="middleDot" w:pos="9450"/>
        </w:tabs>
        <w:ind w:firstLine="560"/>
        <w:rPr>
          <w:bCs/>
        </w:rPr>
      </w:pPr>
      <w:r>
        <w:rPr>
          <w:bCs/>
        </w:rPr>
        <w:t>Wt（土壤前期含水量）=78mm</w:t>
      </w:r>
    </w:p>
    <w:p w14:paraId="33518916">
      <w:pPr>
        <w:tabs>
          <w:tab w:val="right" w:leader="middleDot" w:pos="9450"/>
        </w:tabs>
        <w:ind w:firstLine="560"/>
        <w:rPr>
          <w:bCs/>
        </w:rPr>
      </w:pPr>
      <w:r>
        <w:rPr>
          <w:bCs/>
        </w:rPr>
        <w:t>fc（土壤后期平均入渗率）=2.5mm/h</w:t>
      </w:r>
    </w:p>
    <w:p w14:paraId="36002214">
      <w:pPr>
        <w:tabs>
          <w:tab w:val="right" w:leader="middleDot" w:pos="9450"/>
        </w:tabs>
        <w:ind w:firstLine="560"/>
        <w:rPr>
          <w:bCs/>
        </w:rPr>
      </w:pPr>
      <w:r>
        <w:rPr>
          <w:bCs/>
        </w:rPr>
        <w:t>ΔR（降径关系不平衡缺水量）=10mm</w:t>
      </w:r>
    </w:p>
    <w:p w14:paraId="568314D1">
      <w:pPr>
        <w:tabs>
          <w:tab w:val="right" w:leader="middleDot" w:pos="9450"/>
        </w:tabs>
        <w:ind w:firstLine="560"/>
        <w:rPr>
          <w:bCs/>
        </w:rPr>
      </w:pPr>
      <w:r>
        <w:rPr>
          <w:bCs/>
        </w:rPr>
        <w:t>汇渗系数分区：4</w:t>
      </w:r>
    </w:p>
    <w:p w14:paraId="71525F67">
      <w:pPr>
        <w:tabs>
          <w:tab w:val="right" w:leader="middleDot" w:pos="9450"/>
        </w:tabs>
        <w:ind w:firstLine="560"/>
        <w:rPr>
          <w:bCs/>
        </w:rPr>
      </w:pPr>
      <w:r>
        <w:rPr>
          <w:bCs/>
        </w:rPr>
        <w:t>E（雨期日蒸发量）=3mm/d</w:t>
      </w:r>
    </w:p>
    <w:p w14:paraId="2702921A">
      <w:pPr>
        <w:tabs>
          <w:tab w:val="right" w:leader="middleDot" w:pos="9450"/>
        </w:tabs>
        <w:ind w:firstLine="560"/>
        <w:rPr>
          <w:bCs/>
        </w:rPr>
      </w:pPr>
      <w:r>
        <w:rPr>
          <w:bCs/>
        </w:rPr>
        <w:t>Cm=0.6</w:t>
      </w:r>
    </w:p>
    <w:p w14:paraId="29D42C19">
      <w:pPr>
        <w:tabs>
          <w:tab w:val="right" w:leader="middleDot" w:pos="9450"/>
        </w:tabs>
        <w:ind w:firstLine="560"/>
        <w:rPr>
          <w:bCs/>
        </w:rPr>
      </w:pPr>
      <w:r>
        <w:rPr>
          <w:bCs/>
        </w:rPr>
        <w:t>Cn=0.81</w:t>
      </w:r>
    </w:p>
    <w:p w14:paraId="61909111">
      <w:pPr>
        <w:tabs>
          <w:tab w:val="right" w:leader="middleDot" w:pos="9450"/>
        </w:tabs>
        <w:ind w:firstLine="560"/>
        <w:rPr>
          <w:bCs/>
          <w:vertAlign w:val="superscript"/>
        </w:rPr>
      </w:pPr>
      <w:r>
        <w:rPr>
          <w:bCs/>
        </w:rPr>
        <w:t>最大基流量：0.8m</w:t>
      </w:r>
      <w:r>
        <w:rPr>
          <w:bCs/>
          <w:vertAlign w:val="superscript"/>
        </w:rPr>
        <w:t>3</w:t>
      </w:r>
      <w:r>
        <w:rPr>
          <w:bCs/>
        </w:rPr>
        <w:t>/s·100km</w:t>
      </w:r>
      <w:r>
        <w:rPr>
          <w:bCs/>
          <w:vertAlign w:val="superscript"/>
        </w:rPr>
        <w:t>2</w:t>
      </w:r>
    </w:p>
    <w:p w14:paraId="639F48CC">
      <w:pPr>
        <w:ind w:firstLine="560"/>
      </w:pPr>
      <w:r>
        <w:t>（</w:t>
      </w:r>
      <w:r>
        <w:rPr>
          <w:rFonts w:hint="eastAsia"/>
        </w:rPr>
        <w:t>4</w:t>
      </w:r>
      <w:r>
        <w:t>）洪水计算结果</w:t>
      </w:r>
    </w:p>
    <w:p w14:paraId="272FBC3D">
      <w:pPr>
        <w:ind w:firstLine="560"/>
      </w:pPr>
      <w:r>
        <w:t>洪水计算方法选用云南省水利水电厅暴雨洪水计算办公室2008年修订的《云南省暴雨径流查算图表》按推求洪水过程线的方法进行计算。</w:t>
      </w:r>
    </w:p>
    <w:p w14:paraId="52CF1229">
      <w:pPr>
        <w:pStyle w:val="51"/>
        <w:rPr>
          <w:rFonts w:ascii="Times New Roman" w:hAnsi="Times New Roman" w:cs="Times New Roman" w:eastAsiaTheme="minorEastAsia"/>
          <w:b w:val="0"/>
          <w:color w:val="auto"/>
          <w:sz w:val="24"/>
          <w:szCs w:val="24"/>
        </w:rPr>
      </w:pPr>
      <w:r>
        <w:rPr>
          <w:rFonts w:hint="eastAsia" w:ascii="Times New Roman" w:hAnsi="Times New Roman" w:cs="Times New Roman" w:eastAsiaTheme="minorEastAsia"/>
          <w:b w:val="0"/>
          <w:color w:val="auto"/>
          <w:sz w:val="24"/>
          <w:szCs w:val="24"/>
        </w:rPr>
        <w:t>表2.5-1 洪水计算结果</w:t>
      </w:r>
    </w:p>
    <w:tbl>
      <w:tblPr>
        <w:tblStyle w:val="33"/>
        <w:tblpPr w:leftFromText="180" w:rightFromText="180" w:vertAnchor="text" w:tblpXSpec="center" w:tblpY="231"/>
        <w:tblW w:w="8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2882"/>
        <w:gridCol w:w="2882"/>
        <w:gridCol w:w="1920"/>
      </w:tblGrid>
      <w:tr w14:paraId="7720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1276" w:type="dxa"/>
            <w:tcBorders>
              <w:top w:val="single" w:color="auto" w:sz="8" w:space="0"/>
              <w:left w:val="single" w:color="auto" w:sz="8" w:space="0"/>
            </w:tcBorders>
            <w:noWrap/>
          </w:tcPr>
          <w:p w14:paraId="53F0C341">
            <w:pPr>
              <w:tabs>
                <w:tab w:val="right" w:leader="middleDot" w:pos="9450"/>
              </w:tabs>
              <w:spacing w:line="240" w:lineRule="auto"/>
              <w:ind w:firstLine="0" w:firstLineChars="0"/>
              <w:jc w:val="center"/>
              <w:rPr>
                <w:bCs/>
                <w:sz w:val="21"/>
                <w:szCs w:val="21"/>
              </w:rPr>
            </w:pPr>
            <w:r>
              <w:rPr>
                <w:bCs/>
                <w:sz w:val="21"/>
                <w:szCs w:val="21"/>
              </w:rPr>
              <w:t>序号</w:t>
            </w:r>
          </w:p>
        </w:tc>
        <w:tc>
          <w:tcPr>
            <w:tcW w:w="2882" w:type="dxa"/>
            <w:tcBorders>
              <w:top w:val="single" w:color="auto" w:sz="8" w:space="0"/>
            </w:tcBorders>
            <w:noWrap/>
          </w:tcPr>
          <w:p w14:paraId="1138001D">
            <w:pPr>
              <w:tabs>
                <w:tab w:val="right" w:leader="middleDot" w:pos="9450"/>
              </w:tabs>
              <w:spacing w:line="240" w:lineRule="auto"/>
              <w:ind w:firstLine="0" w:firstLineChars="0"/>
              <w:jc w:val="center"/>
              <w:rPr>
                <w:bCs/>
                <w:sz w:val="21"/>
                <w:szCs w:val="21"/>
              </w:rPr>
            </w:pPr>
            <w:r>
              <w:rPr>
                <w:bCs/>
                <w:sz w:val="21"/>
                <w:szCs w:val="21"/>
              </w:rPr>
              <w:t>项    目</w:t>
            </w:r>
          </w:p>
        </w:tc>
        <w:tc>
          <w:tcPr>
            <w:tcW w:w="2882" w:type="dxa"/>
            <w:tcBorders>
              <w:top w:val="single" w:color="auto" w:sz="8" w:space="0"/>
            </w:tcBorders>
            <w:noWrap/>
          </w:tcPr>
          <w:p w14:paraId="0F6FF316">
            <w:pPr>
              <w:tabs>
                <w:tab w:val="right" w:leader="middleDot" w:pos="9450"/>
              </w:tabs>
              <w:spacing w:line="240" w:lineRule="auto"/>
              <w:ind w:firstLine="0" w:firstLineChars="0"/>
              <w:jc w:val="center"/>
              <w:rPr>
                <w:bCs/>
                <w:sz w:val="21"/>
                <w:szCs w:val="21"/>
              </w:rPr>
            </w:pPr>
            <w:r>
              <w:rPr>
                <w:bCs/>
                <w:sz w:val="21"/>
                <w:szCs w:val="21"/>
              </w:rPr>
              <w:t>单位</w:t>
            </w:r>
          </w:p>
        </w:tc>
        <w:tc>
          <w:tcPr>
            <w:tcW w:w="1920" w:type="dxa"/>
            <w:tcBorders>
              <w:top w:val="single" w:color="auto" w:sz="8" w:space="0"/>
              <w:right w:val="single" w:color="auto" w:sz="4" w:space="0"/>
            </w:tcBorders>
            <w:noWrap/>
          </w:tcPr>
          <w:p w14:paraId="409976FB">
            <w:pPr>
              <w:tabs>
                <w:tab w:val="right" w:leader="middleDot" w:pos="9450"/>
              </w:tabs>
              <w:spacing w:line="240" w:lineRule="auto"/>
              <w:ind w:firstLine="0" w:firstLineChars="0"/>
              <w:jc w:val="center"/>
              <w:rPr>
                <w:bCs/>
                <w:sz w:val="21"/>
                <w:szCs w:val="21"/>
              </w:rPr>
            </w:pPr>
            <w:r>
              <w:rPr>
                <w:bCs/>
                <w:sz w:val="21"/>
                <w:szCs w:val="21"/>
              </w:rPr>
              <w:t>P=1%</w:t>
            </w:r>
          </w:p>
        </w:tc>
      </w:tr>
      <w:tr w14:paraId="3FFF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1276" w:type="dxa"/>
            <w:tcBorders>
              <w:top w:val="single" w:color="auto" w:sz="4" w:space="0"/>
              <w:left w:val="single" w:color="auto" w:sz="8" w:space="0"/>
            </w:tcBorders>
            <w:noWrap/>
          </w:tcPr>
          <w:p w14:paraId="08246DBE">
            <w:pPr>
              <w:tabs>
                <w:tab w:val="right" w:leader="middleDot" w:pos="9450"/>
              </w:tabs>
              <w:spacing w:line="240" w:lineRule="auto"/>
              <w:ind w:firstLine="0" w:firstLineChars="0"/>
              <w:jc w:val="center"/>
              <w:rPr>
                <w:bCs/>
                <w:sz w:val="21"/>
                <w:szCs w:val="21"/>
              </w:rPr>
            </w:pPr>
            <w:r>
              <w:rPr>
                <w:bCs/>
                <w:sz w:val="21"/>
                <w:szCs w:val="21"/>
              </w:rPr>
              <w:t>1</w:t>
            </w:r>
          </w:p>
        </w:tc>
        <w:tc>
          <w:tcPr>
            <w:tcW w:w="2882" w:type="dxa"/>
            <w:tcBorders>
              <w:top w:val="single" w:color="auto" w:sz="4" w:space="0"/>
            </w:tcBorders>
            <w:noWrap/>
          </w:tcPr>
          <w:p w14:paraId="3EE4E14F">
            <w:pPr>
              <w:tabs>
                <w:tab w:val="right" w:leader="middleDot" w:pos="9450"/>
              </w:tabs>
              <w:spacing w:line="240" w:lineRule="auto"/>
              <w:ind w:firstLine="0" w:firstLineChars="0"/>
              <w:jc w:val="center"/>
              <w:rPr>
                <w:bCs/>
                <w:sz w:val="21"/>
                <w:szCs w:val="21"/>
              </w:rPr>
            </w:pPr>
            <w:r>
              <w:rPr>
                <w:bCs/>
                <w:sz w:val="21"/>
                <w:szCs w:val="21"/>
              </w:rPr>
              <w:t>汇水面积F</w:t>
            </w:r>
          </w:p>
        </w:tc>
        <w:tc>
          <w:tcPr>
            <w:tcW w:w="2882" w:type="dxa"/>
            <w:tcBorders>
              <w:top w:val="single" w:color="auto" w:sz="4" w:space="0"/>
            </w:tcBorders>
            <w:noWrap/>
          </w:tcPr>
          <w:p w14:paraId="51CD8611">
            <w:pPr>
              <w:tabs>
                <w:tab w:val="right" w:leader="middleDot" w:pos="9450"/>
              </w:tabs>
              <w:spacing w:line="240" w:lineRule="auto"/>
              <w:ind w:firstLine="0" w:firstLineChars="0"/>
              <w:jc w:val="center"/>
              <w:rPr>
                <w:bCs/>
                <w:sz w:val="21"/>
                <w:szCs w:val="21"/>
              </w:rPr>
            </w:pPr>
            <w:r>
              <w:rPr>
                <w:bCs/>
                <w:sz w:val="21"/>
                <w:szCs w:val="21"/>
              </w:rPr>
              <w:t>km</w:t>
            </w:r>
            <w:r>
              <w:rPr>
                <w:bCs/>
                <w:sz w:val="21"/>
                <w:szCs w:val="21"/>
                <w:vertAlign w:val="superscript"/>
              </w:rPr>
              <w:t>2</w:t>
            </w:r>
          </w:p>
        </w:tc>
        <w:tc>
          <w:tcPr>
            <w:tcW w:w="1920" w:type="dxa"/>
            <w:tcBorders>
              <w:top w:val="single" w:color="auto" w:sz="4" w:space="0"/>
              <w:right w:val="single" w:color="auto" w:sz="4" w:space="0"/>
            </w:tcBorders>
            <w:noWrap/>
          </w:tcPr>
          <w:p w14:paraId="12FBE830">
            <w:pPr>
              <w:spacing w:line="240" w:lineRule="auto"/>
              <w:ind w:firstLine="0" w:firstLineChars="0"/>
              <w:jc w:val="center"/>
              <w:rPr>
                <w:sz w:val="21"/>
                <w:szCs w:val="21"/>
              </w:rPr>
            </w:pPr>
            <w:r>
              <w:rPr>
                <w:bCs/>
                <w:sz w:val="21"/>
                <w:szCs w:val="21"/>
              </w:rPr>
              <w:t>0.0776</w:t>
            </w:r>
          </w:p>
        </w:tc>
      </w:tr>
      <w:tr w14:paraId="6E934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1276" w:type="dxa"/>
            <w:tcBorders>
              <w:top w:val="single" w:color="auto" w:sz="4" w:space="0"/>
              <w:left w:val="single" w:color="auto" w:sz="8" w:space="0"/>
            </w:tcBorders>
            <w:noWrap/>
          </w:tcPr>
          <w:p w14:paraId="7205719C">
            <w:pPr>
              <w:tabs>
                <w:tab w:val="right" w:leader="middleDot" w:pos="9450"/>
              </w:tabs>
              <w:spacing w:line="240" w:lineRule="auto"/>
              <w:ind w:firstLine="0" w:firstLineChars="0"/>
              <w:jc w:val="center"/>
              <w:rPr>
                <w:bCs/>
                <w:sz w:val="21"/>
                <w:szCs w:val="21"/>
              </w:rPr>
            </w:pPr>
            <w:r>
              <w:rPr>
                <w:bCs/>
                <w:sz w:val="21"/>
                <w:szCs w:val="21"/>
              </w:rPr>
              <w:t>2</w:t>
            </w:r>
          </w:p>
        </w:tc>
        <w:tc>
          <w:tcPr>
            <w:tcW w:w="2882" w:type="dxa"/>
            <w:tcBorders>
              <w:top w:val="single" w:color="auto" w:sz="4" w:space="0"/>
            </w:tcBorders>
            <w:noWrap/>
          </w:tcPr>
          <w:p w14:paraId="14B40E7F">
            <w:pPr>
              <w:tabs>
                <w:tab w:val="right" w:leader="middleDot" w:pos="9450"/>
              </w:tabs>
              <w:spacing w:line="240" w:lineRule="auto"/>
              <w:ind w:firstLine="0" w:firstLineChars="0"/>
              <w:jc w:val="center"/>
              <w:rPr>
                <w:bCs/>
                <w:sz w:val="21"/>
                <w:szCs w:val="21"/>
              </w:rPr>
            </w:pPr>
            <w:r>
              <w:rPr>
                <w:bCs/>
                <w:sz w:val="21"/>
                <w:szCs w:val="21"/>
              </w:rPr>
              <w:t>径流长L</w:t>
            </w:r>
          </w:p>
        </w:tc>
        <w:tc>
          <w:tcPr>
            <w:tcW w:w="2882" w:type="dxa"/>
            <w:tcBorders>
              <w:top w:val="single" w:color="auto" w:sz="4" w:space="0"/>
            </w:tcBorders>
            <w:noWrap/>
          </w:tcPr>
          <w:p w14:paraId="7D158DA2">
            <w:pPr>
              <w:tabs>
                <w:tab w:val="right" w:leader="middleDot" w:pos="9450"/>
              </w:tabs>
              <w:spacing w:line="240" w:lineRule="auto"/>
              <w:ind w:firstLine="0" w:firstLineChars="0"/>
              <w:jc w:val="center"/>
              <w:rPr>
                <w:bCs/>
                <w:sz w:val="21"/>
                <w:szCs w:val="21"/>
              </w:rPr>
            </w:pPr>
            <w:r>
              <w:rPr>
                <w:bCs/>
                <w:sz w:val="21"/>
                <w:szCs w:val="21"/>
              </w:rPr>
              <w:t>km</w:t>
            </w:r>
          </w:p>
        </w:tc>
        <w:tc>
          <w:tcPr>
            <w:tcW w:w="1920" w:type="dxa"/>
            <w:tcBorders>
              <w:top w:val="single" w:color="auto" w:sz="4" w:space="0"/>
              <w:right w:val="single" w:color="auto" w:sz="4" w:space="0"/>
            </w:tcBorders>
            <w:noWrap/>
          </w:tcPr>
          <w:p w14:paraId="5D3DC7D5">
            <w:pPr>
              <w:spacing w:line="240" w:lineRule="auto"/>
              <w:ind w:firstLine="0" w:firstLineChars="0"/>
              <w:jc w:val="center"/>
              <w:rPr>
                <w:sz w:val="21"/>
                <w:szCs w:val="21"/>
              </w:rPr>
            </w:pPr>
            <w:r>
              <w:rPr>
                <w:bCs/>
                <w:sz w:val="21"/>
                <w:szCs w:val="21"/>
              </w:rPr>
              <w:t>0.41</w:t>
            </w:r>
          </w:p>
        </w:tc>
      </w:tr>
      <w:tr w14:paraId="545F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1276" w:type="dxa"/>
            <w:tcBorders>
              <w:left w:val="single" w:color="auto" w:sz="8" w:space="0"/>
            </w:tcBorders>
            <w:noWrap/>
          </w:tcPr>
          <w:p w14:paraId="188EABC8">
            <w:pPr>
              <w:tabs>
                <w:tab w:val="right" w:leader="middleDot" w:pos="9450"/>
              </w:tabs>
              <w:spacing w:line="240" w:lineRule="auto"/>
              <w:ind w:firstLine="0" w:firstLineChars="0"/>
              <w:jc w:val="center"/>
              <w:rPr>
                <w:bCs/>
                <w:sz w:val="21"/>
                <w:szCs w:val="21"/>
              </w:rPr>
            </w:pPr>
            <w:r>
              <w:rPr>
                <w:bCs/>
                <w:sz w:val="21"/>
                <w:szCs w:val="21"/>
              </w:rPr>
              <w:t>3</w:t>
            </w:r>
          </w:p>
        </w:tc>
        <w:tc>
          <w:tcPr>
            <w:tcW w:w="2882" w:type="dxa"/>
            <w:noWrap/>
          </w:tcPr>
          <w:p w14:paraId="7BDC079B">
            <w:pPr>
              <w:tabs>
                <w:tab w:val="right" w:leader="middleDot" w:pos="9450"/>
              </w:tabs>
              <w:spacing w:line="240" w:lineRule="auto"/>
              <w:ind w:firstLine="0" w:firstLineChars="0"/>
              <w:jc w:val="center"/>
              <w:rPr>
                <w:bCs/>
                <w:sz w:val="21"/>
                <w:szCs w:val="21"/>
                <w:vertAlign w:val="subscript"/>
              </w:rPr>
            </w:pPr>
            <w:r>
              <w:rPr>
                <w:bCs/>
                <w:sz w:val="21"/>
                <w:szCs w:val="21"/>
              </w:rPr>
              <w:t>降雨量H</w:t>
            </w:r>
            <w:r>
              <w:rPr>
                <w:bCs/>
                <w:sz w:val="21"/>
                <w:szCs w:val="21"/>
                <w:vertAlign w:val="subscript"/>
              </w:rPr>
              <w:t>24（净）</w:t>
            </w:r>
          </w:p>
        </w:tc>
        <w:tc>
          <w:tcPr>
            <w:tcW w:w="2882" w:type="dxa"/>
            <w:noWrap/>
          </w:tcPr>
          <w:p w14:paraId="02194C4C">
            <w:pPr>
              <w:tabs>
                <w:tab w:val="right" w:leader="middleDot" w:pos="9450"/>
              </w:tabs>
              <w:spacing w:line="240" w:lineRule="auto"/>
              <w:ind w:firstLine="0" w:firstLineChars="0"/>
              <w:jc w:val="center"/>
              <w:rPr>
                <w:bCs/>
                <w:sz w:val="21"/>
                <w:szCs w:val="21"/>
                <w:vertAlign w:val="subscript"/>
              </w:rPr>
            </w:pPr>
            <w:r>
              <w:rPr>
                <w:bCs/>
                <w:sz w:val="21"/>
                <w:szCs w:val="21"/>
              </w:rPr>
              <w:t>mm</w:t>
            </w:r>
          </w:p>
        </w:tc>
        <w:tc>
          <w:tcPr>
            <w:tcW w:w="1920" w:type="dxa"/>
            <w:tcBorders>
              <w:right w:val="single" w:color="auto" w:sz="4" w:space="0"/>
            </w:tcBorders>
            <w:noWrap/>
          </w:tcPr>
          <w:p w14:paraId="6A98576C">
            <w:pPr>
              <w:tabs>
                <w:tab w:val="right" w:leader="middleDot" w:pos="9450"/>
              </w:tabs>
              <w:spacing w:line="240" w:lineRule="auto"/>
              <w:ind w:firstLine="0" w:firstLineChars="0"/>
              <w:jc w:val="center"/>
              <w:rPr>
                <w:bCs/>
                <w:sz w:val="21"/>
                <w:szCs w:val="21"/>
              </w:rPr>
            </w:pPr>
            <w:r>
              <w:rPr>
                <w:bCs/>
                <w:sz w:val="21"/>
                <w:szCs w:val="21"/>
              </w:rPr>
              <w:t>176.69</w:t>
            </w:r>
          </w:p>
        </w:tc>
      </w:tr>
      <w:tr w14:paraId="54B6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1276" w:type="dxa"/>
            <w:tcBorders>
              <w:left w:val="single" w:color="auto" w:sz="8" w:space="0"/>
            </w:tcBorders>
            <w:noWrap/>
          </w:tcPr>
          <w:p w14:paraId="58B7E564">
            <w:pPr>
              <w:tabs>
                <w:tab w:val="right" w:leader="middleDot" w:pos="9450"/>
              </w:tabs>
              <w:spacing w:line="240" w:lineRule="auto"/>
              <w:ind w:firstLine="0" w:firstLineChars="0"/>
              <w:jc w:val="center"/>
              <w:rPr>
                <w:bCs/>
                <w:sz w:val="21"/>
                <w:szCs w:val="21"/>
              </w:rPr>
            </w:pPr>
            <w:r>
              <w:rPr>
                <w:bCs/>
                <w:sz w:val="21"/>
                <w:szCs w:val="21"/>
              </w:rPr>
              <w:t>4</w:t>
            </w:r>
          </w:p>
        </w:tc>
        <w:tc>
          <w:tcPr>
            <w:tcW w:w="2882" w:type="dxa"/>
            <w:noWrap/>
          </w:tcPr>
          <w:p w14:paraId="03A716FD">
            <w:pPr>
              <w:tabs>
                <w:tab w:val="right" w:leader="middleDot" w:pos="9450"/>
              </w:tabs>
              <w:spacing w:line="240" w:lineRule="auto"/>
              <w:ind w:firstLine="0" w:firstLineChars="0"/>
              <w:jc w:val="center"/>
              <w:rPr>
                <w:bCs/>
                <w:sz w:val="21"/>
                <w:szCs w:val="21"/>
              </w:rPr>
            </w:pPr>
            <w:r>
              <w:rPr>
                <w:bCs/>
                <w:sz w:val="21"/>
                <w:szCs w:val="21"/>
              </w:rPr>
              <w:t>洪峰流量Q</w:t>
            </w:r>
          </w:p>
        </w:tc>
        <w:tc>
          <w:tcPr>
            <w:tcW w:w="2882" w:type="dxa"/>
            <w:noWrap/>
          </w:tcPr>
          <w:p w14:paraId="33BE031C">
            <w:pPr>
              <w:tabs>
                <w:tab w:val="right" w:leader="middleDot" w:pos="9450"/>
              </w:tabs>
              <w:spacing w:line="240" w:lineRule="auto"/>
              <w:ind w:firstLine="0" w:firstLineChars="0"/>
              <w:jc w:val="center"/>
              <w:rPr>
                <w:bCs/>
                <w:sz w:val="21"/>
                <w:szCs w:val="21"/>
              </w:rPr>
            </w:pPr>
            <w:r>
              <w:rPr>
                <w:bCs/>
                <w:sz w:val="21"/>
                <w:szCs w:val="21"/>
              </w:rPr>
              <w:t>（m</w:t>
            </w:r>
            <w:r>
              <w:rPr>
                <w:bCs/>
                <w:sz w:val="21"/>
                <w:szCs w:val="21"/>
                <w:vertAlign w:val="superscript"/>
              </w:rPr>
              <w:t>3</w:t>
            </w:r>
            <w:r>
              <w:rPr>
                <w:bCs/>
                <w:sz w:val="21"/>
                <w:szCs w:val="21"/>
              </w:rPr>
              <w:t>/s）</w:t>
            </w:r>
          </w:p>
        </w:tc>
        <w:tc>
          <w:tcPr>
            <w:tcW w:w="1920" w:type="dxa"/>
            <w:tcBorders>
              <w:right w:val="single" w:color="auto" w:sz="4" w:space="0"/>
            </w:tcBorders>
            <w:noWrap/>
          </w:tcPr>
          <w:p w14:paraId="28A94AE1">
            <w:pPr>
              <w:tabs>
                <w:tab w:val="right" w:leader="middleDot" w:pos="9450"/>
              </w:tabs>
              <w:spacing w:line="240" w:lineRule="auto"/>
              <w:ind w:firstLine="0" w:firstLineChars="0"/>
              <w:jc w:val="center"/>
              <w:rPr>
                <w:bCs/>
                <w:sz w:val="21"/>
                <w:szCs w:val="21"/>
              </w:rPr>
            </w:pPr>
            <w:r>
              <w:rPr>
                <w:bCs/>
                <w:sz w:val="21"/>
                <w:szCs w:val="21"/>
              </w:rPr>
              <w:t>1.457</w:t>
            </w:r>
          </w:p>
        </w:tc>
      </w:tr>
      <w:tr w14:paraId="75C7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1276" w:type="dxa"/>
            <w:tcBorders>
              <w:left w:val="single" w:color="auto" w:sz="8" w:space="0"/>
            </w:tcBorders>
            <w:noWrap/>
          </w:tcPr>
          <w:p w14:paraId="2F654ACC">
            <w:pPr>
              <w:tabs>
                <w:tab w:val="right" w:leader="middleDot" w:pos="9450"/>
              </w:tabs>
              <w:spacing w:line="240" w:lineRule="auto"/>
              <w:ind w:firstLine="0" w:firstLineChars="0"/>
              <w:jc w:val="center"/>
              <w:rPr>
                <w:bCs/>
                <w:sz w:val="21"/>
                <w:szCs w:val="21"/>
              </w:rPr>
            </w:pPr>
            <w:r>
              <w:rPr>
                <w:bCs/>
                <w:sz w:val="21"/>
                <w:szCs w:val="21"/>
              </w:rPr>
              <w:t>5</w:t>
            </w:r>
          </w:p>
        </w:tc>
        <w:tc>
          <w:tcPr>
            <w:tcW w:w="2882" w:type="dxa"/>
            <w:noWrap/>
          </w:tcPr>
          <w:p w14:paraId="585A8260">
            <w:pPr>
              <w:tabs>
                <w:tab w:val="right" w:leader="middleDot" w:pos="9450"/>
              </w:tabs>
              <w:spacing w:line="240" w:lineRule="auto"/>
              <w:ind w:firstLine="0" w:firstLineChars="0"/>
              <w:jc w:val="center"/>
              <w:rPr>
                <w:bCs/>
                <w:sz w:val="21"/>
                <w:szCs w:val="21"/>
              </w:rPr>
            </w:pPr>
            <w:r>
              <w:rPr>
                <w:bCs/>
                <w:sz w:val="21"/>
                <w:szCs w:val="21"/>
              </w:rPr>
              <w:t>洪水总量W</w:t>
            </w:r>
          </w:p>
        </w:tc>
        <w:tc>
          <w:tcPr>
            <w:tcW w:w="2882" w:type="dxa"/>
            <w:noWrap/>
          </w:tcPr>
          <w:p w14:paraId="3DE8D286">
            <w:pPr>
              <w:tabs>
                <w:tab w:val="right" w:leader="middleDot" w:pos="9450"/>
              </w:tabs>
              <w:spacing w:line="240" w:lineRule="auto"/>
              <w:ind w:firstLine="0" w:firstLineChars="0"/>
              <w:jc w:val="center"/>
              <w:rPr>
                <w:bCs/>
                <w:sz w:val="21"/>
                <w:szCs w:val="21"/>
              </w:rPr>
            </w:pPr>
            <w:r>
              <w:rPr>
                <w:bCs/>
                <w:sz w:val="21"/>
                <w:szCs w:val="21"/>
              </w:rPr>
              <w:t>（万m</w:t>
            </w:r>
            <w:r>
              <w:rPr>
                <w:bCs/>
                <w:sz w:val="21"/>
                <w:szCs w:val="21"/>
                <w:vertAlign w:val="superscript"/>
              </w:rPr>
              <w:t>3</w:t>
            </w:r>
            <w:r>
              <w:rPr>
                <w:bCs/>
                <w:sz w:val="21"/>
                <w:szCs w:val="21"/>
              </w:rPr>
              <w:t>/d）</w:t>
            </w:r>
          </w:p>
        </w:tc>
        <w:tc>
          <w:tcPr>
            <w:tcW w:w="1920" w:type="dxa"/>
            <w:tcBorders>
              <w:right w:val="single" w:color="auto" w:sz="4" w:space="0"/>
            </w:tcBorders>
            <w:noWrap/>
          </w:tcPr>
          <w:p w14:paraId="521300BB">
            <w:pPr>
              <w:tabs>
                <w:tab w:val="right" w:leader="middleDot" w:pos="9450"/>
              </w:tabs>
              <w:spacing w:line="240" w:lineRule="auto"/>
              <w:ind w:firstLine="0" w:firstLineChars="0"/>
              <w:jc w:val="center"/>
              <w:rPr>
                <w:bCs/>
                <w:sz w:val="21"/>
                <w:szCs w:val="21"/>
              </w:rPr>
            </w:pPr>
            <w:r>
              <w:rPr>
                <w:bCs/>
                <w:sz w:val="21"/>
                <w:szCs w:val="21"/>
              </w:rPr>
              <w:t>0.994</w:t>
            </w:r>
          </w:p>
        </w:tc>
      </w:tr>
    </w:tbl>
    <w:p w14:paraId="4D76F765">
      <w:pPr>
        <w:tabs>
          <w:tab w:val="right" w:leader="middleDot" w:pos="9450"/>
        </w:tabs>
        <w:ind w:firstLine="562"/>
        <w:rPr>
          <w:b/>
          <w:snapToGrid w:val="0"/>
          <w:kern w:val="0"/>
          <w:szCs w:val="20"/>
        </w:rPr>
      </w:pPr>
      <w:r>
        <w:rPr>
          <w:rFonts w:hint="eastAsia"/>
          <w:b/>
          <w:snapToGrid w:val="0"/>
          <w:kern w:val="0"/>
          <w:szCs w:val="20"/>
        </w:rPr>
        <w:t>二、排洪设施验算</w:t>
      </w:r>
    </w:p>
    <w:p w14:paraId="77579B27">
      <w:pPr>
        <w:ind w:firstLine="548" w:firstLineChars="196"/>
      </w:pPr>
      <w:r>
        <w:rPr>
          <w:snapToGrid w:val="0"/>
          <w:kern w:val="0"/>
          <w:szCs w:val="20"/>
        </w:rPr>
        <w:t>渣场总汇流面积0.0776km</w:t>
      </w:r>
      <w:r>
        <w:rPr>
          <w:snapToGrid w:val="0"/>
          <w:kern w:val="0"/>
          <w:szCs w:val="20"/>
          <w:vertAlign w:val="superscript"/>
        </w:rPr>
        <w:t>2</w:t>
      </w:r>
      <w:r>
        <w:rPr>
          <w:snapToGrid w:val="0"/>
          <w:kern w:val="0"/>
          <w:szCs w:val="20"/>
        </w:rPr>
        <w:t>，渣场现状在东侧设置有一条截洪沟，截留库外雨水，库内雨水通过各平台雨水沟汇集至西侧排水沟和东南侧雨水沟，导排至调节池。</w:t>
      </w:r>
    </w:p>
    <w:p w14:paraId="191D6E54">
      <w:pPr>
        <w:ind w:firstLine="548" w:firstLineChars="196"/>
      </w:pPr>
      <w:r>
        <w:t>流量：Q=1.335m</w:t>
      </w:r>
      <w:r>
        <w:rPr>
          <w:vertAlign w:val="superscript"/>
        </w:rPr>
        <w:t>3</w:t>
      </w:r>
      <w:r>
        <w:t>/s＞0.357m</w:t>
      </w:r>
      <w:r>
        <w:rPr>
          <w:vertAlign w:val="superscript"/>
        </w:rPr>
        <w:t>3</w:t>
      </w:r>
      <w:r>
        <w:t>/s，现有东侧截洪沟的排洪能力满足规范磷石膏库四等库要求。</w:t>
      </w:r>
    </w:p>
    <w:p w14:paraId="4E2FF0F8">
      <w:pPr>
        <w:ind w:firstLine="560"/>
      </w:pPr>
      <w:r>
        <w:t>（</w:t>
      </w:r>
      <w:r>
        <w:rPr>
          <w:rFonts w:hint="eastAsia"/>
        </w:rPr>
        <w:t>2</w:t>
      </w:r>
      <w:r>
        <w:t>）库内排水设施验算</w:t>
      </w:r>
    </w:p>
    <w:p w14:paraId="146A19F3">
      <w:pPr>
        <w:tabs>
          <w:tab w:val="right" w:leader="middleDot" w:pos="9450"/>
        </w:tabs>
        <w:ind w:firstLine="560"/>
      </w:pPr>
      <w:r>
        <w:rPr>
          <w:rFonts w:hint="eastAsia"/>
        </w:rPr>
        <w:t>1）</w:t>
      </w:r>
      <w:r>
        <w:rPr>
          <w:snapToGrid w:val="0"/>
          <w:kern w:val="0"/>
          <w:szCs w:val="20"/>
        </w:rPr>
        <w:t>西侧排水沟验算</w:t>
      </w:r>
    </w:p>
    <w:p w14:paraId="54E89765">
      <w:pPr>
        <w:ind w:firstLine="548" w:firstLineChars="196"/>
      </w:pPr>
      <w:r>
        <w:t>流量：Q=0.887m</w:t>
      </w:r>
      <w:r>
        <w:rPr>
          <w:vertAlign w:val="superscript"/>
        </w:rPr>
        <w:t>3</w:t>
      </w:r>
      <w:r>
        <w:t>/s＞0.657m</w:t>
      </w:r>
      <w:r>
        <w:rPr>
          <w:vertAlign w:val="superscript"/>
        </w:rPr>
        <w:t>3</w:t>
      </w:r>
      <w:r>
        <w:t>/s，现有西侧雨水沟的排洪能力满足规范磷石膏库四等库要求。</w:t>
      </w:r>
    </w:p>
    <w:p w14:paraId="0B0DB4A1">
      <w:pPr>
        <w:ind w:firstLine="548" w:firstLineChars="196"/>
      </w:pPr>
      <w:r>
        <w:rPr>
          <w:rFonts w:hint="eastAsia"/>
        </w:rPr>
        <w:t>2）东南侧排水沟验算</w:t>
      </w:r>
    </w:p>
    <w:p w14:paraId="4BCAC3B4">
      <w:pPr>
        <w:tabs>
          <w:tab w:val="left" w:pos="1346"/>
        </w:tabs>
        <w:ind w:firstLine="548" w:firstLineChars="196"/>
      </w:pPr>
      <w:r>
        <w:t>流量：Q=0.887m</w:t>
      </w:r>
      <w:r>
        <w:rPr>
          <w:vertAlign w:val="superscript"/>
        </w:rPr>
        <w:t>3</w:t>
      </w:r>
      <w:r>
        <w:t>/s＞0.</w:t>
      </w:r>
      <w:r>
        <w:rPr>
          <w:rFonts w:hint="eastAsia"/>
        </w:rPr>
        <w:t>443</w:t>
      </w:r>
      <w:r>
        <w:t>m</w:t>
      </w:r>
      <w:r>
        <w:rPr>
          <w:vertAlign w:val="superscript"/>
        </w:rPr>
        <w:t>3</w:t>
      </w:r>
      <w:r>
        <w:t>/s，现有东南侧雨水沟的排洪能力满足规范磷石膏库四等库要求。</w:t>
      </w:r>
    </w:p>
    <w:p w14:paraId="4B24556E">
      <w:pPr>
        <w:ind w:firstLine="560"/>
      </w:pPr>
      <w:r>
        <w:t>（</w:t>
      </w:r>
      <w:r>
        <w:rPr>
          <w:rFonts w:hint="eastAsia"/>
        </w:rPr>
        <w:t>3</w:t>
      </w:r>
      <w:r>
        <w:t>）调节池验算</w:t>
      </w:r>
    </w:p>
    <w:p w14:paraId="405AA832">
      <w:pPr>
        <w:tabs>
          <w:tab w:val="left" w:pos="1346"/>
        </w:tabs>
        <w:ind w:firstLine="548" w:firstLineChars="196"/>
      </w:pPr>
      <w:r>
        <w:t>渣场总汇流面积0.0776km</w:t>
      </w:r>
      <w:r>
        <w:rPr>
          <w:vertAlign w:val="superscript"/>
        </w:rPr>
        <w:t>2</w:t>
      </w:r>
      <w:r>
        <w:t>，东侧截洪沟截留0.019km</w:t>
      </w:r>
      <w:r>
        <w:rPr>
          <w:vertAlign w:val="superscript"/>
        </w:rPr>
        <w:t>2</w:t>
      </w:r>
      <w:r>
        <w:t>面积的雨水清污分流，其余0.0586km</w:t>
      </w:r>
      <w:r>
        <w:rPr>
          <w:vertAlign w:val="superscript"/>
        </w:rPr>
        <w:t>2</w:t>
      </w:r>
      <w:r>
        <w:t>面积的雨水全部导流进入调节池，根据《磷石膏库安全技术规程》（AQ2059-2016），磷石膏库调节池容积按设计洪水标准和截水沟标高以下库区面积计算的两次24h洪水之和与按历史最大年降水量和截洪沟标高以下库区面积计算的最大雨水量中取大值进行设计。</w:t>
      </w:r>
    </w:p>
    <w:p w14:paraId="060BD78D">
      <w:pPr>
        <w:adjustRightInd w:val="0"/>
        <w:ind w:firstLine="560"/>
        <w:textAlignment w:val="baseline"/>
      </w:pPr>
      <w:r>
        <w:rPr>
          <w:bCs/>
        </w:rPr>
        <w:t>大坟箐</w:t>
      </w:r>
      <w:r>
        <w:t>磷石膏渣场W</w:t>
      </w:r>
      <w:r>
        <w:rPr>
          <w:vertAlign w:val="subscript"/>
        </w:rPr>
        <w:t>tp</w:t>
      </w:r>
      <w:r>
        <w:t>=1000α</w:t>
      </w:r>
      <w:r>
        <w:rPr>
          <w:vertAlign w:val="subscript"/>
        </w:rPr>
        <w:t>t</w:t>
      </w:r>
      <w:r>
        <w:t>H</w:t>
      </w:r>
      <w:r>
        <w:rPr>
          <w:vertAlign w:val="subscript"/>
        </w:rPr>
        <w:t>tp</w:t>
      </w:r>
      <w:r>
        <w:t>F=0.83万m³（按库内最大污水汇水面积0.0586km</w:t>
      </w:r>
      <w:r>
        <w:rPr>
          <w:vertAlign w:val="superscript"/>
        </w:rPr>
        <w:t>2</w:t>
      </w:r>
      <w:r>
        <w:t>计算），所以，调节池容积为1.66万m</w:t>
      </w:r>
      <w:r>
        <w:rPr>
          <w:vertAlign w:val="superscript"/>
        </w:rPr>
        <w:t>3</w:t>
      </w:r>
      <w:r>
        <w:t>。</w:t>
      </w:r>
    </w:p>
    <w:p w14:paraId="3FF1C1D0">
      <w:pPr>
        <w:adjustRightInd w:val="0"/>
        <w:ind w:firstLine="560"/>
        <w:textAlignment w:val="baseline"/>
      </w:pPr>
      <w:r>
        <w:rPr>
          <w:rFonts w:hint="eastAsia" w:ascii="宋体" w:hAnsi="宋体" w:cs="宋体"/>
        </w:rPr>
        <w:t>②</w:t>
      </w:r>
      <w:r>
        <w:t>最大雨水量计算容积</w:t>
      </w:r>
    </w:p>
    <w:p w14:paraId="0CFDE1F7">
      <w:pPr>
        <w:ind w:firstLine="548" w:firstLineChars="196"/>
      </w:pPr>
      <w:r>
        <w:t>根据以上计算结果，库区面积计算的两次24h洪水之和为1.66万m</w:t>
      </w:r>
      <w:r>
        <w:rPr>
          <w:vertAlign w:val="superscript"/>
        </w:rPr>
        <w:t>3</w:t>
      </w:r>
      <w:r>
        <w:t>，历史最大降雨量计算雨水量为1.44万m</w:t>
      </w:r>
      <w:r>
        <w:rPr>
          <w:vertAlign w:val="superscript"/>
        </w:rPr>
        <w:t>3</w:t>
      </w:r>
      <w:r>
        <w:t>。故此，</w:t>
      </w:r>
      <w:r>
        <w:rPr>
          <w:bCs/>
        </w:rPr>
        <w:t>大坟箐</w:t>
      </w:r>
      <w:r>
        <w:t>磷石膏渣场调节池容积须大于上述计算结果中大值1.66万m</w:t>
      </w:r>
      <w:r>
        <w:rPr>
          <w:vertAlign w:val="superscript"/>
        </w:rPr>
        <w:t>3</w:t>
      </w:r>
      <w:r>
        <w:t>。</w:t>
      </w:r>
    </w:p>
    <w:p w14:paraId="0D895734">
      <w:pPr>
        <w:tabs>
          <w:tab w:val="left" w:pos="1346"/>
        </w:tabs>
        <w:ind w:firstLine="548" w:firstLineChars="196"/>
      </w:pPr>
      <w:r>
        <w:t>渣场现有调节池为2017年新建，容积1.9万m</w:t>
      </w:r>
      <w:r>
        <w:rPr>
          <w:vertAlign w:val="superscript"/>
        </w:rPr>
        <w:t>3</w:t>
      </w:r>
      <w:r>
        <w:t>＞1.66 m</w:t>
      </w:r>
      <w:r>
        <w:rPr>
          <w:vertAlign w:val="superscript"/>
        </w:rPr>
        <w:t>3</w:t>
      </w:r>
      <w:r>
        <w:t>，满足规范磷石膏库四等库要求。</w:t>
      </w:r>
    </w:p>
    <w:p w14:paraId="71DEE66C">
      <w:pPr>
        <w:ind w:firstLine="551" w:firstLineChars="196"/>
        <w:rPr>
          <w:b/>
        </w:rPr>
      </w:pPr>
      <w:r>
        <w:rPr>
          <w:rFonts w:hint="eastAsia"/>
          <w:b/>
        </w:rPr>
        <w:t>三、结果分析</w:t>
      </w:r>
    </w:p>
    <w:p w14:paraId="590B5DED">
      <w:pPr>
        <w:ind w:firstLine="548" w:firstLineChars="196"/>
      </w:pPr>
      <w:r>
        <w:t>云南兴昆化工有限公司甸头村大坟箐磷石膏渣场现有排洪排水设施满足规范要求，渣场调节池能够满足全部收集渣场污水。</w:t>
      </w:r>
    </w:p>
    <w:p w14:paraId="1709F679">
      <w:pPr>
        <w:ind w:firstLine="548" w:firstLineChars="196"/>
      </w:pPr>
      <w:r>
        <w:t>渣场截洪沟、排水沟排水能力满足要求 ，但现场有部分沟段存在堵塞、损毁情况，需要及时进行修复；需加强排洪排水设施的巡查和维护，确保截洪沟、排水沟排水通畅。</w:t>
      </w:r>
    </w:p>
    <w:p w14:paraId="0ECA3E72">
      <w:pPr>
        <w:ind w:firstLine="560"/>
      </w:pPr>
      <w:r>
        <w:t>现状调节池污水用于渣场回喷抑尘，后期无害化磷石膏堆存后，渣场渗滤液将不能回喷至无害化磷石膏堆存区进行抑尘，需要采用罐车运回兴昆厂区回用。</w:t>
      </w:r>
    </w:p>
    <w:p w14:paraId="4B29E2A6">
      <w:pPr>
        <w:pStyle w:val="5"/>
      </w:pPr>
      <w:r>
        <w:rPr>
          <w:rFonts w:hint="eastAsia"/>
        </w:rPr>
        <w:t>2.5.6.2利旧排洪设施</w:t>
      </w:r>
    </w:p>
    <w:p w14:paraId="15CF0BED">
      <w:pPr>
        <w:ind w:firstLine="560"/>
      </w:pPr>
      <w:r>
        <w:rPr>
          <w:rFonts w:hint="eastAsia"/>
        </w:rPr>
        <w:t>根据设计资料和上述验算结果，本次渣场堆存整治工程设计保留了东侧截洪沟、西侧排水沟和调节池。</w:t>
      </w:r>
    </w:p>
    <w:p w14:paraId="5E2A5A65">
      <w:pPr>
        <w:ind w:firstLine="560"/>
      </w:pPr>
      <w:r>
        <w:t>（</w:t>
      </w:r>
      <w:r>
        <w:rPr>
          <w:rFonts w:hint="eastAsia"/>
        </w:rPr>
        <w:t>1</w:t>
      </w:r>
      <w:r>
        <w:t>）东侧截洪沟</w:t>
      </w:r>
    </w:p>
    <w:p w14:paraId="6F0B0475">
      <w:pPr>
        <w:ind w:firstLine="560"/>
      </w:pPr>
      <w:r>
        <w:rPr>
          <w:rFonts w:hint="eastAsia"/>
        </w:rPr>
        <w:t>（2）西侧排水沟</w:t>
      </w:r>
    </w:p>
    <w:p w14:paraId="4326E64E">
      <w:pPr>
        <w:ind w:firstLine="560"/>
      </w:pPr>
      <w:r>
        <w:rPr>
          <w:rFonts w:hint="eastAsia"/>
        </w:rPr>
        <w:t>（3）调节池</w:t>
      </w:r>
    </w:p>
    <w:p w14:paraId="28CCA324">
      <w:pPr>
        <w:pStyle w:val="5"/>
      </w:pPr>
      <w:r>
        <w:rPr>
          <w:rFonts w:hint="eastAsia"/>
        </w:rPr>
        <w:t>2.5.6.3新建排洪设施</w:t>
      </w:r>
    </w:p>
    <w:p w14:paraId="6D47C869">
      <w:pPr>
        <w:ind w:right="-2" w:firstLine="560"/>
      </w:pPr>
      <w:r>
        <w:rPr>
          <w:rFonts w:hint="eastAsia"/>
        </w:rPr>
        <w:t>（1）新建东南侧雨水沟</w:t>
      </w:r>
    </w:p>
    <w:p w14:paraId="1780C832">
      <w:pPr>
        <w:ind w:firstLine="548" w:firstLineChars="196"/>
      </w:pPr>
      <w:r>
        <w:t>（</w:t>
      </w:r>
      <w:r>
        <w:rPr>
          <w:rFonts w:hint="eastAsia"/>
        </w:rPr>
        <w:t>2</w:t>
      </w:r>
      <w:r>
        <w:t>）新建表层雨水沟</w:t>
      </w:r>
    </w:p>
    <w:p w14:paraId="0415C85E">
      <w:pPr>
        <w:pStyle w:val="4"/>
      </w:pPr>
      <w:bookmarkStart w:id="61" w:name="_Toc230699586"/>
      <w:r>
        <w:rPr>
          <w:rFonts w:hint="eastAsia"/>
        </w:rPr>
        <w:t>2.5.7 监测设施建设</w:t>
      </w:r>
      <w:bookmarkEnd w:id="61"/>
    </w:p>
    <w:p w14:paraId="5898E00F">
      <w:pPr>
        <w:widowControl/>
        <w:ind w:firstLine="560"/>
        <w:rPr>
          <w:rFonts w:cs="Times New Roman"/>
        </w:rPr>
      </w:pPr>
      <w:r>
        <w:rPr>
          <w:rFonts w:cs="Times New Roman"/>
        </w:rPr>
        <w:t>大坟箐渣场现状有5口地下水监测井，满足地下水的监测的要求，5口地下水监测井利旧。</w:t>
      </w:r>
    </w:p>
    <w:p w14:paraId="275883C1">
      <w:pPr>
        <w:ind w:firstLine="560"/>
        <w:rPr>
          <w:rFonts w:cs="Times New Roman"/>
        </w:rPr>
      </w:pPr>
      <w:r>
        <w:rPr>
          <w:rFonts w:cs="Times New Roman"/>
        </w:rPr>
        <w:t>在渣场堆体表层设施16个沉降位移观测桩，监测渣场的沉降和位移，确保渣场安全稳定性。</w:t>
      </w:r>
    </w:p>
    <w:p w14:paraId="4A516452">
      <w:pPr>
        <w:widowControl/>
        <w:ind w:firstLine="560"/>
        <w:rPr>
          <w:rFonts w:cs="Times New Roman"/>
        </w:rPr>
      </w:pPr>
      <w:r>
        <w:rPr>
          <w:rFonts w:cs="Times New Roman"/>
        </w:rPr>
        <w:t>施工期监测及完工后3个月内实行每月监测一次，遇强暴雨或雨季施工，适当加密监测次数，实行24小时专人值守巡视检查。竣工三个月后监测实行雨季期间（5～10月份）每月监测1次，其他月份每季度监测1次，平时以巡查、简易监测为主。施工安全监测时长为整个施工期；工程效果监测时长为工程竣工后3个水文年。</w:t>
      </w:r>
    </w:p>
    <w:p w14:paraId="2F35C7BA">
      <w:pPr>
        <w:pStyle w:val="4"/>
      </w:pPr>
      <w:bookmarkStart w:id="62" w:name="_Toc230699587"/>
      <w:r>
        <w:rPr>
          <w:rFonts w:hint="eastAsia"/>
        </w:rPr>
        <w:t>2.5.8高压电线迁改</w:t>
      </w:r>
      <w:bookmarkEnd w:id="62"/>
    </w:p>
    <w:p w14:paraId="7BFD1FC5">
      <w:pPr>
        <w:ind w:firstLine="560"/>
        <w:rPr>
          <w:rFonts w:cs="Times New Roman"/>
        </w:rPr>
      </w:pPr>
      <w:r>
        <w:rPr>
          <w:rFonts w:hint="eastAsia" w:cs="Times New Roman"/>
        </w:rPr>
        <w:t>大坟箐磷石膏渣场东南侧上部现有2条高压电线通过，前期因为高压电线的影响，东南侧没有堆存磷石膏，后期堆存改性磷石膏前需要对高压电线进行迁改。针对高压电线迁改，云南兴昆化工有限公司已经委托云南银塔送变电设计有限公司进行设计。</w:t>
      </w:r>
    </w:p>
    <w:p w14:paraId="69F40941">
      <w:pPr>
        <w:pStyle w:val="4"/>
      </w:pPr>
      <w:bookmarkStart w:id="63" w:name="_Toc230699588"/>
      <w:r>
        <w:rPr>
          <w:rFonts w:hint="eastAsia"/>
        </w:rPr>
        <w:t>2.5.9渣场道路</w:t>
      </w:r>
      <w:bookmarkEnd w:id="63"/>
    </w:p>
    <w:p w14:paraId="407DB436">
      <w:pPr>
        <w:autoSpaceDE w:val="0"/>
        <w:autoSpaceDN w:val="0"/>
        <w:adjustRightInd w:val="0"/>
        <w:snapToGrid w:val="0"/>
        <w:ind w:firstLine="560"/>
      </w:pPr>
      <w:r>
        <w:t>根据设计资料，结合现场勘查，目前，有道路可以从外部直通渣场，为前期修建的磷石膏运输道路，按</w:t>
      </w:r>
      <w:r>
        <w:rPr>
          <w:kern w:val="0"/>
        </w:rPr>
        <w:t>厂矿道路三级标准设计，</w:t>
      </w:r>
      <w:r>
        <w:t>从生产厂至进渣库前段</w:t>
      </w:r>
      <w:r>
        <w:rPr>
          <w:kern w:val="0"/>
        </w:rPr>
        <w:t>为砼硬化双向二车道，路宽约8m，最大坡度不超6%；</w:t>
      </w:r>
      <w:r>
        <w:t>从道路末端至渣场为泥结碎石道路，宽约6m，最大坡度约8%，道路末端从渣场东南侧修至渣库库尾至库内各卸排平台进行卸排，磷石膏卸排后，由推土机推运、摊平及压实。</w:t>
      </w:r>
    </w:p>
    <w:p w14:paraId="31DE7765">
      <w:pPr>
        <w:pStyle w:val="4"/>
      </w:pPr>
      <w:bookmarkStart w:id="64" w:name="_Toc230699589"/>
      <w:r>
        <w:rPr>
          <w:rFonts w:hint="eastAsia"/>
        </w:rPr>
        <w:t>2.5.10辅助设施</w:t>
      </w:r>
      <w:bookmarkEnd w:id="64"/>
    </w:p>
    <w:p w14:paraId="1642DBE9">
      <w:pPr>
        <w:ind w:firstLineChars="150"/>
      </w:pPr>
      <w:r>
        <w:t>（</w:t>
      </w:r>
      <w:r>
        <w:rPr>
          <w:rFonts w:hint="eastAsia"/>
        </w:rPr>
        <w:t>1</w:t>
      </w:r>
      <w:r>
        <w:t>）管理用房</w:t>
      </w:r>
    </w:p>
    <w:p w14:paraId="5AA64FCA">
      <w:pPr>
        <w:ind w:firstLineChars="150"/>
      </w:pPr>
      <w:r>
        <w:rPr>
          <w:rFonts w:hint="eastAsia"/>
        </w:rPr>
        <w:t>（2）其他辅助设施</w:t>
      </w:r>
    </w:p>
    <w:p w14:paraId="442D6A32">
      <w:pPr>
        <w:pStyle w:val="3"/>
      </w:pPr>
      <w:bookmarkStart w:id="65" w:name="_Toc230699590"/>
      <w:r>
        <w:rPr>
          <w:rFonts w:hint="eastAsia"/>
        </w:rPr>
        <w:t>2.6 安全管理</w:t>
      </w:r>
      <w:bookmarkEnd w:id="65"/>
    </w:p>
    <w:p w14:paraId="32351BBD">
      <w:pPr>
        <w:pStyle w:val="4"/>
      </w:pPr>
      <w:bookmarkStart w:id="66" w:name="_Toc230699591"/>
      <w:r>
        <w:rPr>
          <w:rFonts w:hint="eastAsia"/>
        </w:rPr>
        <w:t>2.6.1安全生产制度管理及要求</w:t>
      </w:r>
      <w:bookmarkEnd w:id="66"/>
    </w:p>
    <w:p w14:paraId="7562E783">
      <w:pPr>
        <w:ind w:firstLine="560"/>
      </w:pPr>
      <w:r>
        <w:t>（1）生产经营单位应当建立健全渣场安全生产责任制，建立健全安全生产规章制度和安全技术操作规程，对渣场实施有效的安全管理；保证必需资金的投入和相关安全管理人员、专业技术人员的配备；生产经营单位主要负责人和安全管理人员应当依照有关规定经培训考核合格并取得安全资格证书后，方可任职。</w:t>
      </w:r>
    </w:p>
    <w:p w14:paraId="79618205">
      <w:pPr>
        <w:ind w:firstLine="560"/>
      </w:pPr>
      <w:r>
        <w:t>（2）对直接从事磷石膏排放、筑坝、巡坝、排洪和排水设施操作的作业人员进行专门的作业培训，并监督其取得特种作业人员操作资格证书和持证上岗情况。</w:t>
      </w:r>
    </w:p>
    <w:p w14:paraId="7B708363">
      <w:pPr>
        <w:ind w:firstLine="560"/>
      </w:pPr>
      <w:r>
        <w:t>（3）生产经营单位应当编制年、季作业计划和详细的月计划表，统筹安排磷石膏的回采、堆存的管理工作。</w:t>
      </w:r>
    </w:p>
    <w:p w14:paraId="4E0AD6E2">
      <w:pPr>
        <w:ind w:firstLine="560"/>
      </w:pPr>
      <w:r>
        <w:t>（4）严格遵循《尾矿库安全监督管理规定》、《磷石膏安全技术规程》的要求，做好磷石膏排放、回水排水、防汛、抗震、监测系统等安全生产管理，确保各项设施安全生产，防止发生事故和灾害。</w:t>
      </w:r>
    </w:p>
    <w:p w14:paraId="270DF2E4">
      <w:pPr>
        <w:ind w:firstLine="560"/>
      </w:pPr>
      <w:r>
        <w:t>（5）作好日常相关工作的记录与分析，并进行归档；对于生产过程当中出现的问题做到及时发现、及时处理，达到满足渣场安全生产的要求，尽可能地实现风险概率最小化。</w:t>
      </w:r>
    </w:p>
    <w:p w14:paraId="3F301AF4">
      <w:pPr>
        <w:ind w:firstLine="560"/>
      </w:pPr>
      <w:r>
        <w:t>（6）生产经营单位应当建立渣场工程档案和日常管理档案，特别是隐蔽工程档案、安全检查档案和隐患排查治理档案，并长期保存</w:t>
      </w:r>
      <w:r>
        <w:rPr>
          <w:rFonts w:hint="eastAsia"/>
        </w:rPr>
        <w:t>。</w:t>
      </w:r>
    </w:p>
    <w:p w14:paraId="31D85895">
      <w:pPr>
        <w:pStyle w:val="4"/>
      </w:pPr>
      <w:bookmarkStart w:id="67" w:name="_Toc230699592"/>
      <w:r>
        <w:rPr>
          <w:rFonts w:hint="eastAsia"/>
        </w:rPr>
        <w:t>2.6.2 管理机构及劳动定员</w:t>
      </w:r>
      <w:bookmarkEnd w:id="67"/>
    </w:p>
    <w:p w14:paraId="4B1E3672">
      <w:pPr>
        <w:ind w:firstLine="560"/>
      </w:pPr>
      <w:bookmarkStart w:id="68" w:name="_Toc270267377"/>
      <w:bookmarkStart w:id="69" w:name="_Toc146887199"/>
      <w:bookmarkStart w:id="70" w:name="_Toc146886942"/>
      <w:bookmarkStart w:id="71" w:name="_Toc122948991"/>
      <w:r>
        <w:t>（1）管理机构</w:t>
      </w:r>
    </w:p>
    <w:p w14:paraId="17E74954">
      <w:pPr>
        <w:ind w:firstLine="560"/>
      </w:pPr>
      <w:r>
        <w:t>渣场设施的安全管理，要设立不同层次的管理机构各负其责。</w:t>
      </w:r>
    </w:p>
    <w:p w14:paraId="1B0C9AD1">
      <w:pPr>
        <w:ind w:firstLine="0" w:firstLineChars="0"/>
        <w:jc w:val="center"/>
      </w:pPr>
      <w:r>
        <w:t>企业经营管理者</w:t>
      </w:r>
    </w:p>
    <w:p w14:paraId="6EFBECAE">
      <w:pPr>
        <w:ind w:firstLine="0" w:firstLineChars="0"/>
      </w:pPr>
      <w:r>
        <mc:AlternateContent>
          <mc:Choice Requires="wps">
            <w:drawing>
              <wp:anchor distT="0" distB="0" distL="114300" distR="114300" simplePos="0" relativeHeight="251662336" behindDoc="0" locked="0" layoutInCell="1" allowOverlap="1">
                <wp:simplePos x="0" y="0"/>
                <wp:positionH relativeFrom="column">
                  <wp:posOffset>2733040</wp:posOffset>
                </wp:positionH>
                <wp:positionV relativeFrom="paragraph">
                  <wp:posOffset>53975</wp:posOffset>
                </wp:positionV>
                <wp:extent cx="266700" cy="183515"/>
                <wp:effectExtent l="38100" t="0" r="0" b="45085"/>
                <wp:wrapNone/>
                <wp:docPr id="14" name="下箭头 14"/>
                <wp:cNvGraphicFramePr/>
                <a:graphic xmlns:a="http://schemas.openxmlformats.org/drawingml/2006/main">
                  <a:graphicData uri="http://schemas.microsoft.com/office/word/2010/wordprocessingShape">
                    <wps:wsp>
                      <wps:cNvSpPr>
                        <a:spLocks noChangeArrowheads="1"/>
                      </wps:cNvSpPr>
                      <wps:spPr bwMode="auto">
                        <a:xfrm>
                          <a:off x="0" y="0"/>
                          <a:ext cx="266700" cy="183515"/>
                        </a:xfrm>
                        <a:prstGeom prst="downArrow">
                          <a:avLst>
                            <a:gd name="adj1" fmla="val 50000"/>
                            <a:gd name="adj2" fmla="val 25000"/>
                          </a:avLst>
                        </a:prstGeom>
                        <a:solidFill>
                          <a:srgbClr val="FFFFFF"/>
                        </a:solidFill>
                        <a:ln w="9525">
                          <a:solidFill>
                            <a:srgbClr val="000000"/>
                          </a:solidFill>
                          <a:miter lim="800000"/>
                        </a:ln>
                      </wps:spPr>
                      <wps:bodyPr rot="0" vert="eaVert" wrap="square" lIns="91440" tIns="45720" rIns="91440" bIns="45720" anchor="t" anchorCtr="0" upright="1">
                        <a:noAutofit/>
                      </wps:bodyPr>
                    </wps:wsp>
                  </a:graphicData>
                </a:graphic>
              </wp:anchor>
            </w:drawing>
          </mc:Choice>
          <mc:Fallback>
            <w:pict>
              <v:shape id="_x0000_s1026" o:spid="_x0000_s1026" o:spt="67" type="#_x0000_t67" style="position:absolute;left:0pt;margin-left:215.2pt;margin-top:4.25pt;height:14.45pt;width:21pt;z-index:251662336;mso-width-relative:page;mso-height-relative:page;" fillcolor="#FFFFFF" filled="t" stroked="t" coordsize="21600,21600" o:gfxdata="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OSASGNUAAAAI&#10;AQAADwAAAAAAAAABACAAAAAiAAAAZHJzL2Rvd25yZXYueG1sUEsBAhQAFAAAAAgAh07iQBbTBNFY&#10;AgAAywQAAA4AAAAAAAAAAQAgAAAAJAEAAGRycy9lMm9Eb2MueG1sUEsFBgAAAAAGAAYAWQEAAO4F&#10;AAAAAA==&#10;" adj="16200,5400">
                <v:fill on="t" focussize="0,0"/>
                <v:stroke color="#000000" miterlimit="8" joinstyle="miter"/>
                <v:imagedata o:title=""/>
                <o:lock v:ext="edit" aspectratio="f"/>
                <v:textbox style="layout-flow:vertical-ideographic;"/>
              </v:shape>
            </w:pict>
          </mc:Fallback>
        </mc:AlternateContent>
      </w:r>
    </w:p>
    <w:p w14:paraId="7574CD5B">
      <w:pPr>
        <w:ind w:firstLine="0" w:firstLineChars="0"/>
        <w:jc w:val="center"/>
      </w:pPr>
      <w:r>
        <w:t>企业渣场设施安全管理部门</w:t>
      </w:r>
    </w:p>
    <w:p w14:paraId="11206ECC">
      <w:pPr>
        <w:ind w:firstLine="0" w:firstLineChars="0"/>
      </w:pPr>
      <w:r>
        <mc:AlternateContent>
          <mc:Choice Requires="wps">
            <w:drawing>
              <wp:anchor distT="0" distB="0" distL="114300" distR="114300" simplePos="0" relativeHeight="251663360" behindDoc="0" locked="0" layoutInCell="1" allowOverlap="1">
                <wp:simplePos x="0" y="0"/>
                <wp:positionH relativeFrom="column">
                  <wp:posOffset>2733040</wp:posOffset>
                </wp:positionH>
                <wp:positionV relativeFrom="paragraph">
                  <wp:posOffset>68580</wp:posOffset>
                </wp:positionV>
                <wp:extent cx="266700" cy="156845"/>
                <wp:effectExtent l="38100" t="0" r="19050" b="33655"/>
                <wp:wrapNone/>
                <wp:docPr id="13" name="下箭头 13"/>
                <wp:cNvGraphicFramePr/>
                <a:graphic xmlns:a="http://schemas.openxmlformats.org/drawingml/2006/main">
                  <a:graphicData uri="http://schemas.microsoft.com/office/word/2010/wordprocessingShape">
                    <wps:wsp>
                      <wps:cNvSpPr>
                        <a:spLocks noChangeArrowheads="1"/>
                      </wps:cNvSpPr>
                      <wps:spPr bwMode="auto">
                        <a:xfrm>
                          <a:off x="0" y="0"/>
                          <a:ext cx="266700" cy="156845"/>
                        </a:xfrm>
                        <a:prstGeom prst="downArrow">
                          <a:avLst>
                            <a:gd name="adj1" fmla="val 50000"/>
                            <a:gd name="adj2" fmla="val 25000"/>
                          </a:avLst>
                        </a:prstGeom>
                        <a:solidFill>
                          <a:srgbClr val="FFFFFF"/>
                        </a:solidFill>
                        <a:ln w="9525">
                          <a:solidFill>
                            <a:srgbClr val="000000"/>
                          </a:solidFill>
                          <a:miter lim="800000"/>
                        </a:ln>
                      </wps:spPr>
                      <wps:bodyPr rot="0" vert="eaVert" wrap="square" lIns="91440" tIns="45720" rIns="91440" bIns="45720" anchor="t" anchorCtr="0" upright="1">
                        <a:noAutofit/>
                      </wps:bodyPr>
                    </wps:wsp>
                  </a:graphicData>
                </a:graphic>
              </wp:anchor>
            </w:drawing>
          </mc:Choice>
          <mc:Fallback>
            <w:pict>
              <v:shape id="_x0000_s1026" o:spid="_x0000_s1026" o:spt="67" type="#_x0000_t67" style="position:absolute;left:0pt;margin-left:215.2pt;margin-top:5.4pt;height:12.35pt;width:21pt;z-index:251663360;mso-width-relative:page;mso-height-relative:page;" fillcolor="#FFFFFF" filled="t" stroked="t" coordsize="21600,21600" o:gfxdata="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2L8dbdUAAAAJ&#10;AQAADwAAAAAAAAABACAAAAAiAAAAZHJzL2Rvd25yZXYueG1sUEsBAhQAFAAAAAgAh07iQMp/uAhY&#10;AgAAywQAAA4AAAAAAAAAAQAgAAAAJAEAAGRycy9lMm9Eb2MueG1sUEsFBgAAAAAGAAYAWQEAAO4F&#10;AAAAAA==&#10;" adj="16200,5400">
                <v:fill on="t" focussize="0,0"/>
                <v:stroke color="#000000" miterlimit="8" joinstyle="miter"/>
                <v:imagedata o:title=""/>
                <o:lock v:ext="edit" aspectratio="f"/>
                <v:textbox style="layout-flow:vertical-ideographic;"/>
              </v:shape>
            </w:pict>
          </mc:Fallback>
        </mc:AlternateContent>
      </w:r>
    </w:p>
    <w:p w14:paraId="4902CF6E">
      <w:pPr>
        <w:ind w:firstLine="0" w:firstLineChars="0"/>
        <w:jc w:val="center"/>
      </w:pPr>
      <w:r>
        <w:t>渣场车间、工段或班组</w:t>
      </w:r>
    </w:p>
    <w:bookmarkEnd w:id="68"/>
    <w:bookmarkEnd w:id="69"/>
    <w:bookmarkEnd w:id="70"/>
    <w:bookmarkEnd w:id="71"/>
    <w:p w14:paraId="2FDEC714">
      <w:pPr>
        <w:ind w:firstLine="560"/>
      </w:pPr>
      <w:r>
        <w:t>（2）劳动定员</w:t>
      </w:r>
    </w:p>
    <w:p w14:paraId="656151EE">
      <w:pPr>
        <w:ind w:firstLine="560"/>
      </w:pPr>
      <w:r>
        <w:t>渣场管理总负责人1人，主要负责人2人，操作人员7人，总计10人。</w:t>
      </w:r>
      <w:r>
        <w:rPr>
          <w:rFonts w:hint="eastAsia"/>
        </w:rPr>
        <w:t>。</w:t>
      </w:r>
    </w:p>
    <w:p w14:paraId="74A156D2">
      <w:pPr>
        <w:pStyle w:val="4"/>
      </w:pPr>
      <w:bookmarkStart w:id="72" w:name="_Toc230699593"/>
      <w:r>
        <w:rPr>
          <w:rFonts w:hint="eastAsia"/>
        </w:rPr>
        <w:t>2.6.3 应急救援预案</w:t>
      </w:r>
      <w:bookmarkEnd w:id="72"/>
    </w:p>
    <w:p w14:paraId="292F7E17">
      <w:pPr>
        <w:ind w:firstLine="560"/>
      </w:pPr>
      <w:r>
        <w:t>企业应根据可能的垮坝、泄漏、排洪设施损毁、坝坡深层滑动和其他影响渣场的生产安全事故编制应急救援预案，应急救援预案中应当有防止次生环境污染事件的措施。</w:t>
      </w:r>
    </w:p>
    <w:p w14:paraId="76DF4014">
      <w:pPr>
        <w:ind w:firstLine="560"/>
      </w:pPr>
      <w:r>
        <w:t>应急救援预案应包括应急救援预案和应急预案演练。明确应急机构的组成和职责，抢险救援的人员、资金、物资准备情况，应急通信保障及应急行动具体实施措施等。根据渣场运行期间可能存在的风险，做好应急准备、计划、响应及保障。通过应急救援预案评审完善和改进不足之处，并进行备案</w:t>
      </w:r>
      <w:r>
        <w:rPr>
          <w:rFonts w:hint="eastAsia"/>
        </w:rPr>
        <w:t>。</w:t>
      </w:r>
    </w:p>
    <w:p w14:paraId="113FD088">
      <w:pPr>
        <w:pStyle w:val="4"/>
      </w:pPr>
      <w:bookmarkStart w:id="73" w:name="_Toc230699594"/>
      <w:r>
        <w:rPr>
          <w:rFonts w:hint="eastAsia"/>
        </w:rPr>
        <w:t>2.6.4安全生产</w:t>
      </w:r>
      <w:bookmarkEnd w:id="73"/>
    </w:p>
    <w:p w14:paraId="79948747">
      <w:pPr>
        <w:ind w:firstLine="560"/>
      </w:pPr>
      <w:r>
        <w:t>（1）作业时，应有专人指挥。非作业人员一律不得进入作业区。凡进入作业区的工作人员、车辆、工程机械必须服从指挥人员的指挥。</w:t>
      </w:r>
    </w:p>
    <w:p w14:paraId="10E82657">
      <w:pPr>
        <w:ind w:firstLine="560"/>
      </w:pPr>
      <w:r>
        <w:t>（2）作业平台应平整，坡顶线应整体均衡推进，坡顶线、内外坡比符合设计要求，</w:t>
      </w:r>
      <w:r>
        <w:rPr>
          <w:rFonts w:hint="eastAsia"/>
        </w:rPr>
        <w:t>堆填</w:t>
      </w:r>
      <w:r>
        <w:t>从库尾至坝前，分层</w:t>
      </w:r>
      <w:r>
        <w:rPr>
          <w:rFonts w:hint="eastAsia"/>
        </w:rPr>
        <w:t>压实</w:t>
      </w:r>
      <w:r>
        <w:t>，汽车</w:t>
      </w:r>
      <w:r>
        <w:rPr>
          <w:rFonts w:hint="eastAsia"/>
        </w:rPr>
        <w:t>卸车</w:t>
      </w:r>
      <w:r>
        <w:t>时，后续汽车等待时需保证距离</w:t>
      </w:r>
      <w:r>
        <w:rPr>
          <w:rFonts w:hint="eastAsia"/>
        </w:rPr>
        <w:t>卸车</w:t>
      </w:r>
      <w:r>
        <w:t>位置大于20m。</w:t>
      </w:r>
    </w:p>
    <w:p w14:paraId="21488810">
      <w:pPr>
        <w:ind w:firstLine="560"/>
      </w:pPr>
      <w:r>
        <w:t>（3）作业平台边缘必须设置安全车挡，其高度不得小于车轮直径的2/5，车挡顶部和底部宽度应分别不小于车轮直径的1/3和1.3倍。</w:t>
      </w:r>
    </w:p>
    <w:p w14:paraId="3673CD94">
      <w:pPr>
        <w:ind w:firstLine="560"/>
      </w:pPr>
      <w:r>
        <w:t>（4）应按规定顺序排卸，在同一地段进行卸土和推土作业时，设备之间必须保持足够的安全距离。</w:t>
      </w:r>
    </w:p>
    <w:p w14:paraId="6C5F0C04">
      <w:pPr>
        <w:ind w:firstLine="560"/>
      </w:pPr>
      <w:r>
        <w:t>（5）卸土车辆应垂直于排卸工作线。严禁高速倒车和冲撞安全车挡。</w:t>
      </w:r>
    </w:p>
    <w:p w14:paraId="73BF44B6">
      <w:pPr>
        <w:ind w:firstLine="560"/>
      </w:pPr>
      <w:r>
        <w:t>（6）推土机严禁在排卸边缘平行坡顶线方向推土作业。</w:t>
      </w:r>
    </w:p>
    <w:p w14:paraId="30EE27BC">
      <w:pPr>
        <w:ind w:firstLine="560"/>
      </w:pPr>
      <w:r>
        <w:t>（7）作业区的安全车挡或反坡不符合规定、坡顶线内侧30m范围内有大面积裂缝或不均匀沉陷时，严禁车辆进入该危险区，作业人员需应及时处理。</w:t>
      </w:r>
    </w:p>
    <w:p w14:paraId="6B43D544">
      <w:pPr>
        <w:ind w:firstLine="560"/>
      </w:pPr>
      <w:r>
        <w:t>（8）作业区内因雾、粉尘、照明等因素使驾驶员视距小于30m或遇暴雨、大雪、大风等恶劣天气时，应停止作业。</w:t>
      </w:r>
    </w:p>
    <w:p w14:paraId="43D7A40E">
      <w:pPr>
        <w:ind w:firstLine="560"/>
      </w:pPr>
      <w:r>
        <w:t>（9）车辆进入作业区应限速行驶，距作业区50～200m限速16千米/小时，小于50m限速8千米/小时。作业区内应设置一定数量的限速安全标志牌。</w:t>
      </w:r>
    </w:p>
    <w:p w14:paraId="6E7AA82E">
      <w:pPr>
        <w:ind w:firstLine="560"/>
      </w:pPr>
      <w:r>
        <w:t>（10）作业区照明必须完好，灯塔与车挡距离12～25m，照明角度必须符合要求，夜间无照明时禁止排卸作业。</w:t>
      </w:r>
    </w:p>
    <w:p w14:paraId="78DAF8DA">
      <w:pPr>
        <w:ind w:firstLine="560"/>
      </w:pPr>
      <w:r>
        <w:t>（11）作业区必须配备质量合格的足够数量的钢丝绳（不少于4根）、大卸扣（不少于4个）、灭火器等应急工具。</w:t>
      </w:r>
    </w:p>
    <w:p w14:paraId="7C8F85B5">
      <w:pPr>
        <w:ind w:firstLine="560"/>
      </w:pPr>
      <w:r>
        <w:t>（12）挖掘机站立台阶坡顶线的安全距离应符合下列要求：</w:t>
      </w:r>
    </w:p>
    <w:p w14:paraId="7C30C0B2">
      <w:pPr>
        <w:ind w:firstLine="560"/>
      </w:pPr>
      <w:r>
        <w:t>台阶高度≤10m时不小于6m；</w:t>
      </w:r>
    </w:p>
    <w:p w14:paraId="092125D9">
      <w:pPr>
        <w:ind w:firstLine="560"/>
      </w:pPr>
      <w:r>
        <w:t>台阶高度＝11～15m时不小于8m；</w:t>
      </w:r>
    </w:p>
    <w:p w14:paraId="0B5DB26F">
      <w:pPr>
        <w:ind w:firstLine="560"/>
      </w:pPr>
      <w:r>
        <w:t>台阶高度＝16～20m时不小于11m；</w:t>
      </w:r>
    </w:p>
    <w:p w14:paraId="06173F49">
      <w:pPr>
        <w:ind w:firstLine="560"/>
      </w:pPr>
      <w:r>
        <w:t>台阶高度＞20m时应制定安全措施。</w:t>
      </w:r>
    </w:p>
    <w:p w14:paraId="22683C85">
      <w:pPr>
        <w:ind w:firstLine="560"/>
      </w:pPr>
      <w:r>
        <w:t>（14）推土机必须在稳定的平盘上作业，外侧履带与台阶坡顶线之间必须保持足够的安全距离。</w:t>
      </w:r>
    </w:p>
    <w:p w14:paraId="6FE07ABF">
      <w:pPr>
        <w:ind w:firstLine="560"/>
      </w:pPr>
      <w:r>
        <w:t>（15）作业场地和行驶道路的坡度应符合推土机的操作技术要求。</w:t>
      </w:r>
    </w:p>
    <w:p w14:paraId="2C00F3BF">
      <w:pPr>
        <w:ind w:firstLine="560"/>
      </w:pPr>
      <w:r>
        <w:t>（16）</w:t>
      </w:r>
      <w:r>
        <w:rPr>
          <w:rFonts w:hint="eastAsia"/>
        </w:rPr>
        <w:t>堆填</w:t>
      </w:r>
      <w:r>
        <w:t>过程中，应加强对</w:t>
      </w:r>
      <w:r>
        <w:rPr>
          <w:rFonts w:hint="eastAsia"/>
        </w:rPr>
        <w:t>拦渣</w:t>
      </w:r>
      <w:r>
        <w:t>坝及堆积坝的位移和沉降观测及分析，发现不合理沉降和位移，应立即停止</w:t>
      </w:r>
      <w:r>
        <w:rPr>
          <w:rFonts w:hint="eastAsia"/>
        </w:rPr>
        <w:t>堆填</w:t>
      </w:r>
      <w:r>
        <w:t>，及时分析原因并组织整改消除隐患。</w:t>
      </w:r>
    </w:p>
    <w:p w14:paraId="2C32A397">
      <w:pPr>
        <w:ind w:firstLine="560"/>
      </w:pPr>
      <w:r>
        <w:t>（17）运输车辆应定期维护检修，保持车况良好；加强司机安全教育，禁止疲劳驾驶、违章驾驶；</w:t>
      </w:r>
    </w:p>
    <w:p w14:paraId="655C243D">
      <w:pPr>
        <w:ind w:firstLine="560"/>
      </w:pPr>
      <w:r>
        <w:t>（18）按照设计进行道路施工，经常维护，弯道处会车视距不能满足要求时，应设分车道；具体规定矿区道路上各地段的车速，并设置路标；</w:t>
      </w:r>
    </w:p>
    <w:p w14:paraId="04BD4B32">
      <w:pPr>
        <w:ind w:firstLine="560"/>
      </w:pPr>
      <w:r>
        <w:t>（19）在高路堤或山坡填方的弯道处，坡度较大的填方地段，道路外侧应设置护栏、挡车土堆等，挡车土堆的高度根据实际情况具体规定；</w:t>
      </w:r>
    </w:p>
    <w:p w14:paraId="6C42EB10">
      <w:pPr>
        <w:ind w:firstLine="560"/>
      </w:pPr>
      <w:r>
        <w:t>（20）雨季或冬季路面或车辆应采取有效的防滑措施。</w:t>
      </w:r>
    </w:p>
    <w:p w14:paraId="2FBA4E9E">
      <w:pPr>
        <w:pStyle w:val="3"/>
      </w:pPr>
      <w:bookmarkStart w:id="74" w:name="_Toc230699595"/>
      <w:r>
        <w:rPr>
          <w:rFonts w:hint="eastAsia"/>
        </w:rPr>
        <w:t>2.7 项目总投资</w:t>
      </w:r>
      <w:bookmarkEnd w:id="74"/>
    </w:p>
    <w:p w14:paraId="556A6645">
      <w:pPr>
        <w:ind w:firstLine="560"/>
        <w:rPr>
          <w:rFonts w:hint="eastAsia"/>
        </w:rPr>
      </w:pPr>
      <w:r>
        <w:rPr>
          <w:rFonts w:hint="eastAsia"/>
        </w:rPr>
        <w:t>根据整治设计，本项目总投资2221.64万元，其中：工程费用1826.23万元，其他费用230.84万元，工程预备费164.57万元。</w:t>
      </w:r>
    </w:p>
    <w:p w14:paraId="0FC217BC">
      <w:pPr>
        <w:rPr>
          <w:rFonts w:hint="eastAsia"/>
        </w:rPr>
      </w:pPr>
      <w:r>
        <w:rPr>
          <w:rFonts w:hint="eastAsia"/>
        </w:rPr>
        <w:br w:type="page"/>
      </w:r>
    </w:p>
    <w:p w14:paraId="32633E95">
      <w:pPr>
        <w:pStyle w:val="2"/>
      </w:pPr>
      <w:bookmarkStart w:id="75" w:name="_Toc230699596"/>
      <w:r>
        <w:rPr>
          <w:rFonts w:hint="eastAsia"/>
        </w:rPr>
        <w:t>第3章 定性定量评价</w:t>
      </w:r>
      <w:bookmarkEnd w:id="75"/>
    </w:p>
    <w:p w14:paraId="3003DBB4">
      <w:pPr>
        <w:ind w:firstLine="560"/>
      </w:pPr>
      <w:r>
        <w:rPr>
          <w:rFonts w:hint="eastAsia"/>
        </w:rPr>
        <w:t>本报告根据该项目在今后生产运行过程中危险、有害因素的性质和重要危险、有害因素的分布等情况，结合本次的评价范围和对象，划分出5个评价单元进行评价，详见表3-1。</w:t>
      </w:r>
    </w:p>
    <w:p w14:paraId="0195789B">
      <w:pPr>
        <w:pStyle w:val="38"/>
        <w:rPr>
          <w:rFonts w:hint="default"/>
        </w:rPr>
      </w:pPr>
      <w:r>
        <w:t>表3-1  评价单元划分表</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8"/>
        <w:gridCol w:w="5794"/>
        <w:gridCol w:w="2078"/>
      </w:tblGrid>
      <w:tr w14:paraId="0029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13" w:type="pct"/>
            <w:tcBorders>
              <w:top w:val="single" w:color="auto" w:sz="4" w:space="0"/>
            </w:tcBorders>
            <w:vAlign w:val="center"/>
          </w:tcPr>
          <w:p w14:paraId="27BC2C4E">
            <w:pPr>
              <w:pStyle w:val="39"/>
              <w:rPr>
                <w:rFonts w:hint="default"/>
                <w:b/>
                <w:bCs/>
              </w:rPr>
            </w:pPr>
            <w:r>
              <w:rPr>
                <w:b/>
                <w:bCs/>
              </w:rPr>
              <w:t>序号</w:t>
            </w:r>
          </w:p>
        </w:tc>
        <w:tc>
          <w:tcPr>
            <w:tcW w:w="3081" w:type="pct"/>
            <w:tcBorders>
              <w:top w:val="single" w:color="auto" w:sz="4" w:space="0"/>
            </w:tcBorders>
            <w:vAlign w:val="center"/>
          </w:tcPr>
          <w:p w14:paraId="5F82C322">
            <w:pPr>
              <w:pStyle w:val="39"/>
              <w:rPr>
                <w:rFonts w:hint="default"/>
                <w:b/>
                <w:bCs/>
              </w:rPr>
            </w:pPr>
            <w:r>
              <w:rPr>
                <w:b/>
                <w:bCs/>
              </w:rPr>
              <w:t>单元名称</w:t>
            </w:r>
          </w:p>
        </w:tc>
        <w:tc>
          <w:tcPr>
            <w:tcW w:w="1105" w:type="pct"/>
            <w:tcBorders>
              <w:top w:val="single" w:color="auto" w:sz="4" w:space="0"/>
            </w:tcBorders>
            <w:vAlign w:val="center"/>
          </w:tcPr>
          <w:p w14:paraId="3C006A10">
            <w:pPr>
              <w:pStyle w:val="39"/>
              <w:rPr>
                <w:rFonts w:hint="default"/>
                <w:b/>
                <w:bCs/>
              </w:rPr>
            </w:pPr>
            <w:r>
              <w:rPr>
                <w:b/>
                <w:bCs/>
              </w:rPr>
              <w:t>备注</w:t>
            </w:r>
          </w:p>
        </w:tc>
      </w:tr>
      <w:tr w14:paraId="1A19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13" w:type="pct"/>
            <w:vAlign w:val="center"/>
          </w:tcPr>
          <w:p w14:paraId="7C8038B1">
            <w:pPr>
              <w:pStyle w:val="39"/>
              <w:rPr>
                <w:rFonts w:hint="default"/>
              </w:rPr>
            </w:pPr>
            <w:r>
              <w:t>1</w:t>
            </w:r>
          </w:p>
        </w:tc>
        <w:tc>
          <w:tcPr>
            <w:tcW w:w="3081" w:type="pct"/>
            <w:vAlign w:val="center"/>
          </w:tcPr>
          <w:p w14:paraId="1895ECBD">
            <w:pPr>
              <w:pStyle w:val="39"/>
              <w:rPr>
                <w:rFonts w:hint="default"/>
              </w:rPr>
            </w:pPr>
            <w:r>
              <w:t>场址及总平面布置评价单元</w:t>
            </w:r>
          </w:p>
        </w:tc>
        <w:tc>
          <w:tcPr>
            <w:tcW w:w="1105" w:type="pct"/>
            <w:vAlign w:val="center"/>
          </w:tcPr>
          <w:p w14:paraId="38D49647">
            <w:pPr>
              <w:pStyle w:val="39"/>
              <w:rPr>
                <w:rFonts w:hint="default"/>
              </w:rPr>
            </w:pPr>
          </w:p>
        </w:tc>
      </w:tr>
      <w:tr w14:paraId="08C5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13" w:type="pct"/>
            <w:vAlign w:val="center"/>
          </w:tcPr>
          <w:p w14:paraId="4520A764">
            <w:pPr>
              <w:pStyle w:val="39"/>
              <w:rPr>
                <w:rFonts w:hint="default"/>
              </w:rPr>
            </w:pPr>
            <w:r>
              <w:t>2</w:t>
            </w:r>
          </w:p>
        </w:tc>
        <w:tc>
          <w:tcPr>
            <w:tcW w:w="3081" w:type="pct"/>
            <w:vAlign w:val="center"/>
          </w:tcPr>
          <w:p w14:paraId="0D940A10">
            <w:pPr>
              <w:pStyle w:val="39"/>
              <w:rPr>
                <w:rFonts w:hint="default"/>
              </w:rPr>
            </w:pPr>
            <w:r>
              <w:t>堆填及整治工艺评价单元</w:t>
            </w:r>
          </w:p>
        </w:tc>
        <w:tc>
          <w:tcPr>
            <w:tcW w:w="1105" w:type="pct"/>
            <w:vAlign w:val="center"/>
          </w:tcPr>
          <w:p w14:paraId="38AC1277">
            <w:pPr>
              <w:pStyle w:val="39"/>
              <w:rPr>
                <w:rFonts w:hint="default"/>
              </w:rPr>
            </w:pPr>
          </w:p>
        </w:tc>
      </w:tr>
      <w:tr w14:paraId="44AB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13" w:type="pct"/>
            <w:vAlign w:val="center"/>
          </w:tcPr>
          <w:p w14:paraId="547E1132">
            <w:pPr>
              <w:pStyle w:val="39"/>
              <w:rPr>
                <w:rFonts w:hint="default"/>
              </w:rPr>
            </w:pPr>
            <w:r>
              <w:t>3</w:t>
            </w:r>
          </w:p>
        </w:tc>
        <w:tc>
          <w:tcPr>
            <w:tcW w:w="3081" w:type="pct"/>
            <w:vAlign w:val="center"/>
          </w:tcPr>
          <w:p w14:paraId="78AC6AC5">
            <w:pPr>
              <w:pStyle w:val="39"/>
              <w:rPr>
                <w:rFonts w:hint="default"/>
              </w:rPr>
            </w:pPr>
            <w:r>
              <w:t>防排水系统评价单元</w:t>
            </w:r>
          </w:p>
        </w:tc>
        <w:tc>
          <w:tcPr>
            <w:tcW w:w="1105" w:type="pct"/>
            <w:vAlign w:val="center"/>
          </w:tcPr>
          <w:p w14:paraId="46AB0CCA">
            <w:pPr>
              <w:pStyle w:val="39"/>
              <w:rPr>
                <w:rFonts w:hint="default"/>
              </w:rPr>
            </w:pPr>
          </w:p>
        </w:tc>
      </w:tr>
      <w:tr w14:paraId="352F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13" w:type="pct"/>
            <w:vAlign w:val="center"/>
          </w:tcPr>
          <w:p w14:paraId="0C125F69">
            <w:pPr>
              <w:pStyle w:val="39"/>
              <w:rPr>
                <w:rFonts w:hint="default"/>
              </w:rPr>
            </w:pPr>
            <w:r>
              <w:t>4</w:t>
            </w:r>
          </w:p>
        </w:tc>
        <w:tc>
          <w:tcPr>
            <w:tcW w:w="3081" w:type="pct"/>
            <w:vAlign w:val="center"/>
          </w:tcPr>
          <w:p w14:paraId="0155E1E1">
            <w:pPr>
              <w:pStyle w:val="39"/>
              <w:rPr>
                <w:rFonts w:hint="default"/>
              </w:rPr>
            </w:pPr>
            <w:r>
              <w:t>安全监测设施评价单元</w:t>
            </w:r>
          </w:p>
        </w:tc>
        <w:tc>
          <w:tcPr>
            <w:tcW w:w="1105" w:type="pct"/>
            <w:vAlign w:val="center"/>
          </w:tcPr>
          <w:p w14:paraId="51F789AB">
            <w:pPr>
              <w:pStyle w:val="39"/>
              <w:rPr>
                <w:rFonts w:hint="default"/>
              </w:rPr>
            </w:pPr>
          </w:p>
        </w:tc>
      </w:tr>
      <w:tr w14:paraId="79BD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13" w:type="pct"/>
            <w:vAlign w:val="center"/>
          </w:tcPr>
          <w:p w14:paraId="6BB77F9D">
            <w:pPr>
              <w:pStyle w:val="39"/>
              <w:rPr>
                <w:rFonts w:hint="default"/>
              </w:rPr>
            </w:pPr>
            <w:r>
              <w:t>5</w:t>
            </w:r>
          </w:p>
        </w:tc>
        <w:tc>
          <w:tcPr>
            <w:tcW w:w="3081" w:type="pct"/>
            <w:vAlign w:val="center"/>
          </w:tcPr>
          <w:p w14:paraId="58A1DD03">
            <w:pPr>
              <w:pStyle w:val="39"/>
              <w:rPr>
                <w:rFonts w:hint="default"/>
              </w:rPr>
            </w:pPr>
            <w:r>
              <w:t>安全管理评价单元</w:t>
            </w:r>
          </w:p>
        </w:tc>
        <w:tc>
          <w:tcPr>
            <w:tcW w:w="1105" w:type="pct"/>
            <w:vAlign w:val="center"/>
          </w:tcPr>
          <w:p w14:paraId="2D01EAF9">
            <w:pPr>
              <w:pStyle w:val="39"/>
              <w:rPr>
                <w:rFonts w:hint="default"/>
              </w:rPr>
            </w:pPr>
          </w:p>
        </w:tc>
      </w:tr>
    </w:tbl>
    <w:p w14:paraId="5F885C04">
      <w:pPr>
        <w:ind w:firstLine="560"/>
      </w:pPr>
      <w:r>
        <w:rPr>
          <w:rFonts w:hint="eastAsia"/>
        </w:rPr>
        <w:t>安全评价方法是对系统的危险、有害因素及其危险、危害程度进行定性、定量的分析、评价的方法。评价方法的选择是根据评价的特点、具体条件和需要，考虑评价对象的特征以及评价方法的特点而确定的。根据该弃渣场危险、有害因素的特征以及安全评价导则的要求，本评价报告采用预先危险性分析（PHA）、安全检查表法等定性评价方法；排洪能力验算定量评价方法。各单元评价方法选择见表3-2。</w:t>
      </w:r>
    </w:p>
    <w:p w14:paraId="4E0AAAEF">
      <w:pPr>
        <w:pStyle w:val="38"/>
        <w:rPr>
          <w:rFonts w:hint="default"/>
        </w:rPr>
      </w:pPr>
      <w:r>
        <w:t>表3-2  各单元评价方法选择表</w:t>
      </w:r>
    </w:p>
    <w:tbl>
      <w:tblPr>
        <w:tblStyle w:val="33"/>
        <w:tblW w:w="4998" w:type="pct"/>
        <w:jc w:val="center"/>
        <w:tblLayout w:type="autofit"/>
        <w:tblCellMar>
          <w:top w:w="0" w:type="dxa"/>
          <w:left w:w="108" w:type="dxa"/>
          <w:bottom w:w="0" w:type="dxa"/>
          <w:right w:w="108" w:type="dxa"/>
        </w:tblCellMar>
      </w:tblPr>
      <w:tblGrid>
        <w:gridCol w:w="1572"/>
        <w:gridCol w:w="3128"/>
        <w:gridCol w:w="4696"/>
      </w:tblGrid>
      <w:tr w14:paraId="2DE0B6C8">
        <w:tblPrEx>
          <w:tblCellMar>
            <w:top w:w="0" w:type="dxa"/>
            <w:left w:w="108" w:type="dxa"/>
            <w:bottom w:w="0" w:type="dxa"/>
            <w:right w:w="108" w:type="dxa"/>
          </w:tblCellMar>
        </w:tblPrEx>
        <w:trPr>
          <w:trHeight w:val="378" w:hRule="atLeast"/>
          <w:jc w:val="center"/>
        </w:trPr>
        <w:tc>
          <w:tcPr>
            <w:tcW w:w="836" w:type="pct"/>
            <w:tcBorders>
              <w:top w:val="single" w:color="000000" w:sz="4" w:space="0"/>
              <w:left w:val="single" w:color="000000" w:sz="4" w:space="0"/>
              <w:bottom w:val="single" w:color="000000" w:sz="4" w:space="0"/>
              <w:right w:val="single" w:color="000000" w:sz="4" w:space="0"/>
            </w:tcBorders>
            <w:vAlign w:val="center"/>
          </w:tcPr>
          <w:p w14:paraId="008B3250">
            <w:pPr>
              <w:pStyle w:val="39"/>
              <w:rPr>
                <w:rFonts w:hint="default"/>
                <w:b/>
                <w:bCs/>
              </w:rPr>
            </w:pPr>
            <w:r>
              <w:rPr>
                <w:b/>
                <w:bCs/>
              </w:rPr>
              <w:t>序号</w:t>
            </w:r>
          </w:p>
        </w:tc>
        <w:tc>
          <w:tcPr>
            <w:tcW w:w="1664" w:type="pct"/>
            <w:tcBorders>
              <w:top w:val="single" w:color="000000" w:sz="4" w:space="0"/>
              <w:left w:val="nil"/>
              <w:bottom w:val="single" w:color="000000" w:sz="4" w:space="0"/>
              <w:right w:val="single" w:color="000000" w:sz="4" w:space="0"/>
            </w:tcBorders>
            <w:vAlign w:val="center"/>
          </w:tcPr>
          <w:p w14:paraId="5C00BA20">
            <w:pPr>
              <w:pStyle w:val="39"/>
              <w:rPr>
                <w:rFonts w:hint="default"/>
                <w:b/>
                <w:bCs/>
              </w:rPr>
            </w:pPr>
            <w:r>
              <w:rPr>
                <w:b/>
                <w:bCs/>
              </w:rPr>
              <w:t>评价单元</w:t>
            </w:r>
          </w:p>
        </w:tc>
        <w:tc>
          <w:tcPr>
            <w:tcW w:w="2498" w:type="pct"/>
            <w:tcBorders>
              <w:top w:val="single" w:color="000000" w:sz="4" w:space="0"/>
              <w:left w:val="nil"/>
              <w:bottom w:val="single" w:color="000000" w:sz="4" w:space="0"/>
              <w:right w:val="single" w:color="000000" w:sz="4" w:space="0"/>
            </w:tcBorders>
            <w:vAlign w:val="center"/>
          </w:tcPr>
          <w:p w14:paraId="0ED341CC">
            <w:pPr>
              <w:pStyle w:val="39"/>
              <w:rPr>
                <w:rFonts w:hint="default"/>
                <w:b/>
                <w:bCs/>
              </w:rPr>
            </w:pPr>
            <w:r>
              <w:rPr>
                <w:b/>
                <w:bCs/>
              </w:rPr>
              <w:t>评价方法</w:t>
            </w:r>
          </w:p>
        </w:tc>
      </w:tr>
      <w:tr w14:paraId="70662026">
        <w:tblPrEx>
          <w:tblCellMar>
            <w:top w:w="0" w:type="dxa"/>
            <w:left w:w="108" w:type="dxa"/>
            <w:bottom w:w="0" w:type="dxa"/>
            <w:right w:w="108" w:type="dxa"/>
          </w:tblCellMar>
        </w:tblPrEx>
        <w:trPr>
          <w:trHeight w:val="378" w:hRule="atLeast"/>
          <w:jc w:val="center"/>
        </w:trPr>
        <w:tc>
          <w:tcPr>
            <w:tcW w:w="836" w:type="pct"/>
            <w:tcBorders>
              <w:top w:val="single" w:color="000000" w:sz="4" w:space="0"/>
              <w:left w:val="single" w:color="000000" w:sz="4" w:space="0"/>
              <w:bottom w:val="single" w:color="000000" w:sz="4" w:space="0"/>
              <w:right w:val="single" w:color="000000" w:sz="4" w:space="0"/>
            </w:tcBorders>
            <w:vAlign w:val="center"/>
          </w:tcPr>
          <w:p w14:paraId="2055EE57">
            <w:pPr>
              <w:pStyle w:val="39"/>
              <w:rPr>
                <w:rFonts w:hint="default"/>
              </w:rPr>
            </w:pPr>
            <w:r>
              <w:t>１</w:t>
            </w:r>
          </w:p>
        </w:tc>
        <w:tc>
          <w:tcPr>
            <w:tcW w:w="1664" w:type="pct"/>
            <w:tcBorders>
              <w:top w:val="single" w:color="000000" w:sz="4" w:space="0"/>
              <w:left w:val="nil"/>
              <w:bottom w:val="single" w:color="000000" w:sz="4" w:space="0"/>
              <w:right w:val="single" w:color="000000" w:sz="4" w:space="0"/>
            </w:tcBorders>
            <w:vAlign w:val="center"/>
          </w:tcPr>
          <w:p w14:paraId="6D888EB8">
            <w:pPr>
              <w:pStyle w:val="39"/>
              <w:rPr>
                <w:rFonts w:hint="default"/>
              </w:rPr>
            </w:pPr>
            <w:r>
              <w:t>场址及总平面布置评价单元</w:t>
            </w:r>
          </w:p>
        </w:tc>
        <w:tc>
          <w:tcPr>
            <w:tcW w:w="2498" w:type="pct"/>
            <w:tcBorders>
              <w:top w:val="single" w:color="000000" w:sz="4" w:space="0"/>
              <w:left w:val="nil"/>
              <w:bottom w:val="single" w:color="000000" w:sz="4" w:space="0"/>
              <w:right w:val="single" w:color="000000" w:sz="4" w:space="0"/>
            </w:tcBorders>
            <w:vAlign w:val="center"/>
          </w:tcPr>
          <w:p w14:paraId="779D8654">
            <w:pPr>
              <w:pStyle w:val="39"/>
              <w:rPr>
                <w:rFonts w:hint="default"/>
              </w:rPr>
            </w:pPr>
            <w:r>
              <w:t>安全检查表分析法</w:t>
            </w:r>
          </w:p>
        </w:tc>
      </w:tr>
      <w:tr w14:paraId="5530A8BF">
        <w:tblPrEx>
          <w:tblCellMar>
            <w:top w:w="0" w:type="dxa"/>
            <w:left w:w="108" w:type="dxa"/>
            <w:bottom w:w="0" w:type="dxa"/>
            <w:right w:w="108" w:type="dxa"/>
          </w:tblCellMar>
        </w:tblPrEx>
        <w:trPr>
          <w:trHeight w:val="379" w:hRule="atLeast"/>
          <w:jc w:val="center"/>
        </w:trPr>
        <w:tc>
          <w:tcPr>
            <w:tcW w:w="836" w:type="pct"/>
            <w:tcBorders>
              <w:top w:val="single" w:color="000000" w:sz="4" w:space="0"/>
              <w:left w:val="single" w:color="000000" w:sz="4" w:space="0"/>
              <w:bottom w:val="single" w:color="000000" w:sz="4" w:space="0"/>
              <w:right w:val="single" w:color="000000" w:sz="4" w:space="0"/>
            </w:tcBorders>
            <w:vAlign w:val="center"/>
          </w:tcPr>
          <w:p w14:paraId="07A391C4">
            <w:pPr>
              <w:pStyle w:val="39"/>
              <w:rPr>
                <w:rFonts w:hint="default"/>
              </w:rPr>
            </w:pPr>
            <w:r>
              <w:t>2</w:t>
            </w:r>
          </w:p>
        </w:tc>
        <w:tc>
          <w:tcPr>
            <w:tcW w:w="1664" w:type="pct"/>
            <w:tcBorders>
              <w:top w:val="single" w:color="000000" w:sz="4" w:space="0"/>
              <w:left w:val="nil"/>
              <w:bottom w:val="single" w:color="000000" w:sz="4" w:space="0"/>
              <w:right w:val="single" w:color="000000" w:sz="4" w:space="0"/>
            </w:tcBorders>
            <w:vAlign w:val="center"/>
          </w:tcPr>
          <w:p w14:paraId="52C8E43F">
            <w:pPr>
              <w:pStyle w:val="39"/>
              <w:rPr>
                <w:rFonts w:hint="default"/>
              </w:rPr>
            </w:pPr>
            <w:r>
              <w:t>堆填及整治工艺评价单元</w:t>
            </w:r>
          </w:p>
        </w:tc>
        <w:tc>
          <w:tcPr>
            <w:tcW w:w="2498" w:type="pct"/>
            <w:tcBorders>
              <w:top w:val="single" w:color="000000" w:sz="4" w:space="0"/>
              <w:left w:val="nil"/>
              <w:bottom w:val="single" w:color="000000" w:sz="4" w:space="0"/>
              <w:right w:val="single" w:color="000000" w:sz="4" w:space="0"/>
            </w:tcBorders>
            <w:vAlign w:val="center"/>
          </w:tcPr>
          <w:p w14:paraId="11A87471">
            <w:pPr>
              <w:pStyle w:val="39"/>
              <w:rPr>
                <w:rFonts w:hint="default"/>
              </w:rPr>
            </w:pPr>
            <w:r>
              <w:t>预先危险性分析（PHA）、安全检查表分析法</w:t>
            </w:r>
          </w:p>
        </w:tc>
      </w:tr>
      <w:tr w14:paraId="3A86A4A5">
        <w:tblPrEx>
          <w:tblCellMar>
            <w:top w:w="0" w:type="dxa"/>
            <w:left w:w="108" w:type="dxa"/>
            <w:bottom w:w="0" w:type="dxa"/>
            <w:right w:w="108" w:type="dxa"/>
          </w:tblCellMar>
        </w:tblPrEx>
        <w:trPr>
          <w:trHeight w:val="521" w:hRule="atLeast"/>
          <w:jc w:val="center"/>
        </w:trPr>
        <w:tc>
          <w:tcPr>
            <w:tcW w:w="836" w:type="pct"/>
            <w:tcBorders>
              <w:top w:val="single" w:color="000000" w:sz="4" w:space="0"/>
              <w:left w:val="single" w:color="000000" w:sz="4" w:space="0"/>
              <w:bottom w:val="single" w:color="000000" w:sz="4" w:space="0"/>
              <w:right w:val="single" w:color="000000" w:sz="4" w:space="0"/>
            </w:tcBorders>
            <w:vAlign w:val="center"/>
          </w:tcPr>
          <w:p w14:paraId="2E5BC9B9">
            <w:pPr>
              <w:pStyle w:val="39"/>
              <w:rPr>
                <w:rFonts w:hint="default"/>
              </w:rPr>
            </w:pPr>
            <w:r>
              <w:t>3</w:t>
            </w:r>
          </w:p>
        </w:tc>
        <w:tc>
          <w:tcPr>
            <w:tcW w:w="1664" w:type="pct"/>
            <w:tcBorders>
              <w:top w:val="single" w:color="000000" w:sz="4" w:space="0"/>
              <w:left w:val="nil"/>
              <w:bottom w:val="single" w:color="000000" w:sz="4" w:space="0"/>
              <w:right w:val="single" w:color="000000" w:sz="4" w:space="0"/>
            </w:tcBorders>
            <w:vAlign w:val="center"/>
          </w:tcPr>
          <w:p w14:paraId="2C9A85E7">
            <w:pPr>
              <w:pStyle w:val="39"/>
              <w:rPr>
                <w:rFonts w:hint="default"/>
              </w:rPr>
            </w:pPr>
            <w:r>
              <w:t>防排水系统评价单元</w:t>
            </w:r>
          </w:p>
        </w:tc>
        <w:tc>
          <w:tcPr>
            <w:tcW w:w="2498" w:type="pct"/>
            <w:tcBorders>
              <w:top w:val="single" w:color="000000" w:sz="4" w:space="0"/>
              <w:left w:val="nil"/>
              <w:bottom w:val="single" w:color="000000" w:sz="4" w:space="0"/>
              <w:right w:val="single" w:color="000000" w:sz="4" w:space="0"/>
            </w:tcBorders>
            <w:vAlign w:val="center"/>
          </w:tcPr>
          <w:p w14:paraId="47EA6E3A">
            <w:pPr>
              <w:pStyle w:val="39"/>
              <w:rPr>
                <w:rFonts w:hint="default"/>
              </w:rPr>
            </w:pPr>
            <w:r>
              <w:t>预先危险性分析（PHA）、安全检查表分析法</w:t>
            </w:r>
          </w:p>
        </w:tc>
      </w:tr>
      <w:tr w14:paraId="5F75F92B">
        <w:tblPrEx>
          <w:tblCellMar>
            <w:top w:w="0" w:type="dxa"/>
            <w:left w:w="108" w:type="dxa"/>
            <w:bottom w:w="0" w:type="dxa"/>
            <w:right w:w="108" w:type="dxa"/>
          </w:tblCellMar>
        </w:tblPrEx>
        <w:trPr>
          <w:trHeight w:val="521" w:hRule="atLeast"/>
          <w:jc w:val="center"/>
        </w:trPr>
        <w:tc>
          <w:tcPr>
            <w:tcW w:w="836" w:type="pct"/>
            <w:tcBorders>
              <w:top w:val="single" w:color="000000" w:sz="4" w:space="0"/>
              <w:left w:val="single" w:color="000000" w:sz="4" w:space="0"/>
              <w:bottom w:val="single" w:color="000000" w:sz="4" w:space="0"/>
              <w:right w:val="single" w:color="000000" w:sz="4" w:space="0"/>
            </w:tcBorders>
            <w:vAlign w:val="center"/>
          </w:tcPr>
          <w:p w14:paraId="2F65F56C">
            <w:pPr>
              <w:pStyle w:val="39"/>
              <w:rPr>
                <w:rFonts w:hint="default"/>
              </w:rPr>
            </w:pPr>
            <w:r>
              <w:t>4</w:t>
            </w:r>
          </w:p>
        </w:tc>
        <w:tc>
          <w:tcPr>
            <w:tcW w:w="1664" w:type="pct"/>
            <w:tcBorders>
              <w:top w:val="single" w:color="000000" w:sz="4" w:space="0"/>
              <w:left w:val="nil"/>
              <w:bottom w:val="single" w:color="000000" w:sz="4" w:space="0"/>
              <w:right w:val="single" w:color="000000" w:sz="4" w:space="0"/>
            </w:tcBorders>
            <w:vAlign w:val="center"/>
          </w:tcPr>
          <w:p w14:paraId="1D91E8F6">
            <w:pPr>
              <w:pStyle w:val="39"/>
              <w:rPr>
                <w:rFonts w:hint="default"/>
              </w:rPr>
            </w:pPr>
            <w:r>
              <w:t>安全监测设施评价单元</w:t>
            </w:r>
          </w:p>
        </w:tc>
        <w:tc>
          <w:tcPr>
            <w:tcW w:w="2498" w:type="pct"/>
            <w:tcBorders>
              <w:top w:val="single" w:color="000000" w:sz="4" w:space="0"/>
              <w:left w:val="nil"/>
              <w:bottom w:val="single" w:color="000000" w:sz="4" w:space="0"/>
              <w:right w:val="single" w:color="000000" w:sz="4" w:space="0"/>
            </w:tcBorders>
            <w:vAlign w:val="center"/>
          </w:tcPr>
          <w:p w14:paraId="5299099A">
            <w:pPr>
              <w:pStyle w:val="39"/>
              <w:rPr>
                <w:rFonts w:hint="default"/>
              </w:rPr>
            </w:pPr>
            <w:r>
              <w:t>安全检查表分析法</w:t>
            </w:r>
          </w:p>
        </w:tc>
      </w:tr>
      <w:tr w14:paraId="4FAC32F2">
        <w:tblPrEx>
          <w:tblCellMar>
            <w:top w:w="0" w:type="dxa"/>
            <w:left w:w="108" w:type="dxa"/>
            <w:bottom w:w="0" w:type="dxa"/>
            <w:right w:w="108" w:type="dxa"/>
          </w:tblCellMar>
        </w:tblPrEx>
        <w:trPr>
          <w:trHeight w:val="399" w:hRule="atLeast"/>
          <w:jc w:val="center"/>
        </w:trPr>
        <w:tc>
          <w:tcPr>
            <w:tcW w:w="836" w:type="pct"/>
            <w:tcBorders>
              <w:top w:val="single" w:color="000000" w:sz="4" w:space="0"/>
              <w:left w:val="single" w:color="000000" w:sz="4" w:space="0"/>
              <w:bottom w:val="single" w:color="000000" w:sz="4" w:space="0"/>
              <w:right w:val="single" w:color="000000" w:sz="4" w:space="0"/>
            </w:tcBorders>
            <w:vAlign w:val="center"/>
          </w:tcPr>
          <w:p w14:paraId="57DE486F">
            <w:pPr>
              <w:pStyle w:val="39"/>
              <w:rPr>
                <w:rFonts w:hint="default"/>
              </w:rPr>
            </w:pPr>
            <w:r>
              <w:t>5</w:t>
            </w:r>
          </w:p>
        </w:tc>
        <w:tc>
          <w:tcPr>
            <w:tcW w:w="1664" w:type="pct"/>
            <w:tcBorders>
              <w:top w:val="single" w:color="000000" w:sz="4" w:space="0"/>
              <w:left w:val="nil"/>
              <w:bottom w:val="single" w:color="000000" w:sz="4" w:space="0"/>
              <w:right w:val="single" w:color="000000" w:sz="4" w:space="0"/>
            </w:tcBorders>
            <w:vAlign w:val="center"/>
          </w:tcPr>
          <w:p w14:paraId="182E3039">
            <w:pPr>
              <w:pStyle w:val="39"/>
              <w:rPr>
                <w:rFonts w:hint="default"/>
              </w:rPr>
            </w:pPr>
            <w:r>
              <w:t>安全管理评价单元</w:t>
            </w:r>
          </w:p>
        </w:tc>
        <w:tc>
          <w:tcPr>
            <w:tcW w:w="2498" w:type="pct"/>
            <w:tcBorders>
              <w:top w:val="single" w:color="000000" w:sz="4" w:space="0"/>
              <w:left w:val="nil"/>
              <w:bottom w:val="single" w:color="000000" w:sz="4" w:space="0"/>
              <w:right w:val="single" w:color="000000" w:sz="4" w:space="0"/>
            </w:tcBorders>
            <w:vAlign w:val="center"/>
          </w:tcPr>
          <w:p w14:paraId="52439735">
            <w:pPr>
              <w:pStyle w:val="39"/>
              <w:rPr>
                <w:rFonts w:hint="default"/>
              </w:rPr>
            </w:pPr>
            <w:r>
              <w:t>预先危险性分析（PHA）</w:t>
            </w:r>
          </w:p>
        </w:tc>
      </w:tr>
    </w:tbl>
    <w:p w14:paraId="62AF79AE">
      <w:pPr>
        <w:pStyle w:val="3"/>
      </w:pPr>
      <w:bookmarkStart w:id="76" w:name="_Toc230699597"/>
      <w:r>
        <w:rPr>
          <w:rFonts w:hint="eastAsia"/>
        </w:rPr>
        <w:t>3.1 场址及总平面布置评价单元</w:t>
      </w:r>
      <w:bookmarkEnd w:id="76"/>
    </w:p>
    <w:p w14:paraId="67B0888A">
      <w:pPr>
        <w:pStyle w:val="4"/>
      </w:pPr>
      <w:bookmarkStart w:id="77" w:name="_Toc230699598"/>
      <w:r>
        <w:rPr>
          <w:rFonts w:hint="eastAsia"/>
        </w:rPr>
        <w:t>3.1.1 场址及总平面布置评价单元安全检查表</w:t>
      </w:r>
      <w:bookmarkEnd w:id="77"/>
    </w:p>
    <w:p w14:paraId="0BCD5C21">
      <w:pPr>
        <w:ind w:firstLine="560"/>
      </w:pPr>
      <w:r>
        <w:rPr>
          <w:rFonts w:hint="eastAsia"/>
        </w:rPr>
        <w:t>根据《工业企业总平面设计规范》（GB50187-2012）、《水土保持工程设计规范》（GB51018-2014）等中的相关内容从总平面布置方面对该项目进行检查，见表3.1-1。</w:t>
      </w:r>
    </w:p>
    <w:p w14:paraId="6D0F22E1">
      <w:pPr>
        <w:pStyle w:val="4"/>
      </w:pPr>
      <w:bookmarkStart w:id="78" w:name="_Toc230699599"/>
      <w:r>
        <w:rPr>
          <w:rFonts w:hint="eastAsia"/>
        </w:rPr>
        <w:t>3.1.2 厂址及总平面布置设计</w:t>
      </w:r>
      <w:bookmarkEnd w:id="78"/>
    </w:p>
    <w:p w14:paraId="591519D8">
      <w:pPr>
        <w:ind w:firstLine="560"/>
      </w:pPr>
      <w:r>
        <w:rPr>
          <w:rFonts w:hint="eastAsia"/>
        </w:rPr>
        <w:t>本项目为渣场堆存整治，设计在渣场上游设置了截排水沟，防止雨水冲刷渣场，在渣场西侧设置了截排水沟，渣场堆积坡面平台设置了雨水沟，倒排渣场区域内的雨水，在下游最低处设置了调节池1座，并在渣场拦渣坝西侧设置管理用房。</w:t>
      </w:r>
    </w:p>
    <w:p w14:paraId="0C65EBB6">
      <w:pPr>
        <w:pStyle w:val="4"/>
      </w:pPr>
      <w:bookmarkStart w:id="79" w:name="_Toc230699600"/>
      <w:r>
        <w:rPr>
          <w:rFonts w:hint="eastAsia"/>
        </w:rPr>
        <w:t>3.1.3 渣场现状稳定性分析</w:t>
      </w:r>
      <w:bookmarkEnd w:id="79"/>
    </w:p>
    <w:p w14:paraId="44F324CA">
      <w:pPr>
        <w:pStyle w:val="5"/>
      </w:pPr>
      <w:r>
        <w:rPr>
          <w:rFonts w:hint="eastAsia"/>
        </w:rPr>
        <w:t>3.1.3.1渣场稳定计算剖面及概化分区</w:t>
      </w:r>
    </w:p>
    <w:p w14:paraId="61B4FE5C">
      <w:pPr>
        <w:ind w:firstLine="560"/>
        <w:rPr>
          <w:rFonts w:hint="eastAsia"/>
        </w:rPr>
      </w:pPr>
      <w:r>
        <w:rPr>
          <w:rFonts w:hint="eastAsia"/>
        </w:rPr>
        <w:t>（1）剖面线及概化分区</w:t>
      </w:r>
    </w:p>
    <w:p w14:paraId="078585EC">
      <w:pPr>
        <w:ind w:firstLine="560"/>
        <w:rPr>
          <w:rFonts w:hint="eastAsia"/>
        </w:rPr>
      </w:pPr>
      <w:r>
        <w:rPr>
          <w:rFonts w:hint="eastAsia"/>
        </w:rPr>
        <w:t>结合云南兴昆化工有限公司甸头村大坟箐磷石膏渣场地形条件、详勘资料及渣场坝体组成情况，针对渣场现状坝体稳定性分析，选取垂直于拦渣坝坝轴线的最大剖面和堆坝堆存厚度最大剖面作为稳定计算断面，并对坝体各岩土层进行概化分区，概化分区共分为5个区：分别为1区拦渣坝、2区磷石膏堆坝、3区场地防渗粘土层、4区场区原始地层黏土层、5区场地下伏基岩强风化变质石英砂岩。</w:t>
      </w:r>
    </w:p>
    <w:p w14:paraId="01151E22">
      <w:pPr>
        <w:ind w:firstLine="560"/>
        <w:rPr>
          <w:rFonts w:hint="eastAsia"/>
        </w:rPr>
      </w:pPr>
      <w:r>
        <w:rPr>
          <w:rFonts w:hint="eastAsia"/>
        </w:rPr>
        <w:t>（2）各分区地层物理力学指标</w:t>
      </w:r>
    </w:p>
    <w:p w14:paraId="5D3D51A6">
      <w:pPr>
        <w:ind w:firstLine="551" w:firstLineChars="197"/>
      </w:pPr>
      <w:r>
        <w:t>场地内的地层主要由拦渣坝（</w:t>
      </w:r>
      <w:r>
        <w:rPr>
          <w:bCs/>
        </w:rPr>
        <w:t>素填土（单元层号为①</w:t>
      </w:r>
      <w:r>
        <w:rPr>
          <w:bCs/>
          <w:vertAlign w:val="subscript"/>
        </w:rPr>
        <w:t>3</w:t>
      </w:r>
      <w:r>
        <w:rPr>
          <w:bCs/>
        </w:rPr>
        <w:t>）</w:t>
      </w:r>
      <w:r>
        <w:t>）、磷石膏堆坝（</w:t>
      </w:r>
      <w:r>
        <w:rPr>
          <w:bCs/>
        </w:rPr>
        <w:t>磷石膏（单元层号为①</w:t>
      </w:r>
      <w:r>
        <w:rPr>
          <w:bCs/>
          <w:vertAlign w:val="subscript"/>
        </w:rPr>
        <w:t>1</w:t>
      </w:r>
      <w:r>
        <w:rPr>
          <w:bCs/>
        </w:rPr>
        <w:t>）</w:t>
      </w:r>
      <w:r>
        <w:t>）、防渗粘土层（</w:t>
      </w:r>
      <w:r>
        <w:rPr>
          <w:bCs/>
        </w:rPr>
        <w:t>素填土（单元层号为①</w:t>
      </w:r>
      <w:r>
        <w:rPr>
          <w:bCs/>
          <w:vertAlign w:val="subscript"/>
        </w:rPr>
        <w:t>2</w:t>
      </w:r>
      <w:r>
        <w:rPr>
          <w:bCs/>
        </w:rPr>
        <w:t>）</w:t>
      </w:r>
      <w:r>
        <w:t>）、原始地层黏土层</w:t>
      </w:r>
      <w:r>
        <w:rPr>
          <w:bCs/>
        </w:rPr>
        <w:t>黏土（单元层代号为②）</w:t>
      </w:r>
      <w:r>
        <w:t>、下伏基岩（</w:t>
      </w:r>
      <w:r>
        <w:rPr>
          <w:bCs/>
        </w:rPr>
        <w:t>强风化变质石英砂岩（单元层号为③）</w:t>
      </w:r>
      <w:r>
        <w:t>）组成。</w:t>
      </w:r>
    </w:p>
    <w:p w14:paraId="719B6B53">
      <w:pPr>
        <w:pStyle w:val="5"/>
      </w:pPr>
      <w:r>
        <w:rPr>
          <w:rFonts w:hint="eastAsia"/>
        </w:rPr>
        <w:t>3.1.3.2计算工况及稳定性要求</w:t>
      </w:r>
    </w:p>
    <w:p w14:paraId="22A66DC8">
      <w:pPr>
        <w:ind w:firstLine="560"/>
      </w:pPr>
      <w:r>
        <w:rPr>
          <w:rFonts w:hint="eastAsia"/>
        </w:rPr>
        <w:t>（1）计算工况及方法</w:t>
      </w:r>
    </w:p>
    <w:p w14:paraId="17680DBC">
      <w:pPr>
        <w:ind w:firstLine="560"/>
      </w:pPr>
      <w:r>
        <w:t>根据现状勘察，云南兴昆化工有限公司甸头村大坟箐磷石膏渣场为干堆，渣场地形位于周边相对较高处，场内无积水，现状无浸润线，根据《磷石膏库安全技术规程》（AQ2059-2016）及勘察，本次坝体稳定性分析共考虑2种运行工况，即正常运行及特殊运行（8°地震），由于渣场现状无浸润线，且渣场内雨水由雨水沟有序导排，场内不积水，故不考虑洪水运行工况。</w:t>
      </w:r>
    </w:p>
    <w:p w14:paraId="1A438759">
      <w:pPr>
        <w:ind w:firstLine="560"/>
      </w:pPr>
      <w:r>
        <w:t>根据勘察，本磷石膏渣场等别属四等。渣场采用干堆，运行时场内无积水。故正常运行工况按现状无浸润线进行计算。特殊工况按现状工况加地震荷载进行计算。不考虑洪水运行工况</w:t>
      </w:r>
      <w:r>
        <w:rPr>
          <w:rFonts w:hint="eastAsia"/>
        </w:rPr>
        <w:t>。</w:t>
      </w:r>
    </w:p>
    <w:p w14:paraId="5F5159E1">
      <w:pPr>
        <w:ind w:firstLine="560"/>
      </w:pPr>
      <w:r>
        <w:rPr>
          <w:rFonts w:hint="eastAsia"/>
        </w:rPr>
        <w:t>（2）稳定安全系数要求</w:t>
      </w:r>
    </w:p>
    <w:p w14:paraId="2C251F4F">
      <w:pPr>
        <w:ind w:firstLine="560"/>
        <w:rPr>
          <w:kern w:val="0"/>
          <w:sz w:val="24"/>
        </w:rPr>
      </w:pPr>
      <w:r>
        <w:t>按《磷石膏库安全技术规程》（AQ2059-2016）， 坝坡抗滑稳定的安全系数不应小于表</w:t>
      </w:r>
      <w:r>
        <w:rPr>
          <w:rFonts w:hint="eastAsia"/>
        </w:rPr>
        <w:t>3.1</w:t>
      </w:r>
      <w:r>
        <w:t>-</w:t>
      </w:r>
      <w:r>
        <w:rPr>
          <w:rFonts w:hint="eastAsia"/>
        </w:rPr>
        <w:t>4</w:t>
      </w:r>
      <w:r>
        <w:t>规定的数值。</w:t>
      </w:r>
    </w:p>
    <w:p w14:paraId="6AD4AAE8">
      <w:pPr>
        <w:ind w:firstLine="560"/>
      </w:pPr>
      <w:r>
        <w:t>本磷石膏渣场，拦渣坝高</w:t>
      </w:r>
      <w:r>
        <w:rPr>
          <w:rFonts w:hint="eastAsia"/>
        </w:rPr>
        <w:t>7</w:t>
      </w:r>
      <w:r>
        <w:t>m，堆坝高</w:t>
      </w:r>
      <w:r>
        <w:rPr>
          <w:rFonts w:hint="eastAsia"/>
        </w:rPr>
        <w:t>44.5</w:t>
      </w:r>
      <w:r>
        <w:t>m，总坝高</w:t>
      </w:r>
      <w:r>
        <w:rPr>
          <w:rFonts w:hint="eastAsia"/>
        </w:rPr>
        <w:t>51.5</w:t>
      </w:r>
      <w:r>
        <w:t>m，堆存库容69.62万m</w:t>
      </w:r>
      <w:r>
        <w:rPr>
          <w:vertAlign w:val="superscript"/>
        </w:rPr>
        <w:t>3</w:t>
      </w:r>
      <w:r>
        <w:t>，磷石膏渣场</w:t>
      </w:r>
      <w:r>
        <w:rPr>
          <w:rFonts w:hint="eastAsia"/>
        </w:rPr>
        <w:t>现状</w:t>
      </w:r>
      <w:r>
        <w:t>属于四等库。故</w:t>
      </w:r>
      <w:r>
        <w:rPr>
          <w:rFonts w:hint="eastAsia"/>
        </w:rPr>
        <w:t>现状</w:t>
      </w:r>
      <w:r>
        <w:t>按四等库要求进行稳定计算，相应稳定计算抗滑稳定最小安全系数按4级坝取值</w:t>
      </w:r>
      <w:r>
        <w:rPr>
          <w:rFonts w:hint="eastAsia"/>
        </w:rPr>
        <w:t>。</w:t>
      </w:r>
    </w:p>
    <w:p w14:paraId="09CAB522">
      <w:pPr>
        <w:pStyle w:val="5"/>
      </w:pPr>
      <w:r>
        <w:rPr>
          <w:rFonts w:hint="eastAsia"/>
        </w:rPr>
        <w:t>3.1.3.3稳定计算方法和结果</w:t>
      </w:r>
    </w:p>
    <w:p w14:paraId="18DCE892">
      <w:pPr>
        <w:ind w:firstLine="560"/>
      </w:pPr>
      <w:r>
        <w:rPr>
          <w:rFonts w:hint="eastAsia"/>
        </w:rPr>
        <w:t>（1）稳定计算方法</w:t>
      </w:r>
    </w:p>
    <w:p w14:paraId="0E77787C">
      <w:pPr>
        <w:ind w:firstLine="560"/>
      </w:pPr>
      <w:r>
        <w:t>本工程采用圆弧法中的Bishop法进行稳定性分析计算，并结合工程地质勘察成果，根据处置场荷载情况及勘察指标及实验方法，稳定计算最终选用有效应力简化Bishop法。</w:t>
      </w:r>
    </w:p>
    <w:p w14:paraId="3DD4F6C7">
      <w:pPr>
        <w:pStyle w:val="5"/>
      </w:pPr>
      <w:r>
        <w:rPr>
          <w:rFonts w:hint="eastAsia"/>
        </w:rPr>
        <w:t>3.1.3.4结果分析</w:t>
      </w:r>
    </w:p>
    <w:p w14:paraId="0ECD9AC5">
      <w:pPr>
        <w:spacing w:line="560" w:lineRule="exact"/>
        <w:ind w:firstLine="560"/>
      </w:pPr>
      <w:r>
        <w:t>结合坝体稳定性验算的结果进行分析评价：</w:t>
      </w:r>
    </w:p>
    <w:p w14:paraId="6154768F">
      <w:pPr>
        <w:spacing w:line="560" w:lineRule="exact"/>
        <w:ind w:firstLine="560"/>
      </w:pPr>
      <w:r>
        <w:t>（1）现状堆积标高在正常运行工况下安全系数1.26-1.54，处于稳定状态，特殊运行工况下安全系数1.10-1.27，处于稳定状态。</w:t>
      </w:r>
    </w:p>
    <w:p w14:paraId="568C307C">
      <w:pPr>
        <w:ind w:firstLine="560"/>
      </w:pPr>
      <w:r>
        <w:t>（2）从稳定计算结果看，渣场现状情况下，各剖面安全系数均大于规范值，现状稳定。但根据勘察报告，勘察期间钻探深度内未见地下水，稳定计算过程中未考虑浸润线的影响，渣场后期运行管理过程中，需加强渣场范围的截排水，防止场内积水，同时加强渣场浸润线观测，保证渣场低浸润线运行</w:t>
      </w:r>
      <w:r>
        <w:rPr>
          <w:rFonts w:hint="eastAsia"/>
        </w:rPr>
        <w:t>。</w:t>
      </w:r>
    </w:p>
    <w:p w14:paraId="549F3EA4">
      <w:pPr>
        <w:pStyle w:val="4"/>
      </w:pPr>
      <w:bookmarkStart w:id="80" w:name="_Toc230699601"/>
      <w:r>
        <w:rPr>
          <w:rFonts w:hint="eastAsia"/>
        </w:rPr>
        <w:t>3.1.4 高压电线迁改</w:t>
      </w:r>
      <w:bookmarkEnd w:id="80"/>
    </w:p>
    <w:p w14:paraId="23649F9E">
      <w:pPr>
        <w:ind w:firstLine="560"/>
        <w:rPr>
          <w:rFonts w:cs="Times New Roman"/>
        </w:rPr>
      </w:pPr>
      <w:r>
        <w:rPr>
          <w:rFonts w:hint="eastAsia" w:cs="Times New Roman"/>
        </w:rPr>
        <w:t>大坟箐磷石膏渣场东南侧上部现有2条高压电线通过，</w:t>
      </w:r>
      <w:r>
        <w:t>电力输变线最低点与磷石膏渣间距约8m</w:t>
      </w:r>
      <w:r>
        <w:rPr>
          <w:rFonts w:hint="eastAsia" w:cs="Times New Roman"/>
        </w:rPr>
        <w:t>，前期因为高压电线的影响，东南侧没有堆存磷石膏，渣场边坡修正后对东南侧地表进行清理及防渗，</w:t>
      </w:r>
      <w:r>
        <w:rPr>
          <w:rFonts w:cs="Times New Roman"/>
        </w:rPr>
        <w:t>设计在</w:t>
      </w:r>
      <w:r>
        <w:rPr>
          <w:rFonts w:hint="eastAsia" w:cs="Times New Roman"/>
        </w:rPr>
        <w:t>堆存</w:t>
      </w:r>
      <w:r>
        <w:rPr>
          <w:rFonts w:cs="Times New Roman"/>
        </w:rPr>
        <w:t>改性磷石膏前，对东南侧上部高压电线进行迁改</w:t>
      </w:r>
      <w:r>
        <w:rPr>
          <w:rFonts w:hint="eastAsia" w:cs="Times New Roman"/>
        </w:rPr>
        <w:t>，云南兴昆化工有限公司已经委托云南银塔送变电设计有限公司进行设计</w:t>
      </w:r>
      <w:r>
        <w:rPr>
          <w:rFonts w:cs="Times New Roman"/>
        </w:rPr>
        <w:t>。</w:t>
      </w:r>
    </w:p>
    <w:p w14:paraId="3658E49C">
      <w:pPr>
        <w:ind w:firstLine="560"/>
        <w:rPr>
          <w:rFonts w:cs="Times New Roman"/>
        </w:rPr>
      </w:pPr>
      <w:r>
        <w:rPr>
          <w:rFonts w:cs="Times New Roman"/>
        </w:rPr>
        <w:t>樟兴鹤I回迁改：在樟兴鹤I回#2塔小号侧217m处新立1基42m直线塔，接回原线路；樟兴鹤线（樟兴鹤工回线）迁改设计有两个可选方案，但暂未明确。对比两个方案，方案一：沿用樟兴鹤线（樟兴鹤工回线）机塔，在线路右转档距39m处新立1基耐张塔61+1，右转48”档距427m，在樟兴鹤线（樟兴鹤Ⅲ回线）机塔大号侧15m处新立1基（2塔），接回原线路，该方案沿渣场外西南侧至西北侧，未占用渣场用地，穿越渣场北部上方，渣场北部现状标高约</w:t>
      </w:r>
      <w:r>
        <w:rPr>
          <w:rFonts w:hint="eastAsia" w:cs="Times New Roman"/>
        </w:rPr>
        <w:t>2062.5m，堆存整治后至2072.5m标高，采取此方案应注意输电线最低点与渣场的距离应满足</w:t>
      </w:r>
      <w:r>
        <w:rPr>
          <w:rFonts w:cs="Times New Roman"/>
        </w:rPr>
        <w:t>安全作业</w:t>
      </w:r>
      <w:r>
        <w:rPr>
          <w:rFonts w:hint="eastAsia" w:cs="Times New Roman"/>
        </w:rPr>
        <w:t>要求，迁改施工过程中应制定安全管理人员负责与渣场堆存整治工程的沟通协调；方案二：</w:t>
      </w:r>
      <w:r>
        <w:rPr>
          <w:rFonts w:cs="Times New Roman"/>
        </w:rPr>
        <w:t>沿原路径改造，在机塔大号侧154、55处分别新建双回直线塔61+（呼高450、G1+2（呼高54），接回原线路，该方案迁改实施需要占用渣场用地，新建双回直线塔位于渣场西南侧的边坡脚，一方面迁改施工过程与渣场堆存整治施工交叉，施工车辆和不规范施工导致的边坡不稳定可能影响塔基的安全，或输电线路意外断线、不规范施工、巡检作业，进而威胁到渣场作业人员的人身安全；另一方面输电线最低点与渣场堆存整治标高的距离如不满足安全作业要求，可能导致发生人身伤亡事故。</w:t>
      </w:r>
    </w:p>
    <w:p w14:paraId="375E6A24">
      <w:pPr>
        <w:ind w:firstLine="560"/>
      </w:pPr>
      <w:r>
        <w:rPr>
          <w:rFonts w:cs="Times New Roman"/>
        </w:rPr>
        <w:t>分析上述两个方案，均可能与渣场堆存整治工程存在交叉作业，渣场与电力公司应签订安全管理协议，委托有资质单位进行设计施工，并指定专人负责双方安全管理工作的沟通协调，如电力迁改穿越渣场上方作业或在渣场内施工作业应提前告知渣场管理人员，服从渣场安全管理，设置好安全警戒线和安全警示告知牌。</w:t>
      </w:r>
    </w:p>
    <w:p w14:paraId="5A6A64BE">
      <w:pPr>
        <w:pStyle w:val="4"/>
      </w:pPr>
      <w:bookmarkStart w:id="81" w:name="_Toc230699602"/>
      <w:r>
        <w:rPr>
          <w:rFonts w:hint="eastAsia"/>
        </w:rPr>
        <w:t>3.1.5 存在主要问题及建议</w:t>
      </w:r>
      <w:bookmarkEnd w:id="81"/>
    </w:p>
    <w:p w14:paraId="26500592">
      <w:pPr>
        <w:ind w:firstLine="560"/>
      </w:pPr>
      <w:r>
        <w:rPr>
          <w:rFonts w:hint="eastAsia"/>
        </w:rPr>
        <w:t>1.渣场整治后堆存总库容</w:t>
      </w:r>
      <w:r>
        <w:rPr>
          <w:rFonts w:hint="eastAsia" w:cs="Times New Roman"/>
          <w:lang w:bidi="ar"/>
        </w:rPr>
        <w:t>130.53万m</w:t>
      </w:r>
      <w:r>
        <w:rPr>
          <w:rFonts w:hint="eastAsia" w:cs="Times New Roman"/>
          <w:vertAlign w:val="superscript"/>
          <w:lang w:bidi="ar"/>
        </w:rPr>
        <w:t>3</w:t>
      </w:r>
      <w:r>
        <w:rPr>
          <w:rFonts w:hint="eastAsia"/>
        </w:rPr>
        <w:t>，总坝高62.5m，根据</w:t>
      </w:r>
      <w:r>
        <w:t>《磷石膏库安全技术规程》（AQ 2059-2016）</w:t>
      </w:r>
      <w:r>
        <w:rPr>
          <w:rFonts w:hint="eastAsia"/>
        </w:rPr>
        <w:t>，属于三等库；根据《水土保持工程设计规范》（GB51018-2014），属于3级弃渣场。渣场周边环境相对复杂，企业堆存整治过程中和封场后，如排洪设施、坝面损毁未及时修复，或未严格设计要求实施堆存整治、覆土复绿，或维护管理不当，均可能影响渣场的稳定性，导致发生渣场滑坡、坍塌事故，进而影响西南侧的变电站、干擦厂、二街水厂和周边单位的正常生产，严重的可能造成财产损失和人员伤亡，渣场水土流失可能还会影响水厂的供水水质和附近河道的水质、行洪能力。</w:t>
      </w:r>
    </w:p>
    <w:p w14:paraId="3B9E8F11">
      <w:pPr>
        <w:ind w:firstLine="560"/>
      </w:pPr>
      <w:r>
        <w:rPr>
          <w:rFonts w:hint="eastAsia"/>
        </w:rPr>
        <w:t>建议企业堆存整治过程中和封场后，严格按要求开展安全监测，并加强与周边企业、村小组的沟通联系，建立并完善应急通信机制，如遇异常情况，及时通知相关单位和人员。此外，堆存整治后，渣场随及实施封场，</w:t>
      </w:r>
      <w:r>
        <w:rPr>
          <w:rFonts w:cs="Times New Roman"/>
        </w:rPr>
        <w:t>首先对顶部做表层防渗处理，以阻隔场内表层雨水渗入堆体，减少渗滤液的产生，然后覆土复绿，封场后，建议建设单位配备人员进行管理，定期巡查和观测，做好坝体、排洪设施及库面的维护，发现防洪及相关设施损毁应及时修复；设置安全警示告知牌，严禁在渣场内进行乱采、滥挖、违章建筑和违章作业等；未经批准，严禁重新启用或改作他用</w:t>
      </w:r>
      <w:r>
        <w:rPr>
          <w:rFonts w:hint="eastAsia"/>
        </w:rPr>
        <w:t>。</w:t>
      </w:r>
    </w:p>
    <w:p w14:paraId="0470BD5C">
      <w:pPr>
        <w:ind w:firstLine="560"/>
      </w:pPr>
      <w:r>
        <w:rPr>
          <w:rFonts w:hint="eastAsia"/>
        </w:rPr>
        <w:t>2.渣场北侧有便道，建议施工期间做好场地围挡与施工公示，提前在路口设置警示标志牌，并设置人员进行巡查管理，防止外来人员误入施工场地发生安全生产事故。</w:t>
      </w:r>
    </w:p>
    <w:p w14:paraId="4EBA546A">
      <w:pPr>
        <w:ind w:firstLine="560"/>
      </w:pPr>
      <w:r>
        <w:rPr>
          <w:rFonts w:hint="eastAsia"/>
        </w:rPr>
        <w:t>3.施工前，严格按设计要求沿渣场红线设置围栏和安全警示牌，出入口设置值班人员，做好场地内及周围环境的安全巡查，禁止无关人员进入场地内。</w:t>
      </w:r>
    </w:p>
    <w:p w14:paraId="44250E16">
      <w:pPr>
        <w:ind w:firstLine="560"/>
      </w:pPr>
      <w:r>
        <w:rPr>
          <w:rFonts w:hint="eastAsia"/>
        </w:rPr>
        <w:t>4.《整治设计》未明确高压电线（</w:t>
      </w:r>
      <w:r>
        <w:rPr>
          <w:rFonts w:cs="Times New Roman"/>
        </w:rPr>
        <w:t>樟兴鹤线</w:t>
      </w:r>
      <w:r>
        <w:rPr>
          <w:rFonts w:hint="eastAsia"/>
        </w:rPr>
        <w:t>）迁改方案，建议企业后续完善迁改方案后，与供电线路管理方、使用方签订安全协议，迁改施工应委托有资质单位施工；此外，迁改施工过程中可能与项目堆存整治施工存在交叉，企业应监督双方签订安全管理协议，制定专人进行施工现场的监督管理工作。</w:t>
      </w:r>
    </w:p>
    <w:p w14:paraId="3E72D4B4">
      <w:pPr>
        <w:pStyle w:val="4"/>
      </w:pPr>
      <w:bookmarkStart w:id="82" w:name="_Toc230699603"/>
      <w:r>
        <w:rPr>
          <w:rFonts w:hint="eastAsia"/>
        </w:rPr>
        <w:t>3.1.6单元小结</w:t>
      </w:r>
      <w:bookmarkEnd w:id="82"/>
    </w:p>
    <w:p w14:paraId="6FA62F7A">
      <w:pPr>
        <w:ind w:firstLine="560"/>
      </w:pPr>
      <w:r>
        <w:rPr>
          <w:rFonts w:hint="eastAsia"/>
        </w:rPr>
        <w:t>该项目场址符合相关法律、法规、标准和规范要求，整体布置布局科学、合理、可行，符合相关法律、法规、标准和规范的要求，项目布局能满足生产工艺流程，且顺畅合理。</w:t>
      </w:r>
    </w:p>
    <w:p w14:paraId="4836B490">
      <w:pPr>
        <w:pStyle w:val="3"/>
      </w:pPr>
      <w:bookmarkStart w:id="83" w:name="_Toc230699604"/>
      <w:r>
        <w:rPr>
          <w:rFonts w:hint="eastAsia"/>
        </w:rPr>
        <w:t>3.2 堆填及整治工艺单元</w:t>
      </w:r>
      <w:bookmarkEnd w:id="83"/>
    </w:p>
    <w:p w14:paraId="25072C2A">
      <w:pPr>
        <w:pStyle w:val="4"/>
      </w:pPr>
      <w:bookmarkStart w:id="84" w:name="_Toc230699605"/>
      <w:r>
        <w:rPr>
          <w:rFonts w:hint="eastAsia"/>
        </w:rPr>
        <w:t>3.2.1 预先危险性分析</w:t>
      </w:r>
      <w:bookmarkEnd w:id="84"/>
    </w:p>
    <w:p w14:paraId="16AB0CBC">
      <w:pPr>
        <w:pStyle w:val="38"/>
        <w:rPr>
          <w:rFonts w:hint="default"/>
        </w:rPr>
      </w:pPr>
      <w:r>
        <w:t>表3.2-1  堆填及整治工艺单元预先危险性分析</w:t>
      </w:r>
    </w:p>
    <w:tbl>
      <w:tblPr>
        <w:tblStyle w:val="33"/>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2787"/>
        <w:gridCol w:w="1200"/>
        <w:gridCol w:w="1121"/>
        <w:gridCol w:w="750"/>
        <w:gridCol w:w="2508"/>
      </w:tblGrid>
      <w:tr w14:paraId="7B5C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blHeader/>
          <w:jc w:val="center"/>
        </w:trPr>
        <w:tc>
          <w:tcPr>
            <w:tcW w:w="546" w:type="pct"/>
            <w:tcBorders>
              <w:top w:val="single" w:color="auto" w:sz="4" w:space="0"/>
            </w:tcBorders>
            <w:vAlign w:val="center"/>
          </w:tcPr>
          <w:p w14:paraId="3A6D412C">
            <w:pPr>
              <w:pStyle w:val="39"/>
              <w:rPr>
                <w:rFonts w:hint="default"/>
                <w:b/>
                <w:bCs/>
              </w:rPr>
            </w:pPr>
            <w:r>
              <w:rPr>
                <w:b/>
                <w:bCs/>
              </w:rPr>
              <w:t>危险有害因素</w:t>
            </w:r>
          </w:p>
        </w:tc>
        <w:tc>
          <w:tcPr>
            <w:tcW w:w="1484" w:type="pct"/>
            <w:tcBorders>
              <w:top w:val="single" w:color="auto" w:sz="4" w:space="0"/>
            </w:tcBorders>
            <w:vAlign w:val="center"/>
          </w:tcPr>
          <w:p w14:paraId="3A3A36CC">
            <w:pPr>
              <w:pStyle w:val="39"/>
              <w:rPr>
                <w:rFonts w:hint="default"/>
                <w:b/>
                <w:bCs/>
              </w:rPr>
            </w:pPr>
            <w:r>
              <w:rPr>
                <w:b/>
                <w:bCs/>
              </w:rPr>
              <w:t>诱发事故原因</w:t>
            </w:r>
          </w:p>
        </w:tc>
        <w:tc>
          <w:tcPr>
            <w:tcW w:w="639" w:type="pct"/>
            <w:tcBorders>
              <w:top w:val="single" w:color="auto" w:sz="4" w:space="0"/>
            </w:tcBorders>
            <w:vAlign w:val="center"/>
          </w:tcPr>
          <w:p w14:paraId="23E328EB">
            <w:pPr>
              <w:pStyle w:val="39"/>
              <w:rPr>
                <w:rFonts w:hint="default"/>
                <w:b/>
                <w:bCs/>
              </w:rPr>
            </w:pPr>
            <w:r>
              <w:rPr>
                <w:b/>
                <w:bCs/>
              </w:rPr>
              <w:t>事故模式</w:t>
            </w:r>
          </w:p>
        </w:tc>
        <w:tc>
          <w:tcPr>
            <w:tcW w:w="597" w:type="pct"/>
            <w:tcBorders>
              <w:top w:val="single" w:color="auto" w:sz="4" w:space="0"/>
            </w:tcBorders>
            <w:vAlign w:val="center"/>
          </w:tcPr>
          <w:p w14:paraId="4FEE7F69">
            <w:pPr>
              <w:pStyle w:val="39"/>
              <w:rPr>
                <w:rFonts w:hint="default"/>
                <w:b/>
                <w:bCs/>
              </w:rPr>
            </w:pPr>
            <w:r>
              <w:rPr>
                <w:b/>
                <w:bCs/>
              </w:rPr>
              <w:t>事故后果</w:t>
            </w:r>
          </w:p>
        </w:tc>
        <w:tc>
          <w:tcPr>
            <w:tcW w:w="399" w:type="pct"/>
            <w:tcBorders>
              <w:top w:val="single" w:color="auto" w:sz="4" w:space="0"/>
            </w:tcBorders>
            <w:vAlign w:val="center"/>
          </w:tcPr>
          <w:p w14:paraId="6CCE3A94">
            <w:pPr>
              <w:pStyle w:val="39"/>
              <w:rPr>
                <w:rFonts w:hint="default"/>
                <w:b/>
                <w:bCs/>
              </w:rPr>
            </w:pPr>
            <w:r>
              <w:rPr>
                <w:b/>
                <w:bCs/>
              </w:rPr>
              <w:t>危险等级</w:t>
            </w:r>
          </w:p>
        </w:tc>
        <w:tc>
          <w:tcPr>
            <w:tcW w:w="1335" w:type="pct"/>
            <w:tcBorders>
              <w:top w:val="single" w:color="auto" w:sz="4" w:space="0"/>
            </w:tcBorders>
            <w:vAlign w:val="center"/>
          </w:tcPr>
          <w:p w14:paraId="299F9E14">
            <w:pPr>
              <w:pStyle w:val="39"/>
              <w:rPr>
                <w:rFonts w:hint="default"/>
                <w:b/>
                <w:bCs/>
              </w:rPr>
            </w:pPr>
            <w:r>
              <w:rPr>
                <w:b/>
                <w:bCs/>
              </w:rPr>
              <w:t>对策措施</w:t>
            </w:r>
          </w:p>
        </w:tc>
      </w:tr>
      <w:tr w14:paraId="0E11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546" w:type="pct"/>
            <w:vAlign w:val="center"/>
          </w:tcPr>
          <w:p w14:paraId="281B9D31">
            <w:pPr>
              <w:pStyle w:val="39"/>
              <w:rPr>
                <w:rFonts w:hint="default"/>
              </w:rPr>
            </w:pPr>
            <w:r>
              <w:t>滑坡</w:t>
            </w:r>
          </w:p>
        </w:tc>
        <w:tc>
          <w:tcPr>
            <w:tcW w:w="1484" w:type="pct"/>
            <w:vAlign w:val="center"/>
          </w:tcPr>
          <w:p w14:paraId="220A9BD6">
            <w:pPr>
              <w:pStyle w:val="39"/>
              <w:jc w:val="both"/>
              <w:rPr>
                <w:rFonts w:hint="default"/>
              </w:rPr>
            </w:pPr>
            <w:r>
              <w:t>将岩、土分层交替堆置；</w:t>
            </w:r>
          </w:p>
          <w:p w14:paraId="22D959D1">
            <w:pPr>
              <w:pStyle w:val="39"/>
              <w:jc w:val="both"/>
              <w:rPr>
                <w:rFonts w:hint="default"/>
              </w:rPr>
            </w:pPr>
            <w:r>
              <w:t>堆填区没有可靠的截流、防洪和排水设施；</w:t>
            </w:r>
          </w:p>
          <w:p w14:paraId="2801228F">
            <w:pPr>
              <w:pStyle w:val="39"/>
              <w:jc w:val="both"/>
              <w:rPr>
                <w:rFonts w:hint="default"/>
              </w:rPr>
            </w:pPr>
            <w:r>
              <w:t>安全管理责任制、安全作业规程等的欠缺。堆填区无设计；未按设计要求堆填。</w:t>
            </w:r>
          </w:p>
        </w:tc>
        <w:tc>
          <w:tcPr>
            <w:tcW w:w="639" w:type="pct"/>
            <w:vAlign w:val="center"/>
          </w:tcPr>
          <w:p w14:paraId="083007AB">
            <w:pPr>
              <w:pStyle w:val="39"/>
              <w:rPr>
                <w:rFonts w:hint="default"/>
              </w:rPr>
            </w:pPr>
            <w:r>
              <w:t>塌方、泥石流</w:t>
            </w:r>
          </w:p>
        </w:tc>
        <w:tc>
          <w:tcPr>
            <w:tcW w:w="597" w:type="pct"/>
            <w:vAlign w:val="center"/>
          </w:tcPr>
          <w:p w14:paraId="38A6692E">
            <w:pPr>
              <w:pStyle w:val="39"/>
              <w:rPr>
                <w:rFonts w:hint="default"/>
              </w:rPr>
            </w:pPr>
            <w:r>
              <w:t>滑坡滚石伤人、环境污染</w:t>
            </w:r>
          </w:p>
        </w:tc>
        <w:tc>
          <w:tcPr>
            <w:tcW w:w="399" w:type="pct"/>
            <w:vAlign w:val="center"/>
          </w:tcPr>
          <w:p w14:paraId="42605D55">
            <w:pPr>
              <w:pStyle w:val="39"/>
              <w:rPr>
                <w:rFonts w:hint="default"/>
              </w:rPr>
            </w:pPr>
            <w:r>
              <w:t>Ⅲ</w:t>
            </w:r>
          </w:p>
        </w:tc>
        <w:tc>
          <w:tcPr>
            <w:tcW w:w="1335" w:type="pct"/>
            <w:vAlign w:val="center"/>
          </w:tcPr>
          <w:p w14:paraId="7B3392BE">
            <w:pPr>
              <w:pStyle w:val="39"/>
              <w:jc w:val="both"/>
              <w:rPr>
                <w:rFonts w:hint="default"/>
              </w:rPr>
            </w:pPr>
            <w:r>
              <w:t>1.制定边坡整治和堆填规划，并按规划开展边坡整治和堆填；</w:t>
            </w:r>
          </w:p>
          <w:p w14:paraId="40CBB233">
            <w:pPr>
              <w:pStyle w:val="39"/>
              <w:jc w:val="both"/>
              <w:rPr>
                <w:rFonts w:hint="default"/>
              </w:rPr>
            </w:pPr>
            <w:r>
              <w:t>2.设置可靠的截流、防洪和排水设施；</w:t>
            </w:r>
          </w:p>
          <w:p w14:paraId="41E25C48">
            <w:pPr>
              <w:pStyle w:val="39"/>
              <w:jc w:val="both"/>
              <w:rPr>
                <w:rFonts w:hint="default"/>
              </w:rPr>
            </w:pPr>
            <w:r>
              <w:t>3.健全安全责任制、安全管理制度和安全作业规程；</w:t>
            </w:r>
          </w:p>
          <w:p w14:paraId="1BCBA076">
            <w:pPr>
              <w:pStyle w:val="39"/>
              <w:jc w:val="both"/>
              <w:rPr>
                <w:rFonts w:hint="default"/>
              </w:rPr>
            </w:pPr>
            <w:r>
              <w:t>4.建立场区安全监测系统。</w:t>
            </w:r>
          </w:p>
          <w:p w14:paraId="365F7D49">
            <w:pPr>
              <w:pStyle w:val="39"/>
              <w:jc w:val="both"/>
              <w:rPr>
                <w:rFonts w:hint="default"/>
              </w:rPr>
            </w:pPr>
            <w:r>
              <w:t>5.应请有资质的单位进行设计。</w:t>
            </w:r>
          </w:p>
        </w:tc>
      </w:tr>
      <w:tr w14:paraId="3B1E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jc w:val="center"/>
        </w:trPr>
        <w:tc>
          <w:tcPr>
            <w:tcW w:w="546" w:type="pct"/>
            <w:vAlign w:val="center"/>
          </w:tcPr>
          <w:p w14:paraId="4F418B8B">
            <w:pPr>
              <w:pStyle w:val="39"/>
              <w:rPr>
                <w:rFonts w:hint="default"/>
              </w:rPr>
            </w:pPr>
            <w:r>
              <w:t>滚石</w:t>
            </w:r>
          </w:p>
        </w:tc>
        <w:tc>
          <w:tcPr>
            <w:tcW w:w="1484" w:type="pct"/>
            <w:vAlign w:val="center"/>
          </w:tcPr>
          <w:p w14:paraId="46FE6AE3">
            <w:pPr>
              <w:pStyle w:val="39"/>
              <w:jc w:val="both"/>
              <w:rPr>
                <w:rFonts w:hint="default"/>
              </w:rPr>
            </w:pPr>
            <w:r>
              <w:t>违章作业，人员进入危险区；</w:t>
            </w:r>
          </w:p>
          <w:p w14:paraId="7831A279">
            <w:pPr>
              <w:pStyle w:val="39"/>
              <w:jc w:val="both"/>
              <w:rPr>
                <w:rFonts w:hint="default"/>
              </w:rPr>
            </w:pPr>
            <w:r>
              <w:t>未圈定危险范围；</w:t>
            </w:r>
          </w:p>
          <w:p w14:paraId="4C7E3E55">
            <w:pPr>
              <w:pStyle w:val="39"/>
              <w:jc w:val="both"/>
              <w:rPr>
                <w:rFonts w:hint="default"/>
              </w:rPr>
            </w:pPr>
            <w:r>
              <w:t>未设立境界标志或标志不明显。</w:t>
            </w:r>
          </w:p>
        </w:tc>
        <w:tc>
          <w:tcPr>
            <w:tcW w:w="639" w:type="pct"/>
            <w:vAlign w:val="center"/>
          </w:tcPr>
          <w:p w14:paraId="4DEA860D">
            <w:pPr>
              <w:pStyle w:val="39"/>
              <w:rPr>
                <w:rFonts w:hint="default"/>
              </w:rPr>
            </w:pPr>
            <w:r>
              <w:t>大块滚落</w:t>
            </w:r>
          </w:p>
        </w:tc>
        <w:tc>
          <w:tcPr>
            <w:tcW w:w="597" w:type="pct"/>
            <w:vAlign w:val="center"/>
          </w:tcPr>
          <w:p w14:paraId="45D82EC1">
            <w:pPr>
              <w:pStyle w:val="39"/>
              <w:rPr>
                <w:rFonts w:hint="default"/>
              </w:rPr>
            </w:pPr>
            <w:r>
              <w:t>人员伤害</w:t>
            </w:r>
          </w:p>
        </w:tc>
        <w:tc>
          <w:tcPr>
            <w:tcW w:w="399" w:type="pct"/>
            <w:vAlign w:val="center"/>
          </w:tcPr>
          <w:p w14:paraId="790FBF04">
            <w:pPr>
              <w:pStyle w:val="39"/>
              <w:rPr>
                <w:rFonts w:hint="default"/>
              </w:rPr>
            </w:pPr>
            <w:r>
              <w:t>II</w:t>
            </w:r>
          </w:p>
        </w:tc>
        <w:tc>
          <w:tcPr>
            <w:tcW w:w="1335" w:type="pct"/>
            <w:vAlign w:val="center"/>
          </w:tcPr>
          <w:p w14:paraId="11181233">
            <w:pPr>
              <w:pStyle w:val="39"/>
              <w:jc w:val="both"/>
              <w:rPr>
                <w:rFonts w:hint="default"/>
              </w:rPr>
            </w:pPr>
            <w:r>
              <w:t>圈定危险范围并设立明显警戒标志，以防人畜进入。</w:t>
            </w:r>
          </w:p>
        </w:tc>
      </w:tr>
      <w:tr w14:paraId="0CE1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46" w:type="pct"/>
            <w:vAlign w:val="center"/>
          </w:tcPr>
          <w:p w14:paraId="60E8F80F">
            <w:pPr>
              <w:pStyle w:val="39"/>
              <w:rPr>
                <w:rFonts w:hint="default"/>
              </w:rPr>
            </w:pPr>
            <w:r>
              <w:t>职业危害</w:t>
            </w:r>
          </w:p>
        </w:tc>
        <w:tc>
          <w:tcPr>
            <w:tcW w:w="1484" w:type="pct"/>
            <w:vAlign w:val="center"/>
          </w:tcPr>
          <w:p w14:paraId="67D29232">
            <w:pPr>
              <w:pStyle w:val="39"/>
              <w:jc w:val="both"/>
              <w:rPr>
                <w:rFonts w:hint="default"/>
              </w:rPr>
            </w:pPr>
            <w:r>
              <w:t>产生大风扬尘污染周围</w:t>
            </w:r>
          </w:p>
        </w:tc>
        <w:tc>
          <w:tcPr>
            <w:tcW w:w="639" w:type="pct"/>
            <w:vAlign w:val="center"/>
          </w:tcPr>
          <w:p w14:paraId="000E8AFA">
            <w:pPr>
              <w:pStyle w:val="39"/>
              <w:rPr>
                <w:rFonts w:hint="default"/>
              </w:rPr>
            </w:pPr>
            <w:r>
              <w:t>粉尘危害</w:t>
            </w:r>
          </w:p>
        </w:tc>
        <w:tc>
          <w:tcPr>
            <w:tcW w:w="597" w:type="pct"/>
            <w:vAlign w:val="center"/>
          </w:tcPr>
          <w:p w14:paraId="181F1A59">
            <w:pPr>
              <w:pStyle w:val="39"/>
              <w:rPr>
                <w:rFonts w:hint="default"/>
              </w:rPr>
            </w:pPr>
            <w:r>
              <w:t>慢性中毒</w:t>
            </w:r>
          </w:p>
        </w:tc>
        <w:tc>
          <w:tcPr>
            <w:tcW w:w="399" w:type="pct"/>
            <w:vAlign w:val="center"/>
          </w:tcPr>
          <w:p w14:paraId="73D74D32">
            <w:pPr>
              <w:pStyle w:val="39"/>
              <w:rPr>
                <w:rFonts w:hint="default"/>
              </w:rPr>
            </w:pPr>
            <w:r>
              <w:t>II</w:t>
            </w:r>
          </w:p>
        </w:tc>
        <w:tc>
          <w:tcPr>
            <w:tcW w:w="1335" w:type="pct"/>
            <w:vAlign w:val="center"/>
          </w:tcPr>
          <w:p w14:paraId="2A7A2B51">
            <w:pPr>
              <w:pStyle w:val="39"/>
              <w:jc w:val="both"/>
              <w:rPr>
                <w:rFonts w:hint="default"/>
              </w:rPr>
            </w:pPr>
            <w:r>
              <w:t>采取洒水降尘。</w:t>
            </w:r>
          </w:p>
        </w:tc>
      </w:tr>
      <w:tr w14:paraId="4BE8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46" w:type="pct"/>
            <w:vAlign w:val="center"/>
          </w:tcPr>
          <w:p w14:paraId="2464B2BE">
            <w:pPr>
              <w:pStyle w:val="39"/>
              <w:rPr>
                <w:rFonts w:hint="default"/>
              </w:rPr>
            </w:pPr>
            <w:r>
              <w:t>坝坡失稳</w:t>
            </w:r>
          </w:p>
        </w:tc>
        <w:tc>
          <w:tcPr>
            <w:tcW w:w="1484" w:type="pct"/>
            <w:vAlign w:val="center"/>
          </w:tcPr>
          <w:p w14:paraId="51030640">
            <w:pPr>
              <w:pStyle w:val="39"/>
              <w:jc w:val="both"/>
              <w:rPr>
                <w:rFonts w:hint="default"/>
              </w:rPr>
            </w:pPr>
            <w:r>
              <w:t>1.坝坡参数不合理：台阶过高，坡面角过大，工作平台宽度窄；2.坝坡高陡、坡积、残坡积层﹑岩石破碎、岩石结构面发育；3.受大气降雨和地表水等因素的影响；4.不按照规范操作。</w:t>
            </w:r>
          </w:p>
        </w:tc>
        <w:tc>
          <w:tcPr>
            <w:tcW w:w="639" w:type="pct"/>
            <w:vAlign w:val="center"/>
          </w:tcPr>
          <w:p w14:paraId="2B51330F">
            <w:pPr>
              <w:pStyle w:val="39"/>
              <w:rPr>
                <w:rFonts w:hint="default"/>
              </w:rPr>
            </w:pPr>
            <w:r>
              <w:t>边坡失稳、坍塌、滑坡</w:t>
            </w:r>
          </w:p>
        </w:tc>
        <w:tc>
          <w:tcPr>
            <w:tcW w:w="597" w:type="pct"/>
            <w:vAlign w:val="center"/>
          </w:tcPr>
          <w:p w14:paraId="7F756861">
            <w:pPr>
              <w:pStyle w:val="39"/>
              <w:rPr>
                <w:rFonts w:hint="default"/>
              </w:rPr>
            </w:pPr>
            <w:r>
              <w:t>人员伤亡、设备损坏</w:t>
            </w:r>
          </w:p>
        </w:tc>
        <w:tc>
          <w:tcPr>
            <w:tcW w:w="399" w:type="pct"/>
            <w:vAlign w:val="center"/>
          </w:tcPr>
          <w:p w14:paraId="71D71117">
            <w:pPr>
              <w:pStyle w:val="39"/>
              <w:rPr>
                <w:rFonts w:hint="default"/>
              </w:rPr>
            </w:pPr>
            <w:r>
              <w:t>Ⅲ</w:t>
            </w:r>
          </w:p>
        </w:tc>
        <w:tc>
          <w:tcPr>
            <w:tcW w:w="1335" w:type="pct"/>
            <w:vAlign w:val="center"/>
          </w:tcPr>
          <w:p w14:paraId="62B7CA3F">
            <w:pPr>
              <w:pStyle w:val="39"/>
              <w:rPr>
                <w:rFonts w:hint="default"/>
              </w:rPr>
            </w:pPr>
            <w:r>
              <w:t>1.按照规范、规程要求进行设计、堆填，合理确定境界和坝坡参数；2.定期进行坝坡稳定性研究分析及监测；3.合理构筑防排水设施。</w:t>
            </w:r>
          </w:p>
        </w:tc>
      </w:tr>
      <w:tr w14:paraId="4B032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46" w:type="pct"/>
            <w:vAlign w:val="center"/>
          </w:tcPr>
          <w:p w14:paraId="2FEFB0A2">
            <w:pPr>
              <w:pStyle w:val="39"/>
              <w:rPr>
                <w:rFonts w:hint="default"/>
              </w:rPr>
            </w:pPr>
            <w:r>
              <w:t>高处坠落</w:t>
            </w:r>
          </w:p>
        </w:tc>
        <w:tc>
          <w:tcPr>
            <w:tcW w:w="1484" w:type="pct"/>
            <w:vAlign w:val="center"/>
          </w:tcPr>
          <w:p w14:paraId="6C909446">
            <w:pPr>
              <w:pStyle w:val="39"/>
              <w:jc w:val="both"/>
              <w:rPr>
                <w:rFonts w:hint="default"/>
              </w:rPr>
            </w:pPr>
            <w:r>
              <w:t>1.操作不熟练；2.操作地点不安全；3.作业前安全检查、处理不到位；4.在2m及以上高处作业不系安全带进行边坡处理；5.坝坡作业条件差；6.外来人、畜进入边坡上部危险区域；7.工作面参数选择不合理，不能满足设备安全要求。</w:t>
            </w:r>
          </w:p>
        </w:tc>
        <w:tc>
          <w:tcPr>
            <w:tcW w:w="639" w:type="pct"/>
            <w:vAlign w:val="center"/>
          </w:tcPr>
          <w:p w14:paraId="69F5F1CE">
            <w:pPr>
              <w:pStyle w:val="39"/>
              <w:rPr>
                <w:rFonts w:hint="default"/>
              </w:rPr>
            </w:pPr>
            <w:r>
              <w:t>人员、设备坠落</w:t>
            </w:r>
          </w:p>
        </w:tc>
        <w:tc>
          <w:tcPr>
            <w:tcW w:w="597" w:type="pct"/>
            <w:vAlign w:val="center"/>
          </w:tcPr>
          <w:p w14:paraId="607E4B59">
            <w:pPr>
              <w:pStyle w:val="39"/>
              <w:rPr>
                <w:rFonts w:hint="default"/>
              </w:rPr>
            </w:pPr>
            <w:r>
              <w:t>人员伤害、设备损毁</w:t>
            </w:r>
          </w:p>
        </w:tc>
        <w:tc>
          <w:tcPr>
            <w:tcW w:w="399" w:type="pct"/>
            <w:vAlign w:val="center"/>
          </w:tcPr>
          <w:p w14:paraId="5043622D">
            <w:pPr>
              <w:pStyle w:val="39"/>
              <w:rPr>
                <w:rFonts w:hint="default"/>
              </w:rPr>
            </w:pPr>
            <w:r>
              <w:t>II</w:t>
            </w:r>
          </w:p>
        </w:tc>
        <w:tc>
          <w:tcPr>
            <w:tcW w:w="1335" w:type="pct"/>
            <w:vAlign w:val="center"/>
          </w:tcPr>
          <w:p w14:paraId="5789FCE4">
            <w:pPr>
              <w:pStyle w:val="39"/>
              <w:rPr>
                <w:rFonts w:hint="default"/>
              </w:rPr>
            </w:pPr>
            <w:r>
              <w:t>1.严格执行操作规程；2.树立先安全后生产的观念，坚持工作前对工作面的安全处理；3.加强个人防护措施；作业人员在2m及以上高处作业必须系安全带，要加强现场操作管理；4.依据作业设备，确定合理台阶高度，最小工作平台宽度，最小工作线长度；5.在堆填区顶部及其他危险区域设置安全警示标志。</w:t>
            </w:r>
          </w:p>
        </w:tc>
      </w:tr>
      <w:tr w14:paraId="2710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46" w:type="pct"/>
            <w:vAlign w:val="center"/>
          </w:tcPr>
          <w:p w14:paraId="22D91114">
            <w:pPr>
              <w:adjustRightInd w:val="0"/>
              <w:spacing w:line="340" w:lineRule="exact"/>
              <w:ind w:firstLine="0" w:firstLineChars="0"/>
              <w:jc w:val="center"/>
              <w:rPr>
                <w:rFonts w:cs="Times New Roman"/>
                <w:bCs/>
                <w:spacing w:val="10"/>
                <w:sz w:val="21"/>
                <w:szCs w:val="21"/>
              </w:rPr>
            </w:pPr>
            <w:r>
              <w:rPr>
                <w:rFonts w:cs="Times New Roman"/>
                <w:bCs/>
                <w:spacing w:val="10"/>
                <w:sz w:val="21"/>
                <w:szCs w:val="21"/>
              </w:rPr>
              <w:t>车辆</w:t>
            </w:r>
          </w:p>
          <w:p w14:paraId="0F06AD83">
            <w:pPr>
              <w:adjustRightInd w:val="0"/>
              <w:spacing w:line="340" w:lineRule="exact"/>
              <w:ind w:firstLine="0" w:firstLineChars="0"/>
              <w:jc w:val="center"/>
              <w:rPr>
                <w:rFonts w:cs="Times New Roman"/>
                <w:sz w:val="21"/>
                <w:szCs w:val="21"/>
              </w:rPr>
            </w:pPr>
            <w:r>
              <w:rPr>
                <w:rFonts w:cs="Times New Roman"/>
                <w:bCs/>
                <w:spacing w:val="10"/>
                <w:sz w:val="21"/>
                <w:szCs w:val="21"/>
              </w:rPr>
              <w:t>伤害</w:t>
            </w:r>
          </w:p>
        </w:tc>
        <w:tc>
          <w:tcPr>
            <w:tcW w:w="1484" w:type="pct"/>
            <w:vAlign w:val="center"/>
          </w:tcPr>
          <w:p w14:paraId="45555F83">
            <w:pPr>
              <w:adjustRightInd w:val="0"/>
              <w:snapToGrid w:val="0"/>
              <w:spacing w:line="340" w:lineRule="exact"/>
              <w:ind w:firstLine="0" w:firstLineChars="0"/>
              <w:rPr>
                <w:rFonts w:cs="Times New Roman"/>
                <w:sz w:val="21"/>
                <w:szCs w:val="21"/>
              </w:rPr>
            </w:pPr>
            <w:r>
              <w:rPr>
                <w:rFonts w:hint="eastAsia" w:ascii="宋体" w:hAnsi="宋体" w:cs="宋体"/>
                <w:bCs/>
                <w:spacing w:val="10"/>
                <w:sz w:val="21"/>
                <w:szCs w:val="21"/>
              </w:rPr>
              <w:t>①</w:t>
            </w:r>
            <w:r>
              <w:rPr>
                <w:rFonts w:cs="Times New Roman"/>
                <w:bCs/>
                <w:spacing w:val="10"/>
                <w:sz w:val="21"/>
                <w:szCs w:val="21"/>
              </w:rPr>
              <w:t>车辆带病运行，设备故</w:t>
            </w:r>
            <w:r>
              <w:rPr>
                <w:rFonts w:cs="Times New Roman"/>
                <w:sz w:val="21"/>
                <w:szCs w:val="21"/>
              </w:rPr>
              <w:t>障；</w:t>
            </w:r>
          </w:p>
          <w:p w14:paraId="203E7137">
            <w:pPr>
              <w:adjustRightInd w:val="0"/>
              <w:snapToGrid w:val="0"/>
              <w:spacing w:line="340" w:lineRule="exact"/>
              <w:ind w:firstLine="0" w:firstLineChars="0"/>
              <w:rPr>
                <w:rFonts w:cs="Times New Roman"/>
                <w:sz w:val="21"/>
                <w:szCs w:val="21"/>
              </w:rPr>
            </w:pPr>
            <w:r>
              <w:rPr>
                <w:rFonts w:hint="eastAsia" w:ascii="宋体" w:hAnsi="宋体" w:cs="宋体"/>
                <w:sz w:val="21"/>
                <w:szCs w:val="21"/>
              </w:rPr>
              <w:t>②</w:t>
            </w:r>
            <w:r>
              <w:rPr>
                <w:rFonts w:cs="Times New Roman"/>
                <w:sz w:val="21"/>
                <w:szCs w:val="21"/>
              </w:rPr>
              <w:t>道路不符合设计要求，如双车道的路面宽度不能保证会车安全，弯道处会车视距不能满足要求，且未设分车道，错车时，易发生撞车事故；</w:t>
            </w:r>
          </w:p>
          <w:p w14:paraId="1F754276">
            <w:pPr>
              <w:adjustRightInd w:val="0"/>
              <w:snapToGrid w:val="0"/>
              <w:spacing w:line="340" w:lineRule="exact"/>
              <w:ind w:firstLine="0" w:firstLineChars="0"/>
              <w:rPr>
                <w:rFonts w:cs="Times New Roman"/>
                <w:sz w:val="21"/>
                <w:szCs w:val="21"/>
              </w:rPr>
            </w:pPr>
            <w:r>
              <w:rPr>
                <w:rFonts w:hint="eastAsia" w:ascii="宋体" w:hAnsi="宋体" w:cs="宋体"/>
                <w:sz w:val="21"/>
                <w:szCs w:val="21"/>
              </w:rPr>
              <w:t>③</w:t>
            </w:r>
            <w:r>
              <w:rPr>
                <w:rFonts w:cs="Times New Roman"/>
                <w:sz w:val="21"/>
                <w:szCs w:val="21"/>
              </w:rPr>
              <w:t>在高路堤或山坡填方的弯道处，坡度较大的填方地段，道路外侧未设置护栏、挡车土堆等；</w:t>
            </w:r>
          </w:p>
          <w:p w14:paraId="2A8844ED">
            <w:pPr>
              <w:adjustRightInd w:val="0"/>
              <w:snapToGrid w:val="0"/>
              <w:spacing w:line="340" w:lineRule="exact"/>
              <w:ind w:firstLine="0" w:firstLineChars="0"/>
              <w:rPr>
                <w:rFonts w:cs="Times New Roman"/>
                <w:sz w:val="21"/>
                <w:szCs w:val="21"/>
              </w:rPr>
            </w:pPr>
            <w:r>
              <w:rPr>
                <w:rFonts w:hint="eastAsia" w:ascii="宋体" w:hAnsi="宋体" w:cs="宋体"/>
                <w:sz w:val="21"/>
                <w:szCs w:val="21"/>
              </w:rPr>
              <w:t>④</w:t>
            </w:r>
            <w:r>
              <w:rPr>
                <w:rFonts w:cs="Times New Roman"/>
                <w:sz w:val="21"/>
                <w:szCs w:val="21"/>
              </w:rPr>
              <w:t>主要运输道路及联络道的长大坡道上，未设置汽车避难道；</w:t>
            </w:r>
          </w:p>
          <w:p w14:paraId="79F36D71">
            <w:pPr>
              <w:adjustRightInd w:val="0"/>
              <w:snapToGrid w:val="0"/>
              <w:spacing w:line="340" w:lineRule="exact"/>
              <w:ind w:firstLine="0" w:firstLineChars="0"/>
              <w:rPr>
                <w:rFonts w:cs="Times New Roman"/>
                <w:sz w:val="21"/>
                <w:szCs w:val="21"/>
              </w:rPr>
            </w:pPr>
            <w:r>
              <w:rPr>
                <w:rFonts w:hint="eastAsia" w:ascii="宋体" w:hAnsi="宋体" w:cs="宋体"/>
                <w:sz w:val="21"/>
                <w:szCs w:val="21"/>
              </w:rPr>
              <w:t>⑤</w:t>
            </w:r>
            <w:r>
              <w:rPr>
                <w:rFonts w:cs="Times New Roman"/>
                <w:sz w:val="21"/>
                <w:szCs w:val="21"/>
              </w:rPr>
              <w:t>雨季路面车辆未采取有效的防滑措施；</w:t>
            </w:r>
          </w:p>
          <w:p w14:paraId="0CAC9C2F">
            <w:pPr>
              <w:adjustRightInd w:val="0"/>
              <w:snapToGrid w:val="0"/>
              <w:spacing w:line="340" w:lineRule="exact"/>
              <w:ind w:firstLine="0" w:firstLineChars="0"/>
              <w:rPr>
                <w:rFonts w:cs="Times New Roman"/>
                <w:sz w:val="21"/>
                <w:szCs w:val="21"/>
              </w:rPr>
            </w:pPr>
            <w:r>
              <w:rPr>
                <w:rFonts w:hint="eastAsia" w:ascii="宋体" w:hAnsi="宋体" w:cs="宋体"/>
                <w:sz w:val="21"/>
                <w:szCs w:val="21"/>
              </w:rPr>
              <w:t>⑥</w:t>
            </w:r>
            <w:r>
              <w:rPr>
                <w:rFonts w:cs="Times New Roman"/>
                <w:sz w:val="21"/>
                <w:szCs w:val="21"/>
              </w:rPr>
              <w:t>倒车时车速过快；安全设施失灵；信号不畅、失灵；司机精力不集中；违章驾驶。</w:t>
            </w:r>
          </w:p>
        </w:tc>
        <w:tc>
          <w:tcPr>
            <w:tcW w:w="639" w:type="pct"/>
            <w:vAlign w:val="center"/>
          </w:tcPr>
          <w:p w14:paraId="1972EF44">
            <w:pPr>
              <w:adjustRightInd w:val="0"/>
              <w:spacing w:line="340" w:lineRule="exact"/>
              <w:ind w:firstLine="0" w:firstLineChars="0"/>
              <w:jc w:val="center"/>
              <w:rPr>
                <w:rFonts w:cs="Times New Roman"/>
                <w:sz w:val="21"/>
                <w:szCs w:val="21"/>
              </w:rPr>
            </w:pPr>
            <w:r>
              <w:rPr>
                <w:rFonts w:cs="Times New Roman"/>
                <w:sz w:val="21"/>
                <w:szCs w:val="21"/>
              </w:rPr>
              <w:t>以挤夹、碾压、碰撞等形式危害人员及设备，</w:t>
            </w:r>
          </w:p>
        </w:tc>
        <w:tc>
          <w:tcPr>
            <w:tcW w:w="597" w:type="pct"/>
            <w:vAlign w:val="center"/>
          </w:tcPr>
          <w:p w14:paraId="5478252D">
            <w:pPr>
              <w:adjustRightInd w:val="0"/>
              <w:spacing w:line="340" w:lineRule="exact"/>
              <w:ind w:firstLine="0" w:firstLineChars="0"/>
              <w:jc w:val="center"/>
              <w:rPr>
                <w:rFonts w:cs="Times New Roman"/>
                <w:sz w:val="21"/>
                <w:szCs w:val="21"/>
              </w:rPr>
            </w:pPr>
            <w:r>
              <w:rPr>
                <w:rFonts w:cs="Times New Roman"/>
                <w:sz w:val="21"/>
                <w:szCs w:val="21"/>
              </w:rPr>
              <w:t>人员伤亡、设备损害、车辆坠落</w:t>
            </w:r>
          </w:p>
        </w:tc>
        <w:tc>
          <w:tcPr>
            <w:tcW w:w="399" w:type="pct"/>
            <w:vAlign w:val="center"/>
          </w:tcPr>
          <w:p w14:paraId="77B3018E">
            <w:pPr>
              <w:adjustRightInd w:val="0"/>
              <w:spacing w:line="340" w:lineRule="exact"/>
              <w:ind w:firstLine="0" w:firstLineChars="0"/>
              <w:jc w:val="center"/>
              <w:rPr>
                <w:rFonts w:cs="Times New Roman"/>
                <w:sz w:val="21"/>
                <w:szCs w:val="21"/>
              </w:rPr>
            </w:pPr>
            <w:r>
              <w:rPr>
                <w:rFonts w:cs="Times New Roman"/>
                <w:sz w:val="21"/>
                <w:szCs w:val="21"/>
              </w:rPr>
              <w:t>II～Ⅲ</w:t>
            </w:r>
          </w:p>
        </w:tc>
        <w:tc>
          <w:tcPr>
            <w:tcW w:w="1335" w:type="pct"/>
            <w:vAlign w:val="center"/>
          </w:tcPr>
          <w:p w14:paraId="0354FABA">
            <w:pPr>
              <w:adjustRightInd w:val="0"/>
              <w:snapToGrid w:val="0"/>
              <w:spacing w:line="340" w:lineRule="exact"/>
              <w:ind w:firstLine="0" w:firstLineChars="0"/>
              <w:jc w:val="center"/>
              <w:rPr>
                <w:rFonts w:cs="Times New Roman"/>
                <w:sz w:val="21"/>
                <w:szCs w:val="21"/>
              </w:rPr>
            </w:pPr>
            <w:r>
              <w:rPr>
                <w:rFonts w:hint="eastAsia" w:ascii="宋体" w:hAnsi="宋体" w:cs="宋体"/>
                <w:bCs/>
                <w:spacing w:val="10"/>
                <w:sz w:val="21"/>
                <w:szCs w:val="21"/>
              </w:rPr>
              <w:t>①</w:t>
            </w:r>
            <w:r>
              <w:rPr>
                <w:rFonts w:cs="Times New Roman"/>
                <w:bCs/>
                <w:spacing w:val="10"/>
                <w:sz w:val="21"/>
                <w:szCs w:val="21"/>
              </w:rPr>
              <w:t>车辆应定期维护检</w:t>
            </w:r>
            <w:r>
              <w:rPr>
                <w:rFonts w:cs="Times New Roman"/>
                <w:sz w:val="21"/>
                <w:szCs w:val="21"/>
              </w:rPr>
              <w:t>修，保持车况良好；</w:t>
            </w:r>
          </w:p>
          <w:p w14:paraId="489A4E30">
            <w:pPr>
              <w:adjustRightInd w:val="0"/>
              <w:snapToGrid w:val="0"/>
              <w:spacing w:line="340" w:lineRule="exact"/>
              <w:ind w:firstLine="0" w:firstLineChars="0"/>
              <w:jc w:val="center"/>
              <w:rPr>
                <w:rFonts w:cs="Times New Roman"/>
                <w:sz w:val="21"/>
                <w:szCs w:val="21"/>
              </w:rPr>
            </w:pPr>
            <w:r>
              <w:rPr>
                <w:rFonts w:hint="eastAsia" w:ascii="宋体" w:hAnsi="宋体" w:cs="宋体"/>
                <w:sz w:val="21"/>
                <w:szCs w:val="21"/>
              </w:rPr>
              <w:t>②</w:t>
            </w:r>
            <w:r>
              <w:rPr>
                <w:rFonts w:cs="Times New Roman"/>
                <w:sz w:val="21"/>
                <w:szCs w:val="21"/>
              </w:rPr>
              <w:t>按照设计进行道路施工，经常维护，弯道处会车视距不能满足要求时，应设分车道；</w:t>
            </w:r>
          </w:p>
          <w:p w14:paraId="32FCA1CB">
            <w:pPr>
              <w:adjustRightInd w:val="0"/>
              <w:snapToGrid w:val="0"/>
              <w:spacing w:line="340" w:lineRule="exact"/>
              <w:ind w:firstLine="0" w:firstLineChars="0"/>
              <w:jc w:val="center"/>
              <w:rPr>
                <w:rFonts w:cs="Times New Roman"/>
                <w:sz w:val="21"/>
                <w:szCs w:val="21"/>
              </w:rPr>
            </w:pPr>
            <w:r>
              <w:rPr>
                <w:rFonts w:hint="eastAsia" w:ascii="宋体" w:hAnsi="宋体" w:cs="宋体"/>
                <w:sz w:val="21"/>
                <w:szCs w:val="21"/>
              </w:rPr>
              <w:t>③</w:t>
            </w:r>
            <w:r>
              <w:rPr>
                <w:rFonts w:cs="Times New Roman"/>
                <w:sz w:val="21"/>
                <w:szCs w:val="21"/>
              </w:rPr>
              <w:t>具体规定渣场道路上各地段的车速，并设置路标；</w:t>
            </w:r>
          </w:p>
          <w:p w14:paraId="718256B7">
            <w:pPr>
              <w:adjustRightInd w:val="0"/>
              <w:snapToGrid w:val="0"/>
              <w:spacing w:line="340" w:lineRule="exact"/>
              <w:ind w:firstLine="0" w:firstLineChars="0"/>
              <w:jc w:val="center"/>
              <w:rPr>
                <w:rFonts w:cs="Times New Roman"/>
                <w:sz w:val="21"/>
                <w:szCs w:val="21"/>
              </w:rPr>
            </w:pPr>
            <w:r>
              <w:rPr>
                <w:rFonts w:hint="eastAsia" w:ascii="宋体" w:hAnsi="宋体" w:cs="宋体"/>
                <w:sz w:val="21"/>
                <w:szCs w:val="21"/>
              </w:rPr>
              <w:t>④</w:t>
            </w:r>
            <w:r>
              <w:rPr>
                <w:rFonts w:cs="Times New Roman"/>
                <w:sz w:val="21"/>
                <w:szCs w:val="21"/>
              </w:rPr>
              <w:t>在高路堤或山坡填方的弯道处，坡度较大的填方地段，道路外侧应设置护栏或挡车土堆等，挡车土堆的高度根据实际情况具体规定；</w:t>
            </w:r>
          </w:p>
          <w:p w14:paraId="71036048">
            <w:pPr>
              <w:adjustRightInd w:val="0"/>
              <w:snapToGrid w:val="0"/>
              <w:spacing w:line="340" w:lineRule="exact"/>
              <w:ind w:firstLine="0" w:firstLineChars="0"/>
              <w:jc w:val="center"/>
              <w:rPr>
                <w:rFonts w:cs="Times New Roman"/>
                <w:sz w:val="21"/>
                <w:szCs w:val="21"/>
              </w:rPr>
            </w:pPr>
            <w:r>
              <w:rPr>
                <w:rFonts w:hint="eastAsia" w:ascii="宋体" w:hAnsi="宋体" w:cs="宋体"/>
                <w:sz w:val="21"/>
                <w:szCs w:val="21"/>
              </w:rPr>
              <w:t>⑤</w:t>
            </w:r>
            <w:r>
              <w:rPr>
                <w:rFonts w:cs="Times New Roman"/>
                <w:sz w:val="21"/>
                <w:szCs w:val="21"/>
              </w:rPr>
              <w:t>雨季路面、车辆采取有效的防滑措施；</w:t>
            </w:r>
          </w:p>
          <w:p w14:paraId="5728A4DF">
            <w:pPr>
              <w:adjustRightInd w:val="0"/>
              <w:snapToGrid w:val="0"/>
              <w:spacing w:line="340" w:lineRule="exact"/>
              <w:ind w:firstLine="0" w:firstLineChars="0"/>
              <w:jc w:val="center"/>
              <w:rPr>
                <w:rFonts w:cs="Times New Roman"/>
                <w:sz w:val="21"/>
                <w:szCs w:val="21"/>
              </w:rPr>
            </w:pPr>
            <w:r>
              <w:rPr>
                <w:rFonts w:hint="eastAsia" w:ascii="宋体" w:hAnsi="宋体" w:cs="宋体"/>
                <w:sz w:val="21"/>
                <w:szCs w:val="21"/>
              </w:rPr>
              <w:t>⑥</w:t>
            </w:r>
            <w:r>
              <w:rPr>
                <w:rFonts w:cs="Times New Roman"/>
                <w:sz w:val="21"/>
                <w:szCs w:val="21"/>
              </w:rPr>
              <w:t>加强司机安全教育，禁止疲劳驾驶、</w:t>
            </w:r>
            <w:r>
              <w:rPr>
                <w:rFonts w:cs="Times New Roman"/>
                <w:bCs/>
                <w:spacing w:val="10"/>
                <w:sz w:val="21"/>
                <w:szCs w:val="21"/>
              </w:rPr>
              <w:t>违章驾驶。</w:t>
            </w:r>
          </w:p>
        </w:tc>
      </w:tr>
    </w:tbl>
    <w:p w14:paraId="11250616">
      <w:pPr>
        <w:ind w:firstLine="560"/>
      </w:pPr>
      <w:r>
        <w:rPr>
          <w:rFonts w:hint="eastAsia"/>
        </w:rPr>
        <w:t>通过预先危险性分析，Ⅲ级或Ⅲ级以上是危险的，会造成人员伤亡和系统损坏，需立即采取防范对策措施。滑坡、滚石、粉尘、坝坡失稳、高处坠落、车辆伤害是主要的危险有害因素，需要采取防范对策措施，其他事故为需要引起重视的危险因素。</w:t>
      </w:r>
    </w:p>
    <w:p w14:paraId="711B2CDB">
      <w:pPr>
        <w:pStyle w:val="4"/>
      </w:pPr>
      <w:bookmarkStart w:id="85" w:name="_Toc230699606"/>
      <w:r>
        <w:rPr>
          <w:rFonts w:hint="eastAsia"/>
        </w:rPr>
        <w:t>3.2.2 堆填及整治工艺单元安全检查表</w:t>
      </w:r>
      <w:bookmarkEnd w:id="85"/>
    </w:p>
    <w:p w14:paraId="4F59C1ED">
      <w:pPr>
        <w:ind w:firstLine="560"/>
      </w:pPr>
      <w:r>
        <w:rPr>
          <w:rFonts w:hint="eastAsia"/>
        </w:rPr>
        <w:t>根据《水土保持工程设计规范》（GB51018-2014）、</w:t>
      </w:r>
      <w:r>
        <w:t>《磷石膏库安全技术规程》（AQ 2059-2016）、《尾矿库安全规程》（GB39496-2020）、《尾矿设施设计规范》（GB50863-2013）等</w:t>
      </w:r>
      <w:r>
        <w:rPr>
          <w:rFonts w:hint="eastAsia"/>
        </w:rPr>
        <w:t>中的相关内容对该磷石膏渣场进行检查，见表3.2-2。</w:t>
      </w:r>
    </w:p>
    <w:p w14:paraId="1171B5C2">
      <w:pPr>
        <w:pStyle w:val="4"/>
      </w:pPr>
      <w:bookmarkStart w:id="86" w:name="_Toc230699607"/>
      <w:r>
        <w:rPr>
          <w:rFonts w:hint="eastAsia"/>
        </w:rPr>
        <w:t>3.2.3 无害化磷石膏堆存后坝体稳定性分析</w:t>
      </w:r>
      <w:bookmarkEnd w:id="86"/>
    </w:p>
    <w:p w14:paraId="38B57DA6">
      <w:pPr>
        <w:ind w:firstLineChars="150"/>
        <w:rPr>
          <w:bCs/>
        </w:rPr>
      </w:pPr>
      <w:r>
        <w:t>根据设计资料，</w:t>
      </w:r>
      <w:r>
        <w:rPr>
          <w:bCs/>
        </w:rPr>
        <w:t>渣场现状稳定，在东南侧堆存新入场</w:t>
      </w:r>
      <w:r>
        <w:rPr>
          <w:rFonts w:hint="eastAsia"/>
          <w:bCs/>
        </w:rPr>
        <w:t>改性</w:t>
      </w:r>
      <w:r>
        <w:rPr>
          <w:bCs/>
        </w:rPr>
        <w:t>磷石膏渣。结合渣场现状及</w:t>
      </w:r>
      <w:r>
        <w:rPr>
          <w:rFonts w:hint="eastAsia"/>
          <w:bCs/>
        </w:rPr>
        <w:t>改性磷石膏</w:t>
      </w:r>
      <w:r>
        <w:rPr>
          <w:bCs/>
        </w:rPr>
        <w:t>堆存设计，选取</w:t>
      </w:r>
      <w:r>
        <w:t>垂直于拦渣坝坝轴线的最大剖面作为稳定计算断面，并对坝体各岩土层进行概化分区，共分为5个区：分别为1区新建拦渣坝、2区磷石膏堆坝、3区场地防渗层、4区场区原始地层黏土层、5区场地下伏基岩</w:t>
      </w:r>
      <w:r>
        <w:rPr>
          <w:bCs/>
        </w:rPr>
        <w:t>强风化变质石英砂岩。</w:t>
      </w:r>
    </w:p>
    <w:p w14:paraId="1216C773">
      <w:pPr>
        <w:ind w:firstLine="560"/>
      </w:pPr>
      <w:r>
        <w:t>从稳定计算结果看，渣场按设计要求进行堆存，坝体稳定性满足规范要求，能够安全稳定</w:t>
      </w:r>
      <w:r>
        <w:rPr>
          <w:rFonts w:hint="eastAsia"/>
        </w:rPr>
        <w:t>。</w:t>
      </w:r>
    </w:p>
    <w:p w14:paraId="74BB88C4">
      <w:pPr>
        <w:pStyle w:val="4"/>
      </w:pPr>
      <w:bookmarkStart w:id="87" w:name="_Toc230699608"/>
      <w:r>
        <w:rPr>
          <w:rFonts w:hint="eastAsia"/>
        </w:rPr>
        <w:t>3.2.4 渣场东南侧防渗、排渗设施设计</w:t>
      </w:r>
      <w:bookmarkEnd w:id="87"/>
    </w:p>
    <w:p w14:paraId="733BD07A">
      <w:pPr>
        <w:ind w:firstLine="560"/>
        <w:rPr>
          <w:rFonts w:cs="Times New Roman"/>
        </w:rPr>
      </w:pPr>
      <w:r>
        <w:rPr>
          <w:rFonts w:cs="Times New Roman"/>
        </w:rPr>
        <w:t>渣场削坡整形至安全稳定状态后，接纳从甘松箐磷石膏渣场运输过来的改性磷石膏进行堆存，根据大坟箐磷石膏渣场现状，改性磷石膏主要堆存在渣场东</w:t>
      </w:r>
      <w:r>
        <w:rPr>
          <w:rFonts w:hint="eastAsia" w:cs="Times New Roman"/>
        </w:rPr>
        <w:t>南</w:t>
      </w:r>
      <w:r>
        <w:rPr>
          <w:rFonts w:cs="Times New Roman"/>
        </w:rPr>
        <w:t>侧及顶部。设计对东</w:t>
      </w:r>
      <w:r>
        <w:rPr>
          <w:rFonts w:hint="eastAsia" w:cs="Times New Roman"/>
        </w:rPr>
        <w:t>南</w:t>
      </w:r>
      <w:r>
        <w:rPr>
          <w:rFonts w:cs="Times New Roman"/>
        </w:rPr>
        <w:t>侧区域进行表层清理，清除表层植被、腐殖土等，然后</w:t>
      </w:r>
      <w:r>
        <w:rPr>
          <w:rFonts w:hint="eastAsia" w:cs="Times New Roman"/>
        </w:rPr>
        <w:t>铺设底部</w:t>
      </w:r>
      <w:r>
        <w:rPr>
          <w:rFonts w:cs="Times New Roman"/>
        </w:rPr>
        <w:t>防渗层，参照《一般工业固体废物贮存和填埋污染控制标准》（GB18599-2020）II类处置场，设置设置</w:t>
      </w:r>
      <w:r>
        <w:rPr>
          <w:rFonts w:hint="eastAsia" w:cs="Times New Roman"/>
        </w:rPr>
        <w:t>0.75m压实粘土支撑层+两布一膜（400g/m</w:t>
      </w:r>
      <w:r>
        <w:rPr>
          <w:rFonts w:hint="eastAsia" w:cs="Times New Roman"/>
          <w:vertAlign w:val="superscript"/>
        </w:rPr>
        <w:t>2</w:t>
      </w:r>
      <w:r>
        <w:rPr>
          <w:rFonts w:hint="eastAsia" w:cs="Times New Roman"/>
        </w:rPr>
        <w:t>无纺长丝土工布+1.5mm单糙面HDPE防渗膜+400g/m</w:t>
      </w:r>
      <w:r>
        <w:rPr>
          <w:rFonts w:hint="eastAsia" w:cs="Times New Roman"/>
          <w:vertAlign w:val="superscript"/>
        </w:rPr>
        <w:t>2</w:t>
      </w:r>
      <w:r>
        <w:rPr>
          <w:rFonts w:hint="eastAsia" w:cs="Times New Roman"/>
        </w:rPr>
        <w:t>无纺长丝土工布）防渗层。</w:t>
      </w:r>
    </w:p>
    <w:p w14:paraId="0D613414">
      <w:pPr>
        <w:ind w:firstLine="560"/>
        <w:rPr>
          <w:rFonts w:cs="Times New Roman"/>
        </w:rPr>
      </w:pPr>
      <w:r>
        <w:rPr>
          <w:rFonts w:hint="eastAsia" w:cs="Times New Roman"/>
        </w:rPr>
        <w:t>清表时，设计了明确了清表要求：</w:t>
      </w:r>
      <w:r>
        <w:rPr>
          <w:rFonts w:cs="Times New Roman"/>
        </w:rPr>
        <w:t>表层植被及腐殖土清理深度不小于300mm，若局部腐殖土厚度超过500mm，需加深清理至坚实土层；对于存在树根、草根的区域，需彻底清除根系，根系清除深度不小于600mm，避免后期根系腐烂破坏防渗层。清理完成后基底应平整、坚实，无明显坑洼、凸起及尖锐杂物，基底土体压实度不低于93%（采用环刀法检测），基底横向坡度不小于2%，纵向坡度不小于</w:t>
      </w:r>
      <w:r>
        <w:rPr>
          <w:rFonts w:hint="eastAsia" w:cs="Times New Roman"/>
        </w:rPr>
        <w:t>2</w:t>
      </w:r>
      <w:r>
        <w:rPr>
          <w:rFonts w:cs="Times New Roman"/>
        </w:rPr>
        <w:t>%，确保排水顺畅。</w:t>
      </w:r>
    </w:p>
    <w:p w14:paraId="4312644A">
      <w:pPr>
        <w:ind w:firstLine="560"/>
      </w:pPr>
      <w:r>
        <w:rPr>
          <w:rFonts w:hint="eastAsia" w:cs="Times New Roman"/>
        </w:rPr>
        <w:t>基底清理整平完成，铺设防渗层，自下而上依次铺设0.75m压实粘土支撑层、400g/m</w:t>
      </w:r>
      <w:r>
        <w:rPr>
          <w:rFonts w:hint="eastAsia" w:cs="Times New Roman"/>
          <w:vertAlign w:val="superscript"/>
        </w:rPr>
        <w:t>2</w:t>
      </w:r>
      <w:r>
        <w:rPr>
          <w:rFonts w:hint="eastAsia" w:cs="Times New Roman"/>
        </w:rPr>
        <w:t>无纺长丝土工布、</w:t>
      </w:r>
      <w:r>
        <w:rPr>
          <w:rFonts w:cs="Times New Roman"/>
        </w:rPr>
        <w:t>1.5mmHDPE防渗膜、</w:t>
      </w:r>
      <w:r>
        <w:rPr>
          <w:rFonts w:hint="eastAsia" w:cs="Times New Roman"/>
        </w:rPr>
        <w:t>400g/m</w:t>
      </w:r>
      <w:r>
        <w:rPr>
          <w:rFonts w:hint="eastAsia" w:cs="Times New Roman"/>
          <w:vertAlign w:val="superscript"/>
        </w:rPr>
        <w:t>2</w:t>
      </w:r>
      <w:r>
        <w:rPr>
          <w:rFonts w:hint="eastAsia" w:cs="Times New Roman"/>
        </w:rPr>
        <w:t>无纺长丝土工布、渗滤液导排盲沟、堆填改性磷石膏。粘土需分层铺设压实，分层厚度不超过300mm，压实度不低于95%，压实后粘土层渗透系数不大于1×10</w:t>
      </w:r>
      <w:r>
        <w:rPr>
          <w:rFonts w:hint="eastAsia" w:cs="Times New Roman"/>
          <w:vertAlign w:val="superscript"/>
        </w:rPr>
        <w:t>-7</w:t>
      </w:r>
      <w:r>
        <w:rPr>
          <w:rFonts w:hint="eastAsia" w:cs="Times New Roman"/>
        </w:rPr>
        <w:t>cm/s，表面平整度偏差不大于50mm/2m，无明显裂缝、坑洼；土工布铺设应平整、无褶皱，搭接宽度不小于100mm，采用热熔或缝合连接，渗透系数不大于1×10</w:t>
      </w:r>
      <w:r>
        <w:rPr>
          <w:rFonts w:hint="eastAsia" w:cs="Times New Roman"/>
          <w:vertAlign w:val="superscript"/>
        </w:rPr>
        <w:t>-13</w:t>
      </w:r>
      <w:r>
        <w:rPr>
          <w:rFonts w:hint="eastAsia" w:cs="Times New Roman"/>
        </w:rPr>
        <w:t>cm/s；</w:t>
      </w:r>
      <w:r>
        <w:rPr>
          <w:rFonts w:cs="Times New Roman"/>
        </w:rPr>
        <w:t>渗滤液导排盲沟，采用碎石导排盲沟，顶宽1.5m，底宽0.5m，深度0.5m，盲沟纵向坡度不小于2%，沟内采用土工布包裹碎石充填，碎石粒径为20-40mm，含泥量不大于3%。</w:t>
      </w:r>
    </w:p>
    <w:p w14:paraId="6E4D3B4C">
      <w:pPr>
        <w:pStyle w:val="4"/>
      </w:pPr>
      <w:bookmarkStart w:id="88" w:name="_Toc230699609"/>
      <w:r>
        <w:rPr>
          <w:rFonts w:hint="eastAsia"/>
        </w:rPr>
        <w:t>3.2.5渣场道路及辅助设施设计</w:t>
      </w:r>
      <w:bookmarkEnd w:id="88"/>
    </w:p>
    <w:p w14:paraId="7D6A8CF0">
      <w:pPr>
        <w:ind w:firstLine="560"/>
      </w:pPr>
      <w:r>
        <w:rPr>
          <w:rFonts w:hint="eastAsia"/>
        </w:rPr>
        <w:t>根据《厂矿道路设计规范》（GBJ 22-1987</w:t>
      </w:r>
      <w:r>
        <w:t>）</w:t>
      </w:r>
      <w:r>
        <w:rPr>
          <w:rFonts w:hint="eastAsia"/>
        </w:rPr>
        <w:t>、</w:t>
      </w:r>
      <w:r>
        <w:t>《磷石膏库安全技术规程》（AQ 2059-2016）、《尾矿设施设计规范》（GB 50863-2013）等</w:t>
      </w:r>
      <w:r>
        <w:rPr>
          <w:rFonts w:hint="eastAsia"/>
        </w:rPr>
        <w:t>中的相关内容对该磷石膏渣场道路及辅助设施进行检查，见表3.2-4。</w:t>
      </w:r>
    </w:p>
    <w:p w14:paraId="6F2E4779">
      <w:pPr>
        <w:pStyle w:val="4"/>
      </w:pPr>
      <w:bookmarkStart w:id="89" w:name="_Toc230699610"/>
      <w:r>
        <w:rPr>
          <w:rFonts w:hint="eastAsia"/>
        </w:rPr>
        <w:t>3.2.6 存在主要问题及建议</w:t>
      </w:r>
      <w:bookmarkEnd w:id="89"/>
    </w:p>
    <w:p w14:paraId="4AB81ECF">
      <w:pPr>
        <w:ind w:firstLine="560"/>
      </w:pPr>
      <w:r>
        <w:rPr>
          <w:rFonts w:hint="eastAsia"/>
        </w:rPr>
        <w:t>1.《整治设计》未明确高压电线（</w:t>
      </w:r>
      <w:r>
        <w:rPr>
          <w:rFonts w:cs="Times New Roman"/>
        </w:rPr>
        <w:t>樟兴鹤线</w:t>
      </w:r>
      <w:r>
        <w:rPr>
          <w:rFonts w:hint="eastAsia"/>
        </w:rPr>
        <w:t>）迁改方案，建议企业后续完善迁改方案后，与供电线路管理方、使用方签订安全协议，迁改施工应委托有资质单位施工；此外，迁改施工过程中可能与项目堆存整治施工存在交叉，企业应监督双方签订安全管理协议，制定专人进行施工现场的监督管理工作。</w:t>
      </w:r>
    </w:p>
    <w:p w14:paraId="63900C3F">
      <w:pPr>
        <w:ind w:firstLine="560"/>
      </w:pPr>
      <w:r>
        <w:rPr>
          <w:rFonts w:hint="eastAsia"/>
        </w:rPr>
        <w:t>2.渣场场地属于山区，现状边坡较陡，施工前应先疏通、完善场外截排水设施，施工过程中严格按设计要求施工建设，做好边坡的修整和截排水设施的施工。</w:t>
      </w:r>
    </w:p>
    <w:p w14:paraId="34AADDD4">
      <w:pPr>
        <w:ind w:firstLine="560"/>
      </w:pPr>
      <w:r>
        <w:rPr>
          <w:rFonts w:hint="eastAsia"/>
        </w:rPr>
        <w:t>3.此外，项目施工单位、监理单位必须具备相应的施工、监理资质。</w:t>
      </w:r>
    </w:p>
    <w:p w14:paraId="022391C1">
      <w:pPr>
        <w:ind w:firstLine="560"/>
      </w:pPr>
      <w:r>
        <w:rPr>
          <w:rFonts w:hint="eastAsia"/>
        </w:rPr>
        <w:t>4.施工过程中应严格按照设计要求，自上而下进行边坡修整，修整施工机具和人员应保持有效的安全距离，</w:t>
      </w:r>
      <w:r>
        <w:rPr>
          <w:rFonts w:cs="Times New Roman"/>
        </w:rPr>
        <w:t>每5m高差分一层，每层外坡坡比1:2.0，每下降5m设置2m宽安全平台，总坡比1:2.4</w:t>
      </w:r>
      <w:r>
        <w:rPr>
          <w:rFonts w:hint="eastAsia"/>
        </w:rPr>
        <w:t>。</w:t>
      </w:r>
    </w:p>
    <w:p w14:paraId="408D8C06">
      <w:pPr>
        <w:ind w:firstLine="560"/>
        <w:rPr>
          <w:rFonts w:cs="Times New Roman"/>
        </w:rPr>
      </w:pPr>
      <w:r>
        <w:rPr>
          <w:rFonts w:hint="eastAsia"/>
        </w:rPr>
        <w:t>5.严格按照设计要求控制磷石膏碾压压实度，</w:t>
      </w:r>
      <w:r>
        <w:rPr>
          <w:rFonts w:cs="Times New Roman"/>
        </w:rPr>
        <w:t>严格遵循分层碾压法施工，分层厚度不得超过0.5m，要求经检验确认放坡，压实度达到0.92，方可施工上一层</w:t>
      </w:r>
      <w:r>
        <w:rPr>
          <w:rFonts w:hint="eastAsia" w:cs="Times New Roman"/>
        </w:rPr>
        <w:t>。</w:t>
      </w:r>
    </w:p>
    <w:p w14:paraId="0D3119FB">
      <w:pPr>
        <w:ind w:firstLine="560"/>
        <w:rPr>
          <w:rFonts w:cs="Times New Roman"/>
        </w:rPr>
      </w:pPr>
      <w:r>
        <w:rPr>
          <w:rFonts w:hint="eastAsia" w:cs="Times New Roman"/>
        </w:rPr>
        <w:t>6.边坡修整施工过程中，应加强边坡安全巡查，发现堆积体上出现裂缝、沉降等问题的不稳定区域，</w:t>
      </w:r>
      <w:r>
        <w:rPr>
          <w:rFonts w:cs="Times New Roman"/>
        </w:rPr>
        <w:t>从上至下进行开挖，需保证堆积体在施工期间不出现垮塌、滑坡。</w:t>
      </w:r>
    </w:p>
    <w:p w14:paraId="18B7FC42">
      <w:pPr>
        <w:ind w:firstLine="560"/>
      </w:pPr>
      <w:r>
        <w:rPr>
          <w:rFonts w:hint="eastAsia" w:cs="Times New Roman"/>
        </w:rPr>
        <w:t>7.渣场堆存整治过程中可能产生大量的粉尘，建议安全设施设计中明确施工作业人员劳动防护用品配备，并加强洒水降尘。</w:t>
      </w:r>
    </w:p>
    <w:p w14:paraId="2DF6D761">
      <w:pPr>
        <w:pStyle w:val="4"/>
      </w:pPr>
      <w:bookmarkStart w:id="90" w:name="_Toc230699611"/>
      <w:r>
        <w:rPr>
          <w:rFonts w:hint="eastAsia"/>
        </w:rPr>
        <w:t>3.2.7 单元小结</w:t>
      </w:r>
      <w:bookmarkEnd w:id="90"/>
    </w:p>
    <w:p w14:paraId="411B5EEE">
      <w:pPr>
        <w:ind w:firstLine="560"/>
      </w:pPr>
      <w:r>
        <w:t>（1）</w:t>
      </w:r>
      <w:r>
        <w:rPr>
          <w:rFonts w:hint="eastAsia"/>
        </w:rPr>
        <w:t>《云南兴昆化工有限公司大坟箐磷石膏渣场堆存整治设计》中先对现状边坡自上而下进行修整，</w:t>
      </w:r>
      <w:r>
        <w:rPr>
          <w:rFonts w:cs="Times New Roman"/>
        </w:rPr>
        <w:t>每5m高差分一层，每层外坡坡比1:2.0，每下降5m设置2m宽安全平台，总坡比1:2.4；边坡修整至安全稳定状态后，对东南侧进行</w:t>
      </w:r>
      <w:r>
        <w:rPr>
          <w:rFonts w:hint="eastAsia"/>
        </w:rPr>
        <w:t>地表清理和防渗，堆存</w:t>
      </w:r>
      <w:r>
        <w:rPr>
          <w:rFonts w:cs="Times New Roman"/>
        </w:rPr>
        <w:t>甘松箐磷石膏渣场运输过来的</w:t>
      </w:r>
      <w:r>
        <w:rPr>
          <w:rFonts w:hint="eastAsia" w:cs="Times New Roman"/>
        </w:rPr>
        <w:t>60.91</w:t>
      </w:r>
      <w:r>
        <w:rPr>
          <w:rFonts w:cs="Times New Roman"/>
        </w:rPr>
        <w:t>万m</w:t>
      </w:r>
      <w:r>
        <w:rPr>
          <w:rFonts w:cs="Times New Roman"/>
          <w:vertAlign w:val="superscript"/>
        </w:rPr>
        <w:t>3</w:t>
      </w:r>
      <w:r>
        <w:rPr>
          <w:rFonts w:cs="Times New Roman"/>
        </w:rPr>
        <w:t>改性磷石膏，</w:t>
      </w:r>
      <w:r>
        <w:rPr>
          <w:rFonts w:hint="eastAsia" w:cs="Times New Roman"/>
        </w:rPr>
        <w:t>堆积标高从2017.5-2072.5m，从下往上分层碾压堆存，</w:t>
      </w:r>
      <w:r>
        <w:rPr>
          <w:rFonts w:cs="Times New Roman"/>
        </w:rPr>
        <w:t>控制总坡比1:2.4</w:t>
      </w:r>
      <w:r>
        <w:rPr>
          <w:rFonts w:hint="eastAsia"/>
        </w:rPr>
        <w:t>；最后对渣场实施封场，实施表层防渗及覆土复绿，</w:t>
      </w:r>
      <w:r>
        <w:rPr>
          <w:rFonts w:cs="Times New Roman"/>
        </w:rPr>
        <w:t>种植小型灌木复垦为灌木林地</w:t>
      </w:r>
      <w:r>
        <w:rPr>
          <w:rFonts w:hint="eastAsia"/>
        </w:rPr>
        <w:t>。</w:t>
      </w:r>
    </w:p>
    <w:p w14:paraId="330FF917">
      <w:pPr>
        <w:spacing w:line="560" w:lineRule="exact"/>
        <w:ind w:firstLine="560"/>
      </w:pPr>
      <w:r>
        <w:t>（</w:t>
      </w:r>
      <w:r>
        <w:rPr>
          <w:rFonts w:hint="eastAsia"/>
        </w:rPr>
        <w:t>2</w:t>
      </w:r>
      <w:r>
        <w:t>）渣场严格按设计要求进行堆存，坝体稳定性满足规范要求，能够安全稳定。</w:t>
      </w:r>
    </w:p>
    <w:p w14:paraId="616F8BFA">
      <w:pPr>
        <w:pStyle w:val="3"/>
      </w:pPr>
      <w:bookmarkStart w:id="91" w:name="_Toc230699612"/>
      <w:r>
        <w:rPr>
          <w:rFonts w:hint="eastAsia"/>
        </w:rPr>
        <w:t>3.3 防排水单元</w:t>
      </w:r>
      <w:bookmarkEnd w:id="91"/>
    </w:p>
    <w:p w14:paraId="1DBAE3C6">
      <w:pPr>
        <w:pStyle w:val="4"/>
      </w:pPr>
      <w:bookmarkStart w:id="92" w:name="_Toc230699613"/>
      <w:r>
        <w:rPr>
          <w:rFonts w:hint="eastAsia"/>
        </w:rPr>
        <w:t>3.3.1 防排水危险性分析</w:t>
      </w:r>
      <w:bookmarkEnd w:id="92"/>
    </w:p>
    <w:p w14:paraId="77D31F4E">
      <w:pPr>
        <w:pStyle w:val="38"/>
        <w:rPr>
          <w:rFonts w:hint="default"/>
        </w:rPr>
      </w:pPr>
      <w:r>
        <w:t>表3.3-1  防排水系统预先危险性分析表</w:t>
      </w:r>
    </w:p>
    <w:tbl>
      <w:tblPr>
        <w:tblStyle w:val="33"/>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52"/>
        <w:gridCol w:w="2238"/>
        <w:gridCol w:w="1550"/>
        <w:gridCol w:w="888"/>
        <w:gridCol w:w="3372"/>
      </w:tblGrid>
      <w:tr w14:paraId="2F388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op w:val="single" w:color="auto" w:sz="4" w:space="0"/>
              <w:left w:val="single" w:color="auto" w:sz="4" w:space="0"/>
              <w:bottom w:val="single" w:color="auto" w:sz="4" w:space="0"/>
              <w:right w:val="single" w:color="auto" w:sz="4" w:space="0"/>
            </w:tcBorders>
            <w:vAlign w:val="center"/>
          </w:tcPr>
          <w:p w14:paraId="61C9D90A">
            <w:pPr>
              <w:pStyle w:val="39"/>
              <w:rPr>
                <w:rFonts w:hint="default"/>
                <w:b/>
                <w:bCs/>
              </w:rPr>
            </w:pPr>
            <w:r>
              <w:rPr>
                <w:b/>
                <w:bCs/>
              </w:rPr>
              <w:t>危险</w:t>
            </w:r>
          </w:p>
        </w:tc>
        <w:tc>
          <w:tcPr>
            <w:tcW w:w="1190" w:type="pct"/>
            <w:tcBorders>
              <w:top w:val="single" w:color="auto" w:sz="4" w:space="0"/>
              <w:left w:val="single" w:color="auto" w:sz="4" w:space="0"/>
              <w:bottom w:val="single" w:color="auto" w:sz="4" w:space="0"/>
              <w:right w:val="single" w:color="auto" w:sz="4" w:space="0"/>
            </w:tcBorders>
            <w:vAlign w:val="center"/>
          </w:tcPr>
          <w:p w14:paraId="552EAC3F">
            <w:pPr>
              <w:pStyle w:val="39"/>
              <w:rPr>
                <w:rFonts w:hint="default"/>
                <w:b/>
                <w:bCs/>
              </w:rPr>
            </w:pPr>
            <w:r>
              <w:rPr>
                <w:b/>
                <w:bCs/>
              </w:rPr>
              <w:t>原因</w:t>
            </w:r>
          </w:p>
        </w:tc>
        <w:tc>
          <w:tcPr>
            <w:tcW w:w="824" w:type="pct"/>
            <w:tcBorders>
              <w:top w:val="single" w:color="auto" w:sz="4" w:space="0"/>
              <w:left w:val="single" w:color="auto" w:sz="4" w:space="0"/>
              <w:bottom w:val="single" w:color="auto" w:sz="4" w:space="0"/>
              <w:right w:val="single" w:color="auto" w:sz="4" w:space="0"/>
            </w:tcBorders>
            <w:vAlign w:val="center"/>
          </w:tcPr>
          <w:p w14:paraId="15A91787">
            <w:pPr>
              <w:pStyle w:val="39"/>
              <w:rPr>
                <w:rFonts w:hint="default"/>
                <w:b/>
                <w:bCs/>
              </w:rPr>
            </w:pPr>
            <w:r>
              <w:rPr>
                <w:b/>
                <w:bCs/>
              </w:rPr>
              <w:t>后果</w:t>
            </w:r>
          </w:p>
        </w:tc>
        <w:tc>
          <w:tcPr>
            <w:tcW w:w="472" w:type="pct"/>
            <w:tcBorders>
              <w:top w:val="single" w:color="auto" w:sz="4" w:space="0"/>
              <w:left w:val="single" w:color="auto" w:sz="4" w:space="0"/>
              <w:bottom w:val="single" w:color="auto" w:sz="4" w:space="0"/>
              <w:right w:val="single" w:color="auto" w:sz="4" w:space="0"/>
            </w:tcBorders>
            <w:vAlign w:val="center"/>
          </w:tcPr>
          <w:p w14:paraId="0B201635">
            <w:pPr>
              <w:pStyle w:val="39"/>
              <w:rPr>
                <w:rFonts w:hint="default"/>
                <w:b/>
                <w:bCs/>
              </w:rPr>
            </w:pPr>
            <w:r>
              <w:rPr>
                <w:b/>
                <w:bCs/>
              </w:rPr>
              <w:t>危险</w:t>
            </w:r>
          </w:p>
          <w:p w14:paraId="3C498CD0">
            <w:pPr>
              <w:pStyle w:val="39"/>
              <w:rPr>
                <w:rFonts w:hint="default"/>
                <w:b/>
                <w:bCs/>
              </w:rPr>
            </w:pPr>
            <w:r>
              <w:rPr>
                <w:b/>
                <w:bCs/>
              </w:rPr>
              <w:t>等级</w:t>
            </w:r>
          </w:p>
        </w:tc>
        <w:tc>
          <w:tcPr>
            <w:tcW w:w="1793" w:type="pct"/>
            <w:tcBorders>
              <w:top w:val="single" w:color="auto" w:sz="4" w:space="0"/>
              <w:left w:val="single" w:color="auto" w:sz="4" w:space="0"/>
              <w:bottom w:val="single" w:color="auto" w:sz="4" w:space="0"/>
              <w:right w:val="single" w:color="auto" w:sz="4" w:space="0"/>
            </w:tcBorders>
            <w:vAlign w:val="center"/>
          </w:tcPr>
          <w:p w14:paraId="662C1505">
            <w:pPr>
              <w:pStyle w:val="39"/>
              <w:rPr>
                <w:rFonts w:hint="default"/>
                <w:b/>
                <w:bCs/>
              </w:rPr>
            </w:pPr>
            <w:r>
              <w:rPr>
                <w:b/>
                <w:bCs/>
              </w:rPr>
              <w:t>改进措施或预防方法</w:t>
            </w:r>
          </w:p>
        </w:tc>
      </w:tr>
      <w:tr w14:paraId="78B16A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719" w:type="pct"/>
            <w:tcBorders>
              <w:top w:val="single" w:color="auto" w:sz="4" w:space="0"/>
              <w:left w:val="single" w:color="auto" w:sz="4" w:space="0"/>
              <w:bottom w:val="single" w:color="auto" w:sz="4" w:space="0"/>
              <w:right w:val="single" w:color="auto" w:sz="4" w:space="0"/>
            </w:tcBorders>
            <w:vAlign w:val="center"/>
          </w:tcPr>
          <w:p w14:paraId="021DFD11">
            <w:pPr>
              <w:pStyle w:val="39"/>
              <w:rPr>
                <w:rFonts w:hint="default"/>
              </w:rPr>
            </w:pPr>
            <w:r>
              <w:t>排洪（水）构筑物裂缝</w:t>
            </w:r>
          </w:p>
        </w:tc>
        <w:tc>
          <w:tcPr>
            <w:tcW w:w="1190" w:type="pct"/>
            <w:tcBorders>
              <w:top w:val="single" w:color="auto" w:sz="4" w:space="0"/>
              <w:left w:val="single" w:color="auto" w:sz="4" w:space="0"/>
              <w:bottom w:val="single" w:color="auto" w:sz="4" w:space="0"/>
              <w:right w:val="single" w:color="auto" w:sz="4" w:space="0"/>
            </w:tcBorders>
          </w:tcPr>
          <w:p w14:paraId="5CBF5B03">
            <w:pPr>
              <w:pStyle w:val="39"/>
              <w:jc w:val="both"/>
              <w:rPr>
                <w:rFonts w:hint="default"/>
              </w:rPr>
            </w:pPr>
            <w:r>
              <w:t>1.设计不合理或无设计；</w:t>
            </w:r>
          </w:p>
          <w:p w14:paraId="002B9984">
            <w:pPr>
              <w:pStyle w:val="39"/>
              <w:jc w:val="both"/>
              <w:rPr>
                <w:rFonts w:hint="default"/>
              </w:rPr>
            </w:pPr>
            <w:r>
              <w:t>2.未按设计要求施工；</w:t>
            </w:r>
          </w:p>
        </w:tc>
        <w:tc>
          <w:tcPr>
            <w:tcW w:w="824" w:type="pct"/>
            <w:tcBorders>
              <w:top w:val="single" w:color="auto" w:sz="4" w:space="0"/>
              <w:left w:val="single" w:color="auto" w:sz="4" w:space="0"/>
              <w:bottom w:val="single" w:color="auto" w:sz="4" w:space="0"/>
              <w:right w:val="single" w:color="auto" w:sz="4" w:space="0"/>
            </w:tcBorders>
            <w:vAlign w:val="center"/>
          </w:tcPr>
          <w:p w14:paraId="291BA02D">
            <w:pPr>
              <w:pStyle w:val="39"/>
              <w:rPr>
                <w:rFonts w:hint="default"/>
              </w:rPr>
            </w:pPr>
            <w:r>
              <w:t>堆填区坍塌、人员伤亡</w:t>
            </w:r>
          </w:p>
        </w:tc>
        <w:tc>
          <w:tcPr>
            <w:tcW w:w="472" w:type="pct"/>
            <w:tcBorders>
              <w:top w:val="single" w:color="auto" w:sz="4" w:space="0"/>
              <w:left w:val="single" w:color="auto" w:sz="4" w:space="0"/>
              <w:bottom w:val="single" w:color="auto" w:sz="4" w:space="0"/>
              <w:right w:val="single" w:color="auto" w:sz="4" w:space="0"/>
            </w:tcBorders>
            <w:vAlign w:val="center"/>
          </w:tcPr>
          <w:p w14:paraId="46884B66">
            <w:pPr>
              <w:pStyle w:val="39"/>
              <w:rPr>
                <w:rFonts w:hint="default"/>
              </w:rPr>
            </w:pPr>
            <w:r>
              <w:t>Ⅲ</w:t>
            </w:r>
          </w:p>
        </w:tc>
        <w:tc>
          <w:tcPr>
            <w:tcW w:w="1793" w:type="pct"/>
            <w:tcBorders>
              <w:top w:val="single" w:color="auto" w:sz="4" w:space="0"/>
              <w:left w:val="single" w:color="auto" w:sz="4" w:space="0"/>
              <w:bottom w:val="single" w:color="auto" w:sz="4" w:space="0"/>
              <w:right w:val="single" w:color="auto" w:sz="4" w:space="0"/>
            </w:tcBorders>
          </w:tcPr>
          <w:p w14:paraId="69EA8006">
            <w:pPr>
              <w:pStyle w:val="39"/>
              <w:jc w:val="both"/>
              <w:rPr>
                <w:rFonts w:hint="default"/>
              </w:rPr>
            </w:pPr>
            <w:r>
              <w:t>1.应请有资质的单位设计和施工；2.确保施工质量；</w:t>
            </w:r>
          </w:p>
          <w:p w14:paraId="46E9BD03">
            <w:pPr>
              <w:pStyle w:val="39"/>
              <w:jc w:val="both"/>
              <w:rPr>
                <w:rFonts w:hint="default"/>
              </w:rPr>
            </w:pPr>
            <w:r>
              <w:t>3.定期检查。</w:t>
            </w:r>
          </w:p>
        </w:tc>
      </w:tr>
      <w:tr w14:paraId="0D513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719" w:type="pct"/>
            <w:tcBorders>
              <w:top w:val="single" w:color="auto" w:sz="4" w:space="0"/>
              <w:left w:val="single" w:color="auto" w:sz="4" w:space="0"/>
              <w:bottom w:val="single" w:color="auto" w:sz="4" w:space="0"/>
              <w:right w:val="single" w:color="auto" w:sz="4" w:space="0"/>
            </w:tcBorders>
            <w:vAlign w:val="center"/>
          </w:tcPr>
          <w:p w14:paraId="60E267F0">
            <w:pPr>
              <w:pStyle w:val="39"/>
              <w:rPr>
                <w:rFonts w:hint="default"/>
              </w:rPr>
            </w:pPr>
            <w:r>
              <w:t>排洪（水）构筑物垮塌</w:t>
            </w:r>
          </w:p>
        </w:tc>
        <w:tc>
          <w:tcPr>
            <w:tcW w:w="1190" w:type="pct"/>
            <w:tcBorders>
              <w:top w:val="single" w:color="auto" w:sz="4" w:space="0"/>
              <w:left w:val="single" w:color="auto" w:sz="4" w:space="0"/>
              <w:bottom w:val="single" w:color="auto" w:sz="4" w:space="0"/>
              <w:right w:val="single" w:color="auto" w:sz="4" w:space="0"/>
            </w:tcBorders>
          </w:tcPr>
          <w:p w14:paraId="3AA150CE">
            <w:pPr>
              <w:pStyle w:val="39"/>
              <w:jc w:val="both"/>
              <w:rPr>
                <w:rFonts w:hint="default"/>
              </w:rPr>
            </w:pPr>
            <w:r>
              <w:t>1.计不合理或无设计；2.要求施工；</w:t>
            </w:r>
          </w:p>
          <w:p w14:paraId="728294A4">
            <w:pPr>
              <w:pStyle w:val="39"/>
              <w:jc w:val="both"/>
              <w:rPr>
                <w:rFonts w:hint="default"/>
              </w:rPr>
            </w:pPr>
            <w:r>
              <w:t>3.施工质量差；</w:t>
            </w:r>
          </w:p>
        </w:tc>
        <w:tc>
          <w:tcPr>
            <w:tcW w:w="824" w:type="pct"/>
            <w:tcBorders>
              <w:top w:val="single" w:color="auto" w:sz="4" w:space="0"/>
              <w:left w:val="single" w:color="auto" w:sz="4" w:space="0"/>
              <w:bottom w:val="single" w:color="auto" w:sz="4" w:space="0"/>
              <w:right w:val="single" w:color="auto" w:sz="4" w:space="0"/>
            </w:tcBorders>
            <w:vAlign w:val="center"/>
          </w:tcPr>
          <w:p w14:paraId="40850914">
            <w:pPr>
              <w:pStyle w:val="39"/>
              <w:rPr>
                <w:rFonts w:hint="default"/>
              </w:rPr>
            </w:pPr>
            <w:r>
              <w:t>堆填区坍塌、人员伤亡</w:t>
            </w:r>
          </w:p>
        </w:tc>
        <w:tc>
          <w:tcPr>
            <w:tcW w:w="472" w:type="pct"/>
            <w:tcBorders>
              <w:top w:val="single" w:color="auto" w:sz="4" w:space="0"/>
              <w:left w:val="single" w:color="auto" w:sz="4" w:space="0"/>
              <w:bottom w:val="single" w:color="auto" w:sz="4" w:space="0"/>
              <w:right w:val="single" w:color="auto" w:sz="4" w:space="0"/>
            </w:tcBorders>
            <w:vAlign w:val="center"/>
          </w:tcPr>
          <w:p w14:paraId="612F2B78">
            <w:pPr>
              <w:pStyle w:val="39"/>
              <w:rPr>
                <w:rFonts w:hint="default"/>
              </w:rPr>
            </w:pPr>
            <w:r>
              <w:t>Ⅳ</w:t>
            </w:r>
          </w:p>
        </w:tc>
        <w:tc>
          <w:tcPr>
            <w:tcW w:w="1793" w:type="pct"/>
            <w:tcBorders>
              <w:top w:val="single" w:color="auto" w:sz="4" w:space="0"/>
              <w:left w:val="single" w:color="auto" w:sz="4" w:space="0"/>
              <w:bottom w:val="single" w:color="auto" w:sz="4" w:space="0"/>
              <w:right w:val="single" w:color="auto" w:sz="4" w:space="0"/>
            </w:tcBorders>
          </w:tcPr>
          <w:p w14:paraId="0A48BF95">
            <w:pPr>
              <w:pStyle w:val="39"/>
              <w:jc w:val="both"/>
              <w:rPr>
                <w:rFonts w:hint="default"/>
              </w:rPr>
            </w:pPr>
            <w:r>
              <w:t>洪水前后，均应对堆填区和排洪构筑物进行全面认真的检查和清理。若发现有隐患及时修复，以防暴雨来时带来灾害。</w:t>
            </w:r>
          </w:p>
        </w:tc>
      </w:tr>
      <w:tr w14:paraId="7DDE83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719" w:type="pct"/>
            <w:tcBorders>
              <w:top w:val="single" w:color="auto" w:sz="4" w:space="0"/>
              <w:left w:val="single" w:color="auto" w:sz="4" w:space="0"/>
              <w:bottom w:val="single" w:color="auto" w:sz="4" w:space="0"/>
              <w:right w:val="single" w:color="auto" w:sz="4" w:space="0"/>
            </w:tcBorders>
            <w:vAlign w:val="center"/>
          </w:tcPr>
          <w:p w14:paraId="37B48675">
            <w:pPr>
              <w:pStyle w:val="39"/>
              <w:rPr>
                <w:rFonts w:hint="default"/>
              </w:rPr>
            </w:pPr>
            <w:r>
              <w:t>排洪（水）构筑物堵塞</w:t>
            </w:r>
          </w:p>
        </w:tc>
        <w:tc>
          <w:tcPr>
            <w:tcW w:w="1190" w:type="pct"/>
            <w:tcBorders>
              <w:top w:val="single" w:color="auto" w:sz="4" w:space="0"/>
              <w:left w:val="single" w:color="auto" w:sz="4" w:space="0"/>
              <w:bottom w:val="single" w:color="auto" w:sz="4" w:space="0"/>
              <w:right w:val="single" w:color="auto" w:sz="4" w:space="0"/>
            </w:tcBorders>
          </w:tcPr>
          <w:p w14:paraId="6D219C55">
            <w:pPr>
              <w:pStyle w:val="39"/>
              <w:jc w:val="both"/>
              <w:rPr>
                <w:rFonts w:hint="default"/>
              </w:rPr>
            </w:pPr>
            <w:r>
              <w:t>1.弃土场坍塌堵塞；</w:t>
            </w:r>
          </w:p>
          <w:p w14:paraId="549BB7F2">
            <w:pPr>
              <w:pStyle w:val="39"/>
              <w:jc w:val="both"/>
              <w:rPr>
                <w:rFonts w:hint="default"/>
              </w:rPr>
            </w:pPr>
            <w:r>
              <w:t>2.洪水破坏。</w:t>
            </w:r>
          </w:p>
        </w:tc>
        <w:tc>
          <w:tcPr>
            <w:tcW w:w="824" w:type="pct"/>
            <w:tcBorders>
              <w:top w:val="single" w:color="auto" w:sz="4" w:space="0"/>
              <w:left w:val="single" w:color="auto" w:sz="4" w:space="0"/>
              <w:bottom w:val="single" w:color="auto" w:sz="4" w:space="0"/>
              <w:right w:val="single" w:color="auto" w:sz="4" w:space="0"/>
            </w:tcBorders>
            <w:vAlign w:val="center"/>
          </w:tcPr>
          <w:p w14:paraId="3D7F1184">
            <w:pPr>
              <w:pStyle w:val="39"/>
              <w:rPr>
                <w:rFonts w:hint="default"/>
              </w:rPr>
            </w:pPr>
            <w:r>
              <w:t>堆填区坍塌、人员伤亡</w:t>
            </w:r>
          </w:p>
        </w:tc>
        <w:tc>
          <w:tcPr>
            <w:tcW w:w="472" w:type="pct"/>
            <w:tcBorders>
              <w:top w:val="single" w:color="auto" w:sz="4" w:space="0"/>
              <w:left w:val="single" w:color="auto" w:sz="4" w:space="0"/>
              <w:bottom w:val="single" w:color="auto" w:sz="4" w:space="0"/>
              <w:right w:val="single" w:color="auto" w:sz="4" w:space="0"/>
            </w:tcBorders>
            <w:vAlign w:val="center"/>
          </w:tcPr>
          <w:p w14:paraId="2C64C61B">
            <w:pPr>
              <w:pStyle w:val="39"/>
              <w:rPr>
                <w:rFonts w:hint="default"/>
              </w:rPr>
            </w:pPr>
            <w:r>
              <w:t>Ⅳ</w:t>
            </w:r>
          </w:p>
        </w:tc>
        <w:tc>
          <w:tcPr>
            <w:tcW w:w="1793" w:type="pct"/>
            <w:tcBorders>
              <w:top w:val="single" w:color="auto" w:sz="4" w:space="0"/>
              <w:left w:val="single" w:color="auto" w:sz="4" w:space="0"/>
              <w:bottom w:val="single" w:color="auto" w:sz="4" w:space="0"/>
              <w:right w:val="single" w:color="auto" w:sz="4" w:space="0"/>
            </w:tcBorders>
          </w:tcPr>
          <w:p w14:paraId="32EED7B3">
            <w:pPr>
              <w:pStyle w:val="39"/>
              <w:jc w:val="both"/>
              <w:rPr>
                <w:rFonts w:hint="default"/>
              </w:rPr>
            </w:pPr>
            <w:r>
              <w:t>1.及时清理；2.加固基础；3.增加排洪设施。</w:t>
            </w:r>
          </w:p>
        </w:tc>
      </w:tr>
      <w:tr w14:paraId="256BDB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719" w:type="pct"/>
            <w:tcBorders>
              <w:top w:val="single" w:color="auto" w:sz="4" w:space="0"/>
              <w:left w:val="single" w:color="auto" w:sz="4" w:space="0"/>
              <w:bottom w:val="single" w:color="auto" w:sz="4" w:space="0"/>
              <w:right w:val="single" w:color="auto" w:sz="4" w:space="0"/>
            </w:tcBorders>
            <w:vAlign w:val="center"/>
          </w:tcPr>
          <w:p w14:paraId="41B8390D">
            <w:pPr>
              <w:pStyle w:val="39"/>
              <w:rPr>
                <w:rFonts w:hint="default"/>
              </w:rPr>
            </w:pPr>
            <w:r>
              <w:t>排洪（水）构筑物错动</w:t>
            </w:r>
          </w:p>
        </w:tc>
        <w:tc>
          <w:tcPr>
            <w:tcW w:w="1190" w:type="pct"/>
            <w:tcBorders>
              <w:top w:val="single" w:color="auto" w:sz="4" w:space="0"/>
              <w:left w:val="single" w:color="auto" w:sz="4" w:space="0"/>
              <w:bottom w:val="single" w:color="auto" w:sz="4" w:space="0"/>
              <w:right w:val="single" w:color="auto" w:sz="4" w:space="0"/>
            </w:tcBorders>
          </w:tcPr>
          <w:p w14:paraId="5697790D">
            <w:pPr>
              <w:pStyle w:val="39"/>
              <w:jc w:val="both"/>
              <w:rPr>
                <w:rFonts w:hint="default"/>
              </w:rPr>
            </w:pPr>
            <w:r>
              <w:t>1.设计不合理或无设计；</w:t>
            </w:r>
          </w:p>
          <w:p w14:paraId="32651861">
            <w:pPr>
              <w:pStyle w:val="39"/>
              <w:jc w:val="both"/>
              <w:rPr>
                <w:rFonts w:hint="default"/>
              </w:rPr>
            </w:pPr>
            <w:r>
              <w:t>2.未按设计要求施工；</w:t>
            </w:r>
          </w:p>
          <w:p w14:paraId="1902621C">
            <w:pPr>
              <w:pStyle w:val="39"/>
              <w:jc w:val="both"/>
              <w:rPr>
                <w:rFonts w:hint="default"/>
              </w:rPr>
            </w:pPr>
            <w:r>
              <w:t>3.施工质量差。</w:t>
            </w:r>
          </w:p>
        </w:tc>
        <w:tc>
          <w:tcPr>
            <w:tcW w:w="824" w:type="pct"/>
            <w:tcBorders>
              <w:top w:val="single" w:color="auto" w:sz="4" w:space="0"/>
              <w:left w:val="single" w:color="auto" w:sz="4" w:space="0"/>
              <w:bottom w:val="single" w:color="auto" w:sz="4" w:space="0"/>
              <w:right w:val="single" w:color="auto" w:sz="4" w:space="0"/>
            </w:tcBorders>
            <w:vAlign w:val="center"/>
          </w:tcPr>
          <w:p w14:paraId="2DA4BC98">
            <w:pPr>
              <w:pStyle w:val="39"/>
              <w:rPr>
                <w:rFonts w:hint="default"/>
              </w:rPr>
            </w:pPr>
            <w:r>
              <w:t>堆填区坍塌、人员伤亡</w:t>
            </w:r>
          </w:p>
        </w:tc>
        <w:tc>
          <w:tcPr>
            <w:tcW w:w="472" w:type="pct"/>
            <w:tcBorders>
              <w:top w:val="single" w:color="auto" w:sz="4" w:space="0"/>
              <w:left w:val="single" w:color="auto" w:sz="4" w:space="0"/>
              <w:bottom w:val="single" w:color="auto" w:sz="4" w:space="0"/>
              <w:right w:val="single" w:color="auto" w:sz="4" w:space="0"/>
            </w:tcBorders>
            <w:vAlign w:val="center"/>
          </w:tcPr>
          <w:p w14:paraId="74977777">
            <w:pPr>
              <w:pStyle w:val="39"/>
              <w:rPr>
                <w:rFonts w:hint="default"/>
              </w:rPr>
            </w:pPr>
            <w:r>
              <w:t>Ⅱ</w:t>
            </w:r>
          </w:p>
        </w:tc>
        <w:tc>
          <w:tcPr>
            <w:tcW w:w="1793" w:type="pct"/>
            <w:tcBorders>
              <w:top w:val="single" w:color="auto" w:sz="4" w:space="0"/>
              <w:left w:val="single" w:color="auto" w:sz="4" w:space="0"/>
              <w:bottom w:val="single" w:color="auto" w:sz="4" w:space="0"/>
              <w:right w:val="single" w:color="auto" w:sz="4" w:space="0"/>
            </w:tcBorders>
          </w:tcPr>
          <w:p w14:paraId="0DFA8FC1">
            <w:pPr>
              <w:pStyle w:val="39"/>
              <w:jc w:val="both"/>
              <w:rPr>
                <w:rFonts w:hint="default"/>
              </w:rPr>
            </w:pPr>
            <w:r>
              <w:t>1.请有资质的单位设计和施工；2.确保施工质量；3.定期检查，发现问题及时修复。</w:t>
            </w:r>
          </w:p>
        </w:tc>
      </w:tr>
    </w:tbl>
    <w:p w14:paraId="61F2F80C">
      <w:pPr>
        <w:pStyle w:val="4"/>
      </w:pPr>
      <w:bookmarkStart w:id="93" w:name="_Toc230699614"/>
      <w:r>
        <w:rPr>
          <w:rFonts w:hint="eastAsia"/>
        </w:rPr>
        <w:t>3.3.2 防排水安全检查表</w:t>
      </w:r>
      <w:bookmarkEnd w:id="93"/>
    </w:p>
    <w:p w14:paraId="5E8CD75A">
      <w:pPr>
        <w:ind w:firstLine="560"/>
      </w:pPr>
      <w:r>
        <w:rPr>
          <w:rFonts w:hint="eastAsia"/>
        </w:rPr>
        <w:t>根据《水土保持工程设计规范》（GB51018-2014）、</w:t>
      </w:r>
      <w:r>
        <w:t>《磷石膏库安全技术规程》（AQ 2059-2016）</w:t>
      </w:r>
      <w:r>
        <w:rPr>
          <w:rFonts w:hint="eastAsia"/>
        </w:rPr>
        <w:t>中相关内容从防排水方面对该项目进行检查，见表3.3-2。</w:t>
      </w:r>
    </w:p>
    <w:p w14:paraId="54CFA183">
      <w:pPr>
        <w:pStyle w:val="4"/>
      </w:pPr>
      <w:bookmarkStart w:id="94" w:name="_Toc230699615"/>
      <w:r>
        <w:rPr>
          <w:rFonts w:hint="eastAsia"/>
        </w:rPr>
        <w:t>3.3.3 渣场排洪能力设计分析</w:t>
      </w:r>
      <w:bookmarkEnd w:id="94"/>
    </w:p>
    <w:p w14:paraId="024A2B7B">
      <w:pPr>
        <w:pStyle w:val="5"/>
      </w:pPr>
      <w:r>
        <w:rPr>
          <w:rFonts w:hint="eastAsia"/>
        </w:rPr>
        <w:t>3.3.3.1 洪水计算</w:t>
      </w:r>
    </w:p>
    <w:p w14:paraId="3367D496">
      <w:pPr>
        <w:ind w:firstLine="560"/>
        <w:rPr>
          <w:rFonts w:cs="Times New Roman"/>
        </w:rPr>
      </w:pPr>
      <w:r>
        <w:rPr>
          <w:rFonts w:cs="Times New Roman"/>
        </w:rPr>
        <w:t>渣场总汇流面积0.0776km</w:t>
      </w:r>
      <w:r>
        <w:rPr>
          <w:rFonts w:cs="Times New Roman"/>
          <w:vertAlign w:val="superscript"/>
        </w:rPr>
        <w:t>2</w:t>
      </w:r>
      <w:r>
        <w:rPr>
          <w:rFonts w:cs="Times New Roman"/>
        </w:rPr>
        <w:t>，东侧截洪沟截留0.019km</w:t>
      </w:r>
      <w:r>
        <w:rPr>
          <w:rFonts w:cs="Times New Roman"/>
          <w:vertAlign w:val="superscript"/>
        </w:rPr>
        <w:t>2</w:t>
      </w:r>
      <w:r>
        <w:rPr>
          <w:rFonts w:cs="Times New Roman"/>
        </w:rPr>
        <w:t>面积的雨水清污分流，其余0.0586km</w:t>
      </w:r>
      <w:r>
        <w:rPr>
          <w:rFonts w:cs="Times New Roman"/>
          <w:vertAlign w:val="superscript"/>
        </w:rPr>
        <w:t>2</w:t>
      </w:r>
      <w:r>
        <w:rPr>
          <w:rFonts w:cs="Times New Roman"/>
        </w:rPr>
        <w:t>面积的雨水全部导流进入调节池，</w:t>
      </w:r>
      <w:r>
        <w:rPr>
          <w:rFonts w:hint="eastAsia" w:cs="Times New Roman"/>
        </w:rPr>
        <w:t>洪水总量为0.92万m</w:t>
      </w:r>
      <w:r>
        <w:rPr>
          <w:rFonts w:hint="eastAsia" w:cs="Times New Roman"/>
          <w:vertAlign w:val="superscript"/>
        </w:rPr>
        <w:t>3</w:t>
      </w:r>
      <w:r>
        <w:rPr>
          <w:rFonts w:hint="eastAsia" w:cs="Times New Roman"/>
        </w:rPr>
        <w:t>，两次洪水总量为1.84万m</w:t>
      </w:r>
      <w:r>
        <w:rPr>
          <w:rFonts w:hint="eastAsia" w:cs="Times New Roman"/>
          <w:vertAlign w:val="superscript"/>
        </w:rPr>
        <w:t>3</w:t>
      </w:r>
      <w:r>
        <w:rPr>
          <w:rFonts w:hint="eastAsia" w:cs="Times New Roman"/>
        </w:rPr>
        <w:t>，现有调节池容积</w:t>
      </w:r>
      <w:r>
        <w:t>1.9万m</w:t>
      </w:r>
      <w:r>
        <w:rPr>
          <w:vertAlign w:val="superscript"/>
        </w:rPr>
        <w:t>3</w:t>
      </w:r>
      <w:r>
        <w:t>＞</w:t>
      </w:r>
      <w:r>
        <w:rPr>
          <w:rFonts w:hint="eastAsia" w:cs="Times New Roman"/>
        </w:rPr>
        <w:t>1.84万m</w:t>
      </w:r>
      <w:r>
        <w:rPr>
          <w:rFonts w:hint="eastAsia" w:cs="Times New Roman"/>
          <w:vertAlign w:val="superscript"/>
        </w:rPr>
        <w:t>3</w:t>
      </w:r>
      <w:r>
        <w:rPr>
          <w:rFonts w:hint="eastAsia" w:cs="Times New Roman"/>
        </w:rPr>
        <w:t>，满足规范磷石膏库三等库的要求。</w:t>
      </w:r>
    </w:p>
    <w:p w14:paraId="35E43E0F">
      <w:pPr>
        <w:pStyle w:val="5"/>
      </w:pPr>
      <w:r>
        <w:rPr>
          <w:rFonts w:hint="eastAsia"/>
        </w:rPr>
        <w:t>3.3.3.2排洪设施利旧分析</w:t>
      </w:r>
    </w:p>
    <w:p w14:paraId="01180B78">
      <w:pPr>
        <w:ind w:right="-2" w:firstLine="560"/>
        <w:rPr>
          <w:snapToGrid w:val="0"/>
          <w:kern w:val="0"/>
          <w:szCs w:val="20"/>
        </w:rPr>
      </w:pPr>
      <w:r>
        <w:t>渣场现状排洪排水设施基本完善，在东侧有一条截洪沟，</w:t>
      </w:r>
      <w:r>
        <w:rPr>
          <w:snapToGrid w:val="0"/>
          <w:kern w:val="0"/>
          <w:szCs w:val="20"/>
        </w:rPr>
        <w:t>采用毛石砌体结构，1:2水泥砂浆抹面，其断面尺寸为：深H=0.80m，宽B=0.80m，截洪沟</w:t>
      </w:r>
      <w:r>
        <w:t>截留库外雨水，排出库外；在西侧有一条雨水沟，</w:t>
      </w:r>
      <w:r>
        <w:rPr>
          <w:snapToGrid w:val="0"/>
          <w:kern w:val="0"/>
          <w:szCs w:val="20"/>
        </w:rPr>
        <w:t>采用毛石砌体结构，1:2水泥砂浆抹面，其断面尺寸为：深H=0.80m，宽B=0.60m，雨水沟汇集库内雨水导排至调节池；在东南侧</w:t>
      </w:r>
      <w:r>
        <w:t>有一条雨水沟，</w:t>
      </w:r>
      <w:r>
        <w:rPr>
          <w:snapToGrid w:val="0"/>
          <w:kern w:val="0"/>
          <w:szCs w:val="20"/>
        </w:rPr>
        <w:t>采用毛石砌体结构，1:2水泥砂浆抹面，其断面尺寸为：深H=0.80m，宽B=0.60m，雨水沟汇集库内雨水导排至调节池，在渣场下游设置有一调节池，</w:t>
      </w:r>
      <w:r>
        <w:t>容积1.9万m</w:t>
      </w:r>
      <w:r>
        <w:rPr>
          <w:vertAlign w:val="superscript"/>
        </w:rPr>
        <w:t>3</w:t>
      </w:r>
      <w:r>
        <w:t>。</w:t>
      </w:r>
    </w:p>
    <w:p w14:paraId="2883F287">
      <w:pPr>
        <w:ind w:firstLine="560"/>
      </w:pPr>
      <w:r>
        <w:t>渣场在东南侧新堆</w:t>
      </w:r>
      <w:r>
        <w:rPr>
          <w:rFonts w:hint="eastAsia"/>
        </w:rPr>
        <w:t>改性</w:t>
      </w:r>
      <w:r>
        <w:t>磷石膏渣，将把现有东南侧雨水沟覆盖，故渣场现状东侧截洪沟</w:t>
      </w:r>
      <w:r>
        <w:rPr>
          <w:rFonts w:hint="eastAsia"/>
        </w:rPr>
        <w:t>、</w:t>
      </w:r>
      <w:r>
        <w:t>西侧雨水沟</w:t>
      </w:r>
      <w:r>
        <w:rPr>
          <w:rFonts w:hint="eastAsia"/>
        </w:rPr>
        <w:t>和调节池</w:t>
      </w:r>
      <w:r>
        <w:t>利旧，将新建东南侧雨水沟。</w:t>
      </w:r>
      <w:r>
        <w:rPr>
          <w:rFonts w:hint="eastAsia"/>
        </w:rPr>
        <w:t>同时坡面雨水沟由于边坡修整被破坏，需重新建设坡面雨水沟。</w:t>
      </w:r>
    </w:p>
    <w:p w14:paraId="7FC96830">
      <w:pPr>
        <w:ind w:firstLine="560"/>
      </w:pPr>
      <w:r>
        <w:rPr>
          <w:rFonts w:hint="eastAsia" w:cs="Times New Roman"/>
        </w:rPr>
        <w:t>大坟箐磷石膏渣场最终堆填完成后，属于三等库，</w:t>
      </w:r>
      <w:r>
        <w:t>根据《磷石膏库安全技术规程》（AQ2059-2016）</w:t>
      </w:r>
      <w:r>
        <w:rPr>
          <w:rFonts w:hint="eastAsia" w:cs="Times New Roman"/>
        </w:rPr>
        <w:t>，防洪标准为200-500年，考虑渣场无害化磷石膏堆填期仅有1年，且堆填完成后进行闭库封场处理，因此设计防洪标准按200年</w:t>
      </w:r>
      <w:r>
        <w:t>（P=</w:t>
      </w:r>
      <w:r>
        <w:rPr>
          <w:rFonts w:hint="eastAsia"/>
        </w:rPr>
        <w:t>0.5</w:t>
      </w:r>
      <w:r>
        <w:t>%）</w:t>
      </w:r>
      <w:r>
        <w:rPr>
          <w:rFonts w:hint="eastAsia" w:cs="Times New Roman"/>
        </w:rPr>
        <w:t>考虑。以下排洪设施验算按200年一遇验算。</w:t>
      </w:r>
    </w:p>
    <w:p w14:paraId="2E51C0C0">
      <w:pPr>
        <w:tabs>
          <w:tab w:val="right" w:leader="middleDot" w:pos="9450"/>
        </w:tabs>
        <w:ind w:firstLine="0" w:firstLineChars="0"/>
        <w:jc w:val="center"/>
        <w:rPr>
          <w:sz w:val="24"/>
          <w:szCs w:val="24"/>
        </w:rPr>
      </w:pPr>
      <w:r>
        <w:rPr>
          <w:snapToGrid w:val="0"/>
          <w:kern w:val="0"/>
          <w:sz w:val="24"/>
          <w:szCs w:val="24"/>
        </w:rPr>
        <w:t>表</w:t>
      </w:r>
      <w:r>
        <w:rPr>
          <w:rFonts w:hint="eastAsia"/>
          <w:snapToGrid w:val="0"/>
          <w:kern w:val="0"/>
          <w:sz w:val="24"/>
          <w:szCs w:val="24"/>
        </w:rPr>
        <w:t xml:space="preserve">3.3-4 </w:t>
      </w:r>
      <w:r>
        <w:rPr>
          <w:snapToGrid w:val="0"/>
          <w:kern w:val="0"/>
          <w:sz w:val="24"/>
          <w:szCs w:val="24"/>
        </w:rPr>
        <w:t>各排水构筑物汇水分区表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0"/>
        <w:gridCol w:w="1332"/>
        <w:gridCol w:w="2150"/>
        <w:gridCol w:w="2322"/>
        <w:gridCol w:w="2322"/>
      </w:tblGrid>
      <w:tr w14:paraId="3348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2" w:type="dxa"/>
            <w:gridSpan w:val="2"/>
            <w:vAlign w:val="center"/>
          </w:tcPr>
          <w:p w14:paraId="37E317D0">
            <w:pPr>
              <w:tabs>
                <w:tab w:val="right" w:leader="middleDot" w:pos="9450"/>
              </w:tabs>
              <w:spacing w:line="240" w:lineRule="auto"/>
              <w:ind w:firstLine="0" w:firstLineChars="0"/>
              <w:jc w:val="center"/>
              <w:rPr>
                <w:sz w:val="21"/>
                <w:szCs w:val="21"/>
              </w:rPr>
            </w:pPr>
            <w:r>
              <w:rPr>
                <w:sz w:val="21"/>
                <w:szCs w:val="21"/>
              </w:rPr>
              <w:t>名称</w:t>
            </w:r>
          </w:p>
        </w:tc>
        <w:tc>
          <w:tcPr>
            <w:tcW w:w="2150" w:type="dxa"/>
            <w:vAlign w:val="center"/>
          </w:tcPr>
          <w:p w14:paraId="5D24BD17">
            <w:pPr>
              <w:tabs>
                <w:tab w:val="right" w:leader="middleDot" w:pos="9450"/>
              </w:tabs>
              <w:spacing w:line="240" w:lineRule="auto"/>
              <w:ind w:firstLine="0" w:firstLineChars="0"/>
              <w:jc w:val="center"/>
              <w:rPr>
                <w:sz w:val="21"/>
                <w:szCs w:val="21"/>
              </w:rPr>
            </w:pPr>
            <w:r>
              <w:rPr>
                <w:sz w:val="21"/>
                <w:szCs w:val="21"/>
              </w:rPr>
              <w:t>汇水面积（km</w:t>
            </w:r>
            <w:r>
              <w:rPr>
                <w:sz w:val="21"/>
                <w:szCs w:val="21"/>
                <w:vertAlign w:val="superscript"/>
              </w:rPr>
              <w:t>2</w:t>
            </w:r>
            <w:r>
              <w:rPr>
                <w:sz w:val="21"/>
                <w:szCs w:val="21"/>
              </w:rPr>
              <w:t>）</w:t>
            </w:r>
          </w:p>
        </w:tc>
        <w:tc>
          <w:tcPr>
            <w:tcW w:w="2322" w:type="dxa"/>
            <w:vAlign w:val="center"/>
          </w:tcPr>
          <w:p w14:paraId="5F4BBCC1">
            <w:pPr>
              <w:tabs>
                <w:tab w:val="right" w:leader="middleDot" w:pos="9450"/>
              </w:tabs>
              <w:spacing w:line="240" w:lineRule="auto"/>
              <w:ind w:firstLine="0" w:firstLineChars="0"/>
              <w:jc w:val="center"/>
              <w:rPr>
                <w:sz w:val="21"/>
                <w:szCs w:val="21"/>
              </w:rPr>
            </w:pPr>
            <w:r>
              <w:rPr>
                <w:sz w:val="21"/>
                <w:szCs w:val="21"/>
              </w:rPr>
              <w:t>排水设施</w:t>
            </w:r>
          </w:p>
        </w:tc>
        <w:tc>
          <w:tcPr>
            <w:tcW w:w="2322" w:type="dxa"/>
            <w:vAlign w:val="center"/>
          </w:tcPr>
          <w:p w14:paraId="0717AB71">
            <w:pPr>
              <w:tabs>
                <w:tab w:val="right" w:leader="middleDot" w:pos="9450"/>
              </w:tabs>
              <w:spacing w:line="240" w:lineRule="auto"/>
              <w:ind w:firstLine="0" w:firstLineChars="0"/>
              <w:jc w:val="center"/>
              <w:rPr>
                <w:sz w:val="21"/>
                <w:szCs w:val="21"/>
              </w:rPr>
            </w:pPr>
            <w:r>
              <w:rPr>
                <w:sz w:val="21"/>
                <w:szCs w:val="21"/>
              </w:rPr>
              <w:t>设防流量（m</w:t>
            </w:r>
            <w:r>
              <w:rPr>
                <w:sz w:val="21"/>
                <w:szCs w:val="21"/>
                <w:vertAlign w:val="superscript"/>
              </w:rPr>
              <w:t>3</w:t>
            </w:r>
            <w:r>
              <w:rPr>
                <w:sz w:val="21"/>
                <w:szCs w:val="21"/>
              </w:rPr>
              <w:t>/s）</w:t>
            </w:r>
          </w:p>
        </w:tc>
      </w:tr>
      <w:tr w14:paraId="7D90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2" w:type="dxa"/>
            <w:gridSpan w:val="2"/>
            <w:vAlign w:val="center"/>
          </w:tcPr>
          <w:p w14:paraId="314E7B94">
            <w:pPr>
              <w:tabs>
                <w:tab w:val="right" w:leader="middleDot" w:pos="9450"/>
              </w:tabs>
              <w:spacing w:line="240" w:lineRule="auto"/>
              <w:ind w:firstLine="0" w:firstLineChars="0"/>
              <w:jc w:val="center"/>
              <w:rPr>
                <w:sz w:val="21"/>
                <w:szCs w:val="21"/>
              </w:rPr>
            </w:pPr>
            <w:r>
              <w:rPr>
                <w:sz w:val="21"/>
                <w:szCs w:val="21"/>
              </w:rPr>
              <w:t>总汇流面积</w:t>
            </w:r>
          </w:p>
        </w:tc>
        <w:tc>
          <w:tcPr>
            <w:tcW w:w="2150" w:type="dxa"/>
            <w:vAlign w:val="center"/>
          </w:tcPr>
          <w:p w14:paraId="584BD457">
            <w:pPr>
              <w:tabs>
                <w:tab w:val="right" w:leader="middleDot" w:pos="9450"/>
              </w:tabs>
              <w:spacing w:line="240" w:lineRule="auto"/>
              <w:ind w:firstLine="0" w:firstLineChars="0"/>
              <w:jc w:val="center"/>
              <w:rPr>
                <w:sz w:val="21"/>
                <w:szCs w:val="21"/>
              </w:rPr>
            </w:pPr>
            <w:r>
              <w:rPr>
                <w:sz w:val="21"/>
                <w:szCs w:val="21"/>
              </w:rPr>
              <w:t>0.0776</w:t>
            </w:r>
          </w:p>
        </w:tc>
        <w:tc>
          <w:tcPr>
            <w:tcW w:w="2322" w:type="dxa"/>
            <w:vAlign w:val="center"/>
          </w:tcPr>
          <w:p w14:paraId="5A0C77F2">
            <w:pPr>
              <w:tabs>
                <w:tab w:val="right" w:leader="middleDot" w:pos="9450"/>
              </w:tabs>
              <w:spacing w:line="240" w:lineRule="auto"/>
              <w:ind w:firstLine="0" w:firstLineChars="0"/>
              <w:jc w:val="center"/>
              <w:rPr>
                <w:sz w:val="21"/>
                <w:szCs w:val="21"/>
              </w:rPr>
            </w:pPr>
            <w:r>
              <w:rPr>
                <w:sz w:val="21"/>
                <w:szCs w:val="21"/>
              </w:rPr>
              <w:t>-</w:t>
            </w:r>
          </w:p>
        </w:tc>
        <w:tc>
          <w:tcPr>
            <w:tcW w:w="2322" w:type="dxa"/>
            <w:vAlign w:val="bottom"/>
          </w:tcPr>
          <w:p w14:paraId="4383D1B1">
            <w:pPr>
              <w:widowControl/>
              <w:spacing w:line="240" w:lineRule="auto"/>
              <w:ind w:firstLine="0" w:firstLineChars="0"/>
              <w:jc w:val="center"/>
              <w:textAlignment w:val="bottom"/>
              <w:rPr>
                <w:sz w:val="21"/>
                <w:szCs w:val="21"/>
              </w:rPr>
            </w:pPr>
            <w:r>
              <w:rPr>
                <w:rFonts w:cs="Times New Roman"/>
                <w:kern w:val="0"/>
                <w:sz w:val="21"/>
                <w:szCs w:val="21"/>
                <w:lang w:bidi="ar"/>
              </w:rPr>
              <w:t xml:space="preserve">1.636 </w:t>
            </w:r>
          </w:p>
        </w:tc>
      </w:tr>
      <w:tr w14:paraId="5078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2" w:type="dxa"/>
            <w:gridSpan w:val="2"/>
            <w:vAlign w:val="center"/>
          </w:tcPr>
          <w:p w14:paraId="4F3FF3F3">
            <w:pPr>
              <w:tabs>
                <w:tab w:val="right" w:leader="middleDot" w:pos="9450"/>
              </w:tabs>
              <w:spacing w:line="240" w:lineRule="auto"/>
              <w:ind w:firstLine="0" w:firstLineChars="0"/>
              <w:jc w:val="center"/>
              <w:rPr>
                <w:sz w:val="21"/>
                <w:szCs w:val="21"/>
              </w:rPr>
            </w:pPr>
            <w:r>
              <w:rPr>
                <w:sz w:val="21"/>
                <w:szCs w:val="21"/>
              </w:rPr>
              <w:t>周边截排</w:t>
            </w:r>
          </w:p>
        </w:tc>
        <w:tc>
          <w:tcPr>
            <w:tcW w:w="2150" w:type="dxa"/>
            <w:vAlign w:val="center"/>
          </w:tcPr>
          <w:p w14:paraId="195F69A9">
            <w:pPr>
              <w:tabs>
                <w:tab w:val="right" w:leader="middleDot" w:pos="9450"/>
              </w:tabs>
              <w:spacing w:line="240" w:lineRule="auto"/>
              <w:ind w:firstLine="0" w:firstLineChars="0"/>
              <w:jc w:val="center"/>
              <w:rPr>
                <w:sz w:val="21"/>
                <w:szCs w:val="21"/>
              </w:rPr>
            </w:pPr>
            <w:r>
              <w:rPr>
                <w:sz w:val="21"/>
                <w:szCs w:val="21"/>
              </w:rPr>
              <w:t>0.0190</w:t>
            </w:r>
          </w:p>
        </w:tc>
        <w:tc>
          <w:tcPr>
            <w:tcW w:w="2322" w:type="dxa"/>
            <w:vAlign w:val="center"/>
          </w:tcPr>
          <w:p w14:paraId="20EA75AD">
            <w:pPr>
              <w:tabs>
                <w:tab w:val="right" w:leader="middleDot" w:pos="9450"/>
              </w:tabs>
              <w:spacing w:line="240" w:lineRule="auto"/>
              <w:ind w:firstLine="0" w:firstLineChars="0"/>
              <w:jc w:val="center"/>
              <w:rPr>
                <w:sz w:val="21"/>
                <w:szCs w:val="21"/>
              </w:rPr>
            </w:pPr>
            <w:r>
              <w:rPr>
                <w:sz w:val="21"/>
                <w:szCs w:val="21"/>
              </w:rPr>
              <w:t>东侧截洪沟</w:t>
            </w:r>
          </w:p>
        </w:tc>
        <w:tc>
          <w:tcPr>
            <w:tcW w:w="2322" w:type="dxa"/>
            <w:vAlign w:val="bottom"/>
          </w:tcPr>
          <w:p w14:paraId="63FEED70">
            <w:pPr>
              <w:widowControl/>
              <w:spacing w:line="240" w:lineRule="auto"/>
              <w:ind w:firstLine="0" w:firstLineChars="0"/>
              <w:jc w:val="center"/>
              <w:textAlignment w:val="bottom"/>
              <w:rPr>
                <w:sz w:val="21"/>
                <w:szCs w:val="21"/>
              </w:rPr>
            </w:pPr>
            <w:r>
              <w:rPr>
                <w:rFonts w:cs="Times New Roman"/>
                <w:kern w:val="0"/>
                <w:sz w:val="21"/>
                <w:szCs w:val="21"/>
                <w:lang w:bidi="ar"/>
              </w:rPr>
              <w:t xml:space="preserve">0.401 </w:t>
            </w:r>
          </w:p>
        </w:tc>
      </w:tr>
      <w:tr w14:paraId="5789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0" w:type="dxa"/>
            <w:vMerge w:val="restart"/>
            <w:vAlign w:val="center"/>
          </w:tcPr>
          <w:p w14:paraId="475AFAF1">
            <w:pPr>
              <w:tabs>
                <w:tab w:val="right" w:leader="middleDot" w:pos="9450"/>
              </w:tabs>
              <w:spacing w:line="240" w:lineRule="auto"/>
              <w:ind w:firstLine="0" w:firstLineChars="0"/>
              <w:jc w:val="center"/>
              <w:rPr>
                <w:sz w:val="21"/>
                <w:szCs w:val="21"/>
              </w:rPr>
            </w:pPr>
            <w:r>
              <w:rPr>
                <w:sz w:val="21"/>
                <w:szCs w:val="21"/>
              </w:rPr>
              <w:t>渣场内</w:t>
            </w:r>
          </w:p>
        </w:tc>
        <w:tc>
          <w:tcPr>
            <w:tcW w:w="1332" w:type="dxa"/>
            <w:vAlign w:val="center"/>
          </w:tcPr>
          <w:p w14:paraId="2BB19EEC">
            <w:pPr>
              <w:tabs>
                <w:tab w:val="right" w:leader="middleDot" w:pos="9450"/>
              </w:tabs>
              <w:spacing w:line="240" w:lineRule="auto"/>
              <w:ind w:firstLine="0" w:firstLineChars="0"/>
              <w:jc w:val="center"/>
              <w:rPr>
                <w:sz w:val="21"/>
                <w:szCs w:val="21"/>
              </w:rPr>
            </w:pPr>
            <w:r>
              <w:rPr>
                <w:sz w:val="21"/>
                <w:szCs w:val="21"/>
              </w:rPr>
              <w:t>渣场西侧</w:t>
            </w:r>
          </w:p>
        </w:tc>
        <w:tc>
          <w:tcPr>
            <w:tcW w:w="2150" w:type="dxa"/>
            <w:vAlign w:val="center"/>
          </w:tcPr>
          <w:p w14:paraId="7FE0CA8E">
            <w:pPr>
              <w:tabs>
                <w:tab w:val="right" w:leader="middleDot" w:pos="9450"/>
              </w:tabs>
              <w:spacing w:line="240" w:lineRule="auto"/>
              <w:ind w:firstLine="0" w:firstLineChars="0"/>
              <w:jc w:val="center"/>
              <w:rPr>
                <w:sz w:val="21"/>
                <w:szCs w:val="21"/>
              </w:rPr>
            </w:pPr>
            <w:r>
              <w:rPr>
                <w:sz w:val="21"/>
                <w:szCs w:val="21"/>
              </w:rPr>
              <w:t>0.0350</w:t>
            </w:r>
          </w:p>
        </w:tc>
        <w:tc>
          <w:tcPr>
            <w:tcW w:w="2322" w:type="dxa"/>
            <w:vAlign w:val="center"/>
          </w:tcPr>
          <w:p w14:paraId="53CD0DC8">
            <w:pPr>
              <w:tabs>
                <w:tab w:val="right" w:leader="middleDot" w:pos="9450"/>
              </w:tabs>
              <w:spacing w:line="240" w:lineRule="auto"/>
              <w:ind w:firstLine="0" w:firstLineChars="0"/>
              <w:jc w:val="center"/>
              <w:rPr>
                <w:sz w:val="21"/>
                <w:szCs w:val="21"/>
              </w:rPr>
            </w:pPr>
            <w:r>
              <w:rPr>
                <w:sz w:val="21"/>
                <w:szCs w:val="21"/>
              </w:rPr>
              <w:t xml:space="preserve">西侧排水沟 </w:t>
            </w:r>
          </w:p>
        </w:tc>
        <w:tc>
          <w:tcPr>
            <w:tcW w:w="2322" w:type="dxa"/>
            <w:vAlign w:val="bottom"/>
          </w:tcPr>
          <w:p w14:paraId="7F60DBD7">
            <w:pPr>
              <w:widowControl/>
              <w:spacing w:line="240" w:lineRule="auto"/>
              <w:ind w:firstLine="0" w:firstLineChars="0"/>
              <w:jc w:val="center"/>
              <w:textAlignment w:val="bottom"/>
              <w:rPr>
                <w:sz w:val="21"/>
                <w:szCs w:val="21"/>
              </w:rPr>
            </w:pPr>
            <w:r>
              <w:rPr>
                <w:rFonts w:cs="Times New Roman"/>
                <w:kern w:val="0"/>
                <w:sz w:val="21"/>
                <w:szCs w:val="21"/>
                <w:lang w:bidi="ar"/>
              </w:rPr>
              <w:t xml:space="preserve">0.738 </w:t>
            </w:r>
          </w:p>
        </w:tc>
      </w:tr>
      <w:tr w14:paraId="2FF3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0" w:type="dxa"/>
            <w:vMerge w:val="continue"/>
            <w:vAlign w:val="center"/>
          </w:tcPr>
          <w:p w14:paraId="68175E4F">
            <w:pPr>
              <w:tabs>
                <w:tab w:val="right" w:leader="middleDot" w:pos="9450"/>
              </w:tabs>
              <w:spacing w:line="240" w:lineRule="auto"/>
              <w:ind w:firstLine="0" w:firstLineChars="0"/>
              <w:jc w:val="center"/>
              <w:rPr>
                <w:sz w:val="21"/>
                <w:szCs w:val="21"/>
              </w:rPr>
            </w:pPr>
          </w:p>
        </w:tc>
        <w:tc>
          <w:tcPr>
            <w:tcW w:w="1332" w:type="dxa"/>
            <w:vAlign w:val="center"/>
          </w:tcPr>
          <w:p w14:paraId="53DEFAEF">
            <w:pPr>
              <w:tabs>
                <w:tab w:val="right" w:leader="middleDot" w:pos="9450"/>
              </w:tabs>
              <w:spacing w:line="240" w:lineRule="auto"/>
              <w:ind w:firstLine="0" w:firstLineChars="0"/>
              <w:jc w:val="center"/>
              <w:rPr>
                <w:sz w:val="21"/>
                <w:szCs w:val="21"/>
              </w:rPr>
            </w:pPr>
            <w:r>
              <w:rPr>
                <w:sz w:val="21"/>
                <w:szCs w:val="21"/>
              </w:rPr>
              <w:t>渣场东侧</w:t>
            </w:r>
          </w:p>
        </w:tc>
        <w:tc>
          <w:tcPr>
            <w:tcW w:w="2150" w:type="dxa"/>
            <w:vAlign w:val="center"/>
          </w:tcPr>
          <w:p w14:paraId="1808BBB3">
            <w:pPr>
              <w:tabs>
                <w:tab w:val="right" w:leader="middleDot" w:pos="9450"/>
              </w:tabs>
              <w:spacing w:line="240" w:lineRule="auto"/>
              <w:ind w:firstLine="0" w:firstLineChars="0"/>
              <w:jc w:val="center"/>
              <w:rPr>
                <w:sz w:val="21"/>
                <w:szCs w:val="21"/>
              </w:rPr>
            </w:pPr>
            <w:r>
              <w:rPr>
                <w:sz w:val="21"/>
                <w:szCs w:val="21"/>
              </w:rPr>
              <w:t>0.0236</w:t>
            </w:r>
          </w:p>
        </w:tc>
        <w:tc>
          <w:tcPr>
            <w:tcW w:w="2322" w:type="dxa"/>
            <w:vAlign w:val="center"/>
          </w:tcPr>
          <w:p w14:paraId="3E14E820">
            <w:pPr>
              <w:tabs>
                <w:tab w:val="right" w:leader="middleDot" w:pos="9450"/>
              </w:tabs>
              <w:spacing w:line="240" w:lineRule="auto"/>
              <w:ind w:firstLine="0" w:firstLineChars="0"/>
              <w:jc w:val="center"/>
              <w:rPr>
                <w:sz w:val="21"/>
                <w:szCs w:val="21"/>
              </w:rPr>
            </w:pPr>
            <w:r>
              <w:rPr>
                <w:sz w:val="21"/>
                <w:szCs w:val="21"/>
              </w:rPr>
              <w:t>东</w:t>
            </w:r>
            <w:r>
              <w:rPr>
                <w:rFonts w:cs="Times New Roman"/>
                <w:sz w:val="21"/>
                <w:szCs w:val="21"/>
              </w:rPr>
              <w:t>南侧</w:t>
            </w:r>
            <w:r>
              <w:rPr>
                <w:sz w:val="21"/>
                <w:szCs w:val="21"/>
              </w:rPr>
              <w:t>排水沟</w:t>
            </w:r>
          </w:p>
        </w:tc>
        <w:tc>
          <w:tcPr>
            <w:tcW w:w="2322" w:type="dxa"/>
            <w:vAlign w:val="bottom"/>
          </w:tcPr>
          <w:p w14:paraId="143AD409">
            <w:pPr>
              <w:widowControl/>
              <w:spacing w:line="240" w:lineRule="auto"/>
              <w:ind w:firstLine="0" w:firstLineChars="0"/>
              <w:jc w:val="center"/>
              <w:textAlignment w:val="bottom"/>
              <w:rPr>
                <w:sz w:val="21"/>
                <w:szCs w:val="21"/>
              </w:rPr>
            </w:pPr>
            <w:r>
              <w:rPr>
                <w:rFonts w:cs="Times New Roman"/>
                <w:kern w:val="0"/>
                <w:sz w:val="21"/>
                <w:szCs w:val="21"/>
                <w:lang w:bidi="ar"/>
              </w:rPr>
              <w:t xml:space="preserve">0.497 </w:t>
            </w:r>
          </w:p>
        </w:tc>
      </w:tr>
    </w:tbl>
    <w:p w14:paraId="1F475B63">
      <w:pPr>
        <w:ind w:firstLine="560"/>
      </w:pPr>
      <w:r>
        <w:t>（</w:t>
      </w:r>
      <w:r>
        <w:rPr>
          <w:rFonts w:hint="eastAsia"/>
        </w:rPr>
        <w:t>1</w:t>
      </w:r>
      <w:r>
        <w:t>）东侧截洪沟验算</w:t>
      </w:r>
    </w:p>
    <w:p w14:paraId="70219433">
      <w:pPr>
        <w:tabs>
          <w:tab w:val="right" w:leader="middleDot" w:pos="9450"/>
        </w:tabs>
        <w:ind w:firstLine="560"/>
      </w:pPr>
      <w:r>
        <w:rPr>
          <w:snapToGrid w:val="0"/>
          <w:kern w:val="0"/>
          <w:szCs w:val="20"/>
        </w:rPr>
        <w:t>东侧截洪沟截留渣场东侧山坡的雨水，导排至库外，截洪沟采用毛石砌体结构，1:2水泥砂浆抹面，其断面尺寸为：深H=0.80m，宽B=0.80m。</w:t>
      </w:r>
    </w:p>
    <w:p w14:paraId="07938EEE">
      <w:pPr>
        <w:tabs>
          <w:tab w:val="right" w:leader="middleDot" w:pos="9450"/>
        </w:tabs>
        <w:ind w:firstLine="560"/>
      </w:pPr>
      <w:r>
        <w:t>东侧截洪沟排水能力校核：东侧截洪沟设防洪峰流量0.</w:t>
      </w:r>
      <w:r>
        <w:rPr>
          <w:rFonts w:hint="eastAsia"/>
        </w:rPr>
        <w:t>401</w:t>
      </w:r>
      <w:r>
        <w:t>m</w:t>
      </w:r>
      <w:r>
        <w:rPr>
          <w:vertAlign w:val="superscript"/>
        </w:rPr>
        <w:t>3</w:t>
      </w:r>
      <w:r>
        <w:t>/s</w:t>
      </w:r>
      <w:r>
        <w:rPr>
          <w:rFonts w:hint="eastAsia"/>
        </w:rPr>
        <w:t>。</w:t>
      </w:r>
    </w:p>
    <w:p w14:paraId="72FBF8AB">
      <w:pPr>
        <w:ind w:firstLine="548" w:firstLineChars="196"/>
      </w:pPr>
      <w:r>
        <w:t>过流能力校核计算采用明渠均匀流方式，过流能力计算如下表。</w:t>
      </w:r>
    </w:p>
    <w:p w14:paraId="05F55F3C">
      <w:pPr>
        <w:tabs>
          <w:tab w:val="right" w:leader="middleDot" w:pos="9450"/>
        </w:tabs>
        <w:ind w:firstLine="0" w:firstLineChars="0"/>
        <w:jc w:val="center"/>
        <w:rPr>
          <w:snapToGrid w:val="0"/>
          <w:kern w:val="0"/>
          <w:sz w:val="24"/>
          <w:szCs w:val="24"/>
        </w:rPr>
      </w:pPr>
      <w:r>
        <w:rPr>
          <w:snapToGrid w:val="0"/>
          <w:kern w:val="0"/>
          <w:sz w:val="24"/>
          <w:szCs w:val="24"/>
        </w:rPr>
        <w:t>表</w:t>
      </w:r>
      <w:r>
        <w:rPr>
          <w:rFonts w:hint="eastAsia"/>
          <w:snapToGrid w:val="0"/>
          <w:kern w:val="0"/>
          <w:sz w:val="24"/>
          <w:szCs w:val="24"/>
        </w:rPr>
        <w:t xml:space="preserve">3.3-5 </w:t>
      </w:r>
      <w:r>
        <w:rPr>
          <w:snapToGrid w:val="0"/>
          <w:kern w:val="0"/>
          <w:sz w:val="24"/>
          <w:szCs w:val="24"/>
        </w:rPr>
        <w:t>东侧截洪沟过流能力计算</w:t>
      </w:r>
    </w:p>
    <w:tbl>
      <w:tblPr>
        <w:tblStyle w:val="48"/>
        <w:tblW w:w="49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853"/>
        <w:gridCol w:w="854"/>
        <w:gridCol w:w="854"/>
        <w:gridCol w:w="735"/>
        <w:gridCol w:w="929"/>
        <w:gridCol w:w="854"/>
        <w:gridCol w:w="854"/>
        <w:gridCol w:w="690"/>
        <w:gridCol w:w="940"/>
        <w:gridCol w:w="1095"/>
      </w:tblGrid>
      <w:tr w14:paraId="0D0B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vAlign w:val="center"/>
          </w:tcPr>
          <w:p w14:paraId="7FD5D904">
            <w:pPr>
              <w:pStyle w:val="49"/>
              <w:rPr>
                <w:rFonts w:eastAsiaTheme="minorEastAsia"/>
                <w:sz w:val="21"/>
                <w:szCs w:val="21"/>
              </w:rPr>
            </w:pPr>
            <w:r>
              <w:rPr>
                <w:rFonts w:eastAsiaTheme="minorEastAsia"/>
                <w:sz w:val="21"/>
                <w:szCs w:val="21"/>
              </w:rPr>
              <w:t>项目</w:t>
            </w:r>
          </w:p>
        </w:tc>
        <w:tc>
          <w:tcPr>
            <w:tcW w:w="458" w:type="pct"/>
            <w:vAlign w:val="center"/>
          </w:tcPr>
          <w:p w14:paraId="14DE3A54">
            <w:pPr>
              <w:pStyle w:val="49"/>
              <w:rPr>
                <w:rFonts w:eastAsiaTheme="minorEastAsia"/>
                <w:sz w:val="21"/>
                <w:szCs w:val="21"/>
              </w:rPr>
            </w:pPr>
            <w:r>
              <w:rPr>
                <w:rFonts w:eastAsiaTheme="minorEastAsia"/>
                <w:sz w:val="21"/>
                <w:szCs w:val="21"/>
              </w:rPr>
              <w:t>沟宽（m）</w:t>
            </w:r>
          </w:p>
        </w:tc>
        <w:tc>
          <w:tcPr>
            <w:tcW w:w="458" w:type="pct"/>
            <w:vAlign w:val="center"/>
          </w:tcPr>
          <w:p w14:paraId="6F2C42FC">
            <w:pPr>
              <w:pStyle w:val="49"/>
              <w:rPr>
                <w:rFonts w:eastAsiaTheme="minorEastAsia"/>
                <w:sz w:val="21"/>
                <w:szCs w:val="21"/>
              </w:rPr>
            </w:pPr>
            <w:r>
              <w:rPr>
                <w:rFonts w:eastAsiaTheme="minorEastAsia"/>
                <w:sz w:val="21"/>
                <w:szCs w:val="21"/>
              </w:rPr>
              <w:t>沟深（m）</w:t>
            </w:r>
          </w:p>
        </w:tc>
        <w:tc>
          <w:tcPr>
            <w:tcW w:w="458" w:type="pct"/>
            <w:vAlign w:val="center"/>
          </w:tcPr>
          <w:p w14:paraId="0C400D58">
            <w:pPr>
              <w:pStyle w:val="49"/>
              <w:rPr>
                <w:rFonts w:eastAsiaTheme="minorEastAsia"/>
                <w:sz w:val="21"/>
                <w:szCs w:val="21"/>
              </w:rPr>
            </w:pPr>
            <w:r>
              <w:rPr>
                <w:rFonts w:eastAsiaTheme="minorEastAsia"/>
                <w:sz w:val="21"/>
                <w:szCs w:val="21"/>
              </w:rPr>
              <w:t>安全超高（m）</w:t>
            </w:r>
          </w:p>
        </w:tc>
        <w:tc>
          <w:tcPr>
            <w:tcW w:w="394" w:type="pct"/>
            <w:vAlign w:val="center"/>
          </w:tcPr>
          <w:p w14:paraId="0C0C2010">
            <w:pPr>
              <w:pStyle w:val="49"/>
              <w:rPr>
                <w:rFonts w:eastAsiaTheme="minorEastAsia"/>
                <w:sz w:val="21"/>
                <w:szCs w:val="21"/>
              </w:rPr>
            </w:pPr>
            <w:r>
              <w:rPr>
                <w:rFonts w:eastAsiaTheme="minorEastAsia"/>
                <w:sz w:val="21"/>
                <w:szCs w:val="21"/>
              </w:rPr>
              <w:t>最小纵坡度i</w:t>
            </w:r>
          </w:p>
        </w:tc>
        <w:tc>
          <w:tcPr>
            <w:tcW w:w="498" w:type="pct"/>
            <w:vAlign w:val="center"/>
          </w:tcPr>
          <w:p w14:paraId="0072FAFF">
            <w:pPr>
              <w:pStyle w:val="49"/>
              <w:rPr>
                <w:rFonts w:eastAsiaTheme="minorEastAsia"/>
                <w:sz w:val="21"/>
                <w:szCs w:val="21"/>
              </w:rPr>
            </w:pPr>
            <w:r>
              <w:rPr>
                <w:rFonts w:eastAsiaTheme="minorEastAsia"/>
                <w:sz w:val="21"/>
                <w:szCs w:val="21"/>
              </w:rPr>
              <w:t>净过水面积A（m</w:t>
            </w:r>
            <w:r>
              <w:rPr>
                <w:rFonts w:eastAsiaTheme="minorEastAsia"/>
                <w:sz w:val="21"/>
                <w:szCs w:val="21"/>
                <w:vertAlign w:val="superscript"/>
              </w:rPr>
              <w:t>2</w:t>
            </w:r>
            <w:r>
              <w:rPr>
                <w:rFonts w:eastAsiaTheme="minorEastAsia"/>
                <w:sz w:val="21"/>
                <w:szCs w:val="21"/>
              </w:rPr>
              <w:t>）</w:t>
            </w:r>
          </w:p>
        </w:tc>
        <w:tc>
          <w:tcPr>
            <w:tcW w:w="458" w:type="pct"/>
            <w:vAlign w:val="center"/>
          </w:tcPr>
          <w:p w14:paraId="4B851607">
            <w:pPr>
              <w:pStyle w:val="49"/>
              <w:rPr>
                <w:rFonts w:eastAsiaTheme="minorEastAsia"/>
                <w:sz w:val="21"/>
                <w:szCs w:val="21"/>
              </w:rPr>
            </w:pPr>
            <w:r>
              <w:rPr>
                <w:rFonts w:eastAsiaTheme="minorEastAsia"/>
                <w:sz w:val="21"/>
                <w:szCs w:val="21"/>
              </w:rPr>
              <w:t>湿周X（m）</w:t>
            </w:r>
          </w:p>
        </w:tc>
        <w:tc>
          <w:tcPr>
            <w:tcW w:w="458" w:type="pct"/>
            <w:vAlign w:val="center"/>
          </w:tcPr>
          <w:p w14:paraId="6EEDB34B">
            <w:pPr>
              <w:pStyle w:val="49"/>
              <w:rPr>
                <w:rFonts w:eastAsiaTheme="minorEastAsia"/>
                <w:sz w:val="21"/>
                <w:szCs w:val="21"/>
              </w:rPr>
            </w:pPr>
            <w:r>
              <w:rPr>
                <w:rFonts w:eastAsiaTheme="minorEastAsia"/>
                <w:sz w:val="21"/>
                <w:szCs w:val="21"/>
              </w:rPr>
              <w:t>水力半径R（m）</w:t>
            </w:r>
          </w:p>
        </w:tc>
        <w:tc>
          <w:tcPr>
            <w:tcW w:w="370" w:type="pct"/>
            <w:vAlign w:val="center"/>
          </w:tcPr>
          <w:p w14:paraId="01DD1B33">
            <w:pPr>
              <w:pStyle w:val="49"/>
              <w:rPr>
                <w:rFonts w:eastAsiaTheme="minorEastAsia"/>
                <w:sz w:val="21"/>
                <w:szCs w:val="21"/>
              </w:rPr>
            </w:pPr>
            <w:r>
              <w:rPr>
                <w:rFonts w:eastAsiaTheme="minorEastAsia"/>
                <w:sz w:val="21"/>
                <w:szCs w:val="21"/>
              </w:rPr>
              <w:t>水力糙度n</w:t>
            </w:r>
          </w:p>
        </w:tc>
        <w:tc>
          <w:tcPr>
            <w:tcW w:w="504" w:type="pct"/>
            <w:vAlign w:val="center"/>
          </w:tcPr>
          <w:p w14:paraId="2DF3EA64">
            <w:pPr>
              <w:pStyle w:val="49"/>
              <w:rPr>
                <w:rFonts w:eastAsiaTheme="minorEastAsia"/>
                <w:sz w:val="21"/>
                <w:szCs w:val="21"/>
              </w:rPr>
            </w:pPr>
            <w:r>
              <w:rPr>
                <w:rFonts w:eastAsiaTheme="minorEastAsia"/>
                <w:sz w:val="21"/>
                <w:szCs w:val="21"/>
              </w:rPr>
              <w:t>流速v（m/s）</w:t>
            </w:r>
          </w:p>
        </w:tc>
        <w:tc>
          <w:tcPr>
            <w:tcW w:w="587" w:type="pct"/>
            <w:vAlign w:val="center"/>
          </w:tcPr>
          <w:p w14:paraId="78AE8E97">
            <w:pPr>
              <w:pStyle w:val="49"/>
              <w:rPr>
                <w:rFonts w:eastAsiaTheme="minorEastAsia"/>
                <w:sz w:val="21"/>
                <w:szCs w:val="21"/>
              </w:rPr>
            </w:pPr>
            <w:r>
              <w:rPr>
                <w:rFonts w:eastAsiaTheme="minorEastAsia"/>
                <w:sz w:val="21"/>
                <w:szCs w:val="21"/>
              </w:rPr>
              <w:t>流量Q（m³/s）</w:t>
            </w:r>
          </w:p>
        </w:tc>
      </w:tr>
      <w:tr w14:paraId="3024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vAlign w:val="center"/>
          </w:tcPr>
          <w:p w14:paraId="4DEF3905">
            <w:pPr>
              <w:pStyle w:val="49"/>
              <w:rPr>
                <w:rFonts w:eastAsiaTheme="minorEastAsia"/>
                <w:sz w:val="21"/>
                <w:szCs w:val="21"/>
              </w:rPr>
            </w:pPr>
            <w:r>
              <w:rPr>
                <w:rFonts w:eastAsiaTheme="minorEastAsia"/>
                <w:sz w:val="21"/>
                <w:szCs w:val="21"/>
              </w:rPr>
              <w:t>东侧截洪沟</w:t>
            </w:r>
          </w:p>
        </w:tc>
        <w:tc>
          <w:tcPr>
            <w:tcW w:w="458" w:type="pct"/>
            <w:vAlign w:val="center"/>
          </w:tcPr>
          <w:p w14:paraId="42D491C5">
            <w:pPr>
              <w:pStyle w:val="49"/>
              <w:rPr>
                <w:rFonts w:eastAsiaTheme="minorEastAsia"/>
                <w:sz w:val="21"/>
                <w:szCs w:val="21"/>
              </w:rPr>
            </w:pPr>
            <w:r>
              <w:rPr>
                <w:rFonts w:eastAsiaTheme="minorEastAsia"/>
                <w:sz w:val="21"/>
                <w:szCs w:val="21"/>
              </w:rPr>
              <w:t>0.8</w:t>
            </w:r>
          </w:p>
        </w:tc>
        <w:tc>
          <w:tcPr>
            <w:tcW w:w="458" w:type="pct"/>
            <w:vAlign w:val="center"/>
          </w:tcPr>
          <w:p w14:paraId="664A6C56">
            <w:pPr>
              <w:pStyle w:val="49"/>
              <w:rPr>
                <w:rFonts w:eastAsiaTheme="minorEastAsia"/>
                <w:sz w:val="21"/>
                <w:szCs w:val="21"/>
              </w:rPr>
            </w:pPr>
            <w:r>
              <w:rPr>
                <w:rFonts w:eastAsiaTheme="minorEastAsia"/>
                <w:sz w:val="21"/>
                <w:szCs w:val="21"/>
              </w:rPr>
              <w:t>0.8</w:t>
            </w:r>
          </w:p>
        </w:tc>
        <w:tc>
          <w:tcPr>
            <w:tcW w:w="458" w:type="pct"/>
            <w:vAlign w:val="center"/>
          </w:tcPr>
          <w:p w14:paraId="45019CAF">
            <w:pPr>
              <w:pStyle w:val="49"/>
              <w:rPr>
                <w:rFonts w:eastAsiaTheme="minorEastAsia"/>
                <w:sz w:val="21"/>
                <w:szCs w:val="21"/>
              </w:rPr>
            </w:pPr>
            <w:r>
              <w:rPr>
                <w:rFonts w:eastAsiaTheme="minorEastAsia"/>
                <w:sz w:val="21"/>
                <w:szCs w:val="21"/>
              </w:rPr>
              <w:t>0.2</w:t>
            </w:r>
          </w:p>
        </w:tc>
        <w:tc>
          <w:tcPr>
            <w:tcW w:w="394" w:type="pct"/>
            <w:vAlign w:val="center"/>
          </w:tcPr>
          <w:p w14:paraId="48C9ADC1">
            <w:pPr>
              <w:pStyle w:val="49"/>
              <w:rPr>
                <w:rFonts w:eastAsiaTheme="minorEastAsia"/>
                <w:sz w:val="21"/>
                <w:szCs w:val="21"/>
              </w:rPr>
            </w:pPr>
            <w:r>
              <w:rPr>
                <w:rFonts w:eastAsiaTheme="minorEastAsia"/>
                <w:sz w:val="21"/>
                <w:szCs w:val="21"/>
              </w:rPr>
              <w:t>0.015</w:t>
            </w:r>
          </w:p>
        </w:tc>
        <w:tc>
          <w:tcPr>
            <w:tcW w:w="498" w:type="pct"/>
            <w:vAlign w:val="center"/>
          </w:tcPr>
          <w:p w14:paraId="741EF567">
            <w:pPr>
              <w:pStyle w:val="49"/>
              <w:rPr>
                <w:rFonts w:eastAsiaTheme="minorEastAsia"/>
                <w:sz w:val="21"/>
                <w:szCs w:val="21"/>
              </w:rPr>
            </w:pPr>
            <w:r>
              <w:rPr>
                <w:rFonts w:eastAsiaTheme="minorEastAsia"/>
                <w:sz w:val="21"/>
                <w:szCs w:val="21"/>
              </w:rPr>
              <w:t>0.48</w:t>
            </w:r>
          </w:p>
        </w:tc>
        <w:tc>
          <w:tcPr>
            <w:tcW w:w="458" w:type="pct"/>
            <w:vAlign w:val="center"/>
          </w:tcPr>
          <w:p w14:paraId="206A78C6">
            <w:pPr>
              <w:pStyle w:val="49"/>
              <w:rPr>
                <w:rFonts w:eastAsiaTheme="minorEastAsia"/>
                <w:sz w:val="21"/>
                <w:szCs w:val="21"/>
              </w:rPr>
            </w:pPr>
            <w:r>
              <w:rPr>
                <w:rFonts w:eastAsiaTheme="minorEastAsia"/>
                <w:sz w:val="21"/>
                <w:szCs w:val="21"/>
              </w:rPr>
              <w:t>2.00</w:t>
            </w:r>
          </w:p>
        </w:tc>
        <w:tc>
          <w:tcPr>
            <w:tcW w:w="458" w:type="pct"/>
            <w:vAlign w:val="center"/>
          </w:tcPr>
          <w:p w14:paraId="0D7726FC">
            <w:pPr>
              <w:pStyle w:val="49"/>
              <w:rPr>
                <w:rFonts w:eastAsiaTheme="minorEastAsia"/>
                <w:sz w:val="21"/>
                <w:szCs w:val="21"/>
              </w:rPr>
            </w:pPr>
            <w:r>
              <w:rPr>
                <w:rFonts w:eastAsiaTheme="minorEastAsia"/>
                <w:sz w:val="21"/>
                <w:szCs w:val="21"/>
              </w:rPr>
              <w:t>0.24</w:t>
            </w:r>
          </w:p>
        </w:tc>
        <w:tc>
          <w:tcPr>
            <w:tcW w:w="370" w:type="pct"/>
            <w:vAlign w:val="center"/>
          </w:tcPr>
          <w:p w14:paraId="5E20342C">
            <w:pPr>
              <w:pStyle w:val="49"/>
              <w:rPr>
                <w:rFonts w:eastAsiaTheme="minorEastAsia"/>
                <w:sz w:val="21"/>
                <w:szCs w:val="21"/>
              </w:rPr>
            </w:pPr>
            <w:r>
              <w:rPr>
                <w:rFonts w:eastAsiaTheme="minorEastAsia"/>
                <w:sz w:val="21"/>
                <w:szCs w:val="21"/>
              </w:rPr>
              <w:t>0.</w:t>
            </w:r>
            <w:r>
              <w:rPr>
                <w:rFonts w:hint="eastAsia" w:eastAsiaTheme="minorEastAsia"/>
                <w:sz w:val="21"/>
                <w:szCs w:val="21"/>
              </w:rPr>
              <w:t>0</w:t>
            </w:r>
            <w:r>
              <w:rPr>
                <w:rFonts w:eastAsiaTheme="minorEastAsia"/>
                <w:sz w:val="21"/>
                <w:szCs w:val="21"/>
              </w:rPr>
              <w:t>17</w:t>
            </w:r>
          </w:p>
        </w:tc>
        <w:tc>
          <w:tcPr>
            <w:tcW w:w="504" w:type="pct"/>
            <w:vAlign w:val="center"/>
          </w:tcPr>
          <w:p w14:paraId="6A433383">
            <w:pPr>
              <w:pStyle w:val="49"/>
              <w:rPr>
                <w:rFonts w:eastAsiaTheme="minorEastAsia"/>
                <w:sz w:val="21"/>
                <w:szCs w:val="21"/>
              </w:rPr>
            </w:pPr>
            <w:r>
              <w:rPr>
                <w:rFonts w:hint="eastAsia" w:eastAsiaTheme="minorEastAsia"/>
                <w:sz w:val="21"/>
                <w:szCs w:val="21"/>
              </w:rPr>
              <w:t>2.78</w:t>
            </w:r>
          </w:p>
        </w:tc>
        <w:tc>
          <w:tcPr>
            <w:tcW w:w="587" w:type="pct"/>
            <w:vAlign w:val="center"/>
          </w:tcPr>
          <w:p w14:paraId="6E1801F5">
            <w:pPr>
              <w:pStyle w:val="49"/>
              <w:rPr>
                <w:rFonts w:eastAsiaTheme="minorEastAsia"/>
                <w:sz w:val="21"/>
                <w:szCs w:val="21"/>
              </w:rPr>
            </w:pPr>
            <w:r>
              <w:rPr>
                <w:rFonts w:hint="eastAsia" w:eastAsiaTheme="minorEastAsia"/>
                <w:sz w:val="21"/>
                <w:szCs w:val="21"/>
              </w:rPr>
              <w:t>1.335</w:t>
            </w:r>
          </w:p>
        </w:tc>
      </w:tr>
    </w:tbl>
    <w:p w14:paraId="1CD0819A">
      <w:pPr>
        <w:ind w:firstLine="548" w:firstLineChars="196"/>
      </w:pPr>
      <w:r>
        <w:t>流量：Q=1.335m</w:t>
      </w:r>
      <w:r>
        <w:rPr>
          <w:vertAlign w:val="superscript"/>
        </w:rPr>
        <w:t>3</w:t>
      </w:r>
      <w:r>
        <w:t>/s＞0.</w:t>
      </w:r>
      <w:r>
        <w:rPr>
          <w:rFonts w:hint="eastAsia"/>
        </w:rPr>
        <w:t>401</w:t>
      </w:r>
      <w:r>
        <w:t>m</w:t>
      </w:r>
      <w:r>
        <w:rPr>
          <w:vertAlign w:val="superscript"/>
        </w:rPr>
        <w:t>3</w:t>
      </w:r>
      <w:r>
        <w:t>/s，现有东侧截洪沟的排洪能力满足规范</w:t>
      </w:r>
      <w:r>
        <w:rPr>
          <w:rFonts w:hint="eastAsia"/>
        </w:rPr>
        <w:t>磷石膏库三等库的</w:t>
      </w:r>
      <w:r>
        <w:t>要求</w:t>
      </w:r>
      <w:r>
        <w:rPr>
          <w:rFonts w:hint="eastAsia"/>
        </w:rPr>
        <w:t>。</w:t>
      </w:r>
    </w:p>
    <w:p w14:paraId="4964117D">
      <w:pPr>
        <w:tabs>
          <w:tab w:val="right" w:leader="middleDot" w:pos="9450"/>
        </w:tabs>
        <w:ind w:firstLine="560"/>
      </w:pPr>
      <w:r>
        <w:rPr>
          <w:rFonts w:hint="eastAsia"/>
        </w:rPr>
        <w:t>（2）</w:t>
      </w:r>
      <w:r>
        <w:rPr>
          <w:snapToGrid w:val="0"/>
          <w:kern w:val="0"/>
          <w:szCs w:val="20"/>
        </w:rPr>
        <w:t>西侧排水沟验算</w:t>
      </w:r>
    </w:p>
    <w:p w14:paraId="050D96C7">
      <w:pPr>
        <w:tabs>
          <w:tab w:val="right" w:leader="middleDot" w:pos="9450"/>
        </w:tabs>
        <w:ind w:firstLine="560"/>
      </w:pPr>
      <w:r>
        <w:rPr>
          <w:snapToGrid w:val="0"/>
          <w:kern w:val="0"/>
          <w:szCs w:val="20"/>
        </w:rPr>
        <w:t>西侧排水沟沿渣场西侧坡脚边线设置，渣场内雨水通过平台雨水沟和边坡汇流至西侧排水沟内，最终导流至调节池，西侧排水沟采用毛石砌体结构，1:2水泥砂浆抹面，其断面尺寸为：深H=0.80m，宽B=0.60m。</w:t>
      </w:r>
    </w:p>
    <w:p w14:paraId="3A8EC1A7">
      <w:pPr>
        <w:tabs>
          <w:tab w:val="right" w:leader="middleDot" w:pos="9450"/>
        </w:tabs>
        <w:ind w:firstLine="560"/>
      </w:pPr>
      <w:r>
        <w:t>西侧排水沟排水能力校核：西侧排水沟设防洪峰流量0.</w:t>
      </w:r>
      <w:r>
        <w:rPr>
          <w:rFonts w:hint="eastAsia"/>
        </w:rPr>
        <w:t>738</w:t>
      </w:r>
      <w:r>
        <w:t>m</w:t>
      </w:r>
      <w:r>
        <w:rPr>
          <w:vertAlign w:val="superscript"/>
        </w:rPr>
        <w:t>3</w:t>
      </w:r>
      <w:r>
        <w:t>/s</w:t>
      </w:r>
      <w:r>
        <w:rPr>
          <w:rFonts w:hint="eastAsia"/>
        </w:rPr>
        <w:t>。</w:t>
      </w:r>
    </w:p>
    <w:p w14:paraId="57F0017E">
      <w:pPr>
        <w:ind w:firstLine="560"/>
      </w:pPr>
      <w:r>
        <w:t>过流能力校核计算采用明渠均匀流方式，过流能力计算如下表。</w:t>
      </w:r>
    </w:p>
    <w:p w14:paraId="41451AFF">
      <w:pPr>
        <w:tabs>
          <w:tab w:val="right" w:leader="middleDot" w:pos="9450"/>
        </w:tabs>
        <w:ind w:firstLine="0" w:firstLineChars="0"/>
        <w:jc w:val="center"/>
        <w:rPr>
          <w:snapToGrid w:val="0"/>
          <w:kern w:val="0"/>
          <w:sz w:val="24"/>
          <w:szCs w:val="24"/>
        </w:rPr>
      </w:pPr>
      <w:r>
        <w:rPr>
          <w:snapToGrid w:val="0"/>
          <w:kern w:val="0"/>
          <w:sz w:val="24"/>
          <w:szCs w:val="24"/>
        </w:rPr>
        <w:t>表</w:t>
      </w:r>
      <w:r>
        <w:rPr>
          <w:rFonts w:hint="eastAsia"/>
          <w:snapToGrid w:val="0"/>
          <w:kern w:val="0"/>
          <w:sz w:val="24"/>
          <w:szCs w:val="24"/>
        </w:rPr>
        <w:t xml:space="preserve">3.3-6 </w:t>
      </w:r>
      <w:r>
        <w:rPr>
          <w:snapToGrid w:val="0"/>
          <w:kern w:val="0"/>
          <w:sz w:val="24"/>
          <w:szCs w:val="24"/>
        </w:rPr>
        <w:t>西侧排水沟过流能力计算</w:t>
      </w:r>
    </w:p>
    <w:tbl>
      <w:tblPr>
        <w:tblStyle w:val="48"/>
        <w:tblW w:w="49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852"/>
        <w:gridCol w:w="853"/>
        <w:gridCol w:w="855"/>
        <w:gridCol w:w="735"/>
        <w:gridCol w:w="929"/>
        <w:gridCol w:w="855"/>
        <w:gridCol w:w="855"/>
        <w:gridCol w:w="690"/>
        <w:gridCol w:w="940"/>
        <w:gridCol w:w="1003"/>
      </w:tblGrid>
      <w:tr w14:paraId="0232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0" w:type="pct"/>
            <w:vAlign w:val="center"/>
          </w:tcPr>
          <w:p w14:paraId="7A502DB4">
            <w:pPr>
              <w:pStyle w:val="49"/>
              <w:rPr>
                <w:rFonts w:eastAsiaTheme="minorEastAsia"/>
                <w:sz w:val="21"/>
                <w:szCs w:val="21"/>
              </w:rPr>
            </w:pPr>
            <w:r>
              <w:rPr>
                <w:rFonts w:eastAsiaTheme="minorEastAsia"/>
                <w:sz w:val="21"/>
                <w:szCs w:val="21"/>
              </w:rPr>
              <w:t>项目</w:t>
            </w:r>
          </w:p>
        </w:tc>
        <w:tc>
          <w:tcPr>
            <w:tcW w:w="462" w:type="pct"/>
            <w:vAlign w:val="center"/>
          </w:tcPr>
          <w:p w14:paraId="03703D8A">
            <w:pPr>
              <w:pStyle w:val="49"/>
              <w:rPr>
                <w:rFonts w:eastAsiaTheme="minorEastAsia"/>
                <w:sz w:val="21"/>
                <w:szCs w:val="21"/>
              </w:rPr>
            </w:pPr>
            <w:r>
              <w:rPr>
                <w:rFonts w:eastAsiaTheme="minorEastAsia"/>
                <w:sz w:val="21"/>
                <w:szCs w:val="21"/>
              </w:rPr>
              <w:t>沟宽（m）</w:t>
            </w:r>
          </w:p>
        </w:tc>
        <w:tc>
          <w:tcPr>
            <w:tcW w:w="462" w:type="pct"/>
            <w:vAlign w:val="center"/>
          </w:tcPr>
          <w:p w14:paraId="06C5BEB4">
            <w:pPr>
              <w:pStyle w:val="49"/>
              <w:rPr>
                <w:rFonts w:eastAsiaTheme="minorEastAsia"/>
                <w:sz w:val="21"/>
                <w:szCs w:val="21"/>
              </w:rPr>
            </w:pPr>
            <w:r>
              <w:rPr>
                <w:rFonts w:eastAsiaTheme="minorEastAsia"/>
                <w:sz w:val="21"/>
                <w:szCs w:val="21"/>
              </w:rPr>
              <w:t>沟深（m）</w:t>
            </w:r>
          </w:p>
        </w:tc>
        <w:tc>
          <w:tcPr>
            <w:tcW w:w="463" w:type="pct"/>
            <w:vAlign w:val="center"/>
          </w:tcPr>
          <w:p w14:paraId="6EBBE522">
            <w:pPr>
              <w:pStyle w:val="49"/>
              <w:rPr>
                <w:rFonts w:eastAsiaTheme="minorEastAsia"/>
                <w:sz w:val="21"/>
                <w:szCs w:val="21"/>
              </w:rPr>
            </w:pPr>
            <w:r>
              <w:rPr>
                <w:rFonts w:eastAsiaTheme="minorEastAsia"/>
                <w:sz w:val="21"/>
                <w:szCs w:val="21"/>
              </w:rPr>
              <w:t>安全超高（m）</w:t>
            </w:r>
          </w:p>
        </w:tc>
        <w:tc>
          <w:tcPr>
            <w:tcW w:w="398" w:type="pct"/>
            <w:vAlign w:val="center"/>
          </w:tcPr>
          <w:p w14:paraId="3729C867">
            <w:pPr>
              <w:pStyle w:val="49"/>
              <w:rPr>
                <w:rFonts w:eastAsiaTheme="minorEastAsia"/>
                <w:sz w:val="21"/>
                <w:szCs w:val="21"/>
              </w:rPr>
            </w:pPr>
            <w:r>
              <w:rPr>
                <w:rFonts w:eastAsiaTheme="minorEastAsia"/>
                <w:sz w:val="21"/>
                <w:szCs w:val="21"/>
              </w:rPr>
              <w:t>最小纵坡度i</w:t>
            </w:r>
          </w:p>
        </w:tc>
        <w:tc>
          <w:tcPr>
            <w:tcW w:w="503" w:type="pct"/>
            <w:vAlign w:val="center"/>
          </w:tcPr>
          <w:p w14:paraId="6C92DAAC">
            <w:pPr>
              <w:pStyle w:val="49"/>
              <w:rPr>
                <w:rFonts w:eastAsiaTheme="minorEastAsia"/>
                <w:sz w:val="21"/>
                <w:szCs w:val="21"/>
              </w:rPr>
            </w:pPr>
            <w:r>
              <w:rPr>
                <w:rFonts w:eastAsiaTheme="minorEastAsia"/>
                <w:sz w:val="21"/>
                <w:szCs w:val="21"/>
              </w:rPr>
              <w:t>净过水面积A（m</w:t>
            </w:r>
            <w:r>
              <w:rPr>
                <w:rFonts w:eastAsiaTheme="minorEastAsia"/>
                <w:sz w:val="21"/>
                <w:szCs w:val="21"/>
                <w:vertAlign w:val="superscript"/>
              </w:rPr>
              <w:t>2</w:t>
            </w:r>
            <w:r>
              <w:rPr>
                <w:rFonts w:eastAsiaTheme="minorEastAsia"/>
                <w:sz w:val="21"/>
                <w:szCs w:val="21"/>
              </w:rPr>
              <w:t>）</w:t>
            </w:r>
          </w:p>
        </w:tc>
        <w:tc>
          <w:tcPr>
            <w:tcW w:w="463" w:type="pct"/>
            <w:vAlign w:val="center"/>
          </w:tcPr>
          <w:p w14:paraId="04D05619">
            <w:pPr>
              <w:pStyle w:val="49"/>
              <w:rPr>
                <w:rFonts w:eastAsiaTheme="minorEastAsia"/>
                <w:sz w:val="21"/>
                <w:szCs w:val="21"/>
              </w:rPr>
            </w:pPr>
            <w:r>
              <w:rPr>
                <w:rFonts w:eastAsiaTheme="minorEastAsia"/>
                <w:sz w:val="21"/>
                <w:szCs w:val="21"/>
              </w:rPr>
              <w:t>湿周X（m）</w:t>
            </w:r>
          </w:p>
        </w:tc>
        <w:tc>
          <w:tcPr>
            <w:tcW w:w="463" w:type="pct"/>
            <w:vAlign w:val="center"/>
          </w:tcPr>
          <w:p w14:paraId="3BA6E946">
            <w:pPr>
              <w:pStyle w:val="49"/>
              <w:rPr>
                <w:rFonts w:eastAsiaTheme="minorEastAsia"/>
                <w:sz w:val="21"/>
                <w:szCs w:val="21"/>
              </w:rPr>
            </w:pPr>
            <w:r>
              <w:rPr>
                <w:rFonts w:eastAsiaTheme="minorEastAsia"/>
                <w:sz w:val="21"/>
                <w:szCs w:val="21"/>
              </w:rPr>
              <w:t>水力半径R（m）</w:t>
            </w:r>
          </w:p>
        </w:tc>
        <w:tc>
          <w:tcPr>
            <w:tcW w:w="374" w:type="pct"/>
            <w:vAlign w:val="center"/>
          </w:tcPr>
          <w:p w14:paraId="3322A5C4">
            <w:pPr>
              <w:pStyle w:val="49"/>
              <w:rPr>
                <w:rFonts w:eastAsiaTheme="minorEastAsia"/>
                <w:sz w:val="21"/>
                <w:szCs w:val="21"/>
              </w:rPr>
            </w:pPr>
            <w:r>
              <w:rPr>
                <w:rFonts w:eastAsiaTheme="minorEastAsia"/>
                <w:sz w:val="21"/>
                <w:szCs w:val="21"/>
              </w:rPr>
              <w:t>水力糙度n</w:t>
            </w:r>
          </w:p>
        </w:tc>
        <w:tc>
          <w:tcPr>
            <w:tcW w:w="509" w:type="pct"/>
            <w:vAlign w:val="center"/>
          </w:tcPr>
          <w:p w14:paraId="119908F3">
            <w:pPr>
              <w:pStyle w:val="49"/>
              <w:rPr>
                <w:rFonts w:eastAsiaTheme="minorEastAsia"/>
                <w:sz w:val="21"/>
                <w:szCs w:val="21"/>
              </w:rPr>
            </w:pPr>
            <w:r>
              <w:rPr>
                <w:rFonts w:eastAsiaTheme="minorEastAsia"/>
                <w:sz w:val="21"/>
                <w:szCs w:val="21"/>
              </w:rPr>
              <w:t>流速v（m/s）</w:t>
            </w:r>
          </w:p>
        </w:tc>
        <w:tc>
          <w:tcPr>
            <w:tcW w:w="543" w:type="pct"/>
            <w:vAlign w:val="center"/>
          </w:tcPr>
          <w:p w14:paraId="4E66FB58">
            <w:pPr>
              <w:pStyle w:val="49"/>
              <w:rPr>
                <w:rFonts w:eastAsiaTheme="minorEastAsia"/>
                <w:sz w:val="21"/>
                <w:szCs w:val="21"/>
              </w:rPr>
            </w:pPr>
            <w:r>
              <w:rPr>
                <w:rFonts w:eastAsiaTheme="minorEastAsia"/>
                <w:sz w:val="21"/>
                <w:szCs w:val="21"/>
              </w:rPr>
              <w:t>流量Q（m³/s）</w:t>
            </w:r>
          </w:p>
        </w:tc>
      </w:tr>
      <w:tr w14:paraId="73B6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0" w:type="pct"/>
            <w:vAlign w:val="center"/>
          </w:tcPr>
          <w:p w14:paraId="4A11B11D">
            <w:pPr>
              <w:pStyle w:val="49"/>
              <w:rPr>
                <w:rFonts w:eastAsiaTheme="minorEastAsia"/>
                <w:sz w:val="21"/>
                <w:szCs w:val="21"/>
              </w:rPr>
            </w:pPr>
            <w:r>
              <w:rPr>
                <w:rFonts w:eastAsiaTheme="minorEastAsia"/>
                <w:sz w:val="21"/>
                <w:szCs w:val="21"/>
              </w:rPr>
              <w:t>西侧排水沟</w:t>
            </w:r>
          </w:p>
        </w:tc>
        <w:tc>
          <w:tcPr>
            <w:tcW w:w="462" w:type="pct"/>
            <w:vAlign w:val="center"/>
          </w:tcPr>
          <w:p w14:paraId="0F0ED4CC">
            <w:pPr>
              <w:pStyle w:val="49"/>
              <w:rPr>
                <w:rFonts w:eastAsiaTheme="minorEastAsia"/>
                <w:sz w:val="21"/>
                <w:szCs w:val="21"/>
              </w:rPr>
            </w:pPr>
            <w:r>
              <w:rPr>
                <w:rFonts w:eastAsiaTheme="minorEastAsia"/>
                <w:sz w:val="21"/>
                <w:szCs w:val="21"/>
              </w:rPr>
              <w:t>0.</w:t>
            </w:r>
            <w:r>
              <w:rPr>
                <w:rFonts w:hint="eastAsia" w:eastAsiaTheme="minorEastAsia"/>
                <w:sz w:val="21"/>
                <w:szCs w:val="21"/>
              </w:rPr>
              <w:t>6</w:t>
            </w:r>
          </w:p>
        </w:tc>
        <w:tc>
          <w:tcPr>
            <w:tcW w:w="462" w:type="pct"/>
            <w:vAlign w:val="center"/>
          </w:tcPr>
          <w:p w14:paraId="59EE26A6">
            <w:pPr>
              <w:pStyle w:val="49"/>
              <w:rPr>
                <w:rFonts w:eastAsiaTheme="minorEastAsia"/>
                <w:sz w:val="21"/>
                <w:szCs w:val="21"/>
              </w:rPr>
            </w:pPr>
            <w:r>
              <w:rPr>
                <w:rFonts w:eastAsiaTheme="minorEastAsia"/>
                <w:sz w:val="21"/>
                <w:szCs w:val="21"/>
              </w:rPr>
              <w:t>0.8</w:t>
            </w:r>
          </w:p>
        </w:tc>
        <w:tc>
          <w:tcPr>
            <w:tcW w:w="463" w:type="pct"/>
            <w:vAlign w:val="center"/>
          </w:tcPr>
          <w:p w14:paraId="644F749D">
            <w:pPr>
              <w:pStyle w:val="49"/>
              <w:rPr>
                <w:rFonts w:eastAsiaTheme="minorEastAsia"/>
                <w:sz w:val="21"/>
                <w:szCs w:val="21"/>
              </w:rPr>
            </w:pPr>
            <w:r>
              <w:rPr>
                <w:rFonts w:eastAsiaTheme="minorEastAsia"/>
                <w:sz w:val="21"/>
                <w:szCs w:val="21"/>
              </w:rPr>
              <w:t>0.2</w:t>
            </w:r>
          </w:p>
        </w:tc>
        <w:tc>
          <w:tcPr>
            <w:tcW w:w="398" w:type="pct"/>
            <w:vAlign w:val="center"/>
          </w:tcPr>
          <w:p w14:paraId="0A5B76A2">
            <w:pPr>
              <w:pStyle w:val="49"/>
              <w:rPr>
                <w:rFonts w:eastAsiaTheme="minorEastAsia"/>
                <w:sz w:val="21"/>
                <w:szCs w:val="21"/>
              </w:rPr>
            </w:pPr>
            <w:r>
              <w:rPr>
                <w:rFonts w:eastAsiaTheme="minorEastAsia"/>
                <w:sz w:val="21"/>
                <w:szCs w:val="21"/>
              </w:rPr>
              <w:t>0.015</w:t>
            </w:r>
          </w:p>
        </w:tc>
        <w:tc>
          <w:tcPr>
            <w:tcW w:w="503" w:type="pct"/>
            <w:vAlign w:val="center"/>
          </w:tcPr>
          <w:p w14:paraId="50A0F377">
            <w:pPr>
              <w:pStyle w:val="49"/>
              <w:rPr>
                <w:rFonts w:eastAsiaTheme="minorEastAsia"/>
                <w:sz w:val="21"/>
                <w:szCs w:val="21"/>
              </w:rPr>
            </w:pPr>
            <w:r>
              <w:rPr>
                <w:rFonts w:eastAsiaTheme="minorEastAsia"/>
                <w:sz w:val="21"/>
                <w:szCs w:val="21"/>
              </w:rPr>
              <w:t>0.</w:t>
            </w:r>
            <w:r>
              <w:rPr>
                <w:rFonts w:hint="eastAsia" w:eastAsiaTheme="minorEastAsia"/>
                <w:sz w:val="21"/>
                <w:szCs w:val="21"/>
              </w:rPr>
              <w:t>36</w:t>
            </w:r>
          </w:p>
        </w:tc>
        <w:tc>
          <w:tcPr>
            <w:tcW w:w="463" w:type="pct"/>
            <w:vAlign w:val="center"/>
          </w:tcPr>
          <w:p w14:paraId="63D981BD">
            <w:pPr>
              <w:pStyle w:val="49"/>
              <w:rPr>
                <w:rFonts w:eastAsiaTheme="minorEastAsia"/>
                <w:sz w:val="21"/>
                <w:szCs w:val="21"/>
              </w:rPr>
            </w:pPr>
            <w:r>
              <w:rPr>
                <w:rFonts w:hint="eastAsia" w:eastAsiaTheme="minorEastAsia"/>
                <w:sz w:val="21"/>
                <w:szCs w:val="21"/>
              </w:rPr>
              <w:t>1.8</w:t>
            </w:r>
            <w:r>
              <w:rPr>
                <w:rFonts w:eastAsiaTheme="minorEastAsia"/>
                <w:sz w:val="21"/>
                <w:szCs w:val="21"/>
              </w:rPr>
              <w:t>0</w:t>
            </w:r>
          </w:p>
        </w:tc>
        <w:tc>
          <w:tcPr>
            <w:tcW w:w="463" w:type="pct"/>
            <w:vAlign w:val="center"/>
          </w:tcPr>
          <w:p w14:paraId="2FDBF089">
            <w:pPr>
              <w:pStyle w:val="49"/>
              <w:rPr>
                <w:rFonts w:eastAsiaTheme="minorEastAsia"/>
                <w:sz w:val="21"/>
                <w:szCs w:val="21"/>
              </w:rPr>
            </w:pPr>
            <w:r>
              <w:rPr>
                <w:rFonts w:eastAsiaTheme="minorEastAsia"/>
                <w:sz w:val="21"/>
                <w:szCs w:val="21"/>
              </w:rPr>
              <w:t>0.2</w:t>
            </w:r>
            <w:r>
              <w:rPr>
                <w:rFonts w:hint="eastAsia" w:eastAsiaTheme="minorEastAsia"/>
                <w:sz w:val="21"/>
                <w:szCs w:val="21"/>
              </w:rPr>
              <w:t>0</w:t>
            </w:r>
          </w:p>
        </w:tc>
        <w:tc>
          <w:tcPr>
            <w:tcW w:w="374" w:type="pct"/>
            <w:vAlign w:val="center"/>
          </w:tcPr>
          <w:p w14:paraId="2E1B3E79">
            <w:pPr>
              <w:pStyle w:val="49"/>
              <w:rPr>
                <w:rFonts w:eastAsiaTheme="minorEastAsia"/>
                <w:sz w:val="21"/>
                <w:szCs w:val="21"/>
              </w:rPr>
            </w:pPr>
            <w:r>
              <w:rPr>
                <w:rFonts w:eastAsiaTheme="minorEastAsia"/>
                <w:sz w:val="21"/>
                <w:szCs w:val="21"/>
              </w:rPr>
              <w:t>0.</w:t>
            </w:r>
            <w:r>
              <w:rPr>
                <w:rFonts w:hint="eastAsia" w:eastAsiaTheme="minorEastAsia"/>
                <w:sz w:val="21"/>
                <w:szCs w:val="21"/>
              </w:rPr>
              <w:t>0</w:t>
            </w:r>
            <w:r>
              <w:rPr>
                <w:rFonts w:eastAsiaTheme="minorEastAsia"/>
                <w:sz w:val="21"/>
                <w:szCs w:val="21"/>
              </w:rPr>
              <w:t>17</w:t>
            </w:r>
          </w:p>
        </w:tc>
        <w:tc>
          <w:tcPr>
            <w:tcW w:w="509" w:type="pct"/>
            <w:vAlign w:val="center"/>
          </w:tcPr>
          <w:p w14:paraId="2EFCF3E9">
            <w:pPr>
              <w:pStyle w:val="49"/>
              <w:rPr>
                <w:rFonts w:eastAsiaTheme="minorEastAsia"/>
                <w:sz w:val="21"/>
                <w:szCs w:val="21"/>
              </w:rPr>
            </w:pPr>
            <w:r>
              <w:rPr>
                <w:rFonts w:hint="eastAsia" w:eastAsiaTheme="minorEastAsia"/>
                <w:sz w:val="21"/>
                <w:szCs w:val="21"/>
              </w:rPr>
              <w:t>2.46</w:t>
            </w:r>
          </w:p>
        </w:tc>
        <w:tc>
          <w:tcPr>
            <w:tcW w:w="543" w:type="pct"/>
            <w:vAlign w:val="center"/>
          </w:tcPr>
          <w:p w14:paraId="4EB905AA">
            <w:pPr>
              <w:pStyle w:val="49"/>
              <w:rPr>
                <w:rFonts w:eastAsiaTheme="minorEastAsia"/>
                <w:sz w:val="21"/>
                <w:szCs w:val="21"/>
              </w:rPr>
            </w:pPr>
            <w:r>
              <w:rPr>
                <w:rFonts w:hint="eastAsia" w:eastAsiaTheme="minorEastAsia"/>
                <w:sz w:val="21"/>
                <w:szCs w:val="21"/>
              </w:rPr>
              <w:t>0.887</w:t>
            </w:r>
          </w:p>
        </w:tc>
      </w:tr>
    </w:tbl>
    <w:p w14:paraId="7173B7A8">
      <w:pPr>
        <w:ind w:firstLine="548" w:firstLineChars="196"/>
      </w:pPr>
      <w:r>
        <w:t>流量：Q=0.887m</w:t>
      </w:r>
      <w:r>
        <w:rPr>
          <w:vertAlign w:val="superscript"/>
        </w:rPr>
        <w:t>3</w:t>
      </w:r>
      <w:r>
        <w:t>/s＞0.</w:t>
      </w:r>
      <w:r>
        <w:rPr>
          <w:rFonts w:hint="eastAsia"/>
        </w:rPr>
        <w:t>738</w:t>
      </w:r>
      <w:r>
        <w:t>m</w:t>
      </w:r>
      <w:r>
        <w:rPr>
          <w:vertAlign w:val="superscript"/>
        </w:rPr>
        <w:t>3</w:t>
      </w:r>
      <w:r>
        <w:t>/s，现有西侧雨水沟的排洪能力满足规范</w:t>
      </w:r>
      <w:r>
        <w:rPr>
          <w:rFonts w:hint="eastAsia"/>
        </w:rPr>
        <w:t>磷石膏库三等库的</w:t>
      </w:r>
      <w:r>
        <w:t>要求。</w:t>
      </w:r>
    </w:p>
    <w:p w14:paraId="5829E4A1">
      <w:pPr>
        <w:pStyle w:val="5"/>
      </w:pPr>
      <w:r>
        <w:rPr>
          <w:rFonts w:hint="eastAsia"/>
        </w:rPr>
        <w:t>3.3.3.3新建东南侧雨水沟验算</w:t>
      </w:r>
    </w:p>
    <w:p w14:paraId="22445FEE">
      <w:pPr>
        <w:ind w:right="-2" w:firstLine="560"/>
      </w:pPr>
      <w:r>
        <w:t>现有东南侧雨水沟被覆盖后，在渣场东南侧磷石膏堆体边坡与地形线交汇处新建东南侧雨水沟，</w:t>
      </w:r>
      <w:r>
        <w:rPr>
          <w:rFonts w:hint="eastAsia"/>
        </w:rPr>
        <w:t>沿现有东侧截洪沟修建，兼防渗锚固沟。</w:t>
      </w:r>
      <w:r>
        <w:t>新建东南侧雨水沟设防流量0.4</w:t>
      </w:r>
      <w:r>
        <w:rPr>
          <w:rFonts w:hint="eastAsia"/>
        </w:rPr>
        <w:t>97</w:t>
      </w:r>
      <w:r>
        <w:t>m</w:t>
      </w:r>
      <w:r>
        <w:rPr>
          <w:vertAlign w:val="superscript"/>
        </w:rPr>
        <w:t>3</w:t>
      </w:r>
      <w:r>
        <w:t>/s，采用M7.5</w:t>
      </w:r>
      <w:r>
        <w:rPr>
          <w:rFonts w:hint="eastAsia"/>
        </w:rPr>
        <w:t>Mu40</w:t>
      </w:r>
      <w:r>
        <w:t>浆砌石建造，矩形断面，尺寸宽×高=0.</w:t>
      </w:r>
      <w:r>
        <w:rPr>
          <w:rFonts w:hint="eastAsia"/>
        </w:rPr>
        <w:t>6</w:t>
      </w:r>
      <w:r>
        <w:t>×0.</w:t>
      </w:r>
      <w:r>
        <w:rPr>
          <w:rFonts w:hint="eastAsia"/>
        </w:rPr>
        <w:t>8</w:t>
      </w:r>
      <w:r>
        <w:t>m，最小坡度0.02。</w:t>
      </w:r>
    </w:p>
    <w:p w14:paraId="6982F254">
      <w:pPr>
        <w:ind w:firstLine="548" w:firstLineChars="196"/>
      </w:pPr>
      <w:r>
        <w:t>新建东南侧雨水沟排水能力校核：东南侧雨水沟设防洪峰流量0.</w:t>
      </w:r>
      <w:r>
        <w:rPr>
          <w:rFonts w:hint="eastAsia"/>
        </w:rPr>
        <w:t>497</w:t>
      </w:r>
      <w:r>
        <w:t>m</w:t>
      </w:r>
      <w:r>
        <w:rPr>
          <w:vertAlign w:val="superscript"/>
        </w:rPr>
        <w:t>3</w:t>
      </w:r>
      <w:r>
        <w:t>/s。</w:t>
      </w:r>
    </w:p>
    <w:p w14:paraId="30A85372">
      <w:pPr>
        <w:ind w:firstLine="548" w:firstLineChars="196"/>
      </w:pPr>
      <w:r>
        <w:t>过流能力校核计算采用明渠均匀流方式，过流能力计算如下表。</w:t>
      </w:r>
    </w:p>
    <w:p w14:paraId="348D5464">
      <w:pPr>
        <w:tabs>
          <w:tab w:val="right" w:leader="middleDot" w:pos="9450"/>
        </w:tabs>
        <w:ind w:firstLine="0" w:firstLineChars="0"/>
        <w:jc w:val="center"/>
        <w:rPr>
          <w:snapToGrid w:val="0"/>
          <w:kern w:val="0"/>
          <w:sz w:val="24"/>
          <w:szCs w:val="24"/>
        </w:rPr>
      </w:pPr>
      <w:r>
        <w:rPr>
          <w:snapToGrid w:val="0"/>
          <w:kern w:val="0"/>
          <w:sz w:val="24"/>
          <w:szCs w:val="24"/>
        </w:rPr>
        <w:t>表</w:t>
      </w:r>
      <w:r>
        <w:rPr>
          <w:rFonts w:hint="eastAsia"/>
          <w:snapToGrid w:val="0"/>
          <w:kern w:val="0"/>
          <w:sz w:val="24"/>
          <w:szCs w:val="24"/>
        </w:rPr>
        <w:t xml:space="preserve">3.3-7 </w:t>
      </w:r>
      <w:r>
        <w:rPr>
          <w:snapToGrid w:val="0"/>
          <w:kern w:val="0"/>
          <w:sz w:val="24"/>
          <w:szCs w:val="24"/>
        </w:rPr>
        <w:t>东南侧雨水沟过流能力计算</w:t>
      </w:r>
    </w:p>
    <w:tbl>
      <w:tblPr>
        <w:tblStyle w:val="48"/>
        <w:tblW w:w="49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851"/>
        <w:gridCol w:w="853"/>
        <w:gridCol w:w="855"/>
        <w:gridCol w:w="735"/>
        <w:gridCol w:w="929"/>
        <w:gridCol w:w="855"/>
        <w:gridCol w:w="855"/>
        <w:gridCol w:w="691"/>
        <w:gridCol w:w="940"/>
        <w:gridCol w:w="1003"/>
      </w:tblGrid>
      <w:tr w14:paraId="5599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360" w:type="pct"/>
            <w:vAlign w:val="center"/>
          </w:tcPr>
          <w:p w14:paraId="4DA5E32F">
            <w:pPr>
              <w:pStyle w:val="49"/>
              <w:rPr>
                <w:rFonts w:eastAsiaTheme="minorEastAsia"/>
                <w:sz w:val="21"/>
                <w:szCs w:val="21"/>
              </w:rPr>
            </w:pPr>
            <w:r>
              <w:rPr>
                <w:rFonts w:eastAsiaTheme="minorEastAsia"/>
                <w:sz w:val="21"/>
                <w:szCs w:val="21"/>
              </w:rPr>
              <w:t>项目</w:t>
            </w:r>
          </w:p>
        </w:tc>
        <w:tc>
          <w:tcPr>
            <w:tcW w:w="461" w:type="pct"/>
            <w:vAlign w:val="center"/>
          </w:tcPr>
          <w:p w14:paraId="00E6111B">
            <w:pPr>
              <w:pStyle w:val="49"/>
              <w:rPr>
                <w:rFonts w:eastAsiaTheme="minorEastAsia"/>
                <w:sz w:val="21"/>
                <w:szCs w:val="21"/>
              </w:rPr>
            </w:pPr>
            <w:r>
              <w:rPr>
                <w:rFonts w:eastAsiaTheme="minorEastAsia"/>
                <w:sz w:val="21"/>
                <w:szCs w:val="21"/>
              </w:rPr>
              <w:t>沟宽（m）</w:t>
            </w:r>
          </w:p>
        </w:tc>
        <w:tc>
          <w:tcPr>
            <w:tcW w:w="462" w:type="pct"/>
            <w:vAlign w:val="center"/>
          </w:tcPr>
          <w:p w14:paraId="2DD9E395">
            <w:pPr>
              <w:pStyle w:val="49"/>
              <w:rPr>
                <w:rFonts w:eastAsiaTheme="minorEastAsia"/>
                <w:sz w:val="21"/>
                <w:szCs w:val="21"/>
              </w:rPr>
            </w:pPr>
            <w:r>
              <w:rPr>
                <w:rFonts w:eastAsiaTheme="minorEastAsia"/>
                <w:sz w:val="21"/>
                <w:szCs w:val="21"/>
              </w:rPr>
              <w:t>沟深（m）</w:t>
            </w:r>
          </w:p>
        </w:tc>
        <w:tc>
          <w:tcPr>
            <w:tcW w:w="463" w:type="pct"/>
            <w:vAlign w:val="center"/>
          </w:tcPr>
          <w:p w14:paraId="501B3FF3">
            <w:pPr>
              <w:pStyle w:val="49"/>
              <w:rPr>
                <w:rFonts w:eastAsiaTheme="minorEastAsia"/>
                <w:sz w:val="21"/>
                <w:szCs w:val="21"/>
              </w:rPr>
            </w:pPr>
            <w:r>
              <w:rPr>
                <w:rFonts w:eastAsiaTheme="minorEastAsia"/>
                <w:sz w:val="21"/>
                <w:szCs w:val="21"/>
              </w:rPr>
              <w:t>安全超高（m）</w:t>
            </w:r>
          </w:p>
        </w:tc>
        <w:tc>
          <w:tcPr>
            <w:tcW w:w="398" w:type="pct"/>
            <w:vAlign w:val="center"/>
          </w:tcPr>
          <w:p w14:paraId="5490BB4B">
            <w:pPr>
              <w:pStyle w:val="49"/>
              <w:rPr>
                <w:rFonts w:eastAsiaTheme="minorEastAsia"/>
                <w:sz w:val="21"/>
                <w:szCs w:val="21"/>
              </w:rPr>
            </w:pPr>
            <w:r>
              <w:rPr>
                <w:rFonts w:eastAsiaTheme="minorEastAsia"/>
                <w:sz w:val="21"/>
                <w:szCs w:val="21"/>
              </w:rPr>
              <w:t>最小纵坡度i</w:t>
            </w:r>
          </w:p>
        </w:tc>
        <w:tc>
          <w:tcPr>
            <w:tcW w:w="503" w:type="pct"/>
            <w:vAlign w:val="center"/>
          </w:tcPr>
          <w:p w14:paraId="22BFE502">
            <w:pPr>
              <w:pStyle w:val="49"/>
              <w:rPr>
                <w:rFonts w:eastAsiaTheme="minorEastAsia"/>
                <w:sz w:val="21"/>
                <w:szCs w:val="21"/>
              </w:rPr>
            </w:pPr>
            <w:r>
              <w:rPr>
                <w:rFonts w:eastAsiaTheme="minorEastAsia"/>
                <w:sz w:val="21"/>
                <w:szCs w:val="21"/>
              </w:rPr>
              <w:t>净过水面积A（m</w:t>
            </w:r>
            <w:r>
              <w:rPr>
                <w:rFonts w:eastAsiaTheme="minorEastAsia"/>
                <w:sz w:val="21"/>
                <w:szCs w:val="21"/>
                <w:vertAlign w:val="superscript"/>
              </w:rPr>
              <w:t>2</w:t>
            </w:r>
            <w:r>
              <w:rPr>
                <w:rFonts w:eastAsiaTheme="minorEastAsia"/>
                <w:sz w:val="21"/>
                <w:szCs w:val="21"/>
              </w:rPr>
              <w:t>）</w:t>
            </w:r>
          </w:p>
        </w:tc>
        <w:tc>
          <w:tcPr>
            <w:tcW w:w="463" w:type="pct"/>
            <w:vAlign w:val="center"/>
          </w:tcPr>
          <w:p w14:paraId="10E95B00">
            <w:pPr>
              <w:pStyle w:val="49"/>
              <w:rPr>
                <w:rFonts w:eastAsiaTheme="minorEastAsia"/>
                <w:sz w:val="21"/>
                <w:szCs w:val="21"/>
              </w:rPr>
            </w:pPr>
            <w:r>
              <w:rPr>
                <w:rFonts w:eastAsiaTheme="minorEastAsia"/>
                <w:sz w:val="21"/>
                <w:szCs w:val="21"/>
              </w:rPr>
              <w:t>湿周X（m）</w:t>
            </w:r>
          </w:p>
        </w:tc>
        <w:tc>
          <w:tcPr>
            <w:tcW w:w="463" w:type="pct"/>
            <w:vAlign w:val="center"/>
          </w:tcPr>
          <w:p w14:paraId="2539D151">
            <w:pPr>
              <w:pStyle w:val="49"/>
              <w:rPr>
                <w:rFonts w:eastAsiaTheme="minorEastAsia"/>
                <w:sz w:val="21"/>
                <w:szCs w:val="21"/>
              </w:rPr>
            </w:pPr>
            <w:r>
              <w:rPr>
                <w:rFonts w:eastAsiaTheme="minorEastAsia"/>
                <w:sz w:val="21"/>
                <w:szCs w:val="21"/>
              </w:rPr>
              <w:t>水力半径R（m）</w:t>
            </w:r>
          </w:p>
        </w:tc>
        <w:tc>
          <w:tcPr>
            <w:tcW w:w="374" w:type="pct"/>
            <w:vAlign w:val="center"/>
          </w:tcPr>
          <w:p w14:paraId="39CE2C25">
            <w:pPr>
              <w:pStyle w:val="49"/>
              <w:rPr>
                <w:rFonts w:eastAsiaTheme="minorEastAsia"/>
                <w:sz w:val="21"/>
                <w:szCs w:val="21"/>
              </w:rPr>
            </w:pPr>
            <w:r>
              <w:rPr>
                <w:rFonts w:eastAsiaTheme="minorEastAsia"/>
                <w:sz w:val="21"/>
                <w:szCs w:val="21"/>
              </w:rPr>
              <w:t>水力糙度n</w:t>
            </w:r>
          </w:p>
        </w:tc>
        <w:tc>
          <w:tcPr>
            <w:tcW w:w="509" w:type="pct"/>
            <w:vAlign w:val="center"/>
          </w:tcPr>
          <w:p w14:paraId="66026797">
            <w:pPr>
              <w:pStyle w:val="49"/>
              <w:rPr>
                <w:rFonts w:eastAsiaTheme="minorEastAsia"/>
                <w:sz w:val="21"/>
                <w:szCs w:val="21"/>
              </w:rPr>
            </w:pPr>
            <w:r>
              <w:rPr>
                <w:rFonts w:eastAsiaTheme="minorEastAsia"/>
                <w:sz w:val="21"/>
                <w:szCs w:val="21"/>
              </w:rPr>
              <w:t>流速v（m/s）</w:t>
            </w:r>
          </w:p>
        </w:tc>
        <w:tc>
          <w:tcPr>
            <w:tcW w:w="543" w:type="pct"/>
            <w:vAlign w:val="center"/>
          </w:tcPr>
          <w:p w14:paraId="5EB4AECA">
            <w:pPr>
              <w:pStyle w:val="49"/>
              <w:rPr>
                <w:rFonts w:eastAsiaTheme="minorEastAsia"/>
                <w:sz w:val="21"/>
                <w:szCs w:val="21"/>
              </w:rPr>
            </w:pPr>
            <w:r>
              <w:rPr>
                <w:rFonts w:eastAsiaTheme="minorEastAsia"/>
                <w:sz w:val="21"/>
                <w:szCs w:val="21"/>
              </w:rPr>
              <w:t>流量Q（m³/s）</w:t>
            </w:r>
          </w:p>
        </w:tc>
      </w:tr>
      <w:tr w14:paraId="42FA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0" w:type="pct"/>
            <w:vAlign w:val="center"/>
          </w:tcPr>
          <w:p w14:paraId="62FAB375">
            <w:pPr>
              <w:pStyle w:val="49"/>
              <w:rPr>
                <w:rFonts w:eastAsiaTheme="minorEastAsia"/>
                <w:sz w:val="21"/>
                <w:szCs w:val="21"/>
              </w:rPr>
            </w:pPr>
            <w:r>
              <w:rPr>
                <w:rFonts w:eastAsiaTheme="minorEastAsia"/>
                <w:sz w:val="21"/>
                <w:szCs w:val="21"/>
              </w:rPr>
              <w:t>东南侧排水沟</w:t>
            </w:r>
          </w:p>
        </w:tc>
        <w:tc>
          <w:tcPr>
            <w:tcW w:w="461" w:type="pct"/>
            <w:vAlign w:val="center"/>
          </w:tcPr>
          <w:p w14:paraId="307B1132">
            <w:pPr>
              <w:pStyle w:val="49"/>
              <w:rPr>
                <w:rFonts w:eastAsiaTheme="minorEastAsia"/>
                <w:sz w:val="21"/>
                <w:szCs w:val="21"/>
              </w:rPr>
            </w:pPr>
            <w:r>
              <w:rPr>
                <w:rFonts w:eastAsiaTheme="minorEastAsia"/>
                <w:sz w:val="21"/>
                <w:szCs w:val="21"/>
              </w:rPr>
              <w:t>0.</w:t>
            </w:r>
            <w:r>
              <w:rPr>
                <w:rFonts w:hint="eastAsia" w:eastAsiaTheme="minorEastAsia"/>
                <w:sz w:val="21"/>
                <w:szCs w:val="21"/>
              </w:rPr>
              <w:t>6</w:t>
            </w:r>
          </w:p>
        </w:tc>
        <w:tc>
          <w:tcPr>
            <w:tcW w:w="462" w:type="pct"/>
            <w:vAlign w:val="center"/>
          </w:tcPr>
          <w:p w14:paraId="3C62C5FC">
            <w:pPr>
              <w:pStyle w:val="49"/>
              <w:rPr>
                <w:rFonts w:eastAsiaTheme="minorEastAsia"/>
                <w:sz w:val="21"/>
                <w:szCs w:val="21"/>
              </w:rPr>
            </w:pPr>
            <w:r>
              <w:rPr>
                <w:rFonts w:eastAsiaTheme="minorEastAsia"/>
                <w:sz w:val="21"/>
                <w:szCs w:val="21"/>
              </w:rPr>
              <w:t>0.8</w:t>
            </w:r>
          </w:p>
        </w:tc>
        <w:tc>
          <w:tcPr>
            <w:tcW w:w="463" w:type="pct"/>
            <w:vAlign w:val="center"/>
          </w:tcPr>
          <w:p w14:paraId="5745DCF6">
            <w:pPr>
              <w:pStyle w:val="49"/>
              <w:rPr>
                <w:rFonts w:eastAsiaTheme="minorEastAsia"/>
                <w:sz w:val="21"/>
                <w:szCs w:val="21"/>
              </w:rPr>
            </w:pPr>
            <w:r>
              <w:rPr>
                <w:rFonts w:eastAsiaTheme="minorEastAsia"/>
                <w:sz w:val="21"/>
                <w:szCs w:val="21"/>
              </w:rPr>
              <w:t>0.2</w:t>
            </w:r>
          </w:p>
        </w:tc>
        <w:tc>
          <w:tcPr>
            <w:tcW w:w="398" w:type="pct"/>
            <w:vAlign w:val="center"/>
          </w:tcPr>
          <w:p w14:paraId="129ACE5F">
            <w:pPr>
              <w:pStyle w:val="49"/>
              <w:rPr>
                <w:rFonts w:eastAsiaTheme="minorEastAsia"/>
                <w:sz w:val="21"/>
                <w:szCs w:val="21"/>
              </w:rPr>
            </w:pPr>
            <w:r>
              <w:rPr>
                <w:rFonts w:eastAsiaTheme="minorEastAsia"/>
                <w:sz w:val="21"/>
                <w:szCs w:val="21"/>
              </w:rPr>
              <w:t>0.0</w:t>
            </w:r>
            <w:r>
              <w:rPr>
                <w:rFonts w:hint="eastAsia" w:eastAsiaTheme="minorEastAsia"/>
                <w:sz w:val="21"/>
                <w:szCs w:val="21"/>
              </w:rPr>
              <w:t>2</w:t>
            </w:r>
          </w:p>
        </w:tc>
        <w:tc>
          <w:tcPr>
            <w:tcW w:w="503" w:type="pct"/>
            <w:vAlign w:val="center"/>
          </w:tcPr>
          <w:p w14:paraId="109FE4DD">
            <w:pPr>
              <w:pStyle w:val="49"/>
              <w:rPr>
                <w:rFonts w:eastAsiaTheme="minorEastAsia"/>
                <w:sz w:val="21"/>
                <w:szCs w:val="21"/>
              </w:rPr>
            </w:pPr>
            <w:r>
              <w:rPr>
                <w:rFonts w:eastAsiaTheme="minorEastAsia"/>
                <w:sz w:val="21"/>
                <w:szCs w:val="21"/>
              </w:rPr>
              <w:t>0.</w:t>
            </w:r>
            <w:r>
              <w:rPr>
                <w:rFonts w:hint="eastAsia" w:eastAsiaTheme="minorEastAsia"/>
                <w:sz w:val="21"/>
                <w:szCs w:val="21"/>
              </w:rPr>
              <w:t>36</w:t>
            </w:r>
          </w:p>
        </w:tc>
        <w:tc>
          <w:tcPr>
            <w:tcW w:w="463" w:type="pct"/>
            <w:vAlign w:val="center"/>
          </w:tcPr>
          <w:p w14:paraId="4486F056">
            <w:pPr>
              <w:pStyle w:val="49"/>
              <w:rPr>
                <w:rFonts w:eastAsiaTheme="minorEastAsia"/>
                <w:sz w:val="21"/>
                <w:szCs w:val="21"/>
              </w:rPr>
            </w:pPr>
            <w:r>
              <w:rPr>
                <w:rFonts w:hint="eastAsia" w:eastAsiaTheme="minorEastAsia"/>
                <w:sz w:val="21"/>
                <w:szCs w:val="21"/>
              </w:rPr>
              <w:t>1.8</w:t>
            </w:r>
            <w:r>
              <w:rPr>
                <w:rFonts w:eastAsiaTheme="minorEastAsia"/>
                <w:sz w:val="21"/>
                <w:szCs w:val="21"/>
              </w:rPr>
              <w:t>0</w:t>
            </w:r>
          </w:p>
        </w:tc>
        <w:tc>
          <w:tcPr>
            <w:tcW w:w="463" w:type="pct"/>
            <w:vAlign w:val="center"/>
          </w:tcPr>
          <w:p w14:paraId="49E4C9F0">
            <w:pPr>
              <w:pStyle w:val="49"/>
              <w:rPr>
                <w:rFonts w:eastAsiaTheme="minorEastAsia"/>
                <w:sz w:val="21"/>
                <w:szCs w:val="21"/>
              </w:rPr>
            </w:pPr>
            <w:r>
              <w:rPr>
                <w:rFonts w:eastAsiaTheme="minorEastAsia"/>
                <w:sz w:val="21"/>
                <w:szCs w:val="21"/>
              </w:rPr>
              <w:t>0.2</w:t>
            </w:r>
            <w:r>
              <w:rPr>
                <w:rFonts w:hint="eastAsia" w:eastAsiaTheme="minorEastAsia"/>
                <w:sz w:val="21"/>
                <w:szCs w:val="21"/>
              </w:rPr>
              <w:t>0</w:t>
            </w:r>
          </w:p>
        </w:tc>
        <w:tc>
          <w:tcPr>
            <w:tcW w:w="374" w:type="pct"/>
            <w:vAlign w:val="center"/>
          </w:tcPr>
          <w:p w14:paraId="66C8B707">
            <w:pPr>
              <w:pStyle w:val="49"/>
              <w:rPr>
                <w:rFonts w:eastAsiaTheme="minorEastAsia"/>
                <w:sz w:val="21"/>
                <w:szCs w:val="21"/>
              </w:rPr>
            </w:pPr>
            <w:r>
              <w:rPr>
                <w:rFonts w:eastAsiaTheme="minorEastAsia"/>
                <w:sz w:val="21"/>
                <w:szCs w:val="21"/>
              </w:rPr>
              <w:t>0.</w:t>
            </w:r>
            <w:r>
              <w:rPr>
                <w:rFonts w:hint="eastAsia" w:eastAsiaTheme="minorEastAsia"/>
                <w:sz w:val="21"/>
                <w:szCs w:val="21"/>
              </w:rPr>
              <w:t>0</w:t>
            </w:r>
            <w:r>
              <w:rPr>
                <w:rFonts w:eastAsiaTheme="minorEastAsia"/>
                <w:sz w:val="21"/>
                <w:szCs w:val="21"/>
              </w:rPr>
              <w:t>17</w:t>
            </w:r>
          </w:p>
        </w:tc>
        <w:tc>
          <w:tcPr>
            <w:tcW w:w="509" w:type="pct"/>
            <w:vAlign w:val="center"/>
          </w:tcPr>
          <w:p w14:paraId="7010A3FE">
            <w:pPr>
              <w:pStyle w:val="49"/>
              <w:rPr>
                <w:rFonts w:eastAsiaTheme="minorEastAsia"/>
                <w:sz w:val="21"/>
                <w:szCs w:val="21"/>
              </w:rPr>
            </w:pPr>
            <w:r>
              <w:rPr>
                <w:rFonts w:hint="eastAsia" w:eastAsiaTheme="minorEastAsia"/>
                <w:sz w:val="21"/>
                <w:szCs w:val="21"/>
              </w:rPr>
              <w:t>2.85</w:t>
            </w:r>
          </w:p>
        </w:tc>
        <w:tc>
          <w:tcPr>
            <w:tcW w:w="543" w:type="pct"/>
            <w:vAlign w:val="center"/>
          </w:tcPr>
          <w:p w14:paraId="6DD48C99">
            <w:pPr>
              <w:pStyle w:val="49"/>
              <w:rPr>
                <w:rFonts w:eastAsiaTheme="minorEastAsia"/>
                <w:sz w:val="21"/>
                <w:szCs w:val="21"/>
              </w:rPr>
            </w:pPr>
            <w:r>
              <w:rPr>
                <w:rFonts w:hint="eastAsia" w:eastAsiaTheme="minorEastAsia"/>
                <w:sz w:val="21"/>
                <w:szCs w:val="21"/>
              </w:rPr>
              <w:t>1.024</w:t>
            </w:r>
          </w:p>
        </w:tc>
      </w:tr>
    </w:tbl>
    <w:p w14:paraId="19E24321">
      <w:pPr>
        <w:ind w:firstLine="548" w:firstLineChars="196"/>
      </w:pPr>
      <w:r>
        <w:t>流量：Q=</w:t>
      </w:r>
      <w:r>
        <w:rPr>
          <w:rFonts w:hint="eastAsia"/>
        </w:rPr>
        <w:t>1.024</w:t>
      </w:r>
      <w:r>
        <w:t>m</w:t>
      </w:r>
      <w:r>
        <w:rPr>
          <w:vertAlign w:val="superscript"/>
        </w:rPr>
        <w:t>3</w:t>
      </w:r>
      <w:r>
        <w:t>/s＞0.</w:t>
      </w:r>
      <w:r>
        <w:rPr>
          <w:rFonts w:hint="eastAsia"/>
        </w:rPr>
        <w:t>497</w:t>
      </w:r>
      <w:r>
        <w:t>m</w:t>
      </w:r>
      <w:r>
        <w:rPr>
          <w:vertAlign w:val="superscript"/>
        </w:rPr>
        <w:t>3</w:t>
      </w:r>
      <w:r>
        <w:t>/s，新建东南侧雨水沟的排洪能力满足规范</w:t>
      </w:r>
      <w:r>
        <w:rPr>
          <w:rFonts w:hint="eastAsia"/>
        </w:rPr>
        <w:t>磷石膏库三等库的</w:t>
      </w:r>
      <w:r>
        <w:t>要求。</w:t>
      </w:r>
    </w:p>
    <w:p w14:paraId="5A04A4F5">
      <w:pPr>
        <w:pStyle w:val="5"/>
      </w:pPr>
      <w:r>
        <w:rPr>
          <w:rFonts w:hint="eastAsia"/>
        </w:rPr>
        <w:t>3.3.3.4表层雨水沟</w:t>
      </w:r>
    </w:p>
    <w:p w14:paraId="481A8D2F">
      <w:pPr>
        <w:widowControl/>
        <w:ind w:firstLine="560"/>
        <w:jc w:val="left"/>
        <w:rPr>
          <w:rFonts w:cs="Times New Roman"/>
        </w:rPr>
      </w:pPr>
      <w:r>
        <w:rPr>
          <w:rFonts w:cs="Times New Roman"/>
        </w:rPr>
        <w:t>在渣场覆土表层顶面设置表层雨水沟，表层雨水沟雨水导排至周边截洪沟内，表层雨水沟断面形式按矩形断面设计，尺寸BⅹH=0.3×0.4m，最小纵坡2%，采用C20混凝土浇筑，表层雨水沟沿长度方向每隔10~20m设置沉降缝（缝宽20mm），沉降缝用沥青麻絮填塞。</w:t>
      </w:r>
    </w:p>
    <w:p w14:paraId="195C80B8">
      <w:pPr>
        <w:ind w:firstLine="560"/>
      </w:pPr>
      <w:r>
        <w:rPr>
          <w:rFonts w:cs="Times New Roman"/>
        </w:rPr>
        <w:t>在渣场覆盖表层边坡平台上设施坡面雨水沟，坡面雨水沟雨水导排至周边截洪沟内，坡面雨水沟断面形式按矩形断面设计，尺寸BⅹH=0.3×0.4m，最小纵坡2%，采用C20混凝土浇筑，表层雨水沟沿长度方向每隔10~20m设置沉降缝（缝宽20mm），沉降缝用沥青麻絮填塞。纵向间隔100m设置纵向坡面雨水沟，纵向坡面雨水沟断面形式按矩形断面设计，尺寸BⅹH=0.5×0.6m，最小纵坡2%，采用C20混凝土浇筑，表层雨水沟沿长度方向每隔10~20m设置沉降缝（缝宽20mm）</w:t>
      </w:r>
      <w:r>
        <w:rPr>
          <w:rFonts w:hint="eastAsia"/>
        </w:rPr>
        <w:t>。</w:t>
      </w:r>
    </w:p>
    <w:p w14:paraId="2605E8C9">
      <w:pPr>
        <w:pStyle w:val="4"/>
      </w:pPr>
      <w:bookmarkStart w:id="95" w:name="_Toc230699616"/>
      <w:r>
        <w:rPr>
          <w:rFonts w:hint="eastAsia"/>
        </w:rPr>
        <w:t>3.3.4 存在主要问题及建议</w:t>
      </w:r>
      <w:bookmarkEnd w:id="95"/>
    </w:p>
    <w:p w14:paraId="5524AB2B">
      <w:pPr>
        <w:ind w:firstLine="560"/>
      </w:pPr>
      <w:r>
        <w:rPr>
          <w:rFonts w:hint="eastAsia"/>
        </w:rPr>
        <w:t>1.设计未考虑施工期间现状边坡的临时排水设施，结合渣场现状图，现状2062.5m平台整体地势为东北高西南低，汇水面积大，为防止雨水冲刷边坡，建议安全设施设计增设边坡修整前的坡面临时排水设施，将雨水导排至东南侧排水沟和西侧排水沟。</w:t>
      </w:r>
    </w:p>
    <w:p w14:paraId="592B2B35">
      <w:pPr>
        <w:ind w:firstLine="560"/>
      </w:pPr>
      <w:r>
        <w:rPr>
          <w:rFonts w:hint="eastAsia"/>
        </w:rPr>
        <w:t>2.东南侧区域清理、防渗施工过程中应加强顶部截洪沟的疏通、检查和维护，按设计要求施工，尽量避开雨季，防止东南侧表层清理时边坡不稳，发生泥石流、滑坡等。</w:t>
      </w:r>
    </w:p>
    <w:p w14:paraId="3D5EBFA7">
      <w:pPr>
        <w:pStyle w:val="4"/>
      </w:pPr>
      <w:bookmarkStart w:id="96" w:name="_Toc230699617"/>
      <w:r>
        <w:rPr>
          <w:rFonts w:hint="eastAsia"/>
        </w:rPr>
        <w:t>3.3.5 单元小结</w:t>
      </w:r>
      <w:bookmarkEnd w:id="96"/>
    </w:p>
    <w:p w14:paraId="551E84CA">
      <w:pPr>
        <w:ind w:firstLine="560"/>
      </w:pPr>
      <w:r>
        <w:rPr>
          <w:rFonts w:hint="eastAsia"/>
        </w:rPr>
        <w:t>通过对弃渣场防洪预先危险性分析，其潜在的危险有垮塌、堵塞、裂隙、错动等4类，其危险等级为</w:t>
      </w:r>
      <w:r>
        <w:rPr>
          <w:rFonts w:cs="Times New Roman"/>
        </w:rPr>
        <w:t>Ⅱ-Ⅳ</w:t>
      </w:r>
      <w:r>
        <w:rPr>
          <w:rFonts w:hint="eastAsia"/>
        </w:rPr>
        <w:t>。预先危险性分析（PHA）表中列出了原因和改进措施或预防方法，通过采取有效措施，潜在的危险是可以得到控制的。</w:t>
      </w:r>
    </w:p>
    <w:p w14:paraId="1508402D">
      <w:pPr>
        <w:ind w:firstLine="560"/>
      </w:pPr>
      <w:r>
        <w:rPr>
          <w:rFonts w:hint="eastAsia"/>
        </w:rPr>
        <w:t>整治设计对渣场的防排洪设施进行了设计和完善，防排水单元符合《水土保持工程设计规范》（GB51018-2014）、</w:t>
      </w:r>
      <w:r>
        <w:t>《磷石膏库安全技术规程》（AQ 2059-2016）</w:t>
      </w:r>
      <w:r>
        <w:rPr>
          <w:rFonts w:hint="eastAsia"/>
        </w:rPr>
        <w:t>要求。</w:t>
      </w:r>
    </w:p>
    <w:p w14:paraId="45490836">
      <w:pPr>
        <w:pStyle w:val="3"/>
      </w:pPr>
      <w:bookmarkStart w:id="97" w:name="_Toc230699618"/>
      <w:r>
        <w:rPr>
          <w:rFonts w:hint="eastAsia"/>
        </w:rPr>
        <w:t>3.4 安全监测设施单元</w:t>
      </w:r>
      <w:bookmarkEnd w:id="97"/>
    </w:p>
    <w:p w14:paraId="47DFBC46">
      <w:pPr>
        <w:pStyle w:val="4"/>
      </w:pPr>
      <w:bookmarkStart w:id="98" w:name="_Toc230699619"/>
      <w:r>
        <w:rPr>
          <w:rFonts w:hint="eastAsia"/>
        </w:rPr>
        <w:t>3.4.1 安全监测设施安全检查表</w:t>
      </w:r>
      <w:bookmarkEnd w:id="98"/>
    </w:p>
    <w:p w14:paraId="3DDAE392">
      <w:pPr>
        <w:ind w:firstLine="560"/>
      </w:pPr>
      <w:r>
        <w:rPr>
          <w:rFonts w:hint="eastAsia"/>
        </w:rPr>
        <w:t>根据</w:t>
      </w:r>
      <w:r>
        <w:t>《磷石膏库安全技术规程》（AQ 2059-2016）、《尾矿库安全规程》（GB39496-2020）、《尾矿库安全监测技术规范》</w:t>
      </w:r>
      <w:r>
        <w:rPr>
          <w:szCs w:val="21"/>
        </w:rPr>
        <w:t>（AQ2030-2010）</w:t>
      </w:r>
      <w:r>
        <w:t>等</w:t>
      </w:r>
      <w:r>
        <w:rPr>
          <w:rFonts w:hint="eastAsia"/>
        </w:rPr>
        <w:t>中的相关内容对该磷石膏渣场安全监测设施进行检查，见表3.4-1。</w:t>
      </w:r>
    </w:p>
    <w:p w14:paraId="072B51B8">
      <w:pPr>
        <w:pStyle w:val="4"/>
      </w:pPr>
      <w:bookmarkStart w:id="99" w:name="_Toc230699620"/>
      <w:r>
        <w:rPr>
          <w:rFonts w:hint="eastAsia"/>
        </w:rPr>
        <w:t>3.4.2 单元小结</w:t>
      </w:r>
      <w:bookmarkEnd w:id="99"/>
    </w:p>
    <w:p w14:paraId="45904F74">
      <w:pPr>
        <w:ind w:firstLine="560"/>
      </w:pPr>
      <w:r>
        <w:rPr>
          <w:rFonts w:hint="eastAsia"/>
        </w:rPr>
        <w:t>整治设计对渣场的安全监测设施进行了设计和完善，安全监测设施单元符合</w:t>
      </w:r>
      <w:r>
        <w:t>《磷石膏库安全技术规程》（AQ2059-2016）、《尾矿库安全规程》（GB39496-2020）、《尾矿库安全监测技术规范》</w:t>
      </w:r>
      <w:r>
        <w:rPr>
          <w:szCs w:val="21"/>
        </w:rPr>
        <w:t>（AQ2030-2010）的</w:t>
      </w:r>
      <w:r>
        <w:rPr>
          <w:rFonts w:hint="eastAsia"/>
        </w:rPr>
        <w:t>要求。</w:t>
      </w:r>
    </w:p>
    <w:p w14:paraId="4CF10621">
      <w:pPr>
        <w:pStyle w:val="3"/>
      </w:pPr>
      <w:bookmarkStart w:id="100" w:name="_Toc230699621"/>
      <w:r>
        <w:rPr>
          <w:rFonts w:hint="eastAsia"/>
        </w:rPr>
        <w:t>3.5 安全管理单元</w:t>
      </w:r>
      <w:bookmarkEnd w:id="100"/>
    </w:p>
    <w:p w14:paraId="13FCA064">
      <w:pPr>
        <w:pStyle w:val="4"/>
      </w:pPr>
      <w:bookmarkStart w:id="101" w:name="_Toc230699622"/>
      <w:r>
        <w:rPr>
          <w:rFonts w:hint="eastAsia"/>
        </w:rPr>
        <w:t>3.5.1 安全管理单元预先危险性分析</w:t>
      </w:r>
      <w:bookmarkEnd w:id="101"/>
    </w:p>
    <w:p w14:paraId="6458083F">
      <w:pPr>
        <w:pStyle w:val="38"/>
        <w:rPr>
          <w:rFonts w:hint="default"/>
        </w:rPr>
      </w:pPr>
      <w:r>
        <w:t>表3.5-1  安全管理单元预先危险性分析表</w:t>
      </w:r>
    </w:p>
    <w:tbl>
      <w:tblPr>
        <w:tblStyle w:val="3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2"/>
        <w:gridCol w:w="1175"/>
        <w:gridCol w:w="1784"/>
        <w:gridCol w:w="713"/>
        <w:gridCol w:w="4012"/>
      </w:tblGrid>
      <w:tr w14:paraId="724C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911" w:type="pct"/>
            <w:vAlign w:val="center"/>
          </w:tcPr>
          <w:p w14:paraId="68CC2ED7">
            <w:pPr>
              <w:pStyle w:val="39"/>
              <w:rPr>
                <w:rFonts w:hint="default"/>
                <w:b/>
                <w:bCs/>
              </w:rPr>
            </w:pPr>
            <w:bookmarkStart w:id="102" w:name="_Toc319937111"/>
            <w:r>
              <w:rPr>
                <w:b/>
                <w:bCs/>
              </w:rPr>
              <w:t>危险因素</w:t>
            </w:r>
          </w:p>
        </w:tc>
        <w:tc>
          <w:tcPr>
            <w:tcW w:w="625" w:type="pct"/>
            <w:vAlign w:val="center"/>
          </w:tcPr>
          <w:p w14:paraId="7098A5FE">
            <w:pPr>
              <w:pStyle w:val="39"/>
              <w:rPr>
                <w:rFonts w:hint="default"/>
                <w:b/>
                <w:bCs/>
              </w:rPr>
            </w:pPr>
            <w:r>
              <w:rPr>
                <w:b/>
                <w:bCs/>
              </w:rPr>
              <w:t>诱导因素</w:t>
            </w:r>
          </w:p>
        </w:tc>
        <w:tc>
          <w:tcPr>
            <w:tcW w:w="949" w:type="pct"/>
            <w:vAlign w:val="center"/>
          </w:tcPr>
          <w:p w14:paraId="5CAD0CD9">
            <w:pPr>
              <w:pStyle w:val="39"/>
              <w:rPr>
                <w:rFonts w:hint="default"/>
                <w:b/>
                <w:bCs/>
              </w:rPr>
            </w:pPr>
            <w:r>
              <w:rPr>
                <w:b/>
                <w:bCs/>
              </w:rPr>
              <w:t>事故后果</w:t>
            </w:r>
          </w:p>
        </w:tc>
        <w:tc>
          <w:tcPr>
            <w:tcW w:w="379" w:type="pct"/>
            <w:vAlign w:val="center"/>
          </w:tcPr>
          <w:p w14:paraId="74353149">
            <w:pPr>
              <w:pStyle w:val="39"/>
              <w:rPr>
                <w:rFonts w:hint="default"/>
                <w:b/>
                <w:bCs/>
              </w:rPr>
            </w:pPr>
            <w:r>
              <w:rPr>
                <w:b/>
                <w:bCs/>
              </w:rPr>
              <w:t>危险</w:t>
            </w:r>
          </w:p>
          <w:p w14:paraId="7A1D6695">
            <w:pPr>
              <w:pStyle w:val="39"/>
              <w:rPr>
                <w:rFonts w:hint="default"/>
                <w:b/>
                <w:bCs/>
              </w:rPr>
            </w:pPr>
            <w:r>
              <w:rPr>
                <w:b/>
                <w:bCs/>
              </w:rPr>
              <w:t>等级</w:t>
            </w:r>
          </w:p>
        </w:tc>
        <w:tc>
          <w:tcPr>
            <w:tcW w:w="2134" w:type="pct"/>
            <w:vAlign w:val="center"/>
          </w:tcPr>
          <w:p w14:paraId="0E411778">
            <w:pPr>
              <w:pStyle w:val="39"/>
              <w:rPr>
                <w:rFonts w:hint="default"/>
                <w:b/>
                <w:bCs/>
              </w:rPr>
            </w:pPr>
            <w:r>
              <w:rPr>
                <w:b/>
                <w:bCs/>
              </w:rPr>
              <w:t>措施及建议</w:t>
            </w:r>
          </w:p>
        </w:tc>
      </w:tr>
      <w:tr w14:paraId="7599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911" w:type="pct"/>
            <w:vAlign w:val="center"/>
          </w:tcPr>
          <w:p w14:paraId="667A99E9">
            <w:pPr>
              <w:pStyle w:val="39"/>
              <w:rPr>
                <w:rFonts w:hint="default"/>
              </w:rPr>
            </w:pPr>
            <w:r>
              <w:t>安全生产责任制不健全。</w:t>
            </w:r>
          </w:p>
        </w:tc>
        <w:tc>
          <w:tcPr>
            <w:tcW w:w="625" w:type="pct"/>
            <w:vAlign w:val="center"/>
          </w:tcPr>
          <w:p w14:paraId="7FB742C7">
            <w:pPr>
              <w:pStyle w:val="39"/>
              <w:rPr>
                <w:rFonts w:hint="default"/>
              </w:rPr>
            </w:pPr>
            <w:r>
              <w:t>发生安全生产责任事故。</w:t>
            </w:r>
          </w:p>
        </w:tc>
        <w:tc>
          <w:tcPr>
            <w:tcW w:w="949" w:type="pct"/>
            <w:vAlign w:val="center"/>
          </w:tcPr>
          <w:p w14:paraId="01369EA5">
            <w:pPr>
              <w:pStyle w:val="39"/>
              <w:rPr>
                <w:rFonts w:hint="default"/>
              </w:rPr>
            </w:pPr>
            <w:r>
              <w:t>1.发生事故后，无人负责处理；2.职责不明，导致事故发生后，救援不及时造成重大损失。</w:t>
            </w:r>
          </w:p>
        </w:tc>
        <w:tc>
          <w:tcPr>
            <w:tcW w:w="379" w:type="pct"/>
            <w:vAlign w:val="center"/>
          </w:tcPr>
          <w:p w14:paraId="3FE0DBDB">
            <w:pPr>
              <w:pStyle w:val="39"/>
              <w:rPr>
                <w:rFonts w:hint="default"/>
              </w:rPr>
            </w:pPr>
            <w:r>
              <w:t>Ⅳ</w:t>
            </w:r>
          </w:p>
        </w:tc>
        <w:tc>
          <w:tcPr>
            <w:tcW w:w="2134" w:type="pct"/>
            <w:vAlign w:val="center"/>
          </w:tcPr>
          <w:p w14:paraId="2DDD4D81">
            <w:pPr>
              <w:pStyle w:val="39"/>
              <w:rPr>
                <w:rFonts w:hint="default"/>
              </w:rPr>
            </w:pPr>
            <w:r>
              <w:t>1.有健全的行政领导岗位安全生产责任制；2.有健全的职能机构安全生产责任制；3.岗位人员的安全生产责任制。</w:t>
            </w:r>
          </w:p>
        </w:tc>
      </w:tr>
      <w:tr w14:paraId="4BD5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6" w:hRule="atLeast"/>
          <w:jc w:val="center"/>
        </w:trPr>
        <w:tc>
          <w:tcPr>
            <w:tcW w:w="911" w:type="pct"/>
            <w:vAlign w:val="center"/>
          </w:tcPr>
          <w:p w14:paraId="5E22CDF3">
            <w:pPr>
              <w:pStyle w:val="39"/>
              <w:rPr>
                <w:rFonts w:hint="default"/>
              </w:rPr>
            </w:pPr>
            <w:r>
              <w:t>对企业的安全生产不重视。</w:t>
            </w:r>
          </w:p>
        </w:tc>
        <w:tc>
          <w:tcPr>
            <w:tcW w:w="625" w:type="pct"/>
            <w:vAlign w:val="center"/>
          </w:tcPr>
          <w:p w14:paraId="24F6DB1D">
            <w:pPr>
              <w:pStyle w:val="39"/>
              <w:rPr>
                <w:rFonts w:hint="default"/>
              </w:rPr>
            </w:pPr>
            <w:r>
              <w:t>发生重大安全责任事故。</w:t>
            </w:r>
          </w:p>
        </w:tc>
        <w:tc>
          <w:tcPr>
            <w:tcW w:w="949" w:type="pct"/>
            <w:vAlign w:val="center"/>
          </w:tcPr>
          <w:p w14:paraId="487B0572">
            <w:pPr>
              <w:pStyle w:val="39"/>
              <w:rPr>
                <w:rFonts w:hint="default"/>
              </w:rPr>
            </w:pPr>
            <w:r>
              <w:t>造成重大伤亡和损失。</w:t>
            </w:r>
          </w:p>
        </w:tc>
        <w:tc>
          <w:tcPr>
            <w:tcW w:w="379" w:type="pct"/>
            <w:vAlign w:val="center"/>
          </w:tcPr>
          <w:p w14:paraId="587A1E2E">
            <w:pPr>
              <w:pStyle w:val="39"/>
              <w:rPr>
                <w:rFonts w:hint="default"/>
              </w:rPr>
            </w:pPr>
            <w:r>
              <w:t>Ⅳ</w:t>
            </w:r>
          </w:p>
        </w:tc>
        <w:tc>
          <w:tcPr>
            <w:tcW w:w="2134" w:type="pct"/>
            <w:vAlign w:val="center"/>
          </w:tcPr>
          <w:p w14:paraId="0491AB7B">
            <w:pPr>
              <w:pStyle w:val="39"/>
              <w:rPr>
                <w:rFonts w:hint="default"/>
              </w:rPr>
            </w:pPr>
            <w:r>
              <w:t>1.必须认真贯彻执行《安全生产法》和其他法律、法规中有关安全生产的规定；2.制定本企业安全生产管理制度；3.根据需要配备合格的安全工作人员，对每个作业场所进行跟班检查；4.采取有效措施，改善职工劳动条件，保证安全生产所需要的材料、设备、仪器和劳动防护用品的及时供应；5.对职工进行安全教育、培训；6.及时采取措施，处理存在的事故隐患；7.及时、如实向监管部门报告事故。</w:t>
            </w:r>
          </w:p>
        </w:tc>
      </w:tr>
      <w:tr w14:paraId="023C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911" w:type="pct"/>
            <w:vAlign w:val="center"/>
          </w:tcPr>
          <w:p w14:paraId="4B53AA08">
            <w:pPr>
              <w:pStyle w:val="39"/>
              <w:rPr>
                <w:rFonts w:hint="default"/>
              </w:rPr>
            </w:pPr>
            <w:r>
              <w:t>对职工的安全教育、培训不完全。</w:t>
            </w:r>
          </w:p>
        </w:tc>
        <w:tc>
          <w:tcPr>
            <w:tcW w:w="625" w:type="pct"/>
            <w:vAlign w:val="center"/>
          </w:tcPr>
          <w:p w14:paraId="5D553244">
            <w:pPr>
              <w:pStyle w:val="39"/>
              <w:rPr>
                <w:rFonts w:hint="default"/>
              </w:rPr>
            </w:pPr>
            <w:r>
              <w:t>职工对安全知识了解不完全，在作业中忽视安全防护或违反安全操作规定。</w:t>
            </w:r>
          </w:p>
        </w:tc>
        <w:tc>
          <w:tcPr>
            <w:tcW w:w="949" w:type="pct"/>
            <w:vAlign w:val="center"/>
          </w:tcPr>
          <w:p w14:paraId="3CBCC1D5">
            <w:pPr>
              <w:pStyle w:val="39"/>
              <w:rPr>
                <w:rFonts w:hint="default"/>
              </w:rPr>
            </w:pPr>
            <w:r>
              <w:t>造成职工在作业中，因不了解安全责任或安全规定，疏忽大意造成人员伤亡，设备损坏。</w:t>
            </w:r>
          </w:p>
        </w:tc>
        <w:tc>
          <w:tcPr>
            <w:tcW w:w="379" w:type="pct"/>
            <w:vAlign w:val="center"/>
          </w:tcPr>
          <w:p w14:paraId="7D87524E">
            <w:pPr>
              <w:pStyle w:val="39"/>
              <w:rPr>
                <w:rFonts w:hint="default"/>
              </w:rPr>
            </w:pPr>
            <w:r>
              <w:t>Ⅳ</w:t>
            </w:r>
          </w:p>
        </w:tc>
        <w:tc>
          <w:tcPr>
            <w:tcW w:w="2134" w:type="pct"/>
            <w:vAlign w:val="center"/>
          </w:tcPr>
          <w:p w14:paraId="18B9EC64">
            <w:pPr>
              <w:pStyle w:val="39"/>
              <w:rPr>
                <w:rFonts w:hint="default"/>
              </w:rPr>
            </w:pPr>
            <w:r>
              <w:t>1.《安全生产法》及其他法律、法规赋予企业职工的权利和义务；2.安全技术规程及有关安全管理的规章制度；3.与职工本职工作有关的安全知识；4.各种事故征兆的识别、发生紧急危险情况时的应急措施和撤退路线；5.自救装备的使用和有关急救方面的知识；6.有关主管部门规定其他内容。</w:t>
            </w:r>
          </w:p>
        </w:tc>
      </w:tr>
      <w:tr w14:paraId="1E7A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911" w:type="pct"/>
            <w:vAlign w:val="center"/>
          </w:tcPr>
          <w:p w14:paraId="2D205EF4">
            <w:pPr>
              <w:pStyle w:val="39"/>
              <w:rPr>
                <w:rFonts w:hint="default"/>
              </w:rPr>
            </w:pPr>
            <w:r>
              <w:t>在不同的作业场所未按要求设置安全警示标志。</w:t>
            </w:r>
          </w:p>
        </w:tc>
        <w:tc>
          <w:tcPr>
            <w:tcW w:w="625" w:type="pct"/>
            <w:vAlign w:val="center"/>
          </w:tcPr>
          <w:p w14:paraId="6280844A">
            <w:pPr>
              <w:pStyle w:val="39"/>
              <w:rPr>
                <w:rFonts w:hint="default"/>
              </w:rPr>
            </w:pPr>
            <w:r>
              <w:t>发生伤亡事故。</w:t>
            </w:r>
          </w:p>
        </w:tc>
        <w:tc>
          <w:tcPr>
            <w:tcW w:w="949" w:type="pct"/>
            <w:vAlign w:val="center"/>
          </w:tcPr>
          <w:p w14:paraId="6A178F21">
            <w:pPr>
              <w:pStyle w:val="39"/>
              <w:rPr>
                <w:rFonts w:hint="default"/>
              </w:rPr>
            </w:pPr>
            <w:r>
              <w:t>由于标志不清或无标志造成人身伤亡。</w:t>
            </w:r>
          </w:p>
        </w:tc>
        <w:tc>
          <w:tcPr>
            <w:tcW w:w="379" w:type="pct"/>
            <w:vAlign w:val="center"/>
          </w:tcPr>
          <w:p w14:paraId="4BCA6E89">
            <w:pPr>
              <w:pStyle w:val="39"/>
              <w:rPr>
                <w:rFonts w:hint="default"/>
              </w:rPr>
            </w:pPr>
            <w:r>
              <w:t>Ⅳ</w:t>
            </w:r>
          </w:p>
        </w:tc>
        <w:tc>
          <w:tcPr>
            <w:tcW w:w="2134" w:type="pct"/>
            <w:vAlign w:val="center"/>
          </w:tcPr>
          <w:p w14:paraId="7C3DF689">
            <w:pPr>
              <w:pStyle w:val="39"/>
              <w:rPr>
                <w:rFonts w:hint="default"/>
              </w:rPr>
            </w:pPr>
            <w:r>
              <w:t>在不同的作业场所必须按规定设置安全警示标志</w:t>
            </w:r>
          </w:p>
        </w:tc>
      </w:tr>
      <w:tr w14:paraId="5112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911" w:type="pct"/>
            <w:vAlign w:val="center"/>
          </w:tcPr>
          <w:p w14:paraId="76EACCCC">
            <w:pPr>
              <w:pStyle w:val="39"/>
              <w:rPr>
                <w:rFonts w:hint="default"/>
              </w:rPr>
            </w:pPr>
            <w:r>
              <w:t>安全资金挪作他用。</w:t>
            </w:r>
          </w:p>
        </w:tc>
        <w:tc>
          <w:tcPr>
            <w:tcW w:w="625" w:type="pct"/>
            <w:vAlign w:val="center"/>
          </w:tcPr>
          <w:p w14:paraId="592EBEC8">
            <w:pPr>
              <w:pStyle w:val="39"/>
              <w:rPr>
                <w:rFonts w:hint="default"/>
              </w:rPr>
            </w:pPr>
            <w:r>
              <w:t>由于安全隐患不能及时消除，造成安全事故。</w:t>
            </w:r>
          </w:p>
        </w:tc>
        <w:tc>
          <w:tcPr>
            <w:tcW w:w="949" w:type="pct"/>
            <w:vAlign w:val="center"/>
          </w:tcPr>
          <w:p w14:paraId="22706B78">
            <w:pPr>
              <w:pStyle w:val="39"/>
              <w:rPr>
                <w:rFonts w:hint="default"/>
              </w:rPr>
            </w:pPr>
            <w:r>
              <w:t>造成人员伤亡，设备损坏。</w:t>
            </w:r>
          </w:p>
        </w:tc>
        <w:tc>
          <w:tcPr>
            <w:tcW w:w="379" w:type="pct"/>
            <w:vAlign w:val="center"/>
          </w:tcPr>
          <w:p w14:paraId="0782DF08">
            <w:pPr>
              <w:pStyle w:val="39"/>
              <w:rPr>
                <w:rFonts w:hint="default"/>
              </w:rPr>
            </w:pPr>
            <w:r>
              <w:t>Ⅲ</w:t>
            </w:r>
          </w:p>
        </w:tc>
        <w:tc>
          <w:tcPr>
            <w:tcW w:w="2134" w:type="pct"/>
            <w:vAlign w:val="center"/>
          </w:tcPr>
          <w:p w14:paraId="4A561670">
            <w:pPr>
              <w:pStyle w:val="39"/>
              <w:rPr>
                <w:rFonts w:hint="default"/>
              </w:rPr>
            </w:pPr>
            <w:r>
              <w:t>企业必须按照国家规定的安全条件进行生产，并安排一部分资金，用于下列改善企业安全生产条件的项目：1.完善、改造和维护安全防护设施设备和重大安全隐患治理支出；2.应急救援技术装备、设施配置及维护保养支出，设施设备的配置和应急演练支出；3.开展重大危险源和事故隐患评估、监控和整改支出；4.安全生产检查、咨询、标准化建设支出；5.配备和更新现场作业人员安全防护用品支出；6.安全生产宣传、教育、培训支出；7.安全生产适用的新技术、新标准、新工艺、新装备的推广应用支出；8.安全设施及特种设备检测检验支出；9.其他与安全生产直接相关的支出。</w:t>
            </w:r>
          </w:p>
        </w:tc>
      </w:tr>
      <w:tr w14:paraId="15EC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11" w:type="pct"/>
            <w:vAlign w:val="center"/>
          </w:tcPr>
          <w:p w14:paraId="0E3DC096">
            <w:pPr>
              <w:pStyle w:val="39"/>
              <w:rPr>
                <w:rFonts w:hint="default"/>
              </w:rPr>
            </w:pPr>
            <w:r>
              <w:t>管理不到位</w:t>
            </w:r>
          </w:p>
        </w:tc>
        <w:tc>
          <w:tcPr>
            <w:tcW w:w="625" w:type="pct"/>
            <w:vAlign w:val="center"/>
          </w:tcPr>
          <w:p w14:paraId="0CC4F59E">
            <w:pPr>
              <w:pStyle w:val="39"/>
              <w:rPr>
                <w:rFonts w:hint="default"/>
              </w:rPr>
            </w:pPr>
            <w:r>
              <w:t>安全生产责任制未落实。</w:t>
            </w:r>
          </w:p>
        </w:tc>
        <w:tc>
          <w:tcPr>
            <w:tcW w:w="949" w:type="pct"/>
            <w:vAlign w:val="center"/>
          </w:tcPr>
          <w:p w14:paraId="1510080A">
            <w:pPr>
              <w:pStyle w:val="39"/>
              <w:rPr>
                <w:rFonts w:hint="default"/>
              </w:rPr>
            </w:pPr>
            <w:r>
              <w:t>发生重大事故。</w:t>
            </w:r>
          </w:p>
        </w:tc>
        <w:tc>
          <w:tcPr>
            <w:tcW w:w="379" w:type="pct"/>
            <w:vAlign w:val="center"/>
          </w:tcPr>
          <w:p w14:paraId="34F64E00">
            <w:pPr>
              <w:pStyle w:val="39"/>
              <w:rPr>
                <w:rFonts w:hint="default"/>
              </w:rPr>
            </w:pPr>
            <w:r>
              <w:t>Ⅱ</w:t>
            </w:r>
          </w:p>
        </w:tc>
        <w:tc>
          <w:tcPr>
            <w:tcW w:w="2134" w:type="pct"/>
            <w:vAlign w:val="center"/>
          </w:tcPr>
          <w:p w14:paraId="7039F9D8">
            <w:pPr>
              <w:pStyle w:val="39"/>
              <w:rPr>
                <w:rFonts w:hint="default"/>
              </w:rPr>
            </w:pPr>
            <w:r>
              <w:t>建立并落实安全生产责任制；完善各类规章制度和规程。</w:t>
            </w:r>
          </w:p>
        </w:tc>
      </w:tr>
      <w:tr w14:paraId="7137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11" w:type="pct"/>
            <w:vAlign w:val="center"/>
          </w:tcPr>
          <w:p w14:paraId="46CA14E5">
            <w:pPr>
              <w:pStyle w:val="39"/>
              <w:rPr>
                <w:rFonts w:hint="default"/>
              </w:rPr>
            </w:pPr>
            <w:r>
              <w:t>未制定事故应急救援预案</w:t>
            </w:r>
          </w:p>
        </w:tc>
        <w:tc>
          <w:tcPr>
            <w:tcW w:w="625" w:type="pct"/>
            <w:vAlign w:val="center"/>
          </w:tcPr>
          <w:p w14:paraId="0C2E3291">
            <w:pPr>
              <w:pStyle w:val="39"/>
              <w:rPr>
                <w:rFonts w:hint="default"/>
              </w:rPr>
            </w:pPr>
            <w:r>
              <w:t>对突出事故无预见性；领导及管理人员不重视。</w:t>
            </w:r>
          </w:p>
        </w:tc>
        <w:tc>
          <w:tcPr>
            <w:tcW w:w="949" w:type="pct"/>
            <w:vAlign w:val="center"/>
          </w:tcPr>
          <w:p w14:paraId="6F13607D">
            <w:pPr>
              <w:pStyle w:val="39"/>
              <w:rPr>
                <w:rFonts w:hint="default"/>
              </w:rPr>
            </w:pPr>
            <w:r>
              <w:t>事故发生后，失去控制，事故的损失扩大。</w:t>
            </w:r>
          </w:p>
        </w:tc>
        <w:tc>
          <w:tcPr>
            <w:tcW w:w="379" w:type="pct"/>
            <w:vAlign w:val="center"/>
          </w:tcPr>
          <w:p w14:paraId="2319209E">
            <w:pPr>
              <w:pStyle w:val="39"/>
              <w:rPr>
                <w:rFonts w:hint="default"/>
              </w:rPr>
            </w:pPr>
            <w:r>
              <w:t>Ⅱ</w:t>
            </w:r>
          </w:p>
        </w:tc>
        <w:tc>
          <w:tcPr>
            <w:tcW w:w="2134" w:type="pct"/>
            <w:vAlign w:val="center"/>
          </w:tcPr>
          <w:p w14:paraId="1B8FF94E">
            <w:pPr>
              <w:pStyle w:val="39"/>
              <w:rPr>
                <w:rFonts w:hint="default"/>
              </w:rPr>
            </w:pPr>
            <w:r>
              <w:t>建立健全事故应急救援预案。</w:t>
            </w:r>
          </w:p>
        </w:tc>
      </w:tr>
      <w:tr w14:paraId="7582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11" w:type="pct"/>
            <w:vAlign w:val="center"/>
          </w:tcPr>
          <w:p w14:paraId="3C8DF120">
            <w:pPr>
              <w:pStyle w:val="39"/>
              <w:rPr>
                <w:rFonts w:hint="default"/>
              </w:rPr>
            </w:pPr>
            <w:r>
              <w:t>危险源点监控不力</w:t>
            </w:r>
          </w:p>
        </w:tc>
        <w:tc>
          <w:tcPr>
            <w:tcW w:w="625" w:type="pct"/>
            <w:vAlign w:val="center"/>
          </w:tcPr>
          <w:p w14:paraId="431AC172">
            <w:pPr>
              <w:pStyle w:val="39"/>
              <w:rPr>
                <w:rFonts w:hint="default"/>
              </w:rPr>
            </w:pPr>
            <w:r>
              <w:t>无监控设施或监控设备落后、监测数据不准确。</w:t>
            </w:r>
          </w:p>
        </w:tc>
        <w:tc>
          <w:tcPr>
            <w:tcW w:w="949" w:type="pct"/>
            <w:vAlign w:val="center"/>
          </w:tcPr>
          <w:p w14:paraId="4DA8AA33">
            <w:pPr>
              <w:pStyle w:val="39"/>
              <w:rPr>
                <w:rFonts w:hint="default"/>
              </w:rPr>
            </w:pPr>
            <w:r>
              <w:t>造成事故的发生。</w:t>
            </w:r>
          </w:p>
        </w:tc>
        <w:tc>
          <w:tcPr>
            <w:tcW w:w="379" w:type="pct"/>
            <w:vAlign w:val="center"/>
          </w:tcPr>
          <w:p w14:paraId="051C000D">
            <w:pPr>
              <w:pStyle w:val="39"/>
              <w:rPr>
                <w:rFonts w:hint="default"/>
              </w:rPr>
            </w:pPr>
            <w:r>
              <w:t>Ⅱ</w:t>
            </w:r>
          </w:p>
        </w:tc>
        <w:tc>
          <w:tcPr>
            <w:tcW w:w="2134" w:type="pct"/>
            <w:vAlign w:val="center"/>
          </w:tcPr>
          <w:p w14:paraId="3EFBBA51">
            <w:pPr>
              <w:pStyle w:val="39"/>
              <w:rPr>
                <w:rFonts w:hint="default"/>
              </w:rPr>
            </w:pPr>
            <w:r>
              <w:t>对项目的每一危险源逐一登记；采用合理可行的监测手段；及时更新监测设备，采用安全，精确的设备。</w:t>
            </w:r>
          </w:p>
        </w:tc>
      </w:tr>
      <w:bookmarkEnd w:id="102"/>
    </w:tbl>
    <w:p w14:paraId="445FAAAA">
      <w:pPr>
        <w:pStyle w:val="4"/>
      </w:pPr>
      <w:bookmarkStart w:id="103" w:name="_Toc230699623"/>
      <w:r>
        <w:rPr>
          <w:rFonts w:hint="eastAsia"/>
        </w:rPr>
        <w:t>3.5.2 安全管理</w:t>
      </w:r>
      <w:bookmarkEnd w:id="103"/>
    </w:p>
    <w:p w14:paraId="2BCC2AC1">
      <w:pPr>
        <w:ind w:firstLine="560"/>
      </w:pPr>
      <w:r>
        <w:rPr>
          <w:rFonts w:hint="eastAsia"/>
        </w:rPr>
        <w:t>根据《中华人民共和国安全生产法》，项目在安全生产管理中应建立各级安全生产责任制、安全生产管理的规章制度和各类设备、工艺系统、各岗位（工种）、各工序安全作业规程，并认真贯彻和落实安全生产责任制、规章制度等。</w:t>
      </w:r>
    </w:p>
    <w:p w14:paraId="4EB09ADB">
      <w:pPr>
        <w:ind w:firstLine="560"/>
      </w:pPr>
      <w:r>
        <w:rPr>
          <w:rFonts w:hint="eastAsia"/>
        </w:rPr>
        <w:t>1、安全管理机构</w:t>
      </w:r>
    </w:p>
    <w:p w14:paraId="6522BC2B">
      <w:pPr>
        <w:ind w:firstLine="560"/>
      </w:pPr>
      <w:r>
        <w:rPr>
          <w:rFonts w:hint="eastAsia"/>
        </w:rPr>
        <w:t>渣场要</w:t>
      </w:r>
      <w:r>
        <w:t>设立不同层次的管理机构各负其责，设立企业经营管理者、渣场设施安全管理部门和渣场车间、工段或班组的管理体系。</w:t>
      </w:r>
    </w:p>
    <w:p w14:paraId="52BE7D95">
      <w:pPr>
        <w:ind w:firstLine="560"/>
      </w:pPr>
      <w:r>
        <w:rPr>
          <w:rFonts w:hint="eastAsia"/>
        </w:rPr>
        <w:t>2、安全管理规章制度</w:t>
      </w:r>
    </w:p>
    <w:p w14:paraId="11743E01">
      <w:pPr>
        <w:ind w:firstLine="560"/>
      </w:pPr>
      <w:r>
        <w:rPr>
          <w:rFonts w:hint="eastAsia"/>
        </w:rPr>
        <w:t>渣场应急建立健全渣场各岗位安全生产责任制；</w:t>
      </w:r>
      <w:r>
        <w:t>建立健全安全生产规章制度和安全技术操作规程，对渣场实施有效的安全管理</w:t>
      </w:r>
      <w:r>
        <w:rPr>
          <w:rFonts w:hint="eastAsia"/>
        </w:rPr>
        <w:t>；</w:t>
      </w:r>
      <w:r>
        <w:t>生产经营单位主要负责人和安全管理人员应当依照有关规定经培训考核合格并取得安全资格证书后，方可任职；建立渣场工程档案和日常管理档案；做好磷石膏排放、回水排水、防汛、抗震、监测系统等安全生产管理；</w:t>
      </w:r>
      <w:r>
        <w:rPr>
          <w:rFonts w:hint="eastAsia"/>
        </w:rPr>
        <w:t>对作业人员进行作业培训，特种作业人员应持证上岗。</w:t>
      </w:r>
    </w:p>
    <w:p w14:paraId="5CF03565">
      <w:pPr>
        <w:ind w:firstLine="560"/>
      </w:pPr>
      <w:r>
        <w:rPr>
          <w:rFonts w:hint="eastAsia"/>
        </w:rPr>
        <w:t>3、生产安全事故应急预案</w:t>
      </w:r>
    </w:p>
    <w:p w14:paraId="1838D73A">
      <w:pPr>
        <w:ind w:firstLine="560"/>
      </w:pPr>
      <w:r>
        <w:rPr>
          <w:rFonts w:hint="eastAsia"/>
        </w:rPr>
        <w:t>企业应根据《生产经营单位生产安全事故应急预案编制导则》（GB/T29639-2020）编制事故应急预案，组织专家评审通过，并将事故应急预案送当地应急管理等部门备案，定期进行事故演练，做好相应的演练记录。</w:t>
      </w:r>
    </w:p>
    <w:p w14:paraId="0652BE6E">
      <w:pPr>
        <w:ind w:firstLine="560"/>
      </w:pPr>
      <w:r>
        <w:rPr>
          <w:rFonts w:hint="eastAsia"/>
        </w:rPr>
        <w:t>4、安全生产费用投入</w:t>
      </w:r>
    </w:p>
    <w:p w14:paraId="6057C9FA">
      <w:pPr>
        <w:ind w:firstLine="560"/>
      </w:pPr>
      <w:r>
        <w:rPr>
          <w:rFonts w:hint="eastAsia"/>
        </w:rPr>
        <w:t>企业应为职工配备了相应的劳动防护用品；对员工进行安全生产教育培训；为从业人员购买保险；提取相应的费用作为安全专项资金投入（如安全设施维护、购买安全警示标志、安全培训费用等）。</w:t>
      </w:r>
    </w:p>
    <w:p w14:paraId="6DB2703D">
      <w:pPr>
        <w:ind w:firstLine="560"/>
      </w:pPr>
      <w:r>
        <w:rPr>
          <w:rFonts w:hint="eastAsia"/>
        </w:rPr>
        <w:t>5、安全教育工作由企业负责人亲自主抓，成立由技术、安全等专业人员组成的培训小组，亦可聘请专业技术人员兼任或有关部门的专业技术人员授课。职工经考试合格后方准上岗，调换工种的人员，必须进行新岗位安全操作教育的培训。特种作业人员，重要岗位，重要设备与设施的作业人员，都必须经过技术培训和专门安全教育，经考核合格取得操作资格证书或执照后，方准上岗。</w:t>
      </w:r>
    </w:p>
    <w:p w14:paraId="0F51A72D">
      <w:pPr>
        <w:ind w:firstLine="560"/>
      </w:pPr>
      <w:r>
        <w:rPr>
          <w:rFonts w:hint="eastAsia"/>
        </w:rPr>
        <w:t>6、工伤保险</w:t>
      </w:r>
    </w:p>
    <w:p w14:paraId="7EE6F5E2">
      <w:pPr>
        <w:ind w:firstLine="560"/>
      </w:pPr>
      <w:r>
        <w:rPr>
          <w:rFonts w:hint="eastAsia"/>
        </w:rPr>
        <w:t>整治设计中未明确为员工购买工伤保险。</w:t>
      </w:r>
    </w:p>
    <w:p w14:paraId="268F9107">
      <w:pPr>
        <w:ind w:firstLine="560"/>
      </w:pPr>
      <w:r>
        <w:rPr>
          <w:rFonts w:hint="eastAsia"/>
        </w:rPr>
        <w:t>7、安全警示标志</w:t>
      </w:r>
    </w:p>
    <w:p w14:paraId="6C22DD21">
      <w:pPr>
        <w:ind w:firstLine="560"/>
      </w:pPr>
      <w:r>
        <w:rPr>
          <w:rFonts w:hint="eastAsia"/>
        </w:rPr>
        <w:t>整治设计在库区及渣场周边设置安全警示标志，在调节池周边临空</w:t>
      </w:r>
      <w:r>
        <w:t>高度超过2m处设置护栏，在渣场外围设置围栏，</w:t>
      </w:r>
      <w:r>
        <w:rPr>
          <w:rFonts w:hint="eastAsia"/>
        </w:rPr>
        <w:t>以防止发生安全事故。</w:t>
      </w:r>
    </w:p>
    <w:p w14:paraId="6D10B2DC">
      <w:pPr>
        <w:ind w:firstLine="560"/>
      </w:pPr>
      <w:r>
        <w:rPr>
          <w:rFonts w:hint="eastAsia"/>
        </w:rPr>
        <w:t>8、其他</w:t>
      </w:r>
    </w:p>
    <w:p w14:paraId="15CD80FE">
      <w:pPr>
        <w:ind w:firstLine="560"/>
      </w:pPr>
      <w:r>
        <w:rPr>
          <w:rFonts w:hint="eastAsia"/>
        </w:rPr>
        <w:t>渣场堆存整治后进行封场，覆土复绿，建议下一步安全设施设计中，进一步明确闭库封场后的管理、坝体、排洪设施及库面维护措施；建议封场后定期巡查及观测，并做好记录，发现相关设施损毁应及时修复，确保渣库封场后的安全。严禁在坝体和库内进行乱采、滥挖、违章建筑和违章作业等。</w:t>
      </w:r>
    </w:p>
    <w:p w14:paraId="2724B34B">
      <w:pPr>
        <w:pStyle w:val="4"/>
      </w:pPr>
      <w:bookmarkStart w:id="104" w:name="_Toc230699624"/>
      <w:r>
        <w:rPr>
          <w:rFonts w:hint="eastAsia"/>
        </w:rPr>
        <w:t>3.5.3 单元小结</w:t>
      </w:r>
      <w:bookmarkEnd w:id="104"/>
    </w:p>
    <w:p w14:paraId="4B5D0B21">
      <w:pPr>
        <w:ind w:firstLine="560"/>
      </w:pPr>
      <w:r>
        <w:rPr>
          <w:rFonts w:hint="eastAsia"/>
        </w:rPr>
        <w:t>通过对安全管理单元预先危险性分析，其潜在的危险有安全生产责任制不健全、对企业的安全生产不重视、安全教育培训不足、安全管理不到位安全警示标志设置不足、安全资金挪作他用、未制定生产安全事故应急预案、危险源点监控不足等8类，其危险等级为</w:t>
      </w:r>
      <w:r>
        <w:rPr>
          <w:rFonts w:cs="Times New Roman"/>
        </w:rPr>
        <w:t>Ⅱ-Ⅳ</w:t>
      </w:r>
      <w:r>
        <w:rPr>
          <w:rFonts w:hint="eastAsia"/>
        </w:rPr>
        <w:t>。预先危险性分析（PHA）表中列出了原因和改进措施或预防方法，通过采取有效措施，潜在的危险是可以得到控制的。</w:t>
      </w:r>
    </w:p>
    <w:p w14:paraId="2FE44552">
      <w:pPr>
        <w:ind w:firstLine="560"/>
      </w:pPr>
      <w:r>
        <w:rPr>
          <w:rFonts w:hint="eastAsia"/>
        </w:rPr>
        <w:br w:type="page"/>
      </w:r>
    </w:p>
    <w:p w14:paraId="73250577">
      <w:pPr>
        <w:pStyle w:val="2"/>
      </w:pPr>
      <w:bookmarkStart w:id="105" w:name="_Toc230699625"/>
      <w:r>
        <w:rPr>
          <w:rFonts w:hint="eastAsia"/>
        </w:rPr>
        <w:t>第4章 安全对策措施建议</w:t>
      </w:r>
      <w:bookmarkEnd w:id="105"/>
    </w:p>
    <w:p w14:paraId="5CE31300">
      <w:pPr>
        <w:pStyle w:val="3"/>
      </w:pPr>
      <w:bookmarkStart w:id="106" w:name="_Toc230699626"/>
      <w:r>
        <w:rPr>
          <w:rFonts w:hint="eastAsia"/>
        </w:rPr>
        <w:t>4.1 安全对策措施建议的依据</w:t>
      </w:r>
      <w:bookmarkEnd w:id="106"/>
    </w:p>
    <w:p w14:paraId="0458CF61">
      <w:pPr>
        <w:ind w:firstLine="560"/>
      </w:pPr>
      <w:r>
        <w:rPr>
          <w:rFonts w:hint="eastAsia"/>
        </w:rPr>
        <w:t>评价组在现场调查和资料分析的基础上，依据以下法律、法规、标准、规范提出本次预评价的对策措施和建议。</w:t>
      </w:r>
    </w:p>
    <w:p w14:paraId="64F986AC">
      <w:pPr>
        <w:ind w:firstLine="560"/>
      </w:pPr>
      <w:r>
        <w:rPr>
          <w:rFonts w:hint="eastAsia"/>
        </w:rPr>
        <w:t>1、《中华人民共和国安全生产法》（中华人民共和国主席令第88号，2021年9月1日起施行）。</w:t>
      </w:r>
    </w:p>
    <w:p w14:paraId="1514D7D5">
      <w:pPr>
        <w:ind w:firstLine="560"/>
      </w:pPr>
      <w:r>
        <w:rPr>
          <w:rFonts w:hint="eastAsia"/>
        </w:rPr>
        <w:t>2、《水土保持工程设计规范》（GB51018-2014）。</w:t>
      </w:r>
    </w:p>
    <w:p w14:paraId="4AC07645">
      <w:pPr>
        <w:ind w:firstLine="560"/>
      </w:pPr>
      <w:r>
        <w:rPr>
          <w:rFonts w:hint="eastAsia"/>
        </w:rPr>
        <w:t>3、《工业企业总平面设计规范》（GB50187-2012）。</w:t>
      </w:r>
    </w:p>
    <w:p w14:paraId="12B35970">
      <w:pPr>
        <w:ind w:firstLine="560"/>
      </w:pPr>
      <w:r>
        <w:rPr>
          <w:rFonts w:hint="eastAsia"/>
        </w:rPr>
        <w:t>4、</w:t>
      </w:r>
      <w:r>
        <w:t>《磷石膏库安全技术规程》（AQ 2059-2016）</w:t>
      </w:r>
      <w:r>
        <w:rPr>
          <w:rFonts w:hint="eastAsia"/>
        </w:rPr>
        <w:t>。</w:t>
      </w:r>
    </w:p>
    <w:p w14:paraId="568EC6C8">
      <w:pPr>
        <w:ind w:firstLine="560"/>
      </w:pPr>
      <w:r>
        <w:rPr>
          <w:rFonts w:hint="eastAsia"/>
        </w:rPr>
        <w:t>5、《建筑边坡工程技术规范》（GB50330-2013）。</w:t>
      </w:r>
    </w:p>
    <w:p w14:paraId="4BB89C9C">
      <w:pPr>
        <w:ind w:firstLine="560"/>
      </w:pPr>
      <w:r>
        <w:rPr>
          <w:rFonts w:hint="eastAsia"/>
        </w:rPr>
        <w:t>6、其他相关国家、地方法律、法规和规范、标准等。</w:t>
      </w:r>
    </w:p>
    <w:p w14:paraId="6B5A12F2">
      <w:pPr>
        <w:pStyle w:val="3"/>
      </w:pPr>
      <w:bookmarkStart w:id="107" w:name="_Toc230699627"/>
      <w:r>
        <w:rPr>
          <w:rFonts w:hint="eastAsia"/>
        </w:rPr>
        <w:t>4.2 安全对策措施建议的主要原则</w:t>
      </w:r>
      <w:bookmarkEnd w:id="107"/>
    </w:p>
    <w:p w14:paraId="6F269687">
      <w:pPr>
        <w:pStyle w:val="4"/>
      </w:pPr>
      <w:bookmarkStart w:id="108" w:name="_Toc230699628"/>
      <w:r>
        <w:rPr>
          <w:rFonts w:hint="eastAsia"/>
        </w:rPr>
        <w:t>4.2.1 安全对策措施建议的基本要求</w:t>
      </w:r>
      <w:bookmarkEnd w:id="108"/>
    </w:p>
    <w:p w14:paraId="7627E6FF">
      <w:pPr>
        <w:ind w:firstLine="560"/>
      </w:pPr>
      <w:r>
        <w:rPr>
          <w:rFonts w:hint="eastAsia"/>
        </w:rPr>
        <w:t>1、能消除或减弱生产过程中产生的危险、有害因素。</w:t>
      </w:r>
    </w:p>
    <w:p w14:paraId="42F829CE">
      <w:pPr>
        <w:ind w:firstLine="560"/>
      </w:pPr>
      <w:r>
        <w:rPr>
          <w:rFonts w:hint="eastAsia"/>
        </w:rPr>
        <w:t>2、处置危险和有害物，使其降低到国家规定的限值内。</w:t>
      </w:r>
    </w:p>
    <w:p w14:paraId="319F792B">
      <w:pPr>
        <w:ind w:firstLine="560"/>
      </w:pPr>
      <w:r>
        <w:rPr>
          <w:rFonts w:hint="eastAsia"/>
        </w:rPr>
        <w:t>3、预防生产装置失灵和操作失误产生的危险、危害。</w:t>
      </w:r>
    </w:p>
    <w:p w14:paraId="156FD597">
      <w:pPr>
        <w:ind w:firstLine="560"/>
      </w:pPr>
      <w:r>
        <w:rPr>
          <w:rFonts w:hint="eastAsia"/>
        </w:rPr>
        <w:t>4、能有效地预防重大事故和职业危害的发生。</w:t>
      </w:r>
    </w:p>
    <w:p w14:paraId="0EFB45EF">
      <w:pPr>
        <w:ind w:firstLine="560"/>
      </w:pPr>
      <w:r>
        <w:rPr>
          <w:rFonts w:hint="eastAsia"/>
        </w:rPr>
        <w:t>5、发生意外事故时，能为遇险人员提供自救和互救条件。</w:t>
      </w:r>
    </w:p>
    <w:p w14:paraId="22E4E35C">
      <w:pPr>
        <w:pStyle w:val="4"/>
      </w:pPr>
      <w:bookmarkStart w:id="109" w:name="_Toc230699629"/>
      <w:r>
        <w:rPr>
          <w:rFonts w:hint="eastAsia"/>
        </w:rPr>
        <w:t>4.2.2 制定安全对策措施建议的原则</w:t>
      </w:r>
      <w:bookmarkEnd w:id="109"/>
    </w:p>
    <w:p w14:paraId="7392293A">
      <w:pPr>
        <w:ind w:firstLine="560"/>
      </w:pPr>
      <w:r>
        <w:rPr>
          <w:rFonts w:hint="eastAsia"/>
        </w:rPr>
        <w:t>1、当安全对策措施建议与经济效益发生矛盾时，应优先考虑安全对策措施建议的要求。</w:t>
      </w:r>
    </w:p>
    <w:p w14:paraId="4EA6EC6A">
      <w:pPr>
        <w:ind w:firstLine="560"/>
      </w:pPr>
      <w:r>
        <w:rPr>
          <w:rFonts w:hint="eastAsia"/>
        </w:rPr>
        <w:t>2、确定安全对策措施建议等级顺序要求的具体原则为：消除、预防、减弱、隔离、联锁、警告。</w:t>
      </w:r>
    </w:p>
    <w:p w14:paraId="32A3CA62">
      <w:pPr>
        <w:ind w:firstLine="560"/>
      </w:pPr>
      <w:r>
        <w:rPr>
          <w:rFonts w:hint="eastAsia"/>
        </w:rPr>
        <w:t>3、安全对策措施建议应具有针对性、可操作性和经济合理性。</w:t>
      </w:r>
    </w:p>
    <w:p w14:paraId="28EED641">
      <w:pPr>
        <w:ind w:firstLine="560"/>
      </w:pPr>
      <w:r>
        <w:rPr>
          <w:rFonts w:hint="eastAsia"/>
        </w:rPr>
        <w:t>4、安全对策措施建议应符合国家有关法律、法规、标准、规范和行业标准的要求。</w:t>
      </w:r>
    </w:p>
    <w:p w14:paraId="54A7E3B0">
      <w:pPr>
        <w:pStyle w:val="3"/>
      </w:pPr>
      <w:bookmarkStart w:id="110" w:name="_Toc230699630"/>
      <w:r>
        <w:rPr>
          <w:rFonts w:hint="eastAsia"/>
        </w:rPr>
        <w:t>4.3 安全对策措施建议</w:t>
      </w:r>
      <w:bookmarkEnd w:id="110"/>
    </w:p>
    <w:p w14:paraId="4F56E00D">
      <w:pPr>
        <w:pStyle w:val="4"/>
      </w:pPr>
      <w:bookmarkStart w:id="111" w:name="_Toc230699631"/>
      <w:r>
        <w:rPr>
          <w:rFonts w:hint="eastAsia"/>
        </w:rPr>
        <w:t>4.3.1 场址及总平面布置安全对策措施</w:t>
      </w:r>
      <w:bookmarkEnd w:id="111"/>
    </w:p>
    <w:p w14:paraId="052BE23B">
      <w:pPr>
        <w:ind w:firstLine="560"/>
      </w:pPr>
      <w:r>
        <w:rPr>
          <w:rFonts w:hint="eastAsia"/>
        </w:rPr>
        <w:t>渣场堆存整治过程中存在的危险有害因素，必须给予高度重视。</w:t>
      </w:r>
    </w:p>
    <w:p w14:paraId="0AEE7CFD">
      <w:pPr>
        <w:ind w:firstLine="560"/>
      </w:pPr>
      <w:r>
        <w:rPr>
          <w:rFonts w:hint="eastAsia"/>
        </w:rPr>
        <w:t>1、渣场整治后堆存总库容</w:t>
      </w:r>
      <w:r>
        <w:rPr>
          <w:rFonts w:hint="eastAsia" w:cs="Times New Roman"/>
          <w:lang w:bidi="ar"/>
        </w:rPr>
        <w:t>130.53万m</w:t>
      </w:r>
      <w:r>
        <w:rPr>
          <w:rFonts w:hint="eastAsia" w:cs="Times New Roman"/>
          <w:vertAlign w:val="superscript"/>
          <w:lang w:bidi="ar"/>
        </w:rPr>
        <w:t>3</w:t>
      </w:r>
      <w:r>
        <w:rPr>
          <w:rFonts w:hint="eastAsia"/>
        </w:rPr>
        <w:t>，总坝高62.5m，根据</w:t>
      </w:r>
      <w:r>
        <w:t>《磷石膏库安全技术规程》（AQ 2059-2016）</w:t>
      </w:r>
      <w:r>
        <w:rPr>
          <w:rFonts w:hint="eastAsia"/>
        </w:rPr>
        <w:t>，属于三等库；根据《水土保持工程设计规范》（GB51018-2014），属于3级弃渣场。渣场周边环境相对复杂，建议企业堆存整治过程中，严格按要求开展安全监测，并加强与周边企业、村小组的沟通联系，建立并完善应急通信机制，如遇异常情况，及时通知相关单位和人员。</w:t>
      </w:r>
    </w:p>
    <w:p w14:paraId="56CBEAAC">
      <w:pPr>
        <w:ind w:firstLine="560"/>
      </w:pPr>
      <w:r>
        <w:rPr>
          <w:rFonts w:hint="eastAsia"/>
        </w:rPr>
        <w:t>2、渣场北侧有便道，建议施工期间做好场地围挡与施工公示，提前在路口设置警示标志牌，并设置人员进行巡查管理，防止外来人员误入施工场地发生安全生产事故。</w:t>
      </w:r>
    </w:p>
    <w:p w14:paraId="40531849">
      <w:pPr>
        <w:ind w:firstLine="560"/>
      </w:pPr>
      <w:r>
        <w:rPr>
          <w:rFonts w:hint="eastAsia"/>
        </w:rPr>
        <w:t>3、施工前，严格按设计要求沿渣场红线设置围栏和安全警示牌，出入口设置值班人员，做好场地内及周围环境的安全巡查，禁止无关人员进入场地内。</w:t>
      </w:r>
    </w:p>
    <w:p w14:paraId="1E780A69">
      <w:pPr>
        <w:ind w:firstLine="560"/>
      </w:pPr>
      <w:r>
        <w:rPr>
          <w:rFonts w:hint="eastAsia"/>
        </w:rPr>
        <w:t>4、建议企业委托有相应资质的单位出具施工图纸，并按照设计进行施工，采取相应的防护工程措施。</w:t>
      </w:r>
    </w:p>
    <w:p w14:paraId="7FFBA6FF">
      <w:pPr>
        <w:ind w:firstLine="560"/>
      </w:pPr>
      <w:r>
        <w:rPr>
          <w:rFonts w:hint="eastAsia"/>
        </w:rPr>
        <w:t>5、建议下一步安全设施设计补充东南侧区域设置防滑坡、坍塌危害的措施，并设置醒目的安全警示标志。</w:t>
      </w:r>
    </w:p>
    <w:p w14:paraId="24E2602C">
      <w:pPr>
        <w:ind w:firstLine="560"/>
      </w:pPr>
      <w:r>
        <w:rPr>
          <w:rFonts w:hint="eastAsia"/>
        </w:rPr>
        <w:t>6、渣场堆存、整治过程中应该做好安全管理措施，堆置完毕后即时覆土复绿。</w:t>
      </w:r>
    </w:p>
    <w:p w14:paraId="302AAE34">
      <w:pPr>
        <w:ind w:firstLine="560"/>
      </w:pPr>
      <w:r>
        <w:rPr>
          <w:rFonts w:hint="eastAsia"/>
        </w:rPr>
        <w:t>7、建议在场区周围设置“严禁进入场区”等安全警示标志。</w:t>
      </w:r>
    </w:p>
    <w:p w14:paraId="742DF371">
      <w:pPr>
        <w:ind w:firstLine="560"/>
      </w:pPr>
      <w:r>
        <w:rPr>
          <w:rFonts w:hint="eastAsia"/>
        </w:rPr>
        <w:t>8、严格按设计要求在库区和渣场周围设置安全警示标志牌和相关的安全告知牌，并定期巡查，发现问题及时整改完善。</w:t>
      </w:r>
    </w:p>
    <w:p w14:paraId="4A43722E">
      <w:pPr>
        <w:ind w:firstLine="560"/>
      </w:pPr>
      <w:r>
        <w:rPr>
          <w:rFonts w:hint="eastAsia"/>
        </w:rPr>
        <w:t>9、建议在下一步安全设施设计中补充供电、照明设计内容。</w:t>
      </w:r>
    </w:p>
    <w:p w14:paraId="0FB6E475">
      <w:pPr>
        <w:ind w:firstLine="560"/>
      </w:pPr>
      <w:r>
        <w:rPr>
          <w:rFonts w:hint="eastAsia"/>
        </w:rPr>
        <w:t>10、建议完善渣场安全监测系统，设置人工安全监测和在线安全监测相结合的安全监测设施，完善渣场边坡稳定性预警系统，监测到异常情况，及时处理或发布预警。</w:t>
      </w:r>
    </w:p>
    <w:p w14:paraId="6BD520FE">
      <w:pPr>
        <w:pStyle w:val="4"/>
      </w:pPr>
      <w:bookmarkStart w:id="112" w:name="_Toc230699632"/>
      <w:r>
        <w:rPr>
          <w:rFonts w:hint="eastAsia"/>
        </w:rPr>
        <w:t>4.3.2 堆填及整治工艺安全对策措施</w:t>
      </w:r>
      <w:bookmarkEnd w:id="112"/>
    </w:p>
    <w:p w14:paraId="527DC823">
      <w:pPr>
        <w:ind w:firstLine="560"/>
      </w:pPr>
      <w:r>
        <w:rPr>
          <w:rFonts w:hint="eastAsia"/>
        </w:rPr>
        <w:t>1、《整治设计》未明确高压电线（</w:t>
      </w:r>
      <w:r>
        <w:rPr>
          <w:rFonts w:cs="Times New Roman"/>
        </w:rPr>
        <w:t>樟兴鹤线</w:t>
      </w:r>
      <w:r>
        <w:rPr>
          <w:rFonts w:hint="eastAsia"/>
        </w:rPr>
        <w:t>）迁改方案，建议企业后续完善迁改方案后，与供电线路管理方、使用方签订安全协议，迁改施工应委托有资质单位施工；此外，迁改施工过程中可能与项目堆存整治施工存在交叉，企业应监督双方签订安全管理协议，制定专人进行施工现场的监督管理工作。</w:t>
      </w:r>
    </w:p>
    <w:p w14:paraId="4C7A2C11">
      <w:pPr>
        <w:ind w:firstLine="560"/>
      </w:pPr>
      <w:r>
        <w:rPr>
          <w:rFonts w:hint="eastAsia"/>
        </w:rPr>
        <w:t>2、渣场场地属于山区，现状边坡较陡，施工前应先疏通、完善场外截排水设施，施工过程中严格按设计要求施工建设，做好边坡的修整和截排水设施的施工。</w:t>
      </w:r>
    </w:p>
    <w:p w14:paraId="13B87CF3">
      <w:pPr>
        <w:ind w:firstLine="560"/>
      </w:pPr>
      <w:r>
        <w:rPr>
          <w:rFonts w:hint="eastAsia"/>
        </w:rPr>
        <w:t>3、此外，项目施工单位、监理单位必须具备相应的施工、监理资质。</w:t>
      </w:r>
    </w:p>
    <w:p w14:paraId="0591CD2D">
      <w:pPr>
        <w:ind w:firstLine="560"/>
      </w:pPr>
      <w:r>
        <w:rPr>
          <w:rFonts w:hint="eastAsia"/>
        </w:rPr>
        <w:t>4、施工过程中应严格按照设计要求，自上而下进行边坡修整，修整施工机具和人员应保持有效的安全距离，</w:t>
      </w:r>
      <w:r>
        <w:rPr>
          <w:rFonts w:cs="Times New Roman"/>
        </w:rPr>
        <w:t>每5m高差分一层，每层外坡坡比1:2.0，每下降5m设置2m宽安全平台，总坡比1:2.4</w:t>
      </w:r>
      <w:r>
        <w:rPr>
          <w:rFonts w:hint="eastAsia"/>
        </w:rPr>
        <w:t>。</w:t>
      </w:r>
    </w:p>
    <w:p w14:paraId="76DFAEC3">
      <w:pPr>
        <w:ind w:firstLine="560"/>
        <w:rPr>
          <w:rFonts w:cs="Times New Roman"/>
        </w:rPr>
      </w:pPr>
      <w:r>
        <w:rPr>
          <w:rFonts w:hint="eastAsia"/>
        </w:rPr>
        <w:t>5、严格按照设计要求控制磷石膏碾压压实度，</w:t>
      </w:r>
      <w:r>
        <w:rPr>
          <w:rFonts w:cs="Times New Roman"/>
        </w:rPr>
        <w:t>严格遵循分层碾压法施工，分层厚度不得超过0.5m，要求经检验确认放坡，压实度达到0.92，方可施工上一层</w:t>
      </w:r>
      <w:r>
        <w:rPr>
          <w:rFonts w:hint="eastAsia" w:cs="Times New Roman"/>
        </w:rPr>
        <w:t>。</w:t>
      </w:r>
    </w:p>
    <w:p w14:paraId="06A20F77">
      <w:pPr>
        <w:ind w:firstLine="560"/>
        <w:rPr>
          <w:rFonts w:cs="Times New Roman"/>
        </w:rPr>
      </w:pPr>
      <w:r>
        <w:rPr>
          <w:rFonts w:hint="eastAsia" w:cs="Times New Roman"/>
        </w:rPr>
        <w:t>6、边坡修整施工过程中，应加强边坡安全巡查，发现堆积体上出现裂缝、沉降等问题的不稳定区域，</w:t>
      </w:r>
      <w:r>
        <w:rPr>
          <w:rFonts w:cs="Times New Roman"/>
        </w:rPr>
        <w:t>从上至下进行开挖，需保证堆积体在施工期间不出现垮塌、滑坡。</w:t>
      </w:r>
    </w:p>
    <w:p w14:paraId="75B3D06D">
      <w:pPr>
        <w:ind w:firstLine="560"/>
      </w:pPr>
      <w:r>
        <w:rPr>
          <w:rFonts w:hint="eastAsia" w:cs="Times New Roman"/>
        </w:rPr>
        <w:t>7、渣场堆存整治过程中可能产生大量的粉尘，建议安全设施设计中明确施工作业人员劳动防护用品配备，并加强洒水降尘。</w:t>
      </w:r>
    </w:p>
    <w:p w14:paraId="35BE33DA">
      <w:pPr>
        <w:ind w:firstLine="560"/>
      </w:pPr>
      <w:r>
        <w:rPr>
          <w:rFonts w:hint="eastAsia"/>
        </w:rPr>
        <w:t>8、边坡修整和堆排作业区内烟雾、粉尘、照明等因素导致驾驶员视距小于30m，或遇暴雨、大雪、大风等恶劣天气时，应停止施工作业。</w:t>
      </w:r>
    </w:p>
    <w:p w14:paraId="6E5154DD">
      <w:pPr>
        <w:ind w:firstLine="560"/>
      </w:pPr>
      <w:r>
        <w:rPr>
          <w:rFonts w:hint="eastAsia"/>
        </w:rPr>
        <w:t>9、边坡修整和堆排作业时，必须圈定危险范围，并设立明显警戒标志，危险范围内严禁无关人员进入。</w:t>
      </w:r>
    </w:p>
    <w:p w14:paraId="6E67623E">
      <w:pPr>
        <w:pStyle w:val="4"/>
      </w:pPr>
      <w:bookmarkStart w:id="113" w:name="_Toc230699633"/>
      <w:r>
        <w:rPr>
          <w:rFonts w:hint="eastAsia"/>
        </w:rPr>
        <w:t>4.3.3 防排水安全对策措施</w:t>
      </w:r>
      <w:bookmarkEnd w:id="113"/>
    </w:p>
    <w:p w14:paraId="63A62717">
      <w:pPr>
        <w:ind w:firstLine="560"/>
      </w:pPr>
      <w:r>
        <w:rPr>
          <w:rFonts w:hint="eastAsia"/>
        </w:rPr>
        <w:t>1、设计未考虑施工期间现状边坡的临时排水设施，结合渣场现状图，现状2062.5m平台整体地势为东北高西南低，汇水面积大，为防止雨水冲刷边坡，建议安全设施设计增设边坡修整前的坡面临时排水设施，将雨水导排至东南侧排水沟和西侧排水沟。</w:t>
      </w:r>
    </w:p>
    <w:p w14:paraId="6C70F8C6">
      <w:pPr>
        <w:ind w:firstLine="560"/>
      </w:pPr>
      <w:r>
        <w:rPr>
          <w:rFonts w:hint="eastAsia"/>
        </w:rPr>
        <w:t>2、东南侧区域清理、防渗施工过程中应加强顶部截洪沟的疏通、检查和维护，按设计要求施工，尽量避开雨季，防止东南侧表层清理时边坡不稳，发生泥石流、滑坡等。</w:t>
      </w:r>
    </w:p>
    <w:p w14:paraId="775A51CB">
      <w:pPr>
        <w:ind w:firstLine="560"/>
      </w:pPr>
      <w:r>
        <w:rPr>
          <w:rFonts w:hint="eastAsia"/>
        </w:rPr>
        <w:t>3、应定期对排洪构筑物进行监测，排洪构筑物的安全监测应包括：构筑物有无变形、位移、损毁、淤堵，排水能力是否满足要求。</w:t>
      </w:r>
    </w:p>
    <w:p w14:paraId="0888ED00">
      <w:pPr>
        <w:ind w:firstLine="560"/>
      </w:pPr>
      <w:r>
        <w:rPr>
          <w:rFonts w:hint="eastAsia"/>
        </w:rPr>
        <w:t>4、完善防排洪系统的安全监督检查和安全管理的体系、制度。</w:t>
      </w:r>
    </w:p>
    <w:p w14:paraId="58C50EBE">
      <w:pPr>
        <w:ind w:firstLine="560"/>
      </w:pPr>
      <w:r>
        <w:rPr>
          <w:rFonts w:hint="eastAsia"/>
        </w:rPr>
        <w:t>5、在防洪排水系统可能存在的危险、有害因素中，排水设施破坏需重点进行预防与管理。</w:t>
      </w:r>
    </w:p>
    <w:p w14:paraId="4997C172">
      <w:pPr>
        <w:ind w:firstLine="560"/>
      </w:pPr>
      <w:r>
        <w:rPr>
          <w:rFonts w:hint="eastAsia"/>
        </w:rPr>
        <w:t>6、加强周边山体和边坡的勘察和监测工作，及时整理监测数据，发现山体有突变和异常现象，应及时分析原因，采取措施，并立即上报有关部门，同时加强雨季防汛工作。</w:t>
      </w:r>
    </w:p>
    <w:p w14:paraId="54B5B0B2">
      <w:pPr>
        <w:pStyle w:val="4"/>
      </w:pPr>
      <w:bookmarkStart w:id="114" w:name="_Toc230699634"/>
      <w:r>
        <w:rPr>
          <w:rFonts w:hint="eastAsia"/>
        </w:rPr>
        <w:t>4.3.4 安全管理对策措施</w:t>
      </w:r>
      <w:bookmarkEnd w:id="114"/>
    </w:p>
    <w:p w14:paraId="2CA16BE2">
      <w:pPr>
        <w:ind w:firstLine="560"/>
      </w:pPr>
      <w:r>
        <w:rPr>
          <w:rFonts w:hint="eastAsia"/>
        </w:rPr>
        <w:t>场内应切实加强日常安全管理工作，确保渣场正常、安全运行。</w:t>
      </w:r>
    </w:p>
    <w:p w14:paraId="3B1A6D0A">
      <w:pPr>
        <w:ind w:firstLine="560"/>
      </w:pPr>
      <w:r>
        <w:rPr>
          <w:rFonts w:hint="eastAsia"/>
        </w:rPr>
        <w:t>1、企业应根据实际情况建立比较齐全的安全生产责任制、安全管理制度和各工种安全操作规程。建议下一步安全设施设计中明确企业应建立健全的安全管理制度、责任制和安全操作规程，至少应包括：安全生产责任制度、安全生产目标管理制度、安全生产检查制度、安全教育培训制度、隐患排查及治理制度、安全生产法律法规与其他要求管理制度、安全管理机构与人员任命制度、安全例会与安全活动日制度、安全记录管理制度、危险辨识与风险评价管理制度、防排水系统管理制度、设备和设施安全管理制度、安全警示标志管理制度、边坡安全管理制度、劳动防护用品管理制度、安全投入管理制度、工伤保险管理制度、应急管理制度、安全绩效监测与测量管理制度、排土作业规程、推土机安全操作规程、电工安全操作规程、车辆维修工安全操作规程、厂内运输安全操作规程、照明设施维护规程等。</w:t>
      </w:r>
    </w:p>
    <w:p w14:paraId="16B67A72">
      <w:pPr>
        <w:ind w:firstLine="560"/>
      </w:pPr>
      <w:r>
        <w:rPr>
          <w:rFonts w:hint="eastAsia"/>
        </w:rPr>
        <w:t>2、保证渣场堆存整治具备安全生产条件所必需的安全生产资金投入，做到专款专用，同时成立相应的安全管理机构，并配备相应的安全管理人员，配备与工作需要相适应的专业技术人员和具有相应工作能力的人员。</w:t>
      </w:r>
    </w:p>
    <w:p w14:paraId="4837CB4F">
      <w:pPr>
        <w:ind w:firstLine="560"/>
      </w:pPr>
      <w:r>
        <w:rPr>
          <w:rFonts w:hint="eastAsia"/>
        </w:rPr>
        <w:t>3、建设单位应按照《生产安全事故应急预案管理办法》（应急管理部令第2号）编制事故应急预案，编制的预案应满足弃土场投产后安全生产需求，根据生产发展的实际情况，及时更新和完善事故应急预案，定期进行演练，并做好演练记录，并完成评审备案手续。</w:t>
      </w:r>
    </w:p>
    <w:p w14:paraId="777BA622">
      <w:pPr>
        <w:ind w:firstLine="560"/>
      </w:pPr>
      <w:r>
        <w:rPr>
          <w:rFonts w:hint="eastAsia"/>
        </w:rPr>
        <w:t>4、建立渣场堆存整治施工档案和管理档案，应包括观测资料和实测数据，对于渣场堆存整治施工基础资料和隐蔽工程的档案，应长期保管。</w:t>
      </w:r>
    </w:p>
    <w:p w14:paraId="3C90139D">
      <w:pPr>
        <w:ind w:firstLine="560"/>
      </w:pPr>
      <w:r>
        <w:rPr>
          <w:rFonts w:hint="eastAsia"/>
        </w:rPr>
        <w:t>5、渣场堆存整治施工应当执行有关法律、法规和国家标准、行业标准的规定，严格按照设计施工，狠抓施工质量和进度，确保施工期间的安全，施工中需要对设计进行局部修改的，应当经原设计单位同意；对涉及重大设计变更的，应经原设计单位同意，并报原审批部门批准；施工完毕，应组织验收，并向主管部门进行备案。</w:t>
      </w:r>
    </w:p>
    <w:p w14:paraId="666FD1E2">
      <w:pPr>
        <w:ind w:firstLine="560"/>
      </w:pPr>
      <w:r>
        <w:rPr>
          <w:rFonts w:hint="eastAsia"/>
        </w:rPr>
        <w:t>6、做好渣场库区日常巡视、检查和观测，并进行及时、全面的记录；发现安全隐患时，应立即采取应急措施并向上级报告。</w:t>
      </w:r>
    </w:p>
    <w:p w14:paraId="763EE176">
      <w:pPr>
        <w:ind w:firstLine="560"/>
      </w:pPr>
      <w:r>
        <w:rPr>
          <w:rFonts w:hint="eastAsia"/>
        </w:rPr>
        <w:t>7、施工区域照明系统应完好，照明角度应符合要求，夜间无照明禁止边坡修整和堆排。</w:t>
      </w:r>
    </w:p>
    <w:p w14:paraId="6358B671">
      <w:pPr>
        <w:ind w:firstLine="560"/>
      </w:pPr>
      <w:r>
        <w:rPr>
          <w:rFonts w:hint="eastAsia"/>
        </w:rPr>
        <w:t>8、磷石膏渣场所在地区的地震烈度为8度，建议企业制定相应的防震和抗震的应急预案，内容包括：a.抢险组织与职责；b.弃渣场防震和抗震措施；c.防震和抗震的物资保障；d.弃渣场下游工业场地的防震应急避险预案；e.震前值班、巡查制定等。</w:t>
      </w:r>
    </w:p>
    <w:p w14:paraId="57D36DAC">
      <w:pPr>
        <w:ind w:firstLine="560"/>
      </w:pPr>
      <w:r>
        <w:rPr>
          <w:rFonts w:hint="eastAsia"/>
        </w:rPr>
        <w:t>9、渣场堆存整治后进行封场，覆土复绿，建议下一步安全设施设计中，进一步明确闭库封场后的管理、坝体、排洪设施及库面维护措施；建议封场后定期巡查及观测，并做好记录，发现相关设施损毁应及时修复，确保渣库封场后的安全。严禁在坝体和库内进行乱采、滥挖、违章建筑和违章作业等。</w:t>
      </w:r>
    </w:p>
    <w:p w14:paraId="5F11BA50">
      <w:pPr>
        <w:ind w:firstLine="560"/>
      </w:pPr>
      <w:r>
        <w:rPr>
          <w:rFonts w:hint="eastAsia"/>
        </w:rPr>
        <w:t>10、渣场施工作业易产生粉尘，建议施工过程中加强洒水降尘，为施工作业人员配备防尘口罩等劳动防护用品，并监督其正确使用。</w:t>
      </w:r>
    </w:p>
    <w:p w14:paraId="06E354CD">
      <w:pPr>
        <w:ind w:firstLine="560"/>
      </w:pPr>
      <w:r>
        <w:rPr>
          <w:rFonts w:hint="eastAsia"/>
        </w:rPr>
        <w:br w:type="page"/>
      </w:r>
    </w:p>
    <w:p w14:paraId="122CA16B">
      <w:pPr>
        <w:pStyle w:val="2"/>
      </w:pPr>
      <w:bookmarkStart w:id="115" w:name="_Toc230699635"/>
      <w:r>
        <w:rPr>
          <w:rFonts w:hint="eastAsia"/>
        </w:rPr>
        <w:t>第5章 评价结论</w:t>
      </w:r>
      <w:bookmarkEnd w:id="115"/>
    </w:p>
    <w:p w14:paraId="0E5DCFF1">
      <w:pPr>
        <w:pStyle w:val="3"/>
      </w:pPr>
      <w:bookmarkStart w:id="116" w:name="_Toc230699636"/>
      <w:r>
        <w:rPr>
          <w:rFonts w:hint="eastAsia"/>
        </w:rPr>
        <w:t>5.1 主要危险、有害因素评价结果</w:t>
      </w:r>
      <w:bookmarkEnd w:id="116"/>
    </w:p>
    <w:p w14:paraId="0B25BAD9">
      <w:pPr>
        <w:pStyle w:val="4"/>
      </w:pPr>
      <w:bookmarkStart w:id="117" w:name="_Toc230699637"/>
      <w:r>
        <w:rPr>
          <w:rFonts w:hint="eastAsia"/>
        </w:rPr>
        <w:t>5.1.1 本项目存在的主要危险、有害因素</w:t>
      </w:r>
      <w:bookmarkEnd w:id="117"/>
    </w:p>
    <w:p w14:paraId="58D25447">
      <w:pPr>
        <w:ind w:firstLine="560"/>
      </w:pPr>
      <w:r>
        <w:rPr>
          <w:rFonts w:hint="eastAsia"/>
        </w:rPr>
        <w:t>本项目存在的主要危险、有害因素为：滑坡、坍塌、排洪排水构筑物引起的事故、高处坠落、物体打击、火灾、噪声、粉尘危害等。</w:t>
      </w:r>
    </w:p>
    <w:p w14:paraId="0ED9F039">
      <w:pPr>
        <w:pStyle w:val="4"/>
      </w:pPr>
      <w:bookmarkStart w:id="118" w:name="_Toc230699638"/>
      <w:r>
        <w:rPr>
          <w:rFonts w:hint="eastAsia"/>
        </w:rPr>
        <w:t>5.1.2 本项目存在的主要危险、有害因素存在的部位</w:t>
      </w:r>
      <w:bookmarkEnd w:id="118"/>
    </w:p>
    <w:p w14:paraId="27339024">
      <w:pPr>
        <w:pStyle w:val="38"/>
        <w:rPr>
          <w:rFonts w:hint="default"/>
        </w:rPr>
      </w:pPr>
      <w:r>
        <w:t>表5.1-1 各种危险因素危险、危害因素存在的部位</w:t>
      </w:r>
    </w:p>
    <w:tbl>
      <w:tblPr>
        <w:tblStyle w:val="3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4"/>
        <w:gridCol w:w="1056"/>
        <w:gridCol w:w="2648"/>
        <w:gridCol w:w="4636"/>
      </w:tblGrid>
      <w:tr w14:paraId="564C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61" w:type="pct"/>
            <w:vAlign w:val="center"/>
          </w:tcPr>
          <w:p w14:paraId="55381B99">
            <w:pPr>
              <w:pStyle w:val="39"/>
              <w:rPr>
                <w:rFonts w:hint="default"/>
              </w:rPr>
            </w:pPr>
            <w:r>
              <w:t>项目</w:t>
            </w:r>
          </w:p>
        </w:tc>
        <w:tc>
          <w:tcPr>
            <w:tcW w:w="562" w:type="pct"/>
            <w:vAlign w:val="center"/>
          </w:tcPr>
          <w:p w14:paraId="200F4443">
            <w:pPr>
              <w:pStyle w:val="39"/>
              <w:rPr>
                <w:rFonts w:hint="default"/>
              </w:rPr>
            </w:pPr>
            <w:r>
              <w:t>序号</w:t>
            </w:r>
          </w:p>
        </w:tc>
        <w:tc>
          <w:tcPr>
            <w:tcW w:w="1409" w:type="pct"/>
            <w:vAlign w:val="center"/>
          </w:tcPr>
          <w:p w14:paraId="08EEECAB">
            <w:pPr>
              <w:pStyle w:val="39"/>
              <w:rPr>
                <w:rFonts w:hint="default"/>
              </w:rPr>
            </w:pPr>
            <w:r>
              <w:t>危险因素分类</w:t>
            </w:r>
          </w:p>
        </w:tc>
        <w:tc>
          <w:tcPr>
            <w:tcW w:w="2466" w:type="pct"/>
            <w:vAlign w:val="center"/>
          </w:tcPr>
          <w:p w14:paraId="770D949C">
            <w:pPr>
              <w:pStyle w:val="39"/>
              <w:rPr>
                <w:rFonts w:hint="default"/>
              </w:rPr>
            </w:pPr>
            <w:r>
              <w:t>可能存在部位</w:t>
            </w:r>
          </w:p>
        </w:tc>
      </w:tr>
      <w:tr w14:paraId="00EB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561" w:type="pct"/>
            <w:vMerge w:val="restart"/>
            <w:vAlign w:val="center"/>
          </w:tcPr>
          <w:p w14:paraId="517BEEC0">
            <w:pPr>
              <w:pStyle w:val="39"/>
              <w:rPr>
                <w:rFonts w:hint="default"/>
              </w:rPr>
            </w:pPr>
            <w:r>
              <w:t>危险</w:t>
            </w:r>
          </w:p>
          <w:p w14:paraId="582F0A02">
            <w:pPr>
              <w:pStyle w:val="39"/>
              <w:rPr>
                <w:rFonts w:hint="default"/>
              </w:rPr>
            </w:pPr>
            <w:r>
              <w:t>因素</w:t>
            </w:r>
          </w:p>
        </w:tc>
        <w:tc>
          <w:tcPr>
            <w:tcW w:w="562" w:type="pct"/>
            <w:vAlign w:val="center"/>
          </w:tcPr>
          <w:p w14:paraId="684C803C">
            <w:pPr>
              <w:pStyle w:val="39"/>
              <w:rPr>
                <w:rFonts w:hint="default"/>
              </w:rPr>
            </w:pPr>
            <w:r>
              <w:t>1</w:t>
            </w:r>
          </w:p>
        </w:tc>
        <w:tc>
          <w:tcPr>
            <w:tcW w:w="1409" w:type="pct"/>
            <w:vAlign w:val="center"/>
          </w:tcPr>
          <w:p w14:paraId="1B0E304D">
            <w:pPr>
              <w:pStyle w:val="39"/>
              <w:rPr>
                <w:rFonts w:hint="default"/>
              </w:rPr>
            </w:pPr>
            <w:r>
              <w:t>滑坡、坍塌</w:t>
            </w:r>
          </w:p>
        </w:tc>
        <w:tc>
          <w:tcPr>
            <w:tcW w:w="2466" w:type="pct"/>
            <w:vAlign w:val="center"/>
          </w:tcPr>
          <w:p w14:paraId="095155F6">
            <w:pPr>
              <w:pStyle w:val="39"/>
              <w:rPr>
                <w:rFonts w:hint="default"/>
              </w:rPr>
            </w:pPr>
            <w:r>
              <w:t>渣场边坡</w:t>
            </w:r>
          </w:p>
        </w:tc>
      </w:tr>
      <w:tr w14:paraId="14F7E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 w:hRule="atLeast"/>
          <w:jc w:val="center"/>
        </w:trPr>
        <w:tc>
          <w:tcPr>
            <w:tcW w:w="561" w:type="pct"/>
            <w:vMerge w:val="continue"/>
            <w:vAlign w:val="center"/>
          </w:tcPr>
          <w:p w14:paraId="6F59279A">
            <w:pPr>
              <w:pStyle w:val="39"/>
              <w:rPr>
                <w:rFonts w:hint="default"/>
              </w:rPr>
            </w:pPr>
          </w:p>
        </w:tc>
        <w:tc>
          <w:tcPr>
            <w:tcW w:w="562" w:type="pct"/>
            <w:vAlign w:val="center"/>
          </w:tcPr>
          <w:p w14:paraId="0C75053D">
            <w:pPr>
              <w:pStyle w:val="39"/>
              <w:rPr>
                <w:rFonts w:hint="default"/>
              </w:rPr>
            </w:pPr>
            <w:r>
              <w:t>2</w:t>
            </w:r>
          </w:p>
        </w:tc>
        <w:tc>
          <w:tcPr>
            <w:tcW w:w="1409" w:type="pct"/>
            <w:vAlign w:val="center"/>
          </w:tcPr>
          <w:p w14:paraId="3BF7BDCE">
            <w:pPr>
              <w:pStyle w:val="39"/>
              <w:rPr>
                <w:rFonts w:hint="default"/>
              </w:rPr>
            </w:pPr>
            <w:r>
              <w:t>排洪排水构筑物失效</w:t>
            </w:r>
          </w:p>
        </w:tc>
        <w:tc>
          <w:tcPr>
            <w:tcW w:w="2466" w:type="pct"/>
            <w:vAlign w:val="center"/>
          </w:tcPr>
          <w:p w14:paraId="47D252DE">
            <w:pPr>
              <w:pStyle w:val="39"/>
              <w:rPr>
                <w:rFonts w:hint="default"/>
              </w:rPr>
            </w:pPr>
            <w:r>
              <w:t>渣场周围排水设施</w:t>
            </w:r>
          </w:p>
        </w:tc>
      </w:tr>
      <w:tr w14:paraId="03A1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 w:hRule="atLeast"/>
          <w:jc w:val="center"/>
        </w:trPr>
        <w:tc>
          <w:tcPr>
            <w:tcW w:w="561" w:type="pct"/>
            <w:vMerge w:val="continue"/>
            <w:vAlign w:val="center"/>
          </w:tcPr>
          <w:p w14:paraId="7A08306C">
            <w:pPr>
              <w:pStyle w:val="39"/>
              <w:rPr>
                <w:rFonts w:hint="default"/>
              </w:rPr>
            </w:pPr>
          </w:p>
        </w:tc>
        <w:tc>
          <w:tcPr>
            <w:tcW w:w="562" w:type="pct"/>
            <w:vAlign w:val="center"/>
          </w:tcPr>
          <w:p w14:paraId="5F02F8DA">
            <w:pPr>
              <w:pStyle w:val="39"/>
              <w:rPr>
                <w:rFonts w:hint="default"/>
              </w:rPr>
            </w:pPr>
            <w:r>
              <w:t>3</w:t>
            </w:r>
          </w:p>
        </w:tc>
        <w:tc>
          <w:tcPr>
            <w:tcW w:w="1409" w:type="pct"/>
            <w:vAlign w:val="center"/>
          </w:tcPr>
          <w:p w14:paraId="1810C79B">
            <w:pPr>
              <w:pStyle w:val="39"/>
              <w:rPr>
                <w:rFonts w:hint="default"/>
              </w:rPr>
            </w:pPr>
            <w:r>
              <w:t>高处坠落</w:t>
            </w:r>
          </w:p>
        </w:tc>
        <w:tc>
          <w:tcPr>
            <w:tcW w:w="2466" w:type="pct"/>
            <w:vAlign w:val="center"/>
          </w:tcPr>
          <w:p w14:paraId="0B36749C">
            <w:pPr>
              <w:pStyle w:val="39"/>
              <w:rPr>
                <w:rFonts w:hint="default"/>
              </w:rPr>
            </w:pPr>
            <w:r>
              <w:t>2m及以上的作业平台</w:t>
            </w:r>
          </w:p>
        </w:tc>
      </w:tr>
      <w:tr w14:paraId="37AB9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61" w:type="pct"/>
            <w:vMerge w:val="continue"/>
            <w:vAlign w:val="center"/>
          </w:tcPr>
          <w:p w14:paraId="4E3620D5">
            <w:pPr>
              <w:pStyle w:val="39"/>
              <w:rPr>
                <w:rFonts w:hint="default"/>
              </w:rPr>
            </w:pPr>
          </w:p>
        </w:tc>
        <w:tc>
          <w:tcPr>
            <w:tcW w:w="562" w:type="pct"/>
            <w:vAlign w:val="center"/>
          </w:tcPr>
          <w:p w14:paraId="140DCC8D">
            <w:pPr>
              <w:pStyle w:val="39"/>
              <w:rPr>
                <w:rFonts w:hint="default"/>
              </w:rPr>
            </w:pPr>
            <w:r>
              <w:t>4</w:t>
            </w:r>
          </w:p>
        </w:tc>
        <w:tc>
          <w:tcPr>
            <w:tcW w:w="1409" w:type="pct"/>
            <w:vAlign w:val="center"/>
          </w:tcPr>
          <w:p w14:paraId="03BA5769">
            <w:pPr>
              <w:pStyle w:val="39"/>
              <w:rPr>
                <w:rFonts w:hint="default"/>
              </w:rPr>
            </w:pPr>
            <w:r>
              <w:t>物体打击</w:t>
            </w:r>
          </w:p>
        </w:tc>
        <w:tc>
          <w:tcPr>
            <w:tcW w:w="2466" w:type="pct"/>
            <w:vAlign w:val="center"/>
          </w:tcPr>
          <w:p w14:paraId="0A7B4CA6">
            <w:pPr>
              <w:pStyle w:val="39"/>
              <w:rPr>
                <w:rFonts w:hint="default"/>
              </w:rPr>
            </w:pPr>
            <w:r>
              <w:t>渣场堆存边坡、公路及截排洪设施周边</w:t>
            </w:r>
          </w:p>
        </w:tc>
      </w:tr>
      <w:tr w14:paraId="4F91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561" w:type="pct"/>
            <w:vMerge w:val="continue"/>
            <w:vAlign w:val="center"/>
          </w:tcPr>
          <w:p w14:paraId="36B96886">
            <w:pPr>
              <w:pStyle w:val="39"/>
              <w:rPr>
                <w:rFonts w:hint="default"/>
              </w:rPr>
            </w:pPr>
          </w:p>
        </w:tc>
        <w:tc>
          <w:tcPr>
            <w:tcW w:w="562" w:type="pct"/>
            <w:vAlign w:val="center"/>
          </w:tcPr>
          <w:p w14:paraId="0060D343">
            <w:pPr>
              <w:pStyle w:val="39"/>
              <w:rPr>
                <w:rFonts w:hint="default"/>
              </w:rPr>
            </w:pPr>
            <w:r>
              <w:t>5</w:t>
            </w:r>
          </w:p>
        </w:tc>
        <w:tc>
          <w:tcPr>
            <w:tcW w:w="1409" w:type="pct"/>
            <w:vAlign w:val="center"/>
          </w:tcPr>
          <w:p w14:paraId="69C118C2">
            <w:pPr>
              <w:pStyle w:val="39"/>
              <w:rPr>
                <w:rFonts w:hint="default"/>
              </w:rPr>
            </w:pPr>
            <w:r>
              <w:t>火灾</w:t>
            </w:r>
          </w:p>
        </w:tc>
        <w:tc>
          <w:tcPr>
            <w:tcW w:w="2466" w:type="pct"/>
            <w:vAlign w:val="center"/>
          </w:tcPr>
          <w:p w14:paraId="4D01EBD3">
            <w:pPr>
              <w:pStyle w:val="39"/>
              <w:rPr>
                <w:rFonts w:hint="default"/>
              </w:rPr>
            </w:pPr>
            <w:r>
              <w:t>施工机械使用的油品火灾、电气火灾</w:t>
            </w:r>
          </w:p>
        </w:tc>
      </w:tr>
      <w:tr w14:paraId="0BB2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561" w:type="pct"/>
            <w:vMerge w:val="restart"/>
            <w:vAlign w:val="center"/>
          </w:tcPr>
          <w:p w14:paraId="1C36CD5E">
            <w:pPr>
              <w:pStyle w:val="39"/>
              <w:rPr>
                <w:rFonts w:hint="default"/>
              </w:rPr>
            </w:pPr>
            <w:r>
              <w:t>有害</w:t>
            </w:r>
          </w:p>
          <w:p w14:paraId="395C51B7">
            <w:pPr>
              <w:pStyle w:val="39"/>
              <w:rPr>
                <w:rFonts w:hint="default"/>
              </w:rPr>
            </w:pPr>
            <w:r>
              <w:t>因素</w:t>
            </w:r>
          </w:p>
        </w:tc>
        <w:tc>
          <w:tcPr>
            <w:tcW w:w="562" w:type="pct"/>
            <w:vAlign w:val="center"/>
          </w:tcPr>
          <w:p w14:paraId="7594D8F7">
            <w:pPr>
              <w:pStyle w:val="39"/>
              <w:rPr>
                <w:rFonts w:hint="default"/>
              </w:rPr>
            </w:pPr>
            <w:r>
              <w:t>1</w:t>
            </w:r>
          </w:p>
        </w:tc>
        <w:tc>
          <w:tcPr>
            <w:tcW w:w="1409" w:type="pct"/>
            <w:vAlign w:val="center"/>
          </w:tcPr>
          <w:p w14:paraId="5D39DC95">
            <w:pPr>
              <w:pStyle w:val="39"/>
              <w:rPr>
                <w:rFonts w:hint="default"/>
              </w:rPr>
            </w:pPr>
            <w:r>
              <w:t>粉尘</w:t>
            </w:r>
          </w:p>
        </w:tc>
        <w:tc>
          <w:tcPr>
            <w:tcW w:w="2466" w:type="pct"/>
            <w:vAlign w:val="center"/>
          </w:tcPr>
          <w:p w14:paraId="70CBF7C9">
            <w:pPr>
              <w:pStyle w:val="39"/>
              <w:rPr>
                <w:rFonts w:hint="default"/>
              </w:rPr>
            </w:pPr>
            <w:r>
              <w:t>渣场场区、运输道路</w:t>
            </w:r>
          </w:p>
        </w:tc>
      </w:tr>
      <w:tr w14:paraId="7469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61" w:type="pct"/>
            <w:vMerge w:val="continue"/>
            <w:vAlign w:val="center"/>
          </w:tcPr>
          <w:p w14:paraId="6A875F56">
            <w:pPr>
              <w:pStyle w:val="39"/>
              <w:rPr>
                <w:rFonts w:hint="default"/>
              </w:rPr>
            </w:pPr>
          </w:p>
        </w:tc>
        <w:tc>
          <w:tcPr>
            <w:tcW w:w="562" w:type="pct"/>
            <w:vAlign w:val="center"/>
          </w:tcPr>
          <w:p w14:paraId="43CEBF55">
            <w:pPr>
              <w:pStyle w:val="39"/>
              <w:rPr>
                <w:rFonts w:hint="default"/>
              </w:rPr>
            </w:pPr>
            <w:r>
              <w:t>2</w:t>
            </w:r>
          </w:p>
        </w:tc>
        <w:tc>
          <w:tcPr>
            <w:tcW w:w="1409" w:type="pct"/>
            <w:vAlign w:val="center"/>
          </w:tcPr>
          <w:p w14:paraId="2DD7395B">
            <w:pPr>
              <w:pStyle w:val="39"/>
              <w:rPr>
                <w:rFonts w:hint="default"/>
              </w:rPr>
            </w:pPr>
            <w:r>
              <w:t>噪声、废气</w:t>
            </w:r>
          </w:p>
        </w:tc>
        <w:tc>
          <w:tcPr>
            <w:tcW w:w="2466" w:type="pct"/>
            <w:vAlign w:val="center"/>
          </w:tcPr>
          <w:p w14:paraId="4C81F858">
            <w:pPr>
              <w:pStyle w:val="39"/>
              <w:rPr>
                <w:rFonts w:hint="default"/>
              </w:rPr>
            </w:pPr>
            <w:r>
              <w:t>应急救援和施工中的机械操作过程</w:t>
            </w:r>
          </w:p>
        </w:tc>
      </w:tr>
      <w:tr w14:paraId="47ED1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561" w:type="pct"/>
            <w:vMerge w:val="restart"/>
            <w:vAlign w:val="center"/>
          </w:tcPr>
          <w:p w14:paraId="45DF2AB6">
            <w:pPr>
              <w:pStyle w:val="39"/>
              <w:rPr>
                <w:rFonts w:hint="default"/>
              </w:rPr>
            </w:pPr>
            <w:r>
              <w:t>管理因素</w:t>
            </w:r>
          </w:p>
        </w:tc>
        <w:tc>
          <w:tcPr>
            <w:tcW w:w="562" w:type="pct"/>
            <w:vAlign w:val="center"/>
          </w:tcPr>
          <w:p w14:paraId="4C552BD8">
            <w:pPr>
              <w:pStyle w:val="39"/>
              <w:rPr>
                <w:rFonts w:hint="default"/>
              </w:rPr>
            </w:pPr>
            <w:r>
              <w:t>1</w:t>
            </w:r>
          </w:p>
        </w:tc>
        <w:tc>
          <w:tcPr>
            <w:tcW w:w="1409" w:type="pct"/>
            <w:vAlign w:val="center"/>
          </w:tcPr>
          <w:p w14:paraId="1DF752BE">
            <w:pPr>
              <w:pStyle w:val="39"/>
              <w:rPr>
                <w:rFonts w:hint="default"/>
              </w:rPr>
            </w:pPr>
            <w:r>
              <w:t>职业安全健康组织结构不健全</w:t>
            </w:r>
          </w:p>
        </w:tc>
        <w:tc>
          <w:tcPr>
            <w:tcW w:w="2466" w:type="pct"/>
            <w:vAlign w:val="center"/>
          </w:tcPr>
          <w:p w14:paraId="01CE2489">
            <w:pPr>
              <w:pStyle w:val="39"/>
              <w:rPr>
                <w:rFonts w:hint="default"/>
              </w:rPr>
            </w:pPr>
            <w:r>
              <w:t>企业安全管理过程</w:t>
            </w:r>
          </w:p>
        </w:tc>
      </w:tr>
      <w:tr w14:paraId="0987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7" w:hRule="atLeast"/>
          <w:jc w:val="center"/>
        </w:trPr>
        <w:tc>
          <w:tcPr>
            <w:tcW w:w="561" w:type="pct"/>
            <w:vMerge w:val="continue"/>
            <w:vAlign w:val="center"/>
          </w:tcPr>
          <w:p w14:paraId="2D300550">
            <w:pPr>
              <w:pStyle w:val="39"/>
              <w:rPr>
                <w:rFonts w:hint="default"/>
              </w:rPr>
            </w:pPr>
          </w:p>
        </w:tc>
        <w:tc>
          <w:tcPr>
            <w:tcW w:w="562" w:type="pct"/>
            <w:vAlign w:val="center"/>
          </w:tcPr>
          <w:p w14:paraId="746B1592">
            <w:pPr>
              <w:pStyle w:val="39"/>
              <w:rPr>
                <w:rFonts w:hint="default"/>
              </w:rPr>
            </w:pPr>
            <w:r>
              <w:t>2</w:t>
            </w:r>
          </w:p>
        </w:tc>
        <w:tc>
          <w:tcPr>
            <w:tcW w:w="1409" w:type="pct"/>
            <w:vAlign w:val="center"/>
          </w:tcPr>
          <w:p w14:paraId="33EACB34">
            <w:pPr>
              <w:pStyle w:val="39"/>
              <w:rPr>
                <w:rFonts w:hint="default"/>
              </w:rPr>
            </w:pPr>
            <w:r>
              <w:t>职业安全健康责任制未落实、职业安全健康管理规章制度不完善</w:t>
            </w:r>
          </w:p>
        </w:tc>
        <w:tc>
          <w:tcPr>
            <w:tcW w:w="2466" w:type="pct"/>
            <w:vAlign w:val="center"/>
          </w:tcPr>
          <w:p w14:paraId="0DF435B0">
            <w:pPr>
              <w:pStyle w:val="39"/>
              <w:rPr>
                <w:rFonts w:hint="default"/>
              </w:rPr>
            </w:pPr>
            <w:r>
              <w:t>企业安全管理过程</w:t>
            </w:r>
          </w:p>
        </w:tc>
      </w:tr>
      <w:tr w14:paraId="19BB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561" w:type="pct"/>
            <w:vMerge w:val="continue"/>
            <w:vAlign w:val="center"/>
          </w:tcPr>
          <w:p w14:paraId="64B1349D">
            <w:pPr>
              <w:pStyle w:val="39"/>
              <w:rPr>
                <w:rFonts w:hint="default"/>
              </w:rPr>
            </w:pPr>
          </w:p>
        </w:tc>
        <w:tc>
          <w:tcPr>
            <w:tcW w:w="562" w:type="pct"/>
            <w:vAlign w:val="center"/>
          </w:tcPr>
          <w:p w14:paraId="63560DAD">
            <w:pPr>
              <w:pStyle w:val="39"/>
              <w:rPr>
                <w:rFonts w:hint="default"/>
              </w:rPr>
            </w:pPr>
            <w:r>
              <w:t>3</w:t>
            </w:r>
          </w:p>
        </w:tc>
        <w:tc>
          <w:tcPr>
            <w:tcW w:w="1409" w:type="pct"/>
            <w:vAlign w:val="center"/>
          </w:tcPr>
          <w:p w14:paraId="2DAA58DD">
            <w:pPr>
              <w:pStyle w:val="39"/>
              <w:rPr>
                <w:rFonts w:hint="default"/>
              </w:rPr>
            </w:pPr>
            <w:r>
              <w:t>职业安全健康管理不完善</w:t>
            </w:r>
          </w:p>
        </w:tc>
        <w:tc>
          <w:tcPr>
            <w:tcW w:w="2466" w:type="pct"/>
            <w:vAlign w:val="center"/>
          </w:tcPr>
          <w:p w14:paraId="7C1AC537">
            <w:pPr>
              <w:pStyle w:val="39"/>
              <w:rPr>
                <w:rFonts w:hint="default"/>
              </w:rPr>
            </w:pPr>
            <w:r>
              <w:t>企业安全管理过程</w:t>
            </w:r>
          </w:p>
        </w:tc>
      </w:tr>
      <w:tr w14:paraId="516D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jc w:val="center"/>
        </w:trPr>
        <w:tc>
          <w:tcPr>
            <w:tcW w:w="561" w:type="pct"/>
            <w:vMerge w:val="continue"/>
            <w:vAlign w:val="center"/>
          </w:tcPr>
          <w:p w14:paraId="43400E3C">
            <w:pPr>
              <w:pStyle w:val="39"/>
              <w:rPr>
                <w:rFonts w:hint="default"/>
              </w:rPr>
            </w:pPr>
          </w:p>
        </w:tc>
        <w:tc>
          <w:tcPr>
            <w:tcW w:w="562" w:type="pct"/>
            <w:vAlign w:val="center"/>
          </w:tcPr>
          <w:p w14:paraId="3777422C">
            <w:pPr>
              <w:pStyle w:val="39"/>
              <w:rPr>
                <w:rFonts w:hint="default"/>
              </w:rPr>
            </w:pPr>
            <w:r>
              <w:t>4</w:t>
            </w:r>
          </w:p>
        </w:tc>
        <w:tc>
          <w:tcPr>
            <w:tcW w:w="1409" w:type="pct"/>
            <w:vAlign w:val="center"/>
          </w:tcPr>
          <w:p w14:paraId="6105F4A7">
            <w:pPr>
              <w:pStyle w:val="39"/>
              <w:rPr>
                <w:rFonts w:hint="default"/>
              </w:rPr>
            </w:pPr>
            <w:r>
              <w:t>其他管理因素缺陷</w:t>
            </w:r>
          </w:p>
        </w:tc>
        <w:tc>
          <w:tcPr>
            <w:tcW w:w="2466" w:type="pct"/>
            <w:vAlign w:val="center"/>
          </w:tcPr>
          <w:p w14:paraId="09D6FAD6">
            <w:pPr>
              <w:pStyle w:val="39"/>
              <w:rPr>
                <w:rFonts w:hint="default"/>
              </w:rPr>
            </w:pPr>
            <w:r>
              <w:t>企业安全管理过程</w:t>
            </w:r>
          </w:p>
        </w:tc>
      </w:tr>
    </w:tbl>
    <w:p w14:paraId="4D93C164">
      <w:pPr>
        <w:pStyle w:val="3"/>
      </w:pPr>
      <w:bookmarkStart w:id="119" w:name="_Toc230699639"/>
      <w:r>
        <w:rPr>
          <w:rFonts w:hint="eastAsia"/>
        </w:rPr>
        <w:t>5.2 应重点防范的危险、有害因素</w:t>
      </w:r>
      <w:bookmarkEnd w:id="119"/>
    </w:p>
    <w:p w14:paraId="4D38BB57">
      <w:pPr>
        <w:ind w:firstLine="560"/>
      </w:pPr>
      <w:r>
        <w:rPr>
          <w:rFonts w:hint="eastAsia"/>
        </w:rPr>
        <w:t>通过对云南兴昆化工有限公司大坟箐磷石膏渣场堆存整治工程进行分析与评价，该项目从事故风险率高低排序主要存在：坍塌、滑坡、高处坠落、物体打击等危险有害因素，其次是粉尘、噪声、污染事故等。在项目建设及运行过程中需要进行重点防范。</w:t>
      </w:r>
    </w:p>
    <w:p w14:paraId="1CA3DDEE">
      <w:pPr>
        <w:pStyle w:val="3"/>
      </w:pPr>
      <w:bookmarkStart w:id="120" w:name="_Toc230699640"/>
      <w:r>
        <w:rPr>
          <w:rFonts w:hint="eastAsia"/>
        </w:rPr>
        <w:t>5.3 应重视的安全对策措施建议</w:t>
      </w:r>
      <w:bookmarkEnd w:id="120"/>
    </w:p>
    <w:p w14:paraId="097B6CBF">
      <w:pPr>
        <w:ind w:firstLine="560"/>
      </w:pPr>
      <w:r>
        <w:rPr>
          <w:rFonts w:hint="eastAsia"/>
        </w:rPr>
        <w:t>1、渣场整治后堆存总库容</w:t>
      </w:r>
      <w:r>
        <w:rPr>
          <w:rFonts w:hint="eastAsia" w:cs="Times New Roman"/>
          <w:lang w:bidi="ar"/>
        </w:rPr>
        <w:t>130.53万m</w:t>
      </w:r>
      <w:r>
        <w:rPr>
          <w:rFonts w:hint="eastAsia" w:cs="Times New Roman"/>
          <w:vertAlign w:val="superscript"/>
          <w:lang w:bidi="ar"/>
        </w:rPr>
        <w:t>3</w:t>
      </w:r>
      <w:r>
        <w:rPr>
          <w:rFonts w:hint="eastAsia"/>
        </w:rPr>
        <w:t>，总坝高62.5m，根据</w:t>
      </w:r>
      <w:r>
        <w:t>《磷石膏库安全技术规程》（AQ 2059-2016）</w:t>
      </w:r>
      <w:r>
        <w:rPr>
          <w:rFonts w:hint="eastAsia"/>
        </w:rPr>
        <w:t>，属于三等库；根据《水土保持工程设计规范》（GB51018-2014），属于3级弃渣场。渣场周边环境相对复杂，建议企业堆存整治过程中，严格按要求开展安全监测，并加强与周边企业、村小组的沟通联系，建立并完善应急通信机制，如遇异常情况，及时通知相关单位和人员。</w:t>
      </w:r>
    </w:p>
    <w:p w14:paraId="407F10B9">
      <w:pPr>
        <w:ind w:firstLine="560"/>
      </w:pPr>
      <w:r>
        <w:rPr>
          <w:rFonts w:hint="eastAsia"/>
        </w:rPr>
        <w:t>2、建议下一步安全设施设计补充东南侧区域设置防滑坡、坍塌危害的措施，并设置醒目的安全警示标志。</w:t>
      </w:r>
    </w:p>
    <w:p w14:paraId="3CB6240A">
      <w:pPr>
        <w:ind w:firstLine="560"/>
      </w:pPr>
      <w:r>
        <w:rPr>
          <w:rFonts w:hint="eastAsia"/>
        </w:rPr>
        <w:t>3、《整治设计》未明确高压电线（</w:t>
      </w:r>
      <w:r>
        <w:rPr>
          <w:rFonts w:cs="Times New Roman"/>
        </w:rPr>
        <w:t>樟兴鹤线</w:t>
      </w:r>
      <w:r>
        <w:rPr>
          <w:rFonts w:hint="eastAsia"/>
        </w:rPr>
        <w:t>）迁改方案，建议企业后续完善迁改方案后，与供电线路管理方、使用方签订安全协议，迁改施工应委托有资质单位施工；此外，迁改施工过程中可能与项目堆存整治施工存在交叉，企业应监督双方签订安全管理协议，制定专人进行施工现场的监督管理工作。</w:t>
      </w:r>
    </w:p>
    <w:p w14:paraId="26387ED1">
      <w:pPr>
        <w:ind w:firstLine="560"/>
      </w:pPr>
      <w:r>
        <w:rPr>
          <w:rFonts w:hint="eastAsia"/>
        </w:rPr>
        <w:t>4、设计未考虑施工期间现状边坡的临时排水设施，结合渣场现状图，现状2062.5m平台整体地势为东北高西南低，汇水面积大，为防止雨水冲刷边坡，建议安全设施设计增设边坡修整前的坡面临时排水设施，将雨水导排至东南侧排水沟和西侧排水沟。</w:t>
      </w:r>
    </w:p>
    <w:p w14:paraId="44442B3A">
      <w:pPr>
        <w:ind w:firstLine="560"/>
      </w:pPr>
      <w:r>
        <w:rPr>
          <w:rFonts w:hint="eastAsia"/>
        </w:rPr>
        <w:t>5、东南侧区域清理、防渗施工过程中应加强顶部截洪沟的疏通、检查和维护，按设计要求施工，尽量避开雨季，防止东南侧表层清理时边坡不稳，发生泥石流、滑坡等。</w:t>
      </w:r>
    </w:p>
    <w:p w14:paraId="15D4904C">
      <w:pPr>
        <w:ind w:firstLine="560"/>
      </w:pPr>
      <w:r>
        <w:rPr>
          <w:rFonts w:hint="eastAsia"/>
        </w:rPr>
        <w:t>6、加强周边山体和边坡的勘察和监测工作，及时整理监测数据，发现山体有突变和异常现象，应及时分析原因，采取措施，并立即上报有关部门，同时加强雨季防汛工作。</w:t>
      </w:r>
    </w:p>
    <w:p w14:paraId="5F19B5FE">
      <w:pPr>
        <w:ind w:firstLine="560"/>
      </w:pPr>
      <w:r>
        <w:rPr>
          <w:rFonts w:hint="eastAsia"/>
        </w:rPr>
        <w:t>7、项目施工单位、监理单位必须具备相应的施工、监理资质。</w:t>
      </w:r>
    </w:p>
    <w:p w14:paraId="341B48DA">
      <w:pPr>
        <w:ind w:firstLine="560"/>
      </w:pPr>
      <w:r>
        <w:rPr>
          <w:rFonts w:hint="eastAsia"/>
        </w:rPr>
        <w:t>8、渣场堆存整治后进行封场，覆土复绿，建议下一步安全设施设计中，进一步明确闭库封场后的管理、坝体、排洪设施及库面维护措施；建议封场后定期巡查及观测，并做好记录，发现相关设施损毁应及时修复，确保渣库封场后的安全。严禁在坝体和库内进行乱采、滥挖、违章建筑和违章作业等。</w:t>
      </w:r>
    </w:p>
    <w:p w14:paraId="371930AE">
      <w:pPr>
        <w:pStyle w:val="3"/>
      </w:pPr>
      <w:bookmarkStart w:id="121" w:name="_Toc230699641"/>
      <w:r>
        <w:rPr>
          <w:rFonts w:hint="eastAsia"/>
        </w:rPr>
        <w:t>5.4 安全预评价结论</w:t>
      </w:r>
      <w:bookmarkEnd w:id="121"/>
    </w:p>
    <w:p w14:paraId="42CC7976">
      <w:pPr>
        <w:ind w:firstLine="560"/>
      </w:pPr>
      <w:r>
        <w:rPr>
          <w:rFonts w:hint="eastAsia"/>
        </w:rPr>
        <w:t>1、</w:t>
      </w:r>
      <w:r>
        <w:t>云南兴昆化工有限公司大坟箐磷石膏渣场堆存整治工程是根据</w:t>
      </w:r>
      <w:r>
        <w:rPr>
          <w:lang w:val="zh-CN"/>
        </w:rPr>
        <w:t>《磷石膏库环境风险隐患排查整治工作指南》</w:t>
      </w:r>
      <w:r>
        <w:t>要求，开展的</w:t>
      </w:r>
      <w:r>
        <w:rPr>
          <w:rFonts w:hint="eastAsia"/>
        </w:rPr>
        <w:t>环境风险隐患整治项目，企业证照齐全、有效，渣场建设程序合法；</w:t>
      </w:r>
    </w:p>
    <w:p w14:paraId="2E546793">
      <w:pPr>
        <w:ind w:firstLine="560"/>
      </w:pPr>
      <w:r>
        <w:rPr>
          <w:rFonts w:hint="eastAsia"/>
        </w:rPr>
        <w:t>2、根据《</w:t>
      </w:r>
      <w:r>
        <w:t>云南兴昆化工有限公司大坟箐磷石膏渣场堆存整治设计</w:t>
      </w:r>
      <w:r>
        <w:rPr>
          <w:rFonts w:hint="eastAsia"/>
        </w:rPr>
        <w:t>》、勘察报告等技术资料，渣场场址和总平面布置符合有关法律、法规及规范标准要求；</w:t>
      </w:r>
    </w:p>
    <w:p w14:paraId="43E59BB3">
      <w:pPr>
        <w:ind w:firstLine="560"/>
      </w:pPr>
      <w:r>
        <w:rPr>
          <w:rFonts w:hint="eastAsia"/>
        </w:rPr>
        <w:t>3、根据《</w:t>
      </w:r>
      <w:r>
        <w:t>云南兴昆化工有限公司大坟箐磷石膏渣场堆存整治设计</w:t>
      </w:r>
      <w:r>
        <w:rPr>
          <w:rFonts w:hint="eastAsia"/>
        </w:rPr>
        <w:t>》，该渣场边坡修整、磷石膏堆存工艺合理，符合规程要求；</w:t>
      </w:r>
    </w:p>
    <w:p w14:paraId="17181859">
      <w:pPr>
        <w:ind w:firstLine="560"/>
      </w:pPr>
      <w:r>
        <w:rPr>
          <w:rFonts w:hint="eastAsia"/>
        </w:rPr>
        <w:t>4、《</w:t>
      </w:r>
      <w:r>
        <w:t>云南兴昆化工有限公司大坟箐磷石膏渣场堆存整治设计</w:t>
      </w:r>
      <w:r>
        <w:rPr>
          <w:rFonts w:hint="eastAsia"/>
        </w:rPr>
        <w:t>》对渣场的防排洪设施进行了设计及完善，符合规程要求；</w:t>
      </w:r>
    </w:p>
    <w:p w14:paraId="763CC934">
      <w:pPr>
        <w:ind w:firstLine="560"/>
      </w:pPr>
      <w:r>
        <w:rPr>
          <w:rFonts w:hint="eastAsia"/>
        </w:rPr>
        <w:t>5、项目中虽然存在滚石、滑坡、高处坠落、物体打击、车辆伤害、火灾、防洪排水构筑物失效、噪声、粉尘等危险、有害因素，但在项目建设施工和生产过程中，通过落实设计方案中的安全对策措施、建设安全设施和本次安全预评价报告补充的安全对策措施，切实针对项目中危险、有害因素对设计和生产设施进一步优化和完善，认真落实国家相关安全生产的法规、标准、规程、规范，加强事故预防和安全管理工作，即可为满足本项目安全生产的要求奠定基础，该项目潜在的危险、有害因素能得到控制，在可接受的范围内；</w:t>
      </w:r>
    </w:p>
    <w:p w14:paraId="4CE1C5B4">
      <w:pPr>
        <w:ind w:firstLine="562"/>
        <w:rPr>
          <w:b/>
          <w:bCs/>
        </w:rPr>
      </w:pPr>
      <w:r>
        <w:rPr>
          <w:rFonts w:hint="eastAsia"/>
          <w:b/>
          <w:bCs/>
        </w:rPr>
        <w:t>安全预评价结论：</w:t>
      </w:r>
      <w:r>
        <w:rPr>
          <w:b/>
        </w:rPr>
        <w:t>云南兴昆化工有限公司大坟箐磷石膏渣场堆存整治工程</w:t>
      </w:r>
      <w:r>
        <w:rPr>
          <w:rFonts w:hint="eastAsia"/>
          <w:b/>
          <w:bCs/>
        </w:rPr>
        <w:t>从安全生产角度符合国家有关法律、法规、标准、规范的要求，在项目实施过程中，通过落实设计方案和本报告提出的对策措施建议，该项目的安全风险在可接受范围。</w:t>
      </w:r>
    </w:p>
    <w:p w14:paraId="58008836">
      <w:pPr>
        <w:ind w:firstLine="560"/>
      </w:pPr>
      <w:r>
        <w:rPr>
          <w:rFonts w:hint="eastAsia"/>
        </w:rPr>
        <w:br w:type="page"/>
      </w:r>
    </w:p>
    <w:p w14:paraId="4A4AE370">
      <w:pPr>
        <w:pStyle w:val="2"/>
      </w:pPr>
      <w:bookmarkStart w:id="122" w:name="_Toc230699642"/>
      <w:r>
        <w:rPr>
          <w:rFonts w:hint="eastAsia"/>
        </w:rPr>
        <w:t>附件</w:t>
      </w:r>
      <w:bookmarkEnd w:id="122"/>
    </w:p>
    <w:p w14:paraId="5D947808">
      <w:pPr>
        <w:ind w:firstLine="560"/>
      </w:pPr>
      <w:r>
        <w:rPr>
          <w:rFonts w:hint="eastAsia"/>
        </w:rPr>
        <w:t>1、安全预评价委托书；</w:t>
      </w:r>
    </w:p>
    <w:p w14:paraId="499EDC96">
      <w:pPr>
        <w:ind w:firstLine="560"/>
      </w:pPr>
      <w:r>
        <w:rPr>
          <w:rFonts w:hint="eastAsia"/>
        </w:rPr>
        <w:t>2、材料真实性承诺书；</w:t>
      </w:r>
    </w:p>
    <w:p w14:paraId="6DB576A5">
      <w:pPr>
        <w:ind w:firstLine="560"/>
      </w:pPr>
      <w:r>
        <w:rPr>
          <w:rFonts w:hint="eastAsia"/>
        </w:rPr>
        <w:t>3、营业执照；</w:t>
      </w:r>
    </w:p>
    <w:p w14:paraId="40D73733">
      <w:pPr>
        <w:ind w:firstLine="560"/>
      </w:pPr>
      <w:r>
        <w:rPr>
          <w:rFonts w:hint="eastAsia"/>
        </w:rPr>
        <w:t>4、《云南兴昆化工有限公司磷石膏渣场整改设计方案》（昆钢集团设计院有限公司，2017年09月）封面、资质；</w:t>
      </w:r>
      <w:r>
        <w:t xml:space="preserve"> </w:t>
      </w:r>
    </w:p>
    <w:p w14:paraId="5EACFA67">
      <w:pPr>
        <w:ind w:firstLine="560"/>
      </w:pPr>
      <w:r>
        <w:rPr>
          <w:rFonts w:hint="eastAsia"/>
        </w:rPr>
        <w:t>5、《</w:t>
      </w:r>
      <w:r>
        <w:t>云南兴昆化工有限公司磷石膏渣场安全现状评价报告</w:t>
      </w:r>
      <w:r>
        <w:rPr>
          <w:rFonts w:hint="eastAsia"/>
        </w:rPr>
        <w:t>存在问题整改复查报告》（昆明阳光安全科技工程有限公司，2018年5月8日）封面</w:t>
      </w:r>
    </w:p>
    <w:p w14:paraId="3AD08445">
      <w:pPr>
        <w:ind w:firstLine="560"/>
      </w:pPr>
      <w:r>
        <w:rPr>
          <w:rFonts w:hint="eastAsia"/>
        </w:rPr>
        <w:t>6、《云南兴昆化工有限公司甸头村大坟箐磷石膏渣场稳定性校核岩土工程勘察报告（详细勘察）》（云南坦盛岩土工程有限公司，2021年07月）封面、资质、扉页；</w:t>
      </w:r>
    </w:p>
    <w:p w14:paraId="235C7AE2">
      <w:pPr>
        <w:ind w:firstLine="560"/>
      </w:pPr>
      <w:r>
        <w:rPr>
          <w:rFonts w:hint="eastAsia"/>
        </w:rPr>
        <w:t>7、</w:t>
      </w:r>
      <w:r>
        <w:t>《云南兴昆化工有限公司甸头村大坟箐磷石膏渣场回采工程详细勘察报告》（</w:t>
      </w:r>
      <w:r>
        <w:rPr>
          <w:bCs/>
        </w:rPr>
        <w:t>云南坦盛岩土工程有限公司，</w:t>
      </w:r>
      <w:r>
        <w:t>2021年</w:t>
      </w:r>
      <w:r>
        <w:rPr>
          <w:rFonts w:hint="eastAsia"/>
        </w:rPr>
        <w:t>09月</w:t>
      </w:r>
      <w:r>
        <w:t>）</w:t>
      </w:r>
      <w:r>
        <w:rPr>
          <w:rFonts w:hint="eastAsia"/>
        </w:rPr>
        <w:t>封面、资质、扉页</w:t>
      </w:r>
      <w:r>
        <w:t>；</w:t>
      </w:r>
    </w:p>
    <w:p w14:paraId="057F0511">
      <w:pPr>
        <w:ind w:firstLine="560"/>
      </w:pPr>
      <w:r>
        <w:rPr>
          <w:rFonts w:hint="eastAsia"/>
        </w:rPr>
        <w:t>8、《云南兴昆化工有限公司大坟箐磷石膏渣场水文地质专项调查报告》（西南有色昆明勘测设计（院）股份有限公司，2025年05月）封面、资质、扉页；</w:t>
      </w:r>
    </w:p>
    <w:p w14:paraId="5719B45D">
      <w:pPr>
        <w:ind w:firstLine="560"/>
      </w:pPr>
      <w:r>
        <w:rPr>
          <w:rFonts w:hint="eastAsia"/>
        </w:rPr>
        <w:t>9、《</w:t>
      </w:r>
      <w:r>
        <w:t>云南兴昆化工有限公司大坟箐磷石膏库“一库一策”整治方案</w:t>
      </w:r>
      <w:r>
        <w:rPr>
          <w:rFonts w:hint="eastAsia"/>
        </w:rPr>
        <w:t>》（云南沃渊环保科技有限公司，2025年09月）封面、扉页及专家审核意见；</w:t>
      </w:r>
    </w:p>
    <w:p w14:paraId="07B330D6">
      <w:pPr>
        <w:ind w:firstLine="560"/>
      </w:pPr>
      <w:r>
        <w:rPr>
          <w:rFonts w:hint="eastAsia"/>
        </w:rPr>
        <w:t>10、</w:t>
      </w:r>
      <w:r>
        <w:t>《云南兴昆化工有限公司大坟箐磷石膏渣场堆存整治设计》（昆明坤泽矿业技术有限责任公司，</w:t>
      </w:r>
      <w:r>
        <w:rPr>
          <w:rFonts w:hint="eastAsia"/>
        </w:rPr>
        <w:t>2025年12月</w:t>
      </w:r>
      <w:r>
        <w:t>）</w:t>
      </w:r>
      <w:r>
        <w:rPr>
          <w:rFonts w:hint="eastAsia"/>
        </w:rPr>
        <w:t>封面、资质、扉页；</w:t>
      </w:r>
    </w:p>
    <w:p w14:paraId="5D0E4226">
      <w:pPr>
        <w:ind w:firstLine="560"/>
      </w:pPr>
      <w:r>
        <w:rPr>
          <w:rFonts w:hint="eastAsia"/>
        </w:rPr>
        <w:t>11、安全评价检测检验机构从业告知书。</w:t>
      </w:r>
    </w:p>
    <w:p w14:paraId="39450FF9">
      <w:pPr>
        <w:ind w:firstLine="560"/>
      </w:pPr>
      <w:r>
        <w:rPr>
          <w:rFonts w:hint="eastAsia"/>
        </w:rPr>
        <w:br w:type="page"/>
      </w:r>
    </w:p>
    <w:p w14:paraId="7C8D0F83">
      <w:pPr>
        <w:pStyle w:val="2"/>
      </w:pPr>
      <w:bookmarkStart w:id="123" w:name="_Toc230699643"/>
      <w:r>
        <w:rPr>
          <w:rFonts w:hint="eastAsia"/>
        </w:rPr>
        <w:t>附图</w:t>
      </w:r>
      <w:bookmarkEnd w:id="123"/>
    </w:p>
    <w:p w14:paraId="75D3C258">
      <w:pPr>
        <w:ind w:firstLine="560"/>
      </w:pPr>
      <w:r>
        <w:rPr>
          <w:rFonts w:hint="eastAsia"/>
        </w:rPr>
        <w:t>附图1：工程区周边关系示意图；</w:t>
      </w:r>
    </w:p>
    <w:p w14:paraId="59CE0A04">
      <w:pPr>
        <w:ind w:firstLine="560"/>
      </w:pPr>
      <w:r>
        <w:rPr>
          <w:rFonts w:hint="eastAsia"/>
        </w:rPr>
        <w:t>附图2：渣场堆存整治总平面布置图；</w:t>
      </w:r>
    </w:p>
    <w:p w14:paraId="1C8ADD7F">
      <w:pPr>
        <w:ind w:firstLine="560"/>
      </w:pPr>
      <w:r>
        <w:rPr>
          <w:rFonts w:hint="eastAsia"/>
        </w:rPr>
        <w:t>附图3：渣场堆存整治纵剖面图（1-1剖面）；</w:t>
      </w:r>
    </w:p>
    <w:p w14:paraId="303D7E7B">
      <w:pPr>
        <w:ind w:firstLine="560"/>
      </w:pPr>
      <w:r>
        <w:rPr>
          <w:rFonts w:hint="eastAsia"/>
        </w:rPr>
        <w:t>附图4：渣场堆存整治纵剖面图（2-2剖面)；</w:t>
      </w:r>
    </w:p>
    <w:p w14:paraId="0D3C4331">
      <w:pPr>
        <w:ind w:firstLine="560"/>
      </w:pPr>
      <w:r>
        <w:rPr>
          <w:rFonts w:hint="eastAsia"/>
        </w:rPr>
        <w:t>附图5：渣场边坡修整剖面图；</w:t>
      </w:r>
    </w:p>
    <w:p w14:paraId="599301BD">
      <w:pPr>
        <w:ind w:firstLine="560"/>
      </w:pPr>
      <w:r>
        <w:rPr>
          <w:rFonts w:hint="eastAsia"/>
        </w:rPr>
        <w:t>附图6：渣场东南侧清理平面图；</w:t>
      </w:r>
    </w:p>
    <w:p w14:paraId="47B46BA9">
      <w:pPr>
        <w:ind w:firstLine="560"/>
      </w:pPr>
      <w:r>
        <w:rPr>
          <w:rFonts w:hint="eastAsia"/>
        </w:rPr>
        <w:t>附图7：渣场东南侧底部防渗结构大样图；</w:t>
      </w:r>
    </w:p>
    <w:p w14:paraId="55E15061">
      <w:pPr>
        <w:tabs>
          <w:tab w:val="center" w:pos="4872"/>
        </w:tabs>
        <w:ind w:firstLine="560"/>
      </w:pPr>
      <w:r>
        <w:rPr>
          <w:rFonts w:hint="eastAsia"/>
        </w:rPr>
        <w:t>附图8：渗滤液导排盲沟大样图；</w:t>
      </w:r>
      <w:r>
        <w:tab/>
      </w:r>
    </w:p>
    <w:p w14:paraId="43B4B8F2">
      <w:pPr>
        <w:ind w:firstLine="560"/>
      </w:pPr>
      <w:r>
        <w:rPr>
          <w:rFonts w:hint="eastAsia"/>
        </w:rPr>
        <w:t>附图9：东南侧雨水沟断面图；</w:t>
      </w:r>
    </w:p>
    <w:p w14:paraId="6D77EC9D">
      <w:pPr>
        <w:ind w:firstLine="560"/>
      </w:pPr>
      <w:r>
        <w:rPr>
          <w:rFonts w:hint="eastAsia"/>
        </w:rPr>
        <w:t>附图10：表层防渗结构大样图；</w:t>
      </w:r>
    </w:p>
    <w:p w14:paraId="4789B8CD">
      <w:pPr>
        <w:ind w:firstLine="560"/>
      </w:pPr>
      <w:r>
        <w:rPr>
          <w:rFonts w:hint="eastAsia"/>
        </w:rPr>
        <w:t>附图11：表层雨水沟、坡面雨水沟大样图；</w:t>
      </w:r>
    </w:p>
    <w:p w14:paraId="1845FFB6">
      <w:pPr>
        <w:ind w:firstLine="560"/>
      </w:pPr>
      <w:r>
        <w:rPr>
          <w:rFonts w:hint="eastAsia"/>
        </w:rPr>
        <w:t>附图12：渣场闭库封场表层覆土植被示意图；</w:t>
      </w:r>
    </w:p>
    <w:p w14:paraId="48CC33BE">
      <w:pPr>
        <w:ind w:firstLine="560"/>
      </w:pPr>
      <w:r>
        <w:rPr>
          <w:rFonts w:hint="eastAsia"/>
        </w:rPr>
        <w:t>附图13：监测设施平面布置图；</w:t>
      </w:r>
    </w:p>
    <w:p w14:paraId="77E554CD">
      <w:pPr>
        <w:ind w:firstLine="560"/>
        <w:sectPr>
          <w:footerReference r:id="rId14" w:type="default"/>
          <w:pgSz w:w="11905" w:h="16838"/>
          <w:pgMar w:top="1417" w:right="1134" w:bottom="1134" w:left="1587" w:header="851" w:footer="992" w:gutter="0"/>
          <w:pgBorders>
            <w:top w:val="thinThickSmallGap" w:color="auto" w:sz="12" w:space="1"/>
            <w:bottom w:val="thickThinSmallGap" w:color="auto" w:sz="12" w:space="1"/>
          </w:pgBorders>
          <w:pgNumType w:start="1"/>
          <w:cols w:space="0" w:num="1"/>
          <w:docGrid w:type="lines" w:linePitch="386" w:charSpace="0"/>
        </w:sectPr>
      </w:pPr>
      <w:r>
        <w:rPr>
          <w:rFonts w:hint="eastAsia"/>
        </w:rPr>
        <w:t>附图14：渣场运输道路平面布置图。</w:t>
      </w:r>
    </w:p>
    <w:p w14:paraId="52C78103">
      <w:pPr>
        <w:ind w:firstLine="0" w:firstLineChars="0"/>
        <w:jc w:val="both"/>
      </w:pPr>
      <w:bookmarkStart w:id="124" w:name="_GoBack"/>
      <w:bookmarkEnd w:id="124"/>
    </w:p>
    <w:sectPr>
      <w:footerReference r:id="rId15" w:type="default"/>
      <w:pgSz w:w="11905" w:h="16838"/>
      <w:pgMar w:top="1417" w:right="1134" w:bottom="1134" w:left="1587" w:header="851" w:footer="992" w:gutter="0"/>
      <w:pgBorders>
        <w:top w:val="thinThickSmallGap" w:color="auto" w:sz="12" w:space="1"/>
        <w:bottom w:val="thickThinSmallGap" w:color="auto" w:sz="12" w:space="1"/>
      </w:pgBorders>
      <w:pgNumType w:fmt="numberInDash" w:start="1"/>
      <w:cols w:space="0" w:num="1"/>
      <w:docGrid w:type="lines" w:linePitch="3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7F" w:usb3="00000000" w:csb0="003F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85138">
    <w:pPr>
      <w:pBdr>
        <w:top w:val="none" w:color="auto" w:sz="0" w:space="1"/>
      </w:pBdr>
      <w:ind w:firstLine="5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A055D">
    <w:pPr>
      <w:pStyle w:val="2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49FD6">
    <w:pPr>
      <w:pStyle w:val="2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8D6EA">
    <w:pPr>
      <w:pBdr>
        <w:top w:val="none" w:color="auto" w:sz="0" w:space="1"/>
      </w:pBdr>
      <w:tabs>
        <w:tab w:val="center" w:pos="4153"/>
      </w:tabs>
      <w:ind w:firstLine="5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A47FB">
    <w:pPr>
      <w:pBdr>
        <w:top w:val="none" w:color="auto" w:sz="0" w:space="1"/>
      </w:pBdr>
      <w:tabs>
        <w:tab w:val="center" w:pos="4153"/>
      </w:tabs>
      <w:spacing w:line="500" w:lineRule="exact"/>
      <w:ind w:firstLine="0" w:firstLineChars="0"/>
      <w:rPr>
        <w:rFonts w:eastAsia="楷体" w:cs="Times New Roman"/>
        <w:sz w:val="21"/>
      </w:rPr>
    </w:pPr>
    <w:r>
      <w:rPr>
        <w:rFonts w:hint="eastAsia" w:eastAsia="楷体" w:cs="Times New Roman"/>
        <w:sz w:val="21"/>
        <w:szCs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247650" cy="1828800"/>
              <wp:effectExtent l="0" t="0" r="0" b="0"/>
              <wp:wrapNone/>
              <wp:docPr id="43" name="文本框 9"/>
              <wp:cNvGraphicFramePr/>
              <a:graphic xmlns:a="http://schemas.openxmlformats.org/drawingml/2006/main">
                <a:graphicData uri="http://schemas.microsoft.com/office/word/2010/wordprocessingShape">
                  <wps:wsp>
                    <wps:cNvSpPr txBox="1"/>
                    <wps:spPr>
                      <a:xfrm>
                        <a:off x="0" y="0"/>
                        <a:ext cx="248218" cy="1828800"/>
                      </a:xfrm>
                      <a:prstGeom prst="rect">
                        <a:avLst/>
                      </a:prstGeom>
                      <a:noFill/>
                      <a:ln w="12700">
                        <a:noFill/>
                      </a:ln>
                    </wps:spPr>
                    <wps:txbx>
                      <w:txbxContent>
                        <w:p w14:paraId="39A9AC4F">
                          <w:pPr>
                            <w:tabs>
                              <w:tab w:val="center" w:pos="4153"/>
                              <w:tab w:val="right" w:pos="8306"/>
                            </w:tabs>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V</w:t>
                          </w:r>
                          <w:r>
                            <w:rPr>
                              <w:sz w:val="21"/>
                              <w:szCs w:val="21"/>
                            </w:rPr>
                            <w:fldChar w:fldCharType="end"/>
                          </w:r>
                        </w:p>
                      </w:txbxContent>
                    </wps:txbx>
                    <wps:bodyPr rot="0" vert="horz" wrap="square" lIns="0" tIns="0" rIns="0" bIns="0" anchor="t" anchorCtr="0">
                      <a:spAutoFit/>
                    </wps:bodyPr>
                  </wps:wsp>
                </a:graphicData>
              </a:graphic>
            </wp:anchor>
          </w:drawing>
        </mc:Choice>
        <mc:Fallback>
          <w:pict>
            <v:shape id="文本框 9" o:spid="_x0000_s1026" o:spt="202" type="#_x0000_t202" style="position:absolute;left:0pt;margin-top:0pt;height:144pt;width:19.5pt;mso-position-horizontal:right;mso-position-horizontal-relative:margin;z-index:251659264;mso-width-relative:page;mso-height-relative:page;" filled="f" stroked="f" coordsize="21600,21600" o:gfxdata="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v6B0h0wAA&#10;AAQBAAAPAAAAAAAAAAEAIAAAACIAAABkcnMvZG93bnJldi54bWxQSwECFAAUAAAACACHTuJA8xt6&#10;euoBAADGAwAADgAAAAAAAAABACAAAAAiAQAAZHJzL2Uyb0RvYy54bWxQSwUGAAAAAAYABgBZAQAA&#10;fgUAAAAA&#10;">
              <v:fill on="f" focussize="0,0"/>
              <v:stroke on="f" weight="1pt"/>
              <v:imagedata o:title=""/>
              <o:lock v:ext="edit" aspectratio="f"/>
              <v:textbox inset="0mm,0mm,0mm,0mm" style="mso-fit-shape-to-text:t;">
                <w:txbxContent>
                  <w:p w14:paraId="39A9AC4F">
                    <w:pPr>
                      <w:tabs>
                        <w:tab w:val="center" w:pos="4153"/>
                        <w:tab w:val="right" w:pos="8306"/>
                      </w:tabs>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V</w:t>
                    </w:r>
                    <w:r>
                      <w:rPr>
                        <w:sz w:val="21"/>
                        <w:szCs w:val="21"/>
                      </w:rPr>
                      <w:fldChar w:fldCharType="end"/>
                    </w:r>
                  </w:p>
                </w:txbxContent>
              </v:textbox>
            </v:shape>
          </w:pict>
        </mc:Fallback>
      </mc:AlternateContent>
    </w:r>
    <w:r>
      <w:rPr>
        <w:rFonts w:hint="eastAsia" w:eastAsia="楷体" w:cs="Times New Roman"/>
        <w:sz w:val="21"/>
      </w:rPr>
      <w:drawing>
        <wp:inline distT="0" distB="0" distL="114300" distR="114300">
          <wp:extent cx="337820" cy="127635"/>
          <wp:effectExtent l="0" t="0" r="5080" b="5715"/>
          <wp:docPr id="35"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 descr="2"/>
                  <pic:cNvPicPr>
                    <a:picLocks noChangeAspect="1"/>
                  </pic:cNvPicPr>
                </pic:nvPicPr>
                <pic:blipFill>
                  <a:blip r:embed="rId1"/>
                  <a:srcRect t="9578" b="16475"/>
                  <a:stretch>
                    <a:fillRect/>
                  </a:stretch>
                </pic:blipFill>
                <pic:spPr>
                  <a:xfrm>
                    <a:off x="0" y="0"/>
                    <a:ext cx="337820" cy="127635"/>
                  </a:xfrm>
                  <a:prstGeom prst="rect">
                    <a:avLst/>
                  </a:prstGeom>
                  <a:noFill/>
                  <a:ln w="12700">
                    <a:noFill/>
                  </a:ln>
                </pic:spPr>
              </pic:pic>
            </a:graphicData>
          </a:graphic>
        </wp:inline>
      </w:drawing>
    </w:r>
    <w:r>
      <w:rPr>
        <w:rFonts w:hint="eastAsia" w:eastAsia="楷体" w:cs="Times New Roman"/>
        <w:sz w:val="21"/>
        <w:szCs w:val="21"/>
      </w:rPr>
      <w:t>辽宁诺诚安全科技有限公司</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EEA39">
    <w:pPr>
      <w:pBdr>
        <w:top w:val="none" w:color="auto" w:sz="0" w:space="1"/>
      </w:pBdr>
      <w:tabs>
        <w:tab w:val="center" w:pos="4153"/>
      </w:tabs>
      <w:spacing w:line="500" w:lineRule="exact"/>
      <w:ind w:firstLine="0" w:firstLineChars="0"/>
      <w:rPr>
        <w:rFonts w:eastAsia="楷体" w:cs="Times New Roman"/>
        <w:sz w:val="21"/>
      </w:rPr>
    </w:pPr>
    <w:r>
      <w:rPr>
        <w:rFonts w:hint="eastAsia" w:eastAsia="楷体" w:cs="Times New Roman"/>
        <w:sz w:val="21"/>
        <w:szCs w:val="21"/>
      </w:rPr>
      <mc:AlternateContent>
        <mc:Choice Requires="wps">
          <w:drawing>
            <wp:anchor distT="0" distB="0" distL="114300" distR="114300" simplePos="0" relativeHeight="251660288" behindDoc="0" locked="0" layoutInCell="1" allowOverlap="1">
              <wp:simplePos x="0" y="0"/>
              <wp:positionH relativeFrom="margin">
                <wp:posOffset>5558790</wp:posOffset>
              </wp:positionH>
              <wp:positionV relativeFrom="paragraph">
                <wp:posOffset>5715</wp:posOffset>
              </wp:positionV>
              <wp:extent cx="297180" cy="1828800"/>
              <wp:effectExtent l="0" t="0" r="8255" b="0"/>
              <wp:wrapNone/>
              <wp:docPr id="124" name="文本框 9"/>
              <wp:cNvGraphicFramePr/>
              <a:graphic xmlns:a="http://schemas.openxmlformats.org/drawingml/2006/main">
                <a:graphicData uri="http://schemas.microsoft.com/office/word/2010/wordprocessingShape">
                  <wps:wsp>
                    <wps:cNvSpPr txBox="1"/>
                    <wps:spPr>
                      <a:xfrm>
                        <a:off x="0" y="0"/>
                        <a:ext cx="296883" cy="1828800"/>
                      </a:xfrm>
                      <a:prstGeom prst="rect">
                        <a:avLst/>
                      </a:prstGeom>
                      <a:noFill/>
                      <a:ln w="12700">
                        <a:noFill/>
                      </a:ln>
                    </wps:spPr>
                    <wps:txbx>
                      <w:txbxContent>
                        <w:p w14:paraId="46FE629F">
                          <w:pPr>
                            <w:tabs>
                              <w:tab w:val="center" w:pos="4153"/>
                              <w:tab w:val="right" w:pos="8306"/>
                            </w:tabs>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149</w:t>
                          </w:r>
                          <w:r>
                            <w:rPr>
                              <w:sz w:val="21"/>
                              <w:szCs w:val="21"/>
                            </w:rPr>
                            <w:fldChar w:fldCharType="end"/>
                          </w:r>
                        </w:p>
                      </w:txbxContent>
                    </wps:txbx>
                    <wps:bodyPr rot="0" vert="horz" wrap="square" lIns="0" tIns="0" rIns="0" bIns="0" anchor="t" anchorCtr="0">
                      <a:spAutoFit/>
                    </wps:bodyPr>
                  </wps:wsp>
                </a:graphicData>
              </a:graphic>
            </wp:anchor>
          </w:drawing>
        </mc:Choice>
        <mc:Fallback>
          <w:pict>
            <v:shape id="文本框 9" o:spid="_x0000_s1026" o:spt="202" type="#_x0000_t202" style="position:absolute;left:0pt;margin-left:437.7pt;margin-top:0.45pt;height:144pt;width:23.4pt;mso-position-horizontal-relative:margin;z-index:251660288;mso-width-relative:page;mso-height-relative:page;" filled="f" stroked="f" coordsize="21600,21600" o:gfxdata="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ZFhNB&#10;1wAAAAgBAAAPAAAAAAAAAAEAIAAAACIAAABkcnMvZG93bnJldi54bWxQSwECFAAUAAAACACHTuJA&#10;UfVPHOkBAADHAwAADgAAAAAAAAABACAAAAAmAQAAZHJzL2Uyb0RvYy54bWxQSwUGAAAAAAYABgBZ&#10;AQAAgQUAAAAA&#10;">
              <v:fill on="f" focussize="0,0"/>
              <v:stroke on="f" weight="1pt"/>
              <v:imagedata o:title=""/>
              <o:lock v:ext="edit" aspectratio="f"/>
              <v:textbox inset="0mm,0mm,0mm,0mm" style="mso-fit-shape-to-text:t;">
                <w:txbxContent>
                  <w:p w14:paraId="46FE629F">
                    <w:pPr>
                      <w:tabs>
                        <w:tab w:val="center" w:pos="4153"/>
                        <w:tab w:val="right" w:pos="8306"/>
                      </w:tabs>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149</w:t>
                    </w:r>
                    <w:r>
                      <w:rPr>
                        <w:sz w:val="21"/>
                        <w:szCs w:val="21"/>
                      </w:rPr>
                      <w:fldChar w:fldCharType="end"/>
                    </w:r>
                  </w:p>
                </w:txbxContent>
              </v:textbox>
            </v:shape>
          </w:pict>
        </mc:Fallback>
      </mc:AlternateContent>
    </w:r>
    <w:r>
      <w:rPr>
        <w:rFonts w:hint="eastAsia" w:eastAsia="楷体" w:cs="Times New Roman"/>
        <w:sz w:val="21"/>
      </w:rPr>
      <w:drawing>
        <wp:inline distT="0" distB="0" distL="114300" distR="114300">
          <wp:extent cx="337820" cy="127635"/>
          <wp:effectExtent l="0" t="0" r="5080" b="5715"/>
          <wp:docPr id="122"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8" descr="2"/>
                  <pic:cNvPicPr>
                    <a:picLocks noChangeAspect="1"/>
                  </pic:cNvPicPr>
                </pic:nvPicPr>
                <pic:blipFill>
                  <a:blip r:embed="rId1"/>
                  <a:srcRect t="9578" b="16475"/>
                  <a:stretch>
                    <a:fillRect/>
                  </a:stretch>
                </pic:blipFill>
                <pic:spPr>
                  <a:xfrm>
                    <a:off x="0" y="0"/>
                    <a:ext cx="337820" cy="127635"/>
                  </a:xfrm>
                  <a:prstGeom prst="rect">
                    <a:avLst/>
                  </a:prstGeom>
                  <a:noFill/>
                  <a:ln w="12700">
                    <a:noFill/>
                  </a:ln>
                </pic:spPr>
              </pic:pic>
            </a:graphicData>
          </a:graphic>
        </wp:inline>
      </w:drawing>
    </w:r>
    <w:r>
      <w:rPr>
        <w:rFonts w:hint="eastAsia" w:eastAsia="楷体" w:cs="Times New Roman"/>
        <w:sz w:val="21"/>
        <w:szCs w:val="21"/>
      </w:rPr>
      <w:t>辽宁诺诚安全科技有限公司</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5BF53">
    <w:pPr>
      <w:pBdr>
        <w:top w:val="none" w:color="auto" w:sz="0" w:space="1"/>
      </w:pBdr>
      <w:tabs>
        <w:tab w:val="center" w:pos="4153"/>
      </w:tabs>
      <w:spacing w:line="500" w:lineRule="exact"/>
      <w:ind w:firstLine="0" w:firstLineChars="0"/>
      <w:rPr>
        <w:rFonts w:eastAsia="楷体" w:cs="Times New Roman"/>
        <w:sz w:val="21"/>
      </w:rPr>
    </w:pPr>
    <w:r>
      <w:rPr>
        <w:rFonts w:hint="eastAsia" w:eastAsia="楷体" w:cs="Times New Roman"/>
        <w:sz w:val="21"/>
      </w:rPr>
      <w:drawing>
        <wp:inline distT="0" distB="0" distL="114300" distR="114300">
          <wp:extent cx="337820" cy="127635"/>
          <wp:effectExtent l="0" t="0" r="5080" b="5715"/>
          <wp:docPr id="125"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8" descr="2"/>
                  <pic:cNvPicPr>
                    <a:picLocks noChangeAspect="1"/>
                  </pic:cNvPicPr>
                </pic:nvPicPr>
                <pic:blipFill>
                  <a:blip r:embed="rId1"/>
                  <a:srcRect t="9578" b="16475"/>
                  <a:stretch>
                    <a:fillRect/>
                  </a:stretch>
                </pic:blipFill>
                <pic:spPr>
                  <a:xfrm>
                    <a:off x="0" y="0"/>
                    <a:ext cx="337820" cy="127635"/>
                  </a:xfrm>
                  <a:prstGeom prst="rect">
                    <a:avLst/>
                  </a:prstGeom>
                  <a:noFill/>
                  <a:ln w="12700">
                    <a:noFill/>
                  </a:ln>
                </pic:spPr>
              </pic:pic>
            </a:graphicData>
          </a:graphic>
        </wp:inline>
      </w:drawing>
    </w:r>
    <w:r>
      <w:rPr>
        <w:rFonts w:hint="eastAsia" w:eastAsia="楷体" w:cs="Times New Roman"/>
        <w:sz w:val="21"/>
        <w:szCs w:val="21"/>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26"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1E45BF84">
                          <w:pPr>
                            <w:tabs>
                              <w:tab w:val="center" w:pos="4153"/>
                              <w:tab w:val="right" w:pos="8306"/>
                            </w:tabs>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- 1 -</w:t>
                          </w:r>
                          <w:r>
                            <w:rPr>
                              <w:sz w:val="21"/>
                              <w:szCs w:val="21"/>
                            </w:rPr>
                            <w:fldChar w:fldCharType="end"/>
                          </w:r>
                        </w:p>
                      </w:txbxContent>
                    </wps:txbx>
                    <wps:bodyPr rot="0" vert="horz" wrap="none" lIns="0" tIns="0" rIns="0" bIns="0" anchor="t" anchorCtr="0">
                      <a:spAutoFit/>
                    </wps:bodyPr>
                  </wps:wsp>
                </a:graphicData>
              </a:graphic>
            </wp:anchor>
          </w:drawing>
        </mc:Choice>
        <mc:Fallback>
          <w:pict>
            <v:shape id="文本框 9"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HSJCZ+EBAADGAwAA&#10;DgAAAAAAAAABACAAAAAiAQAAZHJzL2Uyb0RvYy54bWxQSwUGAAAAAAYABgBZAQAAdQUAAAAA&#10;">
              <v:fill on="f" focussize="0,0"/>
              <v:stroke on="f" weight="1pt"/>
              <v:imagedata o:title=""/>
              <o:lock v:ext="edit" aspectratio="f"/>
              <v:textbox inset="0mm,0mm,0mm,0mm" style="mso-fit-shape-to-text:t;">
                <w:txbxContent>
                  <w:p w14:paraId="1E45BF84">
                    <w:pPr>
                      <w:tabs>
                        <w:tab w:val="center" w:pos="4153"/>
                        <w:tab w:val="right" w:pos="8306"/>
                      </w:tabs>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- 1 -</w:t>
                    </w:r>
                    <w:r>
                      <w:rPr>
                        <w:sz w:val="21"/>
                        <w:szCs w:val="21"/>
                      </w:rPr>
                      <w:fldChar w:fldCharType="end"/>
                    </w:r>
                  </w:p>
                </w:txbxContent>
              </v:textbox>
            </v:shape>
          </w:pict>
        </mc:Fallback>
      </mc:AlternateContent>
    </w:r>
    <w:r>
      <w:rPr>
        <w:rFonts w:hint="eastAsia" w:eastAsia="楷体" w:cs="Times New Roman"/>
        <w:sz w:val="21"/>
        <w:szCs w:val="21"/>
      </w:rPr>
      <w:t>辽宁诺诚安全科技有限公司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A737D">
    <w:pPr>
      <w:pBdr>
        <w:bottom w:val="none" w:color="auto" w:sz="0" w:space="1"/>
      </w:pBdr>
      <w:tabs>
        <w:tab w:val="center" w:pos="4153"/>
        <w:tab w:val="right" w:pos="8306"/>
      </w:tabs>
      <w:ind w:firstLine="5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21B75">
    <w:pPr>
      <w:pStyle w:val="2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C4150">
    <w:pPr>
      <w:pStyle w:val="2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A6656">
    <w:pPr>
      <w:pBdr>
        <w:bottom w:val="none" w:color="auto" w:sz="0" w:space="1"/>
      </w:pBdr>
      <w:tabs>
        <w:tab w:val="center" w:pos="4153"/>
        <w:tab w:val="right" w:pos="8306"/>
      </w:tabs>
      <w:snapToGrid w:val="0"/>
      <w:spacing w:line="500" w:lineRule="exact"/>
      <w:ind w:firstLine="0" w:firstLineChars="0"/>
      <w:jc w:val="center"/>
      <w:rPr>
        <w:rFonts w:eastAsia="楷体"/>
        <w:sz w:val="21"/>
      </w:rPr>
    </w:pPr>
    <w:r>
      <w:rPr>
        <w:rFonts w:hint="eastAsia" w:eastAsia="楷体"/>
        <w:sz w:val="21"/>
      </w:rPr>
      <w:t>云南兴昆化工有限公司大坟箐磷石膏渣场堆存整治工程安全预评价报告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792916"/>
    <w:multiLevelType w:val="singleLevel"/>
    <w:tmpl w:val="30792916"/>
    <w:lvl w:ilvl="0" w:tentative="0">
      <w:start w:val="1"/>
      <w:numFmt w:val="bullet"/>
      <w:pStyle w:val="10"/>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hideSpellingErrors/>
  <w:documentProtection w:enforcement="0"/>
  <w:defaultTabStop w:val="420"/>
  <w:drawingGridVerticalSpacing w:val="19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818"/>
    <w:rsid w:val="00013309"/>
    <w:rsid w:val="00014F80"/>
    <w:rsid w:val="00023C2A"/>
    <w:rsid w:val="000266E3"/>
    <w:rsid w:val="00033E5B"/>
    <w:rsid w:val="00041329"/>
    <w:rsid w:val="00054FBA"/>
    <w:rsid w:val="000632CF"/>
    <w:rsid w:val="000648E0"/>
    <w:rsid w:val="00083507"/>
    <w:rsid w:val="00085CC3"/>
    <w:rsid w:val="000862B0"/>
    <w:rsid w:val="00093903"/>
    <w:rsid w:val="00096151"/>
    <w:rsid w:val="000A35DF"/>
    <w:rsid w:val="000C0660"/>
    <w:rsid w:val="000C0837"/>
    <w:rsid w:val="000C1878"/>
    <w:rsid w:val="000D009E"/>
    <w:rsid w:val="000D1E28"/>
    <w:rsid w:val="000D236D"/>
    <w:rsid w:val="000D5257"/>
    <w:rsid w:val="000E12C8"/>
    <w:rsid w:val="000E2332"/>
    <w:rsid w:val="000E6963"/>
    <w:rsid w:val="000F0FE7"/>
    <w:rsid w:val="000F28E2"/>
    <w:rsid w:val="00102ACC"/>
    <w:rsid w:val="001070C4"/>
    <w:rsid w:val="00107A12"/>
    <w:rsid w:val="00126630"/>
    <w:rsid w:val="00133505"/>
    <w:rsid w:val="00134A57"/>
    <w:rsid w:val="00136608"/>
    <w:rsid w:val="00144A39"/>
    <w:rsid w:val="00146ABA"/>
    <w:rsid w:val="00150F14"/>
    <w:rsid w:val="0015153D"/>
    <w:rsid w:val="0015220D"/>
    <w:rsid w:val="00154526"/>
    <w:rsid w:val="00157073"/>
    <w:rsid w:val="0016111D"/>
    <w:rsid w:val="0017558D"/>
    <w:rsid w:val="00182E10"/>
    <w:rsid w:val="0019348F"/>
    <w:rsid w:val="0019365D"/>
    <w:rsid w:val="001A25A3"/>
    <w:rsid w:val="001A2748"/>
    <w:rsid w:val="001B02F3"/>
    <w:rsid w:val="001B2AD0"/>
    <w:rsid w:val="001B41C9"/>
    <w:rsid w:val="001B5214"/>
    <w:rsid w:val="001B77B7"/>
    <w:rsid w:val="001C1EAC"/>
    <w:rsid w:val="001C5C03"/>
    <w:rsid w:val="001C62B0"/>
    <w:rsid w:val="001E0D67"/>
    <w:rsid w:val="001E4410"/>
    <w:rsid w:val="001E58CA"/>
    <w:rsid w:val="001F109E"/>
    <w:rsid w:val="001F155E"/>
    <w:rsid w:val="001F28F2"/>
    <w:rsid w:val="001F5AB3"/>
    <w:rsid w:val="0020192A"/>
    <w:rsid w:val="00203720"/>
    <w:rsid w:val="00207B86"/>
    <w:rsid w:val="002140DD"/>
    <w:rsid w:val="00214473"/>
    <w:rsid w:val="0023049C"/>
    <w:rsid w:val="00231701"/>
    <w:rsid w:val="00233B64"/>
    <w:rsid w:val="002346DC"/>
    <w:rsid w:val="00263B8B"/>
    <w:rsid w:val="00272818"/>
    <w:rsid w:val="002807C1"/>
    <w:rsid w:val="00282BDD"/>
    <w:rsid w:val="0029032F"/>
    <w:rsid w:val="002932D7"/>
    <w:rsid w:val="00293A29"/>
    <w:rsid w:val="00296165"/>
    <w:rsid w:val="002A23C0"/>
    <w:rsid w:val="002B2DD1"/>
    <w:rsid w:val="002B7708"/>
    <w:rsid w:val="002C5A6A"/>
    <w:rsid w:val="002C693C"/>
    <w:rsid w:val="002D0A4E"/>
    <w:rsid w:val="002D31C4"/>
    <w:rsid w:val="002E1A56"/>
    <w:rsid w:val="002E22D1"/>
    <w:rsid w:val="002E6663"/>
    <w:rsid w:val="003011B9"/>
    <w:rsid w:val="00305790"/>
    <w:rsid w:val="00312DCE"/>
    <w:rsid w:val="003136CD"/>
    <w:rsid w:val="00320FCF"/>
    <w:rsid w:val="003220FC"/>
    <w:rsid w:val="00330B17"/>
    <w:rsid w:val="003336C4"/>
    <w:rsid w:val="00344BBC"/>
    <w:rsid w:val="003518C7"/>
    <w:rsid w:val="0035760A"/>
    <w:rsid w:val="00361C20"/>
    <w:rsid w:val="003624E6"/>
    <w:rsid w:val="003631C0"/>
    <w:rsid w:val="0037046D"/>
    <w:rsid w:val="00376D80"/>
    <w:rsid w:val="00383587"/>
    <w:rsid w:val="0038394F"/>
    <w:rsid w:val="00390B00"/>
    <w:rsid w:val="003935C3"/>
    <w:rsid w:val="003955B2"/>
    <w:rsid w:val="003966D1"/>
    <w:rsid w:val="003973EE"/>
    <w:rsid w:val="003A0D25"/>
    <w:rsid w:val="003B0B27"/>
    <w:rsid w:val="003B1B54"/>
    <w:rsid w:val="003B28F9"/>
    <w:rsid w:val="003C242C"/>
    <w:rsid w:val="003C4456"/>
    <w:rsid w:val="003C4A53"/>
    <w:rsid w:val="003D622A"/>
    <w:rsid w:val="003E17CE"/>
    <w:rsid w:val="003E2A10"/>
    <w:rsid w:val="003E5766"/>
    <w:rsid w:val="003F666F"/>
    <w:rsid w:val="003F7C3C"/>
    <w:rsid w:val="00400036"/>
    <w:rsid w:val="00424E44"/>
    <w:rsid w:val="00430BFA"/>
    <w:rsid w:val="00444EA3"/>
    <w:rsid w:val="00455244"/>
    <w:rsid w:val="00460361"/>
    <w:rsid w:val="00460AEA"/>
    <w:rsid w:val="00497B2A"/>
    <w:rsid w:val="004A1549"/>
    <w:rsid w:val="004A589F"/>
    <w:rsid w:val="004B568C"/>
    <w:rsid w:val="004B6FC8"/>
    <w:rsid w:val="004C5282"/>
    <w:rsid w:val="004C6DA7"/>
    <w:rsid w:val="004D1DA2"/>
    <w:rsid w:val="004E50C2"/>
    <w:rsid w:val="004F0FBA"/>
    <w:rsid w:val="00500343"/>
    <w:rsid w:val="00523E73"/>
    <w:rsid w:val="00531A13"/>
    <w:rsid w:val="005456B9"/>
    <w:rsid w:val="00546B08"/>
    <w:rsid w:val="00550FA3"/>
    <w:rsid w:val="0055170B"/>
    <w:rsid w:val="00556952"/>
    <w:rsid w:val="00565DB1"/>
    <w:rsid w:val="00567D43"/>
    <w:rsid w:val="00573428"/>
    <w:rsid w:val="005770BA"/>
    <w:rsid w:val="00580431"/>
    <w:rsid w:val="00580969"/>
    <w:rsid w:val="00591BD6"/>
    <w:rsid w:val="005B4840"/>
    <w:rsid w:val="005C188F"/>
    <w:rsid w:val="005C3CF0"/>
    <w:rsid w:val="005E0E46"/>
    <w:rsid w:val="005E2840"/>
    <w:rsid w:val="005F02F3"/>
    <w:rsid w:val="005F55E8"/>
    <w:rsid w:val="00603A38"/>
    <w:rsid w:val="0060501B"/>
    <w:rsid w:val="006305A6"/>
    <w:rsid w:val="006431D4"/>
    <w:rsid w:val="0065158F"/>
    <w:rsid w:val="00653450"/>
    <w:rsid w:val="00655626"/>
    <w:rsid w:val="006617EC"/>
    <w:rsid w:val="00680A43"/>
    <w:rsid w:val="00686352"/>
    <w:rsid w:val="006863B9"/>
    <w:rsid w:val="00693CF2"/>
    <w:rsid w:val="0069467E"/>
    <w:rsid w:val="006A0D19"/>
    <w:rsid w:val="006A2586"/>
    <w:rsid w:val="006B21ED"/>
    <w:rsid w:val="006C5202"/>
    <w:rsid w:val="006C5FB1"/>
    <w:rsid w:val="006D3A15"/>
    <w:rsid w:val="006D4B8C"/>
    <w:rsid w:val="006D7042"/>
    <w:rsid w:val="006F14C5"/>
    <w:rsid w:val="006F4681"/>
    <w:rsid w:val="006F49D9"/>
    <w:rsid w:val="006F4C7D"/>
    <w:rsid w:val="006F6A35"/>
    <w:rsid w:val="006F715D"/>
    <w:rsid w:val="007006DE"/>
    <w:rsid w:val="007051FF"/>
    <w:rsid w:val="00744331"/>
    <w:rsid w:val="00751C9E"/>
    <w:rsid w:val="00762ABA"/>
    <w:rsid w:val="00762E60"/>
    <w:rsid w:val="00775C48"/>
    <w:rsid w:val="007764AA"/>
    <w:rsid w:val="007856EC"/>
    <w:rsid w:val="00794D3B"/>
    <w:rsid w:val="007C0B1E"/>
    <w:rsid w:val="007C3A04"/>
    <w:rsid w:val="007C47B7"/>
    <w:rsid w:val="007E0A1C"/>
    <w:rsid w:val="007F1EDD"/>
    <w:rsid w:val="007F3CC7"/>
    <w:rsid w:val="007F4207"/>
    <w:rsid w:val="00804B18"/>
    <w:rsid w:val="00806839"/>
    <w:rsid w:val="00806F96"/>
    <w:rsid w:val="00815B56"/>
    <w:rsid w:val="0082618C"/>
    <w:rsid w:val="00827A04"/>
    <w:rsid w:val="00841C59"/>
    <w:rsid w:val="0084326F"/>
    <w:rsid w:val="00852FA3"/>
    <w:rsid w:val="00857D28"/>
    <w:rsid w:val="00857EAD"/>
    <w:rsid w:val="00866A92"/>
    <w:rsid w:val="00872447"/>
    <w:rsid w:val="008773A6"/>
    <w:rsid w:val="00883D35"/>
    <w:rsid w:val="00884635"/>
    <w:rsid w:val="00887F00"/>
    <w:rsid w:val="00890A25"/>
    <w:rsid w:val="008B4E48"/>
    <w:rsid w:val="008C6A90"/>
    <w:rsid w:val="008C6DBD"/>
    <w:rsid w:val="008D5D05"/>
    <w:rsid w:val="008E0951"/>
    <w:rsid w:val="008E6102"/>
    <w:rsid w:val="008F227E"/>
    <w:rsid w:val="008F5EE6"/>
    <w:rsid w:val="0090343B"/>
    <w:rsid w:val="00903CA2"/>
    <w:rsid w:val="009100A8"/>
    <w:rsid w:val="00921A93"/>
    <w:rsid w:val="00921F88"/>
    <w:rsid w:val="00923E37"/>
    <w:rsid w:val="00927BFF"/>
    <w:rsid w:val="00941A51"/>
    <w:rsid w:val="00957BA9"/>
    <w:rsid w:val="0096187A"/>
    <w:rsid w:val="00970D12"/>
    <w:rsid w:val="00974AB2"/>
    <w:rsid w:val="00974CF9"/>
    <w:rsid w:val="00980464"/>
    <w:rsid w:val="009844B5"/>
    <w:rsid w:val="009B1F4B"/>
    <w:rsid w:val="009B5587"/>
    <w:rsid w:val="009B6476"/>
    <w:rsid w:val="009D436B"/>
    <w:rsid w:val="009D58A0"/>
    <w:rsid w:val="009D6741"/>
    <w:rsid w:val="009E7F22"/>
    <w:rsid w:val="009F57EC"/>
    <w:rsid w:val="009F6196"/>
    <w:rsid w:val="00A06A2B"/>
    <w:rsid w:val="00A140F5"/>
    <w:rsid w:val="00A158E9"/>
    <w:rsid w:val="00A17839"/>
    <w:rsid w:val="00A31D0B"/>
    <w:rsid w:val="00A5274C"/>
    <w:rsid w:val="00A529B0"/>
    <w:rsid w:val="00A53863"/>
    <w:rsid w:val="00A63C99"/>
    <w:rsid w:val="00A649A1"/>
    <w:rsid w:val="00A8170F"/>
    <w:rsid w:val="00A83AF7"/>
    <w:rsid w:val="00A851E9"/>
    <w:rsid w:val="00A86D50"/>
    <w:rsid w:val="00A875A4"/>
    <w:rsid w:val="00A939CE"/>
    <w:rsid w:val="00A96BF0"/>
    <w:rsid w:val="00A97AA1"/>
    <w:rsid w:val="00AA1CFC"/>
    <w:rsid w:val="00AA44DA"/>
    <w:rsid w:val="00AA5473"/>
    <w:rsid w:val="00AB0EFC"/>
    <w:rsid w:val="00AB3A55"/>
    <w:rsid w:val="00AB5086"/>
    <w:rsid w:val="00AC45E7"/>
    <w:rsid w:val="00AC5CB4"/>
    <w:rsid w:val="00AD4141"/>
    <w:rsid w:val="00AD4BDD"/>
    <w:rsid w:val="00AD6759"/>
    <w:rsid w:val="00AE0CD2"/>
    <w:rsid w:val="00AE64BC"/>
    <w:rsid w:val="00B01486"/>
    <w:rsid w:val="00B04C01"/>
    <w:rsid w:val="00B11463"/>
    <w:rsid w:val="00B1650C"/>
    <w:rsid w:val="00B21622"/>
    <w:rsid w:val="00B23F8E"/>
    <w:rsid w:val="00B24BAB"/>
    <w:rsid w:val="00B31C44"/>
    <w:rsid w:val="00B32C47"/>
    <w:rsid w:val="00B36623"/>
    <w:rsid w:val="00B37ACC"/>
    <w:rsid w:val="00B42441"/>
    <w:rsid w:val="00B4599D"/>
    <w:rsid w:val="00B461D0"/>
    <w:rsid w:val="00B50F64"/>
    <w:rsid w:val="00B52808"/>
    <w:rsid w:val="00B56D6F"/>
    <w:rsid w:val="00B66A45"/>
    <w:rsid w:val="00B7113C"/>
    <w:rsid w:val="00B721AC"/>
    <w:rsid w:val="00B7754B"/>
    <w:rsid w:val="00B80067"/>
    <w:rsid w:val="00B97477"/>
    <w:rsid w:val="00BB0926"/>
    <w:rsid w:val="00BB3A29"/>
    <w:rsid w:val="00BB540C"/>
    <w:rsid w:val="00BC54BA"/>
    <w:rsid w:val="00BD0A5F"/>
    <w:rsid w:val="00BD2B78"/>
    <w:rsid w:val="00BD468E"/>
    <w:rsid w:val="00BE3F92"/>
    <w:rsid w:val="00BE439D"/>
    <w:rsid w:val="00BF5E3E"/>
    <w:rsid w:val="00C20B49"/>
    <w:rsid w:val="00C26021"/>
    <w:rsid w:val="00C312D7"/>
    <w:rsid w:val="00C33057"/>
    <w:rsid w:val="00C42016"/>
    <w:rsid w:val="00C5421D"/>
    <w:rsid w:val="00C62E27"/>
    <w:rsid w:val="00C62E4C"/>
    <w:rsid w:val="00C65301"/>
    <w:rsid w:val="00C66801"/>
    <w:rsid w:val="00C85B93"/>
    <w:rsid w:val="00CB2BFC"/>
    <w:rsid w:val="00CB7E51"/>
    <w:rsid w:val="00CC1A70"/>
    <w:rsid w:val="00CC3BB9"/>
    <w:rsid w:val="00CC451C"/>
    <w:rsid w:val="00CC6F08"/>
    <w:rsid w:val="00CE101B"/>
    <w:rsid w:val="00D03BF8"/>
    <w:rsid w:val="00D076BF"/>
    <w:rsid w:val="00D129AE"/>
    <w:rsid w:val="00D165F7"/>
    <w:rsid w:val="00D224C3"/>
    <w:rsid w:val="00D2697F"/>
    <w:rsid w:val="00D35292"/>
    <w:rsid w:val="00D40341"/>
    <w:rsid w:val="00D615BA"/>
    <w:rsid w:val="00D632F6"/>
    <w:rsid w:val="00D7390A"/>
    <w:rsid w:val="00D810FA"/>
    <w:rsid w:val="00D9687D"/>
    <w:rsid w:val="00DB0847"/>
    <w:rsid w:val="00DB7A72"/>
    <w:rsid w:val="00DC3AE1"/>
    <w:rsid w:val="00DD4B72"/>
    <w:rsid w:val="00DD5AE0"/>
    <w:rsid w:val="00DE65BF"/>
    <w:rsid w:val="00DF1620"/>
    <w:rsid w:val="00E021B4"/>
    <w:rsid w:val="00E02879"/>
    <w:rsid w:val="00E10E55"/>
    <w:rsid w:val="00E14F3D"/>
    <w:rsid w:val="00E21481"/>
    <w:rsid w:val="00E24C1A"/>
    <w:rsid w:val="00E26E11"/>
    <w:rsid w:val="00E334C9"/>
    <w:rsid w:val="00E348F0"/>
    <w:rsid w:val="00E401DF"/>
    <w:rsid w:val="00E55A01"/>
    <w:rsid w:val="00E56F69"/>
    <w:rsid w:val="00E57F26"/>
    <w:rsid w:val="00E60CE1"/>
    <w:rsid w:val="00E65BC3"/>
    <w:rsid w:val="00E723EE"/>
    <w:rsid w:val="00E82EBE"/>
    <w:rsid w:val="00E845E5"/>
    <w:rsid w:val="00E847FE"/>
    <w:rsid w:val="00E84838"/>
    <w:rsid w:val="00EB19BF"/>
    <w:rsid w:val="00EC6067"/>
    <w:rsid w:val="00EC6FAF"/>
    <w:rsid w:val="00EE59F9"/>
    <w:rsid w:val="00EF221B"/>
    <w:rsid w:val="00EF7F55"/>
    <w:rsid w:val="00F01AFF"/>
    <w:rsid w:val="00F33356"/>
    <w:rsid w:val="00F36B62"/>
    <w:rsid w:val="00F56D7D"/>
    <w:rsid w:val="00F701C0"/>
    <w:rsid w:val="00F83864"/>
    <w:rsid w:val="00F83A45"/>
    <w:rsid w:val="00F84307"/>
    <w:rsid w:val="00F84A52"/>
    <w:rsid w:val="00F86461"/>
    <w:rsid w:val="00F87AB9"/>
    <w:rsid w:val="00F93569"/>
    <w:rsid w:val="00FA3F6E"/>
    <w:rsid w:val="00FA53A9"/>
    <w:rsid w:val="00FB2868"/>
    <w:rsid w:val="00FC11FC"/>
    <w:rsid w:val="00FC1657"/>
    <w:rsid w:val="00FD099F"/>
    <w:rsid w:val="00FE5E75"/>
    <w:rsid w:val="00FF2B9B"/>
    <w:rsid w:val="00FF56C4"/>
    <w:rsid w:val="012A7AF5"/>
    <w:rsid w:val="07752148"/>
    <w:rsid w:val="08391DD9"/>
    <w:rsid w:val="090A02FE"/>
    <w:rsid w:val="0ADB0F46"/>
    <w:rsid w:val="0AFF049B"/>
    <w:rsid w:val="0E886A71"/>
    <w:rsid w:val="0E8935DB"/>
    <w:rsid w:val="0F904A16"/>
    <w:rsid w:val="0FC43C85"/>
    <w:rsid w:val="10B33874"/>
    <w:rsid w:val="10DD07D4"/>
    <w:rsid w:val="125D5E2E"/>
    <w:rsid w:val="177D70E4"/>
    <w:rsid w:val="1A953EA7"/>
    <w:rsid w:val="1AF22C10"/>
    <w:rsid w:val="1E20277C"/>
    <w:rsid w:val="1F5943A9"/>
    <w:rsid w:val="234C5871"/>
    <w:rsid w:val="247F01ED"/>
    <w:rsid w:val="2660487A"/>
    <w:rsid w:val="267F31B6"/>
    <w:rsid w:val="2695315B"/>
    <w:rsid w:val="26F61189"/>
    <w:rsid w:val="27D57651"/>
    <w:rsid w:val="2A120BC5"/>
    <w:rsid w:val="2A380D53"/>
    <w:rsid w:val="2E180D2E"/>
    <w:rsid w:val="2E1D081C"/>
    <w:rsid w:val="2F990904"/>
    <w:rsid w:val="2FE83EF8"/>
    <w:rsid w:val="3321758E"/>
    <w:rsid w:val="33471930"/>
    <w:rsid w:val="345B5F75"/>
    <w:rsid w:val="349C0C93"/>
    <w:rsid w:val="35EA4102"/>
    <w:rsid w:val="37455D99"/>
    <w:rsid w:val="39437493"/>
    <w:rsid w:val="399E1F94"/>
    <w:rsid w:val="39C159CC"/>
    <w:rsid w:val="39C96289"/>
    <w:rsid w:val="3B846932"/>
    <w:rsid w:val="3D4F2F4A"/>
    <w:rsid w:val="3E9B10C2"/>
    <w:rsid w:val="405E7E2A"/>
    <w:rsid w:val="44A91A53"/>
    <w:rsid w:val="45036AF3"/>
    <w:rsid w:val="454959B9"/>
    <w:rsid w:val="456D21BF"/>
    <w:rsid w:val="48F5643E"/>
    <w:rsid w:val="49A00546"/>
    <w:rsid w:val="4A7C3024"/>
    <w:rsid w:val="4E1E2F39"/>
    <w:rsid w:val="4F0F02C3"/>
    <w:rsid w:val="56C1680E"/>
    <w:rsid w:val="59717E32"/>
    <w:rsid w:val="598A738C"/>
    <w:rsid w:val="5BDB5443"/>
    <w:rsid w:val="60324C2B"/>
    <w:rsid w:val="60B24332"/>
    <w:rsid w:val="62467D10"/>
    <w:rsid w:val="64ED6008"/>
    <w:rsid w:val="65C22480"/>
    <w:rsid w:val="67B01CAC"/>
    <w:rsid w:val="68E42FA2"/>
    <w:rsid w:val="690B3C8A"/>
    <w:rsid w:val="6A403E79"/>
    <w:rsid w:val="6A6921D7"/>
    <w:rsid w:val="6AA73EE1"/>
    <w:rsid w:val="6BCF71ED"/>
    <w:rsid w:val="6CEF5335"/>
    <w:rsid w:val="6DE17ED2"/>
    <w:rsid w:val="6F9D7AD5"/>
    <w:rsid w:val="6FC05988"/>
    <w:rsid w:val="70BD0596"/>
    <w:rsid w:val="72D1172F"/>
    <w:rsid w:val="75803660"/>
    <w:rsid w:val="7B102D5B"/>
    <w:rsid w:val="7B7C1EA8"/>
    <w:rsid w:val="7C405B24"/>
    <w:rsid w:val="7E7F0292"/>
    <w:rsid w:val="7F9554E0"/>
    <w:rsid w:val="7FC06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iPriority="99"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0" w:semiHidden="0" w:name="Plain Text"/>
    <w:lsdException w:qFormat="1" w:unhideWhenUsed="0" w:uiPriority="99"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99"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Times New Roman" w:hAnsi="Times New Roman" w:eastAsia="宋体" w:cstheme="minorBidi"/>
      <w:kern w:val="2"/>
      <w:sz w:val="28"/>
      <w:szCs w:val="28"/>
      <w:lang w:val="en-US" w:eastAsia="zh-CN" w:bidi="ar-SA"/>
    </w:rPr>
  </w:style>
  <w:style w:type="paragraph" w:styleId="2">
    <w:name w:val="heading 1"/>
    <w:basedOn w:val="1"/>
    <w:next w:val="1"/>
    <w:qFormat/>
    <w:uiPriority w:val="0"/>
    <w:pPr>
      <w:keepNext/>
      <w:keepLines/>
      <w:ind w:firstLine="0" w:firstLineChars="0"/>
      <w:jc w:val="center"/>
      <w:outlineLvl w:val="0"/>
    </w:pPr>
    <w:rPr>
      <w:rFonts w:eastAsia="黑体"/>
      <w:kern w:val="44"/>
      <w:sz w:val="32"/>
    </w:rPr>
  </w:style>
  <w:style w:type="paragraph" w:styleId="3">
    <w:name w:val="heading 2"/>
    <w:basedOn w:val="1"/>
    <w:next w:val="1"/>
    <w:unhideWhenUsed/>
    <w:qFormat/>
    <w:uiPriority w:val="0"/>
    <w:pPr>
      <w:keepNext/>
      <w:keepLines/>
      <w:ind w:firstLine="0" w:firstLineChars="0"/>
      <w:jc w:val="center"/>
      <w:outlineLvl w:val="1"/>
    </w:pPr>
    <w:rPr>
      <w:rFonts w:eastAsia="黑体"/>
      <w:sz w:val="30"/>
    </w:rPr>
  </w:style>
  <w:style w:type="paragraph" w:styleId="4">
    <w:name w:val="heading 3"/>
    <w:basedOn w:val="1"/>
    <w:next w:val="1"/>
    <w:unhideWhenUsed/>
    <w:qFormat/>
    <w:uiPriority w:val="0"/>
    <w:pPr>
      <w:keepNext/>
      <w:keepLines/>
      <w:ind w:firstLine="0" w:firstLineChars="0"/>
      <w:outlineLvl w:val="2"/>
    </w:pPr>
    <w:rPr>
      <w:b/>
    </w:rPr>
  </w:style>
  <w:style w:type="paragraph" w:styleId="5">
    <w:name w:val="heading 4"/>
    <w:basedOn w:val="1"/>
    <w:next w:val="1"/>
    <w:unhideWhenUsed/>
    <w:qFormat/>
    <w:uiPriority w:val="0"/>
    <w:pPr>
      <w:keepNext/>
      <w:keepLines/>
      <w:ind w:firstLine="0" w:firstLineChars="0"/>
      <w:outlineLvl w:val="3"/>
    </w:pPr>
    <w:rPr>
      <w:b/>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spacing w:line="240" w:lineRule="auto"/>
      <w:ind w:left="2520" w:leftChars="1200" w:firstLine="0" w:firstLineChars="0"/>
    </w:pPr>
    <w:rPr>
      <w:rFonts w:asciiTheme="minorHAnsi" w:hAnsiTheme="minorHAnsi" w:eastAsiaTheme="minorEastAsia"/>
      <w:sz w:val="21"/>
      <w:szCs w:val="22"/>
    </w:rPr>
  </w:style>
  <w:style w:type="paragraph" w:styleId="7">
    <w:name w:val="E-mail Signature"/>
    <w:basedOn w:val="1"/>
    <w:next w:val="8"/>
    <w:qFormat/>
    <w:uiPriority w:val="99"/>
    <w:pPr>
      <w:spacing w:line="460" w:lineRule="exact"/>
      <w:ind w:firstLine="200"/>
    </w:pPr>
    <w:rPr>
      <w:rFonts w:cs="Times New Roman"/>
    </w:rPr>
  </w:style>
  <w:style w:type="paragraph" w:customStyle="1" w:styleId="8">
    <w:name w:val="文章"/>
    <w:next w:val="9"/>
    <w:qFormat/>
    <w:uiPriority w:val="0"/>
    <w:pPr>
      <w:ind w:firstLine="480"/>
      <w:jc w:val="center"/>
    </w:pPr>
    <w:rPr>
      <w:rFonts w:ascii="Times New Roman" w:hAnsi="Times New Roman" w:eastAsia="宋体" w:cs="Times New Roman"/>
      <w:kern w:val="2"/>
      <w:sz w:val="26"/>
      <w:szCs w:val="22"/>
      <w:lang w:val="en-US" w:eastAsia="zh-CN" w:bidi="ar-SA"/>
    </w:rPr>
  </w:style>
  <w:style w:type="paragraph" w:styleId="9">
    <w:name w:val="List"/>
    <w:basedOn w:val="1"/>
    <w:next w:val="10"/>
    <w:qFormat/>
    <w:uiPriority w:val="0"/>
    <w:pPr>
      <w:ind w:left="420" w:hanging="420"/>
    </w:pPr>
    <w:rPr>
      <w:szCs w:val="20"/>
    </w:rPr>
  </w:style>
  <w:style w:type="paragraph" w:styleId="10">
    <w:name w:val="List Bullet 2"/>
    <w:basedOn w:val="1"/>
    <w:next w:val="11"/>
    <w:unhideWhenUsed/>
    <w:qFormat/>
    <w:uiPriority w:val="99"/>
    <w:pPr>
      <w:numPr>
        <w:ilvl w:val="0"/>
        <w:numId w:val="1"/>
      </w:numPr>
    </w:pPr>
  </w:style>
  <w:style w:type="paragraph" w:customStyle="1" w:styleId="11">
    <w:name w:val="xl70"/>
    <w:basedOn w:val="1"/>
    <w:next w:val="12"/>
    <w:qFormat/>
    <w:uiPriority w:val="0"/>
    <w:pPr>
      <w:widowControl/>
      <w:spacing w:before="280" w:after="280" w:line="240" w:lineRule="auto"/>
      <w:ind w:firstLine="0"/>
    </w:pPr>
    <w:rPr>
      <w:rFonts w:ascii="宋体"/>
    </w:rPr>
  </w:style>
  <w:style w:type="paragraph" w:customStyle="1" w:styleId="12">
    <w:name w:val="正文缩进1"/>
    <w:basedOn w:val="1"/>
    <w:next w:val="13"/>
    <w:qFormat/>
    <w:uiPriority w:val="0"/>
    <w:rPr>
      <w:rFonts w:ascii="宋体"/>
    </w:rPr>
  </w:style>
  <w:style w:type="paragraph" w:customStyle="1" w:styleId="13">
    <w:name w:val="td1"/>
    <w:basedOn w:val="1"/>
    <w:next w:val="1"/>
    <w:qFormat/>
    <w:uiPriority w:val="0"/>
    <w:pPr>
      <w:widowControl/>
      <w:spacing w:before="280" w:after="280" w:line="300" w:lineRule="atLeast"/>
      <w:ind w:firstLine="200"/>
    </w:pPr>
    <w:rPr>
      <w:color w:val="000000"/>
      <w:sz w:val="18"/>
    </w:rPr>
  </w:style>
  <w:style w:type="paragraph" w:styleId="14">
    <w:name w:val="Normal Indent"/>
    <w:basedOn w:val="1"/>
    <w:link w:val="47"/>
    <w:qFormat/>
    <w:uiPriority w:val="0"/>
    <w:pPr>
      <w:spacing w:line="520" w:lineRule="exact"/>
      <w:ind w:firstLine="560"/>
    </w:pPr>
    <w:rPr>
      <w:rFonts w:cs="Times New Roman"/>
      <w:kern w:val="0"/>
      <w:szCs w:val="20"/>
    </w:rPr>
  </w:style>
  <w:style w:type="paragraph" w:styleId="15">
    <w:name w:val="annotation text"/>
    <w:basedOn w:val="1"/>
    <w:link w:val="54"/>
    <w:qFormat/>
    <w:uiPriority w:val="0"/>
    <w:pPr>
      <w:jc w:val="left"/>
    </w:pPr>
  </w:style>
  <w:style w:type="paragraph" w:styleId="16">
    <w:name w:val="Body Text Indent"/>
    <w:basedOn w:val="1"/>
    <w:qFormat/>
    <w:uiPriority w:val="0"/>
    <w:pPr>
      <w:ind w:firstLine="560"/>
    </w:pPr>
  </w:style>
  <w:style w:type="paragraph" w:styleId="17">
    <w:name w:val="toc 5"/>
    <w:basedOn w:val="1"/>
    <w:next w:val="1"/>
    <w:autoRedefine/>
    <w:unhideWhenUsed/>
    <w:qFormat/>
    <w:uiPriority w:val="39"/>
    <w:pPr>
      <w:spacing w:line="240" w:lineRule="auto"/>
      <w:ind w:left="1680" w:leftChars="800" w:firstLine="0" w:firstLineChars="0"/>
    </w:pPr>
    <w:rPr>
      <w:rFonts w:asciiTheme="minorHAnsi" w:hAnsiTheme="minorHAnsi" w:eastAsiaTheme="minorEastAsia"/>
      <w:sz w:val="21"/>
      <w:szCs w:val="22"/>
    </w:rPr>
  </w:style>
  <w:style w:type="paragraph" w:styleId="18">
    <w:name w:val="toc 3"/>
    <w:basedOn w:val="1"/>
    <w:next w:val="1"/>
    <w:qFormat/>
    <w:uiPriority w:val="39"/>
    <w:pPr>
      <w:ind w:left="840" w:leftChars="400"/>
    </w:pPr>
  </w:style>
  <w:style w:type="paragraph" w:styleId="19">
    <w:name w:val="Plain Text"/>
    <w:basedOn w:val="1"/>
    <w:next w:val="20"/>
    <w:unhideWhenUsed/>
    <w:qFormat/>
    <w:uiPriority w:val="0"/>
    <w:rPr>
      <w:rFonts w:hAnsi="Courier New"/>
      <w:szCs w:val="21"/>
    </w:rPr>
  </w:style>
  <w:style w:type="paragraph" w:customStyle="1" w:styleId="20">
    <w:name w:val="Default"/>
    <w:basedOn w:val="21"/>
    <w:next w:val="22"/>
    <w:qFormat/>
    <w:uiPriority w:val="0"/>
    <w:pPr>
      <w:autoSpaceDE w:val="0"/>
      <w:autoSpaceDN w:val="0"/>
    </w:pPr>
    <w:rPr>
      <w:rFonts w:hAnsi="Times New Roman" w:cs="宋体"/>
      <w:color w:val="000000"/>
      <w:sz w:val="24"/>
      <w:szCs w:val="24"/>
    </w:rPr>
  </w:style>
  <w:style w:type="paragraph" w:customStyle="1" w:styleId="21">
    <w:name w:val="纯文本1"/>
    <w:basedOn w:val="1"/>
    <w:qFormat/>
    <w:uiPriority w:val="0"/>
    <w:pPr>
      <w:adjustRightInd w:val="0"/>
    </w:pPr>
    <w:rPr>
      <w:rFonts w:ascii="宋体" w:hAnsi="Courier New"/>
      <w:szCs w:val="20"/>
    </w:rPr>
  </w:style>
  <w:style w:type="paragraph" w:customStyle="1" w:styleId="22">
    <w:name w:val="样式35"/>
    <w:next w:val="23"/>
    <w:qFormat/>
    <w:uiPriority w:val="0"/>
    <w:pPr>
      <w:widowControl w:val="0"/>
      <w:spacing w:line="312" w:lineRule="auto"/>
      <w:ind w:firstLine="567"/>
      <w:jc w:val="both"/>
    </w:pPr>
    <w:rPr>
      <w:rFonts w:ascii="宋体" w:hAnsi="Times New Roman" w:eastAsia="宋体" w:cs="Times New Roman"/>
      <w:kern w:val="2"/>
      <w:sz w:val="21"/>
      <w:szCs w:val="22"/>
      <w:lang w:val="en-US" w:eastAsia="zh-CN" w:bidi="ar-SA"/>
    </w:rPr>
  </w:style>
  <w:style w:type="paragraph" w:customStyle="1" w:styleId="23">
    <w:name w:val="font6"/>
    <w:basedOn w:val="1"/>
    <w:next w:val="24"/>
    <w:qFormat/>
    <w:uiPriority w:val="0"/>
    <w:pPr>
      <w:widowControl/>
      <w:spacing w:before="100" w:beforeAutospacing="1" w:after="100" w:afterAutospacing="1"/>
      <w:jc w:val="left"/>
    </w:pPr>
    <w:rPr>
      <w:rFonts w:eastAsia="Arial Unicode MS"/>
      <w:kern w:val="0"/>
      <w:sz w:val="24"/>
    </w:rPr>
  </w:style>
  <w:style w:type="paragraph" w:styleId="24">
    <w:name w:val="toc 2"/>
    <w:basedOn w:val="1"/>
    <w:next w:val="7"/>
    <w:qFormat/>
    <w:uiPriority w:val="39"/>
    <w:pPr>
      <w:ind w:left="420" w:leftChars="200"/>
    </w:pPr>
  </w:style>
  <w:style w:type="paragraph" w:styleId="25">
    <w:name w:val="toc 8"/>
    <w:basedOn w:val="1"/>
    <w:next w:val="1"/>
    <w:autoRedefine/>
    <w:unhideWhenUsed/>
    <w:qFormat/>
    <w:uiPriority w:val="39"/>
    <w:pPr>
      <w:spacing w:line="240" w:lineRule="auto"/>
      <w:ind w:left="2940" w:leftChars="1400" w:firstLine="0" w:firstLineChars="0"/>
    </w:pPr>
    <w:rPr>
      <w:rFonts w:asciiTheme="minorHAnsi" w:hAnsiTheme="minorHAnsi" w:eastAsiaTheme="minorEastAsia"/>
      <w:sz w:val="21"/>
      <w:szCs w:val="22"/>
    </w:rPr>
  </w:style>
  <w:style w:type="paragraph" w:styleId="26">
    <w:name w:val="Balloon Text"/>
    <w:basedOn w:val="1"/>
    <w:link w:val="40"/>
    <w:uiPriority w:val="99"/>
    <w:pPr>
      <w:spacing w:line="240" w:lineRule="auto"/>
    </w:pPr>
    <w:rPr>
      <w:sz w:val="18"/>
      <w:szCs w:val="18"/>
    </w:rPr>
  </w:style>
  <w:style w:type="paragraph" w:styleId="27">
    <w:name w:val="footer"/>
    <w:basedOn w:val="1"/>
    <w:link w:val="42"/>
    <w:qFormat/>
    <w:uiPriority w:val="0"/>
    <w:pPr>
      <w:tabs>
        <w:tab w:val="center" w:pos="4153"/>
        <w:tab w:val="right" w:pos="8306"/>
      </w:tabs>
      <w:snapToGrid w:val="0"/>
      <w:spacing w:line="240" w:lineRule="auto"/>
      <w:jc w:val="left"/>
    </w:pPr>
    <w:rPr>
      <w:sz w:val="18"/>
      <w:szCs w:val="18"/>
    </w:rPr>
  </w:style>
  <w:style w:type="paragraph" w:styleId="28">
    <w:name w:val="header"/>
    <w:basedOn w:val="1"/>
    <w:link w:val="4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29">
    <w:name w:val="toc 1"/>
    <w:basedOn w:val="1"/>
    <w:next w:val="1"/>
    <w:qFormat/>
    <w:uiPriority w:val="39"/>
  </w:style>
  <w:style w:type="paragraph" w:styleId="30">
    <w:name w:val="toc 4"/>
    <w:basedOn w:val="1"/>
    <w:next w:val="1"/>
    <w:autoRedefine/>
    <w:unhideWhenUsed/>
    <w:uiPriority w:val="39"/>
    <w:pPr>
      <w:spacing w:line="240" w:lineRule="auto"/>
      <w:ind w:left="1260" w:leftChars="600" w:firstLine="0" w:firstLineChars="0"/>
    </w:pPr>
    <w:rPr>
      <w:rFonts w:asciiTheme="minorHAnsi" w:hAnsiTheme="minorHAnsi" w:eastAsiaTheme="minorEastAsia"/>
      <w:sz w:val="21"/>
      <w:szCs w:val="22"/>
    </w:rPr>
  </w:style>
  <w:style w:type="paragraph" w:styleId="31">
    <w:name w:val="toc 6"/>
    <w:basedOn w:val="1"/>
    <w:next w:val="1"/>
    <w:autoRedefine/>
    <w:unhideWhenUsed/>
    <w:qFormat/>
    <w:uiPriority w:val="39"/>
    <w:pPr>
      <w:spacing w:line="240" w:lineRule="auto"/>
      <w:ind w:left="2100" w:leftChars="1000" w:firstLine="0" w:firstLineChars="0"/>
    </w:pPr>
    <w:rPr>
      <w:rFonts w:asciiTheme="minorHAnsi" w:hAnsiTheme="minorHAnsi" w:eastAsiaTheme="minorEastAsia"/>
      <w:sz w:val="21"/>
      <w:szCs w:val="22"/>
    </w:rPr>
  </w:style>
  <w:style w:type="paragraph" w:styleId="32">
    <w:name w:val="toc 9"/>
    <w:basedOn w:val="1"/>
    <w:next w:val="1"/>
    <w:autoRedefine/>
    <w:unhideWhenUsed/>
    <w:qFormat/>
    <w:uiPriority w:val="39"/>
    <w:pPr>
      <w:spacing w:line="240" w:lineRule="auto"/>
      <w:ind w:left="3360" w:leftChars="1600" w:firstLine="0" w:firstLineChars="0"/>
    </w:pPr>
    <w:rPr>
      <w:rFonts w:asciiTheme="minorHAnsi" w:hAnsiTheme="minorHAnsi" w:eastAsiaTheme="minorEastAsia"/>
      <w:sz w:val="21"/>
      <w:szCs w:val="22"/>
    </w:rPr>
  </w:style>
  <w:style w:type="table" w:styleId="34">
    <w:name w:val="Table Grid"/>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qFormat/>
    <w:uiPriority w:val="22"/>
    <w:rPr>
      <w:b/>
      <w:bCs/>
    </w:rPr>
  </w:style>
  <w:style w:type="character" w:styleId="37">
    <w:name w:val="Hyperlink"/>
    <w:basedOn w:val="35"/>
    <w:unhideWhenUsed/>
    <w:qFormat/>
    <w:uiPriority w:val="99"/>
    <w:rPr>
      <w:color w:val="0026E5" w:themeColor="hyperlink"/>
      <w:u w:val="single"/>
      <w14:textFill>
        <w14:solidFill>
          <w14:schemeClr w14:val="hlink"/>
        </w14:solidFill>
      </w14:textFill>
    </w:rPr>
  </w:style>
  <w:style w:type="paragraph" w:customStyle="1" w:styleId="38">
    <w:name w:val="图、表名称"/>
    <w:basedOn w:val="1"/>
    <w:qFormat/>
    <w:uiPriority w:val="0"/>
    <w:pPr>
      <w:ind w:firstLine="0" w:firstLineChars="0"/>
      <w:jc w:val="center"/>
    </w:pPr>
    <w:rPr>
      <w:rFonts w:hint="eastAsia"/>
      <w:sz w:val="24"/>
    </w:rPr>
  </w:style>
  <w:style w:type="paragraph" w:customStyle="1" w:styleId="39">
    <w:name w:val="表格内容"/>
    <w:basedOn w:val="1"/>
    <w:qFormat/>
    <w:uiPriority w:val="0"/>
    <w:pPr>
      <w:spacing w:line="240" w:lineRule="auto"/>
      <w:ind w:firstLine="0" w:firstLineChars="0"/>
      <w:jc w:val="center"/>
    </w:pPr>
    <w:rPr>
      <w:rFonts w:hint="eastAsia"/>
      <w:sz w:val="21"/>
    </w:rPr>
  </w:style>
  <w:style w:type="character" w:customStyle="1" w:styleId="40">
    <w:name w:val="批注框文本 Char"/>
    <w:basedOn w:val="35"/>
    <w:link w:val="26"/>
    <w:uiPriority w:val="99"/>
    <w:rPr>
      <w:rFonts w:cstheme="minorBidi"/>
      <w:kern w:val="2"/>
      <w:sz w:val="18"/>
      <w:szCs w:val="18"/>
    </w:rPr>
  </w:style>
  <w:style w:type="character" w:customStyle="1" w:styleId="41">
    <w:name w:val="页眉 Char"/>
    <w:basedOn w:val="35"/>
    <w:link w:val="28"/>
    <w:qFormat/>
    <w:uiPriority w:val="0"/>
    <w:rPr>
      <w:rFonts w:cstheme="minorBidi"/>
      <w:kern w:val="2"/>
      <w:sz w:val="18"/>
      <w:szCs w:val="18"/>
    </w:rPr>
  </w:style>
  <w:style w:type="character" w:customStyle="1" w:styleId="42">
    <w:name w:val="页脚 Char"/>
    <w:basedOn w:val="35"/>
    <w:link w:val="27"/>
    <w:qFormat/>
    <w:uiPriority w:val="0"/>
    <w:rPr>
      <w:rFonts w:cstheme="minorBidi"/>
      <w:kern w:val="2"/>
      <w:sz w:val="18"/>
      <w:szCs w:val="18"/>
    </w:rPr>
  </w:style>
  <w:style w:type="paragraph" w:styleId="43">
    <w:name w:val="List Paragraph"/>
    <w:basedOn w:val="1"/>
    <w:qFormat/>
    <w:uiPriority w:val="34"/>
    <w:pPr>
      <w:spacing w:line="240" w:lineRule="auto"/>
    </w:pPr>
    <w:rPr>
      <w:rFonts w:cs="Times New Roman"/>
      <w:sz w:val="21"/>
      <w:szCs w:val="22"/>
    </w:rPr>
  </w:style>
  <w:style w:type="character" w:customStyle="1" w:styleId="44">
    <w:name w:val="首行缩进 Char"/>
    <w:link w:val="45"/>
    <w:qFormat/>
    <w:uiPriority w:val="0"/>
    <w:rPr>
      <w:rFonts w:ascii="仿宋_GB2312" w:eastAsia="仿宋_GB2312"/>
      <w:kern w:val="2"/>
      <w:sz w:val="24"/>
      <w:szCs w:val="22"/>
    </w:rPr>
  </w:style>
  <w:style w:type="paragraph" w:customStyle="1" w:styleId="45">
    <w:name w:val="首行缩进"/>
    <w:basedOn w:val="1"/>
    <w:next w:val="1"/>
    <w:link w:val="44"/>
    <w:qFormat/>
    <w:uiPriority w:val="0"/>
    <w:pPr>
      <w:ind w:firstLine="480" w:firstLineChars="0"/>
    </w:pPr>
    <w:rPr>
      <w:rFonts w:ascii="仿宋_GB2312" w:eastAsia="仿宋_GB2312" w:cs="Times New Roman"/>
      <w:sz w:val="24"/>
      <w:szCs w:val="22"/>
    </w:rPr>
  </w:style>
  <w:style w:type="paragraph" w:customStyle="1" w:styleId="46">
    <w:name w:val="表名索引"/>
    <w:basedOn w:val="1"/>
    <w:next w:val="1"/>
    <w:qFormat/>
    <w:uiPriority w:val="0"/>
    <w:pPr>
      <w:spacing w:line="240" w:lineRule="auto"/>
      <w:ind w:firstLine="0" w:firstLineChars="0"/>
      <w:jc w:val="center"/>
    </w:pPr>
    <w:rPr>
      <w:rFonts w:cs="Times New Roman"/>
      <w:sz w:val="21"/>
      <w:szCs w:val="18"/>
    </w:rPr>
  </w:style>
  <w:style w:type="character" w:customStyle="1" w:styleId="47">
    <w:name w:val="正文缩进 Char"/>
    <w:link w:val="14"/>
    <w:qFormat/>
    <w:uiPriority w:val="0"/>
    <w:rPr>
      <w:sz w:val="28"/>
    </w:rPr>
  </w:style>
  <w:style w:type="table" w:customStyle="1" w:styleId="48">
    <w:name w:val="3333333333333333"/>
    <w:basedOn w:val="33"/>
    <w:qFormat/>
    <w:uiPriority w:val="99"/>
    <w:pPr>
      <w:jc w:val="center"/>
    </w:pPr>
    <w:rPr>
      <w:rFonts w:eastAsia="仿宋_GB2312"/>
      <w:sz w:val="18"/>
    </w:rPr>
    <w:tblP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style>
  <w:style w:type="paragraph" w:customStyle="1" w:styleId="49">
    <w:name w:val="11表格文字"/>
    <w:basedOn w:val="1"/>
    <w:link w:val="50"/>
    <w:qFormat/>
    <w:uiPriority w:val="0"/>
    <w:pPr>
      <w:adjustRightInd w:val="0"/>
      <w:snapToGrid w:val="0"/>
      <w:spacing w:line="240" w:lineRule="auto"/>
      <w:ind w:firstLine="0" w:firstLineChars="0"/>
      <w:jc w:val="center"/>
    </w:pPr>
    <w:rPr>
      <w:rFonts w:eastAsia="仿宋_GB2312" w:cs="Times New Roman"/>
      <w:sz w:val="18"/>
      <w:szCs w:val="22"/>
    </w:rPr>
  </w:style>
  <w:style w:type="character" w:customStyle="1" w:styleId="50">
    <w:name w:val="11表格文字 Char"/>
    <w:link w:val="49"/>
    <w:qFormat/>
    <w:uiPriority w:val="0"/>
    <w:rPr>
      <w:rFonts w:eastAsia="仿宋_GB2312"/>
      <w:kern w:val="2"/>
      <w:sz w:val="18"/>
      <w:szCs w:val="22"/>
    </w:rPr>
  </w:style>
  <w:style w:type="paragraph" w:customStyle="1" w:styleId="51">
    <w:name w:val="11表头"/>
    <w:basedOn w:val="1"/>
    <w:link w:val="52"/>
    <w:qFormat/>
    <w:uiPriority w:val="0"/>
    <w:pPr>
      <w:spacing w:line="240" w:lineRule="auto"/>
      <w:ind w:firstLine="0" w:firstLineChars="0"/>
      <w:jc w:val="center"/>
    </w:pPr>
    <w:rPr>
      <w:rFonts w:ascii="仿宋_GB2312" w:hAnsi="宋体" w:eastAsia="仿宋_GB2312" w:cs="宋体"/>
      <w:b/>
      <w:color w:val="000000"/>
      <w:sz w:val="21"/>
      <w:szCs w:val="21"/>
      <w:lang w:val="zh-CN"/>
    </w:rPr>
  </w:style>
  <w:style w:type="character" w:customStyle="1" w:styleId="52">
    <w:name w:val="11表头 Char"/>
    <w:link w:val="51"/>
    <w:qFormat/>
    <w:uiPriority w:val="0"/>
    <w:rPr>
      <w:rFonts w:ascii="仿宋_GB2312" w:hAnsi="宋体" w:eastAsia="仿宋_GB2312" w:cs="宋体"/>
      <w:b/>
      <w:color w:val="000000"/>
      <w:kern w:val="2"/>
      <w:sz w:val="21"/>
      <w:szCs w:val="21"/>
      <w:lang w:val="zh-CN"/>
    </w:rPr>
  </w:style>
  <w:style w:type="paragraph" w:customStyle="1" w:styleId="53">
    <w:name w:val="B正文"/>
    <w:basedOn w:val="1"/>
    <w:qFormat/>
    <w:uiPriority w:val="0"/>
    <w:pPr>
      <w:ind w:firstLine="200"/>
    </w:pPr>
    <w:rPr>
      <w:rFonts w:cs="Times New Roman"/>
      <w:sz w:val="24"/>
      <w:szCs w:val="22"/>
    </w:rPr>
  </w:style>
  <w:style w:type="character" w:customStyle="1" w:styleId="54">
    <w:name w:val="批注文字 Char"/>
    <w:link w:val="15"/>
    <w:qFormat/>
    <w:uiPriority w:val="0"/>
    <w:rPr>
      <w:rFonts w:cstheme="minorBidi"/>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3.wmf"/><Relationship Id="rId18" Type="http://schemas.openxmlformats.org/officeDocument/2006/relationships/oleObject" Target="embeddings/oleObject1.bin"/><Relationship Id="rId17" Type="http://schemas.openxmlformats.org/officeDocument/2006/relationships/image" Target="media/image2.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93</Pages>
  <Words>9311</Words>
  <Characters>11326</Characters>
  <Lines>725</Lines>
  <Paragraphs>204</Paragraphs>
  <TotalTime>1353</TotalTime>
  <ScaleCrop>false</ScaleCrop>
  <LinksUpToDate>false</LinksUpToDate>
  <CharactersWithSpaces>11594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2026-01-08T01:21:00Z</dcterms:created>
  <dc:creator>Administrator</dc:creator>
  <cp:lastModifiedBy>傲娇玻璃心小公举</cp:lastModifiedBy>
  <cp:lastPrinted>2026-05-29T04:50:00Z</cp:lastPrinted>
  <dcterms:modified xsi:type="dcterms:W3CDTF">2026-07-29T02:27:57Z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eyJoZGlkIjoiMTcxNjU1ZjJhOTYzZTUyOGE3OWYzMjRjZWM0NThlODMiLCJ1c2VySWQiOiIzMzIxOTgyMDYifQ==</vt:lpwstr>
  </property>
  <property fmtid="{D5CDD505-2E9C-101B-9397-08002B2CF9AE}" pid="4" name="ICV">
    <vt:lpwstr>29BA0905EBE54EE59386B828D08842F7_13</vt:lpwstr>
  </property>
</Properties>
</file>