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8AEE4">
      <w:pPr>
        <w:keepNext/>
        <w:keepLines/>
        <w:pageBreakBefore w:val="0"/>
        <w:widowControl w:val="0"/>
        <w:kinsoku/>
        <w:wordWrap/>
        <w:overflowPunct/>
        <w:topLinePunct w:val="0"/>
        <w:autoSpaceDE w:val="0"/>
        <w:autoSpaceDN w:val="0"/>
        <w:bidi w:val="0"/>
        <w:adjustRightInd w:val="0"/>
        <w:snapToGrid w:val="0"/>
        <w:ind w:firstLine="0" w:firstLineChars="0"/>
        <w:jc w:val="center"/>
        <w:textAlignment w:val="auto"/>
        <w:outlineLvl w:val="9"/>
        <w:rPr>
          <w:rFonts w:hint="default" w:ascii="Times New Roman" w:hAnsi="Times New Roman" w:eastAsia="黑体" w:cs="Times New Roman"/>
          <w:b w:val="0"/>
          <w:bCs/>
          <w:color w:val="auto"/>
          <w:kern w:val="44"/>
          <w:sz w:val="32"/>
        </w:rPr>
      </w:pPr>
      <w:bookmarkStart w:id="0" w:name="_Toc2958"/>
      <w:bookmarkStart w:id="1" w:name="_Toc1021"/>
      <w:bookmarkStart w:id="2" w:name="_Toc16397"/>
      <w:bookmarkStart w:id="3" w:name="_Toc7609"/>
      <w:bookmarkStart w:id="4" w:name="_Toc5600"/>
      <w:bookmarkStart w:id="5" w:name="_Toc17128"/>
      <w:bookmarkStart w:id="6" w:name="_Toc19156"/>
      <w:bookmarkStart w:id="7" w:name="_Toc22273"/>
      <w:bookmarkStart w:id="8" w:name="_Toc29356"/>
      <w:bookmarkStart w:id="9" w:name="_Toc13666"/>
      <w:bookmarkStart w:id="10" w:name="_Toc7244"/>
      <w:bookmarkStart w:id="11" w:name="_Toc422486574"/>
      <w:bookmarkStart w:id="12" w:name="_Toc351833214"/>
      <w:bookmarkStart w:id="13" w:name="_Toc270607432"/>
      <w:bookmarkStart w:id="14" w:name="_Toc351826016"/>
      <w:bookmarkStart w:id="15" w:name="_Toc352007259"/>
      <w:bookmarkStart w:id="16" w:name="_Toc292307145"/>
      <w:bookmarkStart w:id="17" w:name="_Toc179884574"/>
      <w:bookmarkStart w:id="18" w:name="_Toc1312"/>
      <w:bookmarkStart w:id="19" w:name="_Toc6315"/>
      <w:bookmarkStart w:id="20" w:name="_Toc27214"/>
      <w:bookmarkStart w:id="21" w:name="_Toc353381464"/>
      <w:bookmarkStart w:id="22" w:name="_Toc422390864"/>
      <w:bookmarkStart w:id="23" w:name="_Toc4806"/>
      <w:bookmarkStart w:id="24" w:name="_Toc352593146"/>
      <w:bookmarkStart w:id="25" w:name="_Toc12891"/>
      <w:bookmarkStart w:id="26" w:name="_Toc12805"/>
      <w:bookmarkStart w:id="27" w:name="_Toc351622917"/>
      <w:bookmarkStart w:id="28" w:name="_Toc283318311"/>
      <w:bookmarkStart w:id="29" w:name="_Toc268880334"/>
      <w:bookmarkStart w:id="30" w:name="_Toc286933811"/>
      <w:bookmarkStart w:id="31" w:name="_Toc352594010"/>
      <w:bookmarkStart w:id="32" w:name="_Toc26809"/>
      <w:bookmarkStart w:id="33" w:name="_Toc351622961"/>
      <w:bookmarkStart w:id="34" w:name="_Toc283640394"/>
      <w:bookmarkStart w:id="35" w:name="_Toc9098"/>
      <w:bookmarkStart w:id="36" w:name="_Toc2343"/>
      <w:bookmarkStart w:id="37" w:name="_Toc286924050"/>
      <w:bookmarkStart w:id="38" w:name="_Toc20178"/>
      <w:bookmarkStart w:id="39" w:name="_Toc422390914"/>
      <w:bookmarkStart w:id="40" w:name="_Toc422486425"/>
      <w:bookmarkStart w:id="41" w:name="_Toc24685"/>
      <w:bookmarkStart w:id="42" w:name="_Toc351965641"/>
      <w:bookmarkStart w:id="43" w:name="_Toc283383318"/>
      <w:bookmarkStart w:id="44" w:name="_Toc25642"/>
      <w:bookmarkStart w:id="45" w:name="_Toc268880197"/>
      <w:bookmarkStart w:id="46" w:name="_Toc422400073"/>
      <w:bookmarkStart w:id="47" w:name="_Toc300146857"/>
      <w:bookmarkStart w:id="48" w:name="_Toc18407"/>
      <w:bookmarkStart w:id="49" w:name="_Toc17072"/>
      <w:bookmarkStart w:id="50" w:name="_Toc422390763"/>
      <w:r>
        <w:rPr>
          <w:rFonts w:hint="default" w:ascii="Times New Roman" w:hAnsi="Times New Roman" w:eastAsia="黑体" w:cs="Times New Roman"/>
          <w:b w:val="0"/>
          <w:bCs/>
          <w:color w:val="auto"/>
          <w:kern w:val="44"/>
          <w:sz w:val="32"/>
        </w:rPr>
        <w:t>前 言</w:t>
      </w:r>
      <w:bookmarkEnd w:id="0"/>
      <w:bookmarkEnd w:id="1"/>
      <w:bookmarkEnd w:id="2"/>
      <w:bookmarkEnd w:id="3"/>
      <w:bookmarkEnd w:id="4"/>
      <w:bookmarkEnd w:id="5"/>
      <w:bookmarkEnd w:id="6"/>
      <w:bookmarkEnd w:id="7"/>
      <w:bookmarkEnd w:id="8"/>
      <w:bookmarkEnd w:id="9"/>
      <w:bookmarkEnd w:id="10"/>
    </w:p>
    <w:p w14:paraId="3B48A5CB">
      <w:pPr>
        <w:ind w:firstLine="618" w:firstLineChars="221"/>
        <w:rPr>
          <w:rFonts w:hint="default" w:ascii="Times New Roman" w:hAnsi="Times New Roman" w:cs="Times New Roman"/>
          <w:b w:val="0"/>
          <w:bCs/>
          <w:color w:val="auto"/>
          <w:sz w:val="28"/>
          <w:szCs w:val="28"/>
        </w:rPr>
      </w:pP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安全第一、预防为主、综合治理</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是我们党和国家始终不渝的安全生产方针。各行各业开展安全评价正是突出</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安全第一</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、体现</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预防为主</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的一项重要工作，是</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安全第一，预防为主</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方针在安全生产上的具体体现。</w:t>
      </w:r>
    </w:p>
    <w:p w14:paraId="3F878E86">
      <w:pPr>
        <w:ind w:firstLine="618" w:firstLineChars="221"/>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中华人民共和国安全生产法》第三十一条规定：生产经营单位新建、改建、扩建工程项目（以下统称建设项目）的安全设施，必须与主体工程同时设计、同时施工、同时投入生产和使用。安全设施投资应当纳入建设项目概算。根据《中华人民共和国安全生产法》《建设项目安全设施</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三同时</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监督管理办法》（原安监总局令第77号修订）等国家有关安全生产法律、法规，</w:t>
      </w:r>
      <w:r>
        <w:rPr>
          <w:rFonts w:hint="eastAsia" w:cs="Times New Roman"/>
          <w:b w:val="0"/>
          <w:bCs/>
          <w:color w:val="auto"/>
          <w:sz w:val="28"/>
          <w:szCs w:val="28"/>
          <w:lang w:eastAsia="zh-CN"/>
        </w:rPr>
        <w:t>合德再生资源科技马关有限公司</w:t>
      </w:r>
      <w:r>
        <w:rPr>
          <w:rFonts w:hint="default" w:ascii="Times New Roman" w:hAnsi="Times New Roman" w:cs="Times New Roman"/>
          <w:b w:val="0"/>
          <w:bCs/>
          <w:color w:val="auto"/>
          <w:sz w:val="28"/>
          <w:szCs w:val="28"/>
          <w:lang w:eastAsia="zh-CN"/>
        </w:rPr>
        <w:t>委托智诚建科设计有限公司承担本项目初步设计（代可研）编制工作，该单位于2026年2月完成并出具《合德再生资源科技马关有限公司野猫坟300t/d多金属选厂提质增效改造项目初步设计（代可研）》</w:t>
      </w:r>
      <w:r>
        <w:rPr>
          <w:rFonts w:hint="default" w:ascii="Times New Roman" w:hAnsi="Times New Roman" w:cs="Times New Roman"/>
          <w:b w:val="0"/>
          <w:bCs/>
          <w:color w:val="auto"/>
          <w:sz w:val="28"/>
          <w:szCs w:val="28"/>
        </w:rPr>
        <w:t>。</w:t>
      </w:r>
      <w:r>
        <w:rPr>
          <w:rFonts w:hint="eastAsia" w:cs="Times New Roman"/>
          <w:b w:val="0"/>
          <w:bCs/>
          <w:color w:val="auto"/>
          <w:sz w:val="28"/>
          <w:szCs w:val="28"/>
          <w:lang w:val="en-US" w:eastAsia="zh-CN"/>
        </w:rPr>
        <w:t>合德再生资源科技马关有限公司野猫坟300t/d多金属选厂提质增效改造项目</w:t>
      </w:r>
      <w:r>
        <w:rPr>
          <w:rFonts w:hint="default" w:ascii="Times New Roman" w:hAnsi="Times New Roman" w:cs="Times New Roman"/>
          <w:b w:val="0"/>
          <w:bCs/>
          <w:color w:val="auto"/>
          <w:sz w:val="28"/>
          <w:szCs w:val="28"/>
        </w:rPr>
        <w:t>，需开展安全设施</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三同时</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工作。</w:t>
      </w:r>
    </w:p>
    <w:p w14:paraId="78BC02A2">
      <w:pPr>
        <w:ind w:firstLine="618" w:firstLineChars="221"/>
        <w:rPr>
          <w:rFonts w:hint="default" w:ascii="Times New Roman" w:hAnsi="Times New Roman" w:cs="Times New Roman"/>
          <w:b w:val="0"/>
          <w:bCs/>
          <w:color w:val="auto"/>
          <w:sz w:val="28"/>
          <w:szCs w:val="28"/>
        </w:rPr>
      </w:pPr>
      <w:r>
        <w:rPr>
          <w:rFonts w:hint="eastAsia" w:cs="Times New Roman"/>
          <w:b w:val="0"/>
          <w:bCs/>
          <w:color w:val="auto"/>
          <w:sz w:val="28"/>
          <w:szCs w:val="28"/>
          <w:lang w:val="en-US" w:eastAsia="zh-CN"/>
        </w:rPr>
        <w:t>本项目</w:t>
      </w:r>
      <w:r>
        <w:rPr>
          <w:rFonts w:hint="default" w:ascii="Times New Roman" w:hAnsi="Times New Roman" w:cs="Times New Roman"/>
          <w:b w:val="0"/>
          <w:bCs/>
          <w:color w:val="auto"/>
          <w:sz w:val="28"/>
          <w:szCs w:val="28"/>
        </w:rPr>
        <w:t>原矿</w:t>
      </w:r>
      <w:r>
        <w:rPr>
          <w:rFonts w:hint="default" w:ascii="Times New Roman" w:hAnsi="Times New Roman" w:cs="Times New Roman"/>
          <w:b w:val="0"/>
          <w:bCs/>
          <w:color w:val="auto"/>
          <w:sz w:val="28"/>
          <w:szCs w:val="28"/>
          <w:lang w:val="en-US" w:eastAsia="zh-CN"/>
        </w:rPr>
        <w:t>来源于马关驰盛矿业有限公司马关县高井槽铜矿，使</w:t>
      </w:r>
      <w:r>
        <w:rPr>
          <w:rFonts w:hint="default" w:ascii="Times New Roman" w:hAnsi="Times New Roman" w:cs="Times New Roman"/>
          <w:b w:val="0"/>
          <w:bCs/>
          <w:color w:val="auto"/>
          <w:sz w:val="28"/>
          <w:szCs w:val="28"/>
        </w:rPr>
        <w:t>用汽车运输至</w:t>
      </w:r>
      <w:r>
        <w:rPr>
          <w:rFonts w:hint="default" w:ascii="Times New Roman" w:hAnsi="Times New Roman" w:cs="Times New Roman"/>
          <w:b w:val="0"/>
          <w:bCs/>
          <w:color w:val="auto"/>
          <w:sz w:val="28"/>
          <w:szCs w:val="28"/>
          <w:lang w:eastAsia="zh-CN"/>
        </w:rPr>
        <w:t>选矿</w:t>
      </w:r>
      <w:r>
        <w:rPr>
          <w:rFonts w:hint="default" w:ascii="Times New Roman" w:hAnsi="Times New Roman" w:cs="Times New Roman"/>
          <w:b w:val="0"/>
          <w:bCs/>
          <w:color w:val="auto"/>
          <w:sz w:val="28"/>
          <w:szCs w:val="28"/>
          <w:lang w:val="en-US" w:eastAsia="zh-CN"/>
        </w:rPr>
        <w:t>厂</w:t>
      </w:r>
      <w:r>
        <w:rPr>
          <w:rFonts w:hint="default" w:ascii="Times New Roman" w:hAnsi="Times New Roman" w:cs="Times New Roman"/>
          <w:b w:val="0"/>
          <w:bCs/>
          <w:color w:val="auto"/>
          <w:sz w:val="28"/>
          <w:szCs w:val="28"/>
        </w:rPr>
        <w:t>原矿堆场堆放</w:t>
      </w:r>
      <w:r>
        <w:rPr>
          <w:rFonts w:hint="eastAsia" w:cs="Times New Roman"/>
          <w:b w:val="0"/>
          <w:bCs/>
          <w:color w:val="auto"/>
          <w:sz w:val="28"/>
          <w:szCs w:val="28"/>
          <w:lang w:val="en-US" w:eastAsia="zh-CN"/>
        </w:rPr>
        <w:t>。</w:t>
      </w:r>
      <w:r>
        <w:rPr>
          <w:rFonts w:hint="default" w:ascii="Times New Roman" w:hAnsi="Times New Roman" w:cs="Times New Roman"/>
          <w:b w:val="0"/>
          <w:bCs/>
          <w:color w:val="auto"/>
          <w:sz w:val="28"/>
          <w:szCs w:val="28"/>
          <w:lang w:val="en-US" w:eastAsia="zh-CN"/>
        </w:rPr>
        <w:t>尾矿有两种去向：一为主要，约有70%尾矿经收集池收集后直接排至马关玉兔有限公司尾矿库，二为次要，约有30%尾矿进入浓密池浓密，后使用盘式过滤机过滤，再使用带式输送机运至尾砂库房暂存，后运至云南中金共和资源有限公司马关分公司尾矿库干堆</w:t>
      </w:r>
      <w:r>
        <w:rPr>
          <w:rFonts w:hint="eastAsia" w:cs="Times New Roman"/>
          <w:b w:val="0"/>
          <w:bCs/>
          <w:color w:val="auto"/>
          <w:sz w:val="28"/>
          <w:szCs w:val="28"/>
          <w:lang w:val="en-US" w:eastAsia="zh-CN"/>
        </w:rPr>
        <w:t>。后期实际生产运营期间，可结合原矿特性、生产工况、现场运维条件等各类实际变动因素，对尾矿湿排与干堆的处置比例进行动态优化调整。</w:t>
      </w:r>
    </w:p>
    <w:p w14:paraId="2DB44993">
      <w:pPr>
        <w:ind w:firstLine="618" w:firstLineChars="221"/>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根据《中华人民共和国安全生产法》（中华人民共和国主席令[2021]第88号修订，2021年9月1日实施）、《建设项目安全设施</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三同时</w:t>
      </w:r>
      <w:r>
        <w:rPr>
          <w:rFonts w:hint="eastAsia" w:cs="Times New Roman"/>
          <w:b w:val="0"/>
          <w:bCs/>
          <w:color w:val="auto"/>
          <w:sz w:val="28"/>
          <w:szCs w:val="28"/>
          <w:lang w:eastAsia="zh-CN"/>
        </w:rPr>
        <w:t>”</w:t>
      </w:r>
      <w:r>
        <w:rPr>
          <w:rFonts w:hint="default" w:ascii="Times New Roman" w:hAnsi="Times New Roman" w:cs="Times New Roman"/>
          <w:b w:val="0"/>
          <w:bCs/>
          <w:color w:val="auto"/>
          <w:sz w:val="28"/>
          <w:szCs w:val="28"/>
        </w:rPr>
        <w:t>监督管理办法》（原国家安全监管总局令第77号修订，2015年5月1日实施）等国家有关安全生产法律、法规，受</w:t>
      </w:r>
      <w:r>
        <w:rPr>
          <w:rFonts w:hint="eastAsia" w:cs="Times New Roman"/>
          <w:b w:val="0"/>
          <w:bCs/>
          <w:color w:val="auto"/>
          <w:sz w:val="28"/>
          <w:szCs w:val="28"/>
          <w:lang w:eastAsia="zh-CN"/>
        </w:rPr>
        <w:t>合德再生资源科技马关有限公司</w:t>
      </w:r>
      <w:r>
        <w:rPr>
          <w:rFonts w:hint="default" w:ascii="Times New Roman" w:hAnsi="Times New Roman" w:cs="Times New Roman"/>
          <w:b w:val="0"/>
          <w:bCs/>
          <w:color w:val="auto"/>
          <w:sz w:val="28"/>
          <w:szCs w:val="28"/>
        </w:rPr>
        <w:t>的委托，辽宁诺诚安全科技有限公司承担了</w:t>
      </w:r>
      <w:r>
        <w:rPr>
          <w:rFonts w:hint="eastAsia" w:cs="Times New Roman"/>
          <w:b w:val="0"/>
          <w:bCs/>
          <w:color w:val="auto"/>
          <w:sz w:val="28"/>
          <w:szCs w:val="28"/>
          <w:lang w:eastAsia="zh-CN"/>
        </w:rPr>
        <w:t>合德再生资源科技马关有限公司野猫坟300t/d多金属选厂提质增效改造项目安全预评价</w:t>
      </w:r>
      <w:r>
        <w:rPr>
          <w:rFonts w:hint="default" w:ascii="Times New Roman" w:hAnsi="Times New Roman" w:cs="Times New Roman"/>
          <w:b w:val="0"/>
          <w:bCs/>
          <w:color w:val="auto"/>
          <w:sz w:val="28"/>
          <w:szCs w:val="28"/>
        </w:rPr>
        <w:t>工作。</w:t>
      </w:r>
    </w:p>
    <w:p w14:paraId="18F93EE0">
      <w:pPr>
        <w:bidi w:val="0"/>
        <w:rPr>
          <w:rFonts w:hint="default"/>
          <w:b w:val="0"/>
          <w:bCs/>
          <w:color w:val="auto"/>
        </w:rPr>
      </w:pPr>
      <w:r>
        <w:rPr>
          <w:rFonts w:hint="default"/>
          <w:b w:val="0"/>
          <w:bCs/>
          <w:color w:val="auto"/>
        </w:rPr>
        <w:t>在接受</w:t>
      </w:r>
      <w:r>
        <w:rPr>
          <w:rFonts w:hint="eastAsia"/>
          <w:b w:val="0"/>
          <w:bCs/>
          <w:color w:val="auto"/>
          <w:lang w:val="en-US" w:eastAsia="zh-CN"/>
        </w:rPr>
        <w:t>合德再生资源科技马关有限公司野猫坟300t/d多金属选厂提质增效改造项目</w:t>
      </w:r>
      <w:r>
        <w:rPr>
          <w:rFonts w:hint="default"/>
          <w:b w:val="0"/>
          <w:bCs/>
          <w:color w:val="auto"/>
        </w:rPr>
        <w:t>安全评价工作的委托之后，辽宁诺诚安全科技有限公司立即组成安全评价组投入项目安全预评价工作。评价组于202</w:t>
      </w:r>
      <w:r>
        <w:rPr>
          <w:rFonts w:hint="default"/>
          <w:b w:val="0"/>
          <w:bCs/>
          <w:color w:val="auto"/>
          <w:lang w:val="en-US" w:eastAsia="zh-CN"/>
        </w:rPr>
        <w:t>6</w:t>
      </w:r>
      <w:r>
        <w:rPr>
          <w:rFonts w:hint="default"/>
          <w:b w:val="0"/>
          <w:bCs/>
          <w:color w:val="auto"/>
        </w:rPr>
        <w:t>年0</w:t>
      </w:r>
      <w:r>
        <w:rPr>
          <w:rFonts w:hint="default"/>
          <w:b w:val="0"/>
          <w:bCs/>
          <w:color w:val="auto"/>
          <w:lang w:val="en-US" w:eastAsia="zh-CN"/>
        </w:rPr>
        <w:t>3</w:t>
      </w:r>
      <w:r>
        <w:rPr>
          <w:rFonts w:hint="default"/>
          <w:b w:val="0"/>
          <w:bCs/>
          <w:color w:val="auto"/>
        </w:rPr>
        <w:t>月</w:t>
      </w:r>
      <w:r>
        <w:rPr>
          <w:rFonts w:hint="default"/>
          <w:b w:val="0"/>
          <w:bCs/>
          <w:color w:val="auto"/>
          <w:lang w:val="en-US" w:eastAsia="zh-CN"/>
        </w:rPr>
        <w:t>2</w:t>
      </w:r>
      <w:r>
        <w:rPr>
          <w:rFonts w:hint="eastAsia"/>
          <w:b w:val="0"/>
          <w:bCs/>
          <w:color w:val="auto"/>
          <w:lang w:val="en-US" w:eastAsia="zh-CN"/>
        </w:rPr>
        <w:t>6</w:t>
      </w:r>
      <w:r>
        <w:rPr>
          <w:rFonts w:hint="default"/>
          <w:b w:val="0"/>
          <w:bCs/>
          <w:color w:val="auto"/>
        </w:rPr>
        <w:t>日进场对</w:t>
      </w:r>
      <w:r>
        <w:rPr>
          <w:rFonts w:hint="default"/>
          <w:b w:val="0"/>
          <w:bCs/>
          <w:color w:val="auto"/>
          <w:lang w:val="en-US" w:eastAsia="zh-CN"/>
        </w:rPr>
        <w:t>合德再生资源科技马关有限公司野猫坟300t/d多金属选厂提质增效改造项目</w:t>
      </w:r>
      <w:r>
        <w:rPr>
          <w:rFonts w:hint="default"/>
          <w:b w:val="0"/>
          <w:bCs/>
          <w:color w:val="auto"/>
        </w:rPr>
        <w:t>进行初步现场调查和资料收集工作。评价组在系统调查分析的基础上，对照国家或行业有关安全法律法规、标准和规范，对该项目及项目初步设计</w:t>
      </w:r>
      <w:r>
        <w:rPr>
          <w:rFonts w:hint="eastAsia"/>
          <w:b w:val="0"/>
          <w:bCs/>
          <w:color w:val="auto"/>
          <w:lang w:eastAsia="zh-CN"/>
        </w:rPr>
        <w:t>（</w:t>
      </w:r>
      <w:r>
        <w:rPr>
          <w:rFonts w:hint="eastAsia"/>
          <w:b w:val="0"/>
          <w:bCs/>
          <w:color w:val="auto"/>
          <w:lang w:val="en-US" w:eastAsia="zh-CN"/>
        </w:rPr>
        <w:t>代可研</w:t>
      </w:r>
      <w:r>
        <w:rPr>
          <w:rFonts w:hint="eastAsia"/>
          <w:b w:val="0"/>
          <w:bCs/>
          <w:color w:val="auto"/>
          <w:lang w:eastAsia="zh-CN"/>
        </w:rPr>
        <w:t>）</w:t>
      </w:r>
      <w:r>
        <w:rPr>
          <w:rFonts w:hint="default"/>
          <w:b w:val="0"/>
          <w:bCs/>
          <w:color w:val="auto"/>
        </w:rPr>
        <w:t>涉及的危险、有害因素进行分析和评价，采用可靠、适用的评价方法对项目进行安全预评价，得出评价结论，并提出科学、合理、可行的安全技术和管理措施，为该项目建设生产提供依据，最后编制成《</w:t>
      </w:r>
      <w:r>
        <w:rPr>
          <w:rFonts w:hint="eastAsia"/>
          <w:b w:val="0"/>
          <w:bCs/>
          <w:color w:val="auto"/>
          <w:lang w:eastAsia="zh-CN"/>
        </w:rPr>
        <w:t>合德再生资源科技马关有限公司野猫坟300t/d多金属选厂提质增效改造项目安全预评价</w:t>
      </w:r>
      <w:r>
        <w:rPr>
          <w:rFonts w:hint="default"/>
          <w:b w:val="0"/>
          <w:bCs/>
          <w:color w:val="auto"/>
        </w:rPr>
        <w:t>报告》。</w:t>
      </w:r>
    </w:p>
    <w:p w14:paraId="7ACE4A65">
      <w:pPr>
        <w:bidi w:val="0"/>
        <w:rPr>
          <w:rFonts w:hint="default"/>
          <w:b w:val="0"/>
          <w:bCs/>
          <w:color w:val="auto"/>
        </w:rPr>
      </w:pPr>
      <w:r>
        <w:rPr>
          <w:rFonts w:hint="default"/>
          <w:b w:val="0"/>
          <w:bCs/>
          <w:color w:val="auto"/>
        </w:rPr>
        <w:t>在该项目的安全预评价过程中得到了</w:t>
      </w:r>
      <w:r>
        <w:rPr>
          <w:rFonts w:hint="eastAsia"/>
          <w:b w:val="0"/>
          <w:bCs/>
          <w:color w:val="auto"/>
          <w:lang w:eastAsia="zh-CN"/>
        </w:rPr>
        <w:t>合德再生资源科技马关有限公司</w:t>
      </w:r>
      <w:r>
        <w:rPr>
          <w:rFonts w:hint="default"/>
          <w:b w:val="0"/>
          <w:bCs/>
          <w:color w:val="auto"/>
        </w:rPr>
        <w:t>等有关领导和技术人员的大力支持，同时在报告中引用了一些专家学者的研究成果和技术资料，在此一并表示感谢！</w:t>
      </w:r>
    </w:p>
    <w:p w14:paraId="31F053AE">
      <w:pPr>
        <w:bidi w:val="0"/>
        <w:rPr>
          <w:rFonts w:hint="default"/>
          <w:b w:val="0"/>
          <w:bCs/>
          <w:color w:val="auto"/>
        </w:rPr>
      </w:pPr>
    </w:p>
    <w:p w14:paraId="12CF7BDD">
      <w:pPr>
        <w:rPr>
          <w:rFonts w:hint="default" w:ascii="Times New Roman" w:hAnsi="Times New Roman" w:cs="Times New Roman"/>
          <w:b w:val="0"/>
          <w:bCs/>
          <w:color w:val="auto"/>
        </w:rPr>
        <w:sectPr>
          <w:headerReference r:id="rId5" w:type="default"/>
          <w:footerReference r:id="rId6" w:type="default"/>
          <w:pgSz w:w="11905" w:h="16838"/>
          <w:pgMar w:top="1417" w:right="1134" w:bottom="1134" w:left="1587" w:header="851" w:footer="992" w:gutter="0"/>
          <w:pgBorders>
            <w:top w:val="none" w:sz="0" w:space="0"/>
            <w:left w:val="none" w:sz="0" w:space="0"/>
            <w:bottom w:val="none" w:sz="0" w:space="0"/>
            <w:right w:val="none" w:sz="0" w:space="0"/>
          </w:pgBorders>
          <w:pgNumType w:fmt="decimal" w:start="1"/>
          <w:cols w:space="0" w:num="1"/>
          <w:rtlGutter w:val="0"/>
          <w:docGrid w:type="lines" w:linePitch="386" w:charSpace="0"/>
        </w:sectPr>
      </w:pP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14:paraId="42906711">
      <w:pPr>
        <w:tabs>
          <w:tab w:val="center" w:pos="4153"/>
          <w:tab w:val="left" w:pos="5844"/>
        </w:tabs>
        <w:spacing w:line="360" w:lineRule="auto"/>
        <w:ind w:firstLine="0" w:firstLineChars="0"/>
        <w:jc w:val="center"/>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目  录</w:t>
      </w:r>
    </w:p>
    <w:p w14:paraId="10CC93F0">
      <w:pPr>
        <w:pStyle w:val="13"/>
      </w:pPr>
      <w:r>
        <w:rPr>
          <w:b w:val="0"/>
          <w:bCs/>
          <w:color w:val="auto"/>
        </w:rPr>
        <w:fldChar w:fldCharType="begin"/>
      </w:r>
      <w:r>
        <w:rPr>
          <w:b w:val="0"/>
          <w:bCs/>
          <w:color w:val="auto"/>
        </w:rPr>
        <w:instrText xml:space="preserve">TOC \o "1-2" \h \u </w:instrText>
      </w:r>
      <w:r>
        <w:rPr>
          <w:b w:val="0"/>
          <w:bCs/>
          <w:color w:val="auto"/>
        </w:rPr>
        <w:fldChar w:fldCharType="separate"/>
      </w:r>
      <w:r>
        <w:rPr>
          <w:bCs/>
          <w:color w:val="auto"/>
        </w:rPr>
        <w:fldChar w:fldCharType="begin"/>
      </w:r>
      <w:r>
        <w:rPr>
          <w:bCs/>
        </w:rPr>
        <w:instrText xml:space="preserve"> HYPERLINK \l _Toc27855 </w:instrText>
      </w:r>
      <w:r>
        <w:rPr>
          <w:bCs/>
        </w:rPr>
        <w:fldChar w:fldCharType="separate"/>
      </w:r>
      <w:r>
        <w:rPr>
          <w:rFonts w:hint="eastAsia" w:ascii="Times New Roman" w:hAnsi="Times New Roman" w:eastAsia="黑体" w:cs="Times New Roman"/>
          <w:bCs/>
          <w:szCs w:val="44"/>
        </w:rPr>
        <w:t>1</w:t>
      </w:r>
      <w:r>
        <w:rPr>
          <w:rFonts w:hint="eastAsia" w:ascii="Times New Roman" w:hAnsi="Times New Roman" w:cs="Times New Roman"/>
          <w:bCs/>
          <w:szCs w:val="44"/>
          <w:lang w:val="en-US" w:eastAsia="zh-CN"/>
        </w:rPr>
        <w:t>.</w:t>
      </w:r>
      <w:r>
        <w:rPr>
          <w:rFonts w:hint="eastAsia" w:ascii="Times New Roman" w:hAnsi="Times New Roman" w:eastAsia="黑体" w:cs="Times New Roman"/>
          <w:bCs/>
          <w:szCs w:val="44"/>
        </w:rPr>
        <w:t>编制说明</w:t>
      </w:r>
      <w:r>
        <w:tab/>
      </w:r>
      <w:r>
        <w:fldChar w:fldCharType="begin"/>
      </w:r>
      <w:r>
        <w:instrText xml:space="preserve"> PAGEREF _Toc27855 \h </w:instrText>
      </w:r>
      <w:r>
        <w:fldChar w:fldCharType="separate"/>
      </w:r>
      <w:r>
        <w:t>1</w:t>
      </w:r>
      <w:r>
        <w:fldChar w:fldCharType="end"/>
      </w:r>
      <w:r>
        <w:rPr>
          <w:bCs/>
          <w:color w:val="auto"/>
        </w:rPr>
        <w:fldChar w:fldCharType="end"/>
      </w:r>
    </w:p>
    <w:p w14:paraId="0C64AD8A">
      <w:pPr>
        <w:pStyle w:val="14"/>
      </w:pPr>
      <w:r>
        <w:rPr>
          <w:bCs/>
          <w:color w:val="auto"/>
        </w:rPr>
        <w:fldChar w:fldCharType="begin"/>
      </w:r>
      <w:r>
        <w:rPr>
          <w:bCs/>
        </w:rPr>
        <w:instrText xml:space="preserve"> HYPERLINK \l _Toc16545 </w:instrText>
      </w:r>
      <w:r>
        <w:rPr>
          <w:bCs/>
        </w:rPr>
        <w:fldChar w:fldCharType="separate"/>
      </w:r>
      <w:r>
        <w:rPr>
          <w:rFonts w:hint="eastAsia" w:ascii="Times New Roman" w:hAnsi="Times New Roman" w:eastAsia="黑体" w:cs="Times New Roman"/>
          <w:bCs/>
          <w:szCs w:val="30"/>
        </w:rPr>
        <w:t>1.1评价目的及范围</w:t>
      </w:r>
      <w:r>
        <w:tab/>
      </w:r>
      <w:r>
        <w:fldChar w:fldCharType="begin"/>
      </w:r>
      <w:r>
        <w:instrText xml:space="preserve"> PAGEREF _Toc16545 \h </w:instrText>
      </w:r>
      <w:r>
        <w:fldChar w:fldCharType="separate"/>
      </w:r>
      <w:r>
        <w:t>1</w:t>
      </w:r>
      <w:r>
        <w:fldChar w:fldCharType="end"/>
      </w:r>
      <w:r>
        <w:rPr>
          <w:bCs/>
          <w:color w:val="auto"/>
        </w:rPr>
        <w:fldChar w:fldCharType="end"/>
      </w:r>
    </w:p>
    <w:p w14:paraId="123FF060">
      <w:pPr>
        <w:pStyle w:val="14"/>
      </w:pPr>
      <w:r>
        <w:rPr>
          <w:bCs/>
          <w:color w:val="auto"/>
        </w:rPr>
        <w:fldChar w:fldCharType="begin"/>
      </w:r>
      <w:r>
        <w:rPr>
          <w:bCs/>
        </w:rPr>
        <w:instrText xml:space="preserve"> HYPERLINK \l _Toc17262 </w:instrText>
      </w:r>
      <w:r>
        <w:rPr>
          <w:bCs/>
        </w:rPr>
        <w:fldChar w:fldCharType="separate"/>
      </w:r>
      <w:r>
        <w:rPr>
          <w:rFonts w:hint="eastAsia" w:ascii="Times New Roman" w:hAnsi="Times New Roman" w:eastAsia="黑体" w:cs="Times New Roman"/>
          <w:bCs/>
          <w:szCs w:val="30"/>
        </w:rPr>
        <w:t>1.2评价依据</w:t>
      </w:r>
      <w:r>
        <w:tab/>
      </w:r>
      <w:r>
        <w:fldChar w:fldCharType="begin"/>
      </w:r>
      <w:r>
        <w:instrText xml:space="preserve"> PAGEREF _Toc17262 \h </w:instrText>
      </w:r>
      <w:r>
        <w:fldChar w:fldCharType="separate"/>
      </w:r>
      <w:r>
        <w:t>2</w:t>
      </w:r>
      <w:r>
        <w:fldChar w:fldCharType="end"/>
      </w:r>
      <w:r>
        <w:rPr>
          <w:bCs/>
          <w:color w:val="auto"/>
        </w:rPr>
        <w:fldChar w:fldCharType="end"/>
      </w:r>
    </w:p>
    <w:p w14:paraId="53F0D5D0">
      <w:pPr>
        <w:pStyle w:val="14"/>
      </w:pPr>
      <w:r>
        <w:rPr>
          <w:bCs/>
          <w:color w:val="auto"/>
        </w:rPr>
        <w:fldChar w:fldCharType="begin"/>
      </w:r>
      <w:r>
        <w:rPr>
          <w:bCs/>
        </w:rPr>
        <w:instrText xml:space="preserve"> HYPERLINK \l _Toc31915 </w:instrText>
      </w:r>
      <w:r>
        <w:rPr>
          <w:bCs/>
        </w:rPr>
        <w:fldChar w:fldCharType="separate"/>
      </w:r>
      <w:r>
        <w:rPr>
          <w:rFonts w:hint="eastAsia" w:ascii="Times New Roman" w:hAnsi="Times New Roman" w:eastAsia="黑体" w:cs="Times New Roman"/>
          <w:bCs/>
          <w:szCs w:val="30"/>
        </w:rPr>
        <w:t>1.3评价程序</w:t>
      </w:r>
      <w:r>
        <w:tab/>
      </w:r>
      <w:r>
        <w:fldChar w:fldCharType="begin"/>
      </w:r>
      <w:r>
        <w:instrText xml:space="preserve"> PAGEREF _Toc31915 \h </w:instrText>
      </w:r>
      <w:r>
        <w:fldChar w:fldCharType="separate"/>
      </w:r>
      <w:r>
        <w:t>12</w:t>
      </w:r>
      <w:r>
        <w:fldChar w:fldCharType="end"/>
      </w:r>
      <w:r>
        <w:rPr>
          <w:bCs/>
          <w:color w:val="auto"/>
        </w:rPr>
        <w:fldChar w:fldCharType="end"/>
      </w:r>
    </w:p>
    <w:p w14:paraId="5B976135">
      <w:pPr>
        <w:pStyle w:val="13"/>
      </w:pPr>
      <w:r>
        <w:rPr>
          <w:bCs/>
          <w:color w:val="auto"/>
        </w:rPr>
        <w:fldChar w:fldCharType="begin"/>
      </w:r>
      <w:r>
        <w:rPr>
          <w:bCs/>
        </w:rPr>
        <w:instrText xml:space="preserve"> HYPERLINK \l _Toc5817 </w:instrText>
      </w:r>
      <w:r>
        <w:rPr>
          <w:bCs/>
        </w:rPr>
        <w:fldChar w:fldCharType="separate"/>
      </w:r>
      <w:r>
        <w:rPr>
          <w:rFonts w:hint="eastAsia" w:ascii="Times New Roman" w:hAnsi="Times New Roman" w:eastAsia="黑体" w:cs="Times New Roman"/>
          <w:bCs/>
          <w:szCs w:val="44"/>
        </w:rPr>
        <w:t>2</w:t>
      </w:r>
      <w:r>
        <w:rPr>
          <w:rFonts w:hint="eastAsia" w:ascii="Times New Roman" w:hAnsi="Times New Roman" w:cs="Times New Roman"/>
          <w:bCs/>
          <w:szCs w:val="44"/>
          <w:lang w:val="en-US" w:eastAsia="zh-CN"/>
        </w:rPr>
        <w:t>.</w:t>
      </w:r>
      <w:r>
        <w:rPr>
          <w:rFonts w:hint="eastAsia" w:ascii="Times New Roman" w:hAnsi="Times New Roman" w:eastAsia="黑体" w:cs="Times New Roman"/>
          <w:bCs/>
          <w:szCs w:val="44"/>
        </w:rPr>
        <w:t>建设项目概述</w:t>
      </w:r>
      <w:r>
        <w:tab/>
      </w:r>
      <w:r>
        <w:fldChar w:fldCharType="begin"/>
      </w:r>
      <w:r>
        <w:instrText xml:space="preserve"> PAGEREF _Toc5817 \h </w:instrText>
      </w:r>
      <w:r>
        <w:fldChar w:fldCharType="separate"/>
      </w:r>
      <w:r>
        <w:t>13</w:t>
      </w:r>
      <w:r>
        <w:fldChar w:fldCharType="end"/>
      </w:r>
      <w:r>
        <w:rPr>
          <w:bCs/>
          <w:color w:val="auto"/>
        </w:rPr>
        <w:fldChar w:fldCharType="end"/>
      </w:r>
    </w:p>
    <w:p w14:paraId="27ED19B9">
      <w:pPr>
        <w:pStyle w:val="14"/>
      </w:pPr>
      <w:r>
        <w:rPr>
          <w:bCs/>
          <w:color w:val="auto"/>
        </w:rPr>
        <w:fldChar w:fldCharType="begin"/>
      </w:r>
      <w:r>
        <w:rPr>
          <w:bCs/>
        </w:rPr>
        <w:instrText xml:space="preserve"> HYPERLINK \l _Toc5931 </w:instrText>
      </w:r>
      <w:r>
        <w:rPr>
          <w:bCs/>
        </w:rPr>
        <w:fldChar w:fldCharType="separate"/>
      </w:r>
      <w:r>
        <w:rPr>
          <w:rFonts w:hint="eastAsia" w:ascii="Times New Roman" w:hAnsi="Times New Roman" w:eastAsia="黑体" w:cs="Times New Roman"/>
          <w:bCs/>
          <w:szCs w:val="30"/>
        </w:rPr>
        <w:t>2.1建设单位概况</w:t>
      </w:r>
      <w:r>
        <w:tab/>
      </w:r>
      <w:r>
        <w:fldChar w:fldCharType="begin"/>
      </w:r>
      <w:r>
        <w:instrText xml:space="preserve"> PAGEREF _Toc5931 \h </w:instrText>
      </w:r>
      <w:r>
        <w:fldChar w:fldCharType="separate"/>
      </w:r>
      <w:r>
        <w:t>13</w:t>
      </w:r>
      <w:r>
        <w:fldChar w:fldCharType="end"/>
      </w:r>
      <w:r>
        <w:rPr>
          <w:bCs/>
          <w:color w:val="auto"/>
        </w:rPr>
        <w:fldChar w:fldCharType="end"/>
      </w:r>
    </w:p>
    <w:p w14:paraId="37B0D3E0">
      <w:pPr>
        <w:pStyle w:val="14"/>
      </w:pPr>
      <w:r>
        <w:rPr>
          <w:bCs/>
          <w:color w:val="auto"/>
        </w:rPr>
        <w:fldChar w:fldCharType="begin"/>
      </w:r>
      <w:r>
        <w:rPr>
          <w:bCs/>
        </w:rPr>
        <w:instrText xml:space="preserve"> HYPERLINK \l _Toc2614 </w:instrText>
      </w:r>
      <w:r>
        <w:rPr>
          <w:bCs/>
        </w:rPr>
        <w:fldChar w:fldCharType="separate"/>
      </w:r>
      <w:r>
        <w:rPr>
          <w:rFonts w:hint="eastAsia" w:ascii="Times New Roman" w:hAnsi="Times New Roman" w:eastAsia="黑体" w:cs="Times New Roman"/>
          <w:bCs/>
          <w:szCs w:val="30"/>
        </w:rPr>
        <w:t>2.2自然环境</w:t>
      </w:r>
      <w:r>
        <w:tab/>
      </w:r>
      <w:r>
        <w:fldChar w:fldCharType="begin"/>
      </w:r>
      <w:r>
        <w:instrText xml:space="preserve"> PAGEREF _Toc2614 \h </w:instrText>
      </w:r>
      <w:r>
        <w:fldChar w:fldCharType="separate"/>
      </w:r>
      <w:r>
        <w:t>18</w:t>
      </w:r>
      <w:r>
        <w:fldChar w:fldCharType="end"/>
      </w:r>
      <w:r>
        <w:rPr>
          <w:bCs/>
          <w:color w:val="auto"/>
        </w:rPr>
        <w:fldChar w:fldCharType="end"/>
      </w:r>
    </w:p>
    <w:p w14:paraId="5208E0BE">
      <w:pPr>
        <w:pStyle w:val="14"/>
      </w:pPr>
      <w:r>
        <w:rPr>
          <w:bCs/>
          <w:color w:val="auto"/>
        </w:rPr>
        <w:fldChar w:fldCharType="begin"/>
      </w:r>
      <w:r>
        <w:rPr>
          <w:bCs/>
        </w:rPr>
        <w:instrText xml:space="preserve"> HYPERLINK \l _Toc29538 </w:instrText>
      </w:r>
      <w:r>
        <w:rPr>
          <w:bCs/>
        </w:rPr>
        <w:fldChar w:fldCharType="separate"/>
      </w:r>
      <w:r>
        <w:rPr>
          <w:rFonts w:hint="eastAsia" w:ascii="Times New Roman" w:hAnsi="Times New Roman" w:eastAsia="黑体" w:cs="Times New Roman"/>
          <w:bCs/>
          <w:szCs w:val="30"/>
        </w:rPr>
        <w:t>2.3项目建设条件</w:t>
      </w:r>
      <w:r>
        <w:tab/>
      </w:r>
      <w:r>
        <w:fldChar w:fldCharType="begin"/>
      </w:r>
      <w:r>
        <w:instrText xml:space="preserve"> PAGEREF _Toc29538 \h </w:instrText>
      </w:r>
      <w:r>
        <w:fldChar w:fldCharType="separate"/>
      </w:r>
      <w:r>
        <w:t>24</w:t>
      </w:r>
      <w:r>
        <w:fldChar w:fldCharType="end"/>
      </w:r>
      <w:r>
        <w:rPr>
          <w:bCs/>
          <w:color w:val="auto"/>
        </w:rPr>
        <w:fldChar w:fldCharType="end"/>
      </w:r>
    </w:p>
    <w:p w14:paraId="7A993778">
      <w:pPr>
        <w:pStyle w:val="14"/>
      </w:pPr>
      <w:r>
        <w:rPr>
          <w:bCs/>
          <w:color w:val="auto"/>
        </w:rPr>
        <w:fldChar w:fldCharType="begin"/>
      </w:r>
      <w:r>
        <w:rPr>
          <w:bCs/>
        </w:rPr>
        <w:instrText xml:space="preserve"> HYPERLINK \l _Toc21160 </w:instrText>
      </w:r>
      <w:r>
        <w:rPr>
          <w:bCs/>
        </w:rPr>
        <w:fldChar w:fldCharType="separate"/>
      </w:r>
      <w:r>
        <w:rPr>
          <w:rFonts w:hint="eastAsia" w:ascii="Times New Roman" w:hAnsi="Times New Roman" w:eastAsia="黑体" w:cs="Times New Roman"/>
          <w:bCs/>
          <w:szCs w:val="30"/>
          <w:lang w:val="en-US" w:eastAsia="zh-CN"/>
        </w:rPr>
        <w:t>2.4</w:t>
      </w:r>
      <w:r>
        <w:rPr>
          <w:rFonts w:hint="eastAsia" w:ascii="Times New Roman" w:hAnsi="Times New Roman" w:eastAsia="黑体" w:cs="Times New Roman"/>
          <w:bCs/>
          <w:szCs w:val="30"/>
        </w:rPr>
        <w:t>建设方案</w:t>
      </w:r>
      <w:r>
        <w:rPr>
          <w:rFonts w:hint="eastAsia" w:cs="Times New Roman"/>
          <w:bCs/>
          <w:szCs w:val="30"/>
          <w:lang w:val="en-US" w:eastAsia="zh-CN"/>
        </w:rPr>
        <w:t>概况</w:t>
      </w:r>
      <w:r>
        <w:tab/>
      </w:r>
      <w:r>
        <w:fldChar w:fldCharType="begin"/>
      </w:r>
      <w:r>
        <w:instrText xml:space="preserve"> PAGEREF _Toc21160 \h </w:instrText>
      </w:r>
      <w:r>
        <w:fldChar w:fldCharType="separate"/>
      </w:r>
      <w:r>
        <w:t>27</w:t>
      </w:r>
      <w:r>
        <w:fldChar w:fldCharType="end"/>
      </w:r>
      <w:r>
        <w:rPr>
          <w:bCs/>
          <w:color w:val="auto"/>
        </w:rPr>
        <w:fldChar w:fldCharType="end"/>
      </w:r>
    </w:p>
    <w:p w14:paraId="1B240268">
      <w:pPr>
        <w:pStyle w:val="13"/>
      </w:pPr>
      <w:r>
        <w:rPr>
          <w:bCs/>
          <w:color w:val="auto"/>
        </w:rPr>
        <w:fldChar w:fldCharType="begin"/>
      </w:r>
      <w:r>
        <w:rPr>
          <w:bCs/>
        </w:rPr>
        <w:instrText xml:space="preserve"> HYPERLINK \l _Toc32615 </w:instrText>
      </w:r>
      <w:r>
        <w:rPr>
          <w:bCs/>
        </w:rPr>
        <w:fldChar w:fldCharType="separate"/>
      </w:r>
      <w:r>
        <w:rPr>
          <w:rFonts w:hint="eastAsia" w:ascii="Times New Roman" w:hAnsi="Times New Roman" w:eastAsia="黑体" w:cs="Times New Roman"/>
          <w:bCs/>
          <w:szCs w:val="44"/>
        </w:rPr>
        <w:t>3</w:t>
      </w:r>
      <w:r>
        <w:rPr>
          <w:rFonts w:hint="eastAsia" w:ascii="Times New Roman" w:hAnsi="Times New Roman" w:cs="Times New Roman"/>
          <w:bCs/>
          <w:szCs w:val="44"/>
          <w:lang w:val="en-US" w:eastAsia="zh-CN"/>
        </w:rPr>
        <w:t>.</w:t>
      </w:r>
      <w:r>
        <w:rPr>
          <w:rFonts w:hint="eastAsia" w:ascii="Times New Roman" w:hAnsi="Times New Roman" w:eastAsia="黑体" w:cs="Times New Roman"/>
          <w:bCs/>
          <w:szCs w:val="44"/>
        </w:rPr>
        <w:t>危险、有害因素辨识及分析</w:t>
      </w:r>
      <w:r>
        <w:tab/>
      </w:r>
      <w:r>
        <w:fldChar w:fldCharType="begin"/>
      </w:r>
      <w:r>
        <w:instrText xml:space="preserve"> PAGEREF _Toc32615 \h </w:instrText>
      </w:r>
      <w:r>
        <w:fldChar w:fldCharType="separate"/>
      </w:r>
      <w:r>
        <w:t>50</w:t>
      </w:r>
      <w:r>
        <w:fldChar w:fldCharType="end"/>
      </w:r>
      <w:r>
        <w:rPr>
          <w:bCs/>
          <w:color w:val="auto"/>
        </w:rPr>
        <w:fldChar w:fldCharType="end"/>
      </w:r>
    </w:p>
    <w:p w14:paraId="0F9D748D">
      <w:pPr>
        <w:pStyle w:val="14"/>
      </w:pPr>
      <w:r>
        <w:rPr>
          <w:bCs/>
          <w:color w:val="auto"/>
        </w:rPr>
        <w:fldChar w:fldCharType="begin"/>
      </w:r>
      <w:r>
        <w:rPr>
          <w:bCs/>
        </w:rPr>
        <w:instrText xml:space="preserve"> HYPERLINK \l _Toc2213 </w:instrText>
      </w:r>
      <w:r>
        <w:rPr>
          <w:bCs/>
        </w:rPr>
        <w:fldChar w:fldCharType="separate"/>
      </w:r>
      <w:r>
        <w:rPr>
          <w:rFonts w:hint="eastAsia" w:ascii="Times New Roman" w:hAnsi="Times New Roman" w:eastAsia="黑体" w:cs="Times New Roman"/>
          <w:bCs/>
          <w:szCs w:val="30"/>
        </w:rPr>
        <w:t>3.1主要危险、有害因素辨识与分析</w:t>
      </w:r>
      <w:r>
        <w:tab/>
      </w:r>
      <w:r>
        <w:fldChar w:fldCharType="begin"/>
      </w:r>
      <w:r>
        <w:instrText xml:space="preserve"> PAGEREF _Toc2213 \h </w:instrText>
      </w:r>
      <w:r>
        <w:fldChar w:fldCharType="separate"/>
      </w:r>
      <w:r>
        <w:t>50</w:t>
      </w:r>
      <w:r>
        <w:fldChar w:fldCharType="end"/>
      </w:r>
      <w:r>
        <w:rPr>
          <w:bCs/>
          <w:color w:val="auto"/>
        </w:rPr>
        <w:fldChar w:fldCharType="end"/>
      </w:r>
    </w:p>
    <w:p w14:paraId="2103C9FA">
      <w:pPr>
        <w:pStyle w:val="14"/>
      </w:pPr>
      <w:r>
        <w:rPr>
          <w:bCs/>
          <w:color w:val="auto"/>
        </w:rPr>
        <w:fldChar w:fldCharType="begin"/>
      </w:r>
      <w:r>
        <w:rPr>
          <w:bCs/>
        </w:rPr>
        <w:instrText xml:space="preserve"> HYPERLINK \l _Toc12524 </w:instrText>
      </w:r>
      <w:r>
        <w:rPr>
          <w:bCs/>
        </w:rPr>
        <w:fldChar w:fldCharType="separate"/>
      </w:r>
      <w:r>
        <w:rPr>
          <w:rFonts w:hint="eastAsia" w:ascii="Times New Roman" w:hAnsi="Times New Roman" w:eastAsia="黑体" w:cs="Times New Roman"/>
          <w:bCs/>
          <w:szCs w:val="30"/>
        </w:rPr>
        <w:t>3.2主要危险、有害物质辨识与分析</w:t>
      </w:r>
      <w:r>
        <w:tab/>
      </w:r>
      <w:r>
        <w:fldChar w:fldCharType="begin"/>
      </w:r>
      <w:r>
        <w:instrText xml:space="preserve"> PAGEREF _Toc12524 \h </w:instrText>
      </w:r>
      <w:r>
        <w:fldChar w:fldCharType="separate"/>
      </w:r>
      <w:r>
        <w:t>52</w:t>
      </w:r>
      <w:r>
        <w:fldChar w:fldCharType="end"/>
      </w:r>
      <w:r>
        <w:rPr>
          <w:bCs/>
          <w:color w:val="auto"/>
        </w:rPr>
        <w:fldChar w:fldCharType="end"/>
      </w:r>
    </w:p>
    <w:p w14:paraId="447EF1D8">
      <w:pPr>
        <w:pStyle w:val="14"/>
      </w:pPr>
      <w:r>
        <w:rPr>
          <w:bCs/>
          <w:color w:val="auto"/>
        </w:rPr>
        <w:fldChar w:fldCharType="begin"/>
      </w:r>
      <w:r>
        <w:rPr>
          <w:bCs/>
        </w:rPr>
        <w:instrText xml:space="preserve"> HYPERLINK \l _Toc21695 </w:instrText>
      </w:r>
      <w:r>
        <w:rPr>
          <w:bCs/>
        </w:rPr>
        <w:fldChar w:fldCharType="separate"/>
      </w:r>
      <w:r>
        <w:rPr>
          <w:rFonts w:hint="eastAsia" w:ascii="Times New Roman" w:hAnsi="Times New Roman" w:eastAsia="黑体" w:cs="Times New Roman"/>
          <w:bCs/>
          <w:szCs w:val="30"/>
        </w:rPr>
        <w:t>3.3厂址选择及总平面布置危险和有害因素辨识与分析</w:t>
      </w:r>
      <w:r>
        <w:tab/>
      </w:r>
      <w:r>
        <w:fldChar w:fldCharType="begin"/>
      </w:r>
      <w:r>
        <w:instrText xml:space="preserve"> PAGEREF _Toc21695 \h </w:instrText>
      </w:r>
      <w:r>
        <w:fldChar w:fldCharType="separate"/>
      </w:r>
      <w:r>
        <w:t>68</w:t>
      </w:r>
      <w:r>
        <w:fldChar w:fldCharType="end"/>
      </w:r>
      <w:r>
        <w:rPr>
          <w:bCs/>
          <w:color w:val="auto"/>
        </w:rPr>
        <w:fldChar w:fldCharType="end"/>
      </w:r>
    </w:p>
    <w:p w14:paraId="42716EED">
      <w:pPr>
        <w:pStyle w:val="14"/>
      </w:pPr>
      <w:r>
        <w:rPr>
          <w:bCs/>
          <w:color w:val="auto"/>
        </w:rPr>
        <w:fldChar w:fldCharType="begin"/>
      </w:r>
      <w:r>
        <w:rPr>
          <w:bCs/>
        </w:rPr>
        <w:instrText xml:space="preserve"> HYPERLINK \l _Toc6460 </w:instrText>
      </w:r>
      <w:r>
        <w:rPr>
          <w:bCs/>
        </w:rPr>
        <w:fldChar w:fldCharType="separate"/>
      </w:r>
      <w:r>
        <w:rPr>
          <w:rFonts w:hint="eastAsia" w:ascii="Times New Roman" w:hAnsi="Times New Roman" w:eastAsia="黑体" w:cs="Times New Roman"/>
          <w:bCs/>
          <w:szCs w:val="30"/>
        </w:rPr>
        <w:t>3.4基础设施施工建设期主要危险和有害因素辨识与分析</w:t>
      </w:r>
      <w:r>
        <w:tab/>
      </w:r>
      <w:r>
        <w:fldChar w:fldCharType="begin"/>
      </w:r>
      <w:r>
        <w:instrText xml:space="preserve"> PAGEREF _Toc6460 \h </w:instrText>
      </w:r>
      <w:r>
        <w:fldChar w:fldCharType="separate"/>
      </w:r>
      <w:r>
        <w:t>70</w:t>
      </w:r>
      <w:r>
        <w:fldChar w:fldCharType="end"/>
      </w:r>
      <w:r>
        <w:rPr>
          <w:bCs/>
          <w:color w:val="auto"/>
        </w:rPr>
        <w:fldChar w:fldCharType="end"/>
      </w:r>
    </w:p>
    <w:p w14:paraId="0D2979F0">
      <w:pPr>
        <w:pStyle w:val="14"/>
      </w:pPr>
      <w:r>
        <w:rPr>
          <w:bCs/>
          <w:color w:val="auto"/>
        </w:rPr>
        <w:fldChar w:fldCharType="begin"/>
      </w:r>
      <w:r>
        <w:rPr>
          <w:bCs/>
        </w:rPr>
        <w:instrText xml:space="preserve"> HYPERLINK \l _Toc27157 </w:instrText>
      </w:r>
      <w:r>
        <w:rPr>
          <w:bCs/>
        </w:rPr>
        <w:fldChar w:fldCharType="separate"/>
      </w:r>
      <w:r>
        <w:rPr>
          <w:rFonts w:hint="eastAsia" w:ascii="Times New Roman" w:hAnsi="Times New Roman" w:eastAsia="黑体" w:cs="Times New Roman"/>
          <w:bCs/>
          <w:szCs w:val="30"/>
        </w:rPr>
        <w:t>3.5生产过程中的主要危险和有害因素辨识与分析</w:t>
      </w:r>
      <w:r>
        <w:tab/>
      </w:r>
      <w:r>
        <w:fldChar w:fldCharType="begin"/>
      </w:r>
      <w:r>
        <w:instrText xml:space="preserve"> PAGEREF _Toc27157 \h </w:instrText>
      </w:r>
      <w:r>
        <w:fldChar w:fldCharType="separate"/>
      </w:r>
      <w:r>
        <w:t>71</w:t>
      </w:r>
      <w:r>
        <w:fldChar w:fldCharType="end"/>
      </w:r>
      <w:r>
        <w:rPr>
          <w:bCs/>
          <w:color w:val="auto"/>
        </w:rPr>
        <w:fldChar w:fldCharType="end"/>
      </w:r>
    </w:p>
    <w:p w14:paraId="0175A5EE">
      <w:pPr>
        <w:pStyle w:val="14"/>
      </w:pPr>
      <w:r>
        <w:rPr>
          <w:bCs/>
          <w:color w:val="auto"/>
        </w:rPr>
        <w:fldChar w:fldCharType="begin"/>
      </w:r>
      <w:r>
        <w:rPr>
          <w:bCs/>
        </w:rPr>
        <w:instrText xml:space="preserve"> HYPERLINK \l _Toc21007 </w:instrText>
      </w:r>
      <w:r>
        <w:rPr>
          <w:bCs/>
        </w:rPr>
        <w:fldChar w:fldCharType="separate"/>
      </w:r>
      <w:r>
        <w:rPr>
          <w:rFonts w:hint="eastAsia" w:ascii="Times New Roman" w:hAnsi="Times New Roman" w:eastAsia="黑体" w:cs="Times New Roman"/>
          <w:bCs/>
          <w:szCs w:val="30"/>
        </w:rPr>
        <w:t>3.6有限空间作业危险有害因素辨识与分析</w:t>
      </w:r>
      <w:r>
        <w:tab/>
      </w:r>
      <w:r>
        <w:fldChar w:fldCharType="begin"/>
      </w:r>
      <w:r>
        <w:instrText xml:space="preserve"> PAGEREF _Toc21007 \h </w:instrText>
      </w:r>
      <w:r>
        <w:fldChar w:fldCharType="separate"/>
      </w:r>
      <w:r>
        <w:t>85</w:t>
      </w:r>
      <w:r>
        <w:fldChar w:fldCharType="end"/>
      </w:r>
      <w:r>
        <w:rPr>
          <w:bCs/>
          <w:color w:val="auto"/>
        </w:rPr>
        <w:fldChar w:fldCharType="end"/>
      </w:r>
    </w:p>
    <w:p w14:paraId="0299CBEA">
      <w:pPr>
        <w:pStyle w:val="14"/>
      </w:pPr>
      <w:r>
        <w:rPr>
          <w:bCs/>
          <w:color w:val="auto"/>
        </w:rPr>
        <w:fldChar w:fldCharType="begin"/>
      </w:r>
      <w:r>
        <w:rPr>
          <w:bCs/>
        </w:rPr>
        <w:instrText xml:space="preserve"> HYPERLINK \l _Toc10819 </w:instrText>
      </w:r>
      <w:r>
        <w:rPr>
          <w:bCs/>
        </w:rPr>
        <w:fldChar w:fldCharType="separate"/>
      </w:r>
      <w:r>
        <w:rPr>
          <w:rFonts w:hint="eastAsia" w:ascii="Times New Roman" w:hAnsi="Times New Roman" w:eastAsia="黑体" w:cs="Times New Roman"/>
          <w:bCs/>
          <w:szCs w:val="30"/>
          <w:lang w:val="en-US" w:eastAsia="zh-CN"/>
        </w:rPr>
        <w:t>3.7</w:t>
      </w:r>
      <w:r>
        <w:rPr>
          <w:rFonts w:hint="eastAsia" w:ascii="Times New Roman" w:hAnsi="Times New Roman" w:eastAsia="黑体" w:cs="Times New Roman"/>
          <w:bCs/>
          <w:szCs w:val="30"/>
        </w:rPr>
        <w:t>选矿厂周边环境危险因素分析</w:t>
      </w:r>
      <w:r>
        <w:tab/>
      </w:r>
      <w:r>
        <w:fldChar w:fldCharType="begin"/>
      </w:r>
      <w:r>
        <w:instrText xml:space="preserve"> PAGEREF _Toc10819 \h </w:instrText>
      </w:r>
      <w:r>
        <w:fldChar w:fldCharType="separate"/>
      </w:r>
      <w:r>
        <w:t>86</w:t>
      </w:r>
      <w:r>
        <w:fldChar w:fldCharType="end"/>
      </w:r>
      <w:r>
        <w:rPr>
          <w:bCs/>
          <w:color w:val="auto"/>
        </w:rPr>
        <w:fldChar w:fldCharType="end"/>
      </w:r>
    </w:p>
    <w:p w14:paraId="25E978E1">
      <w:pPr>
        <w:pStyle w:val="14"/>
      </w:pPr>
      <w:r>
        <w:rPr>
          <w:bCs/>
          <w:color w:val="auto"/>
        </w:rPr>
        <w:fldChar w:fldCharType="begin"/>
      </w:r>
      <w:r>
        <w:rPr>
          <w:bCs/>
        </w:rPr>
        <w:instrText xml:space="preserve"> HYPERLINK \l _Toc21036 </w:instrText>
      </w:r>
      <w:r>
        <w:rPr>
          <w:bCs/>
        </w:rPr>
        <w:fldChar w:fldCharType="separate"/>
      </w:r>
      <w:r>
        <w:rPr>
          <w:rFonts w:hint="eastAsia" w:ascii="Times New Roman" w:hAnsi="Times New Roman" w:eastAsia="黑体" w:cs="Times New Roman"/>
          <w:bCs/>
          <w:szCs w:val="30"/>
        </w:rPr>
        <w:t>3.</w:t>
      </w:r>
      <w:r>
        <w:rPr>
          <w:rFonts w:hint="eastAsia" w:ascii="Times New Roman" w:hAnsi="Times New Roman" w:eastAsia="黑体" w:cs="Times New Roman"/>
          <w:bCs/>
          <w:szCs w:val="30"/>
          <w:lang w:val="en-US" w:eastAsia="zh-CN"/>
        </w:rPr>
        <w:t>8</w:t>
      </w:r>
      <w:r>
        <w:rPr>
          <w:rFonts w:hint="eastAsia" w:ascii="Times New Roman" w:hAnsi="Times New Roman" w:eastAsia="黑体" w:cs="Times New Roman"/>
          <w:bCs/>
          <w:szCs w:val="30"/>
        </w:rPr>
        <w:t>安全管理危险和有害因素辨识与分析</w:t>
      </w:r>
      <w:r>
        <w:tab/>
      </w:r>
      <w:r>
        <w:fldChar w:fldCharType="begin"/>
      </w:r>
      <w:r>
        <w:instrText xml:space="preserve"> PAGEREF _Toc21036 \h </w:instrText>
      </w:r>
      <w:r>
        <w:fldChar w:fldCharType="separate"/>
      </w:r>
      <w:r>
        <w:t>87</w:t>
      </w:r>
      <w:r>
        <w:fldChar w:fldCharType="end"/>
      </w:r>
      <w:r>
        <w:rPr>
          <w:bCs/>
          <w:color w:val="auto"/>
        </w:rPr>
        <w:fldChar w:fldCharType="end"/>
      </w:r>
    </w:p>
    <w:p w14:paraId="10F81442">
      <w:pPr>
        <w:pStyle w:val="14"/>
      </w:pPr>
      <w:r>
        <w:rPr>
          <w:bCs/>
          <w:color w:val="auto"/>
        </w:rPr>
        <w:fldChar w:fldCharType="begin"/>
      </w:r>
      <w:r>
        <w:rPr>
          <w:bCs/>
        </w:rPr>
        <w:instrText xml:space="preserve"> HYPERLINK \l _Toc26130 </w:instrText>
      </w:r>
      <w:r>
        <w:rPr>
          <w:bCs/>
        </w:rPr>
        <w:fldChar w:fldCharType="separate"/>
      </w:r>
      <w:r>
        <w:rPr>
          <w:rFonts w:hint="eastAsia" w:ascii="Times New Roman" w:hAnsi="Times New Roman" w:eastAsia="黑体" w:cs="Times New Roman"/>
          <w:bCs/>
          <w:szCs w:val="30"/>
        </w:rPr>
        <w:t>3.</w:t>
      </w:r>
      <w:r>
        <w:rPr>
          <w:rFonts w:hint="eastAsia" w:ascii="Times New Roman" w:hAnsi="Times New Roman" w:eastAsia="黑体" w:cs="Times New Roman"/>
          <w:bCs/>
          <w:szCs w:val="30"/>
          <w:lang w:val="en-US" w:eastAsia="zh-CN"/>
        </w:rPr>
        <w:t>9</w:t>
      </w:r>
      <w:r>
        <w:rPr>
          <w:rFonts w:hint="eastAsia" w:ascii="Times New Roman" w:hAnsi="Times New Roman" w:eastAsia="黑体" w:cs="Times New Roman"/>
          <w:bCs/>
          <w:szCs w:val="30"/>
        </w:rPr>
        <w:t>危险化学品重大危险源辨识</w:t>
      </w:r>
      <w:r>
        <w:tab/>
      </w:r>
      <w:r>
        <w:fldChar w:fldCharType="begin"/>
      </w:r>
      <w:r>
        <w:instrText xml:space="preserve"> PAGEREF _Toc26130 \h </w:instrText>
      </w:r>
      <w:r>
        <w:fldChar w:fldCharType="separate"/>
      </w:r>
      <w:r>
        <w:t>88</w:t>
      </w:r>
      <w:r>
        <w:fldChar w:fldCharType="end"/>
      </w:r>
      <w:r>
        <w:rPr>
          <w:bCs/>
          <w:color w:val="auto"/>
        </w:rPr>
        <w:fldChar w:fldCharType="end"/>
      </w:r>
    </w:p>
    <w:p w14:paraId="04AFDAD0">
      <w:pPr>
        <w:pStyle w:val="14"/>
      </w:pPr>
      <w:r>
        <w:rPr>
          <w:bCs/>
          <w:color w:val="auto"/>
        </w:rPr>
        <w:fldChar w:fldCharType="begin"/>
      </w:r>
      <w:r>
        <w:rPr>
          <w:bCs/>
        </w:rPr>
        <w:instrText xml:space="preserve"> HYPERLINK \l _Toc28657 </w:instrText>
      </w:r>
      <w:r>
        <w:rPr>
          <w:bCs/>
        </w:rPr>
        <w:fldChar w:fldCharType="separate"/>
      </w:r>
      <w:r>
        <w:rPr>
          <w:rFonts w:hint="default" w:ascii="Times New Roman" w:hAnsi="Times New Roman" w:eastAsia="黑体" w:cs="Times New Roman"/>
          <w:bCs/>
          <w:szCs w:val="30"/>
          <w:lang w:val="en-US" w:eastAsia="zh-CN"/>
        </w:rPr>
        <w:t>3.</w:t>
      </w:r>
      <w:r>
        <w:rPr>
          <w:rFonts w:hint="eastAsia" w:ascii="Times New Roman" w:hAnsi="Times New Roman" w:eastAsia="黑体" w:cs="Times New Roman"/>
          <w:bCs/>
          <w:szCs w:val="30"/>
          <w:lang w:val="en-US" w:eastAsia="zh-CN"/>
        </w:rPr>
        <w:t>10</w:t>
      </w:r>
      <w:r>
        <w:rPr>
          <w:rFonts w:hint="default" w:ascii="Times New Roman" w:hAnsi="Times New Roman" w:eastAsia="黑体" w:cs="Times New Roman"/>
          <w:bCs/>
          <w:szCs w:val="30"/>
          <w:lang w:val="en-US" w:eastAsia="zh-CN"/>
        </w:rPr>
        <w:t>评价项目主要危险及有害因素总结</w:t>
      </w:r>
      <w:r>
        <w:tab/>
      </w:r>
      <w:r>
        <w:fldChar w:fldCharType="begin"/>
      </w:r>
      <w:r>
        <w:instrText xml:space="preserve"> PAGEREF _Toc28657 \h </w:instrText>
      </w:r>
      <w:r>
        <w:fldChar w:fldCharType="separate"/>
      </w:r>
      <w:r>
        <w:t>89</w:t>
      </w:r>
      <w:r>
        <w:fldChar w:fldCharType="end"/>
      </w:r>
      <w:r>
        <w:rPr>
          <w:bCs/>
          <w:color w:val="auto"/>
        </w:rPr>
        <w:fldChar w:fldCharType="end"/>
      </w:r>
    </w:p>
    <w:p w14:paraId="6AB68E08">
      <w:pPr>
        <w:pStyle w:val="13"/>
      </w:pPr>
      <w:r>
        <w:rPr>
          <w:bCs/>
          <w:color w:val="auto"/>
        </w:rPr>
        <w:fldChar w:fldCharType="begin"/>
      </w:r>
      <w:r>
        <w:rPr>
          <w:bCs/>
        </w:rPr>
        <w:instrText xml:space="preserve"> HYPERLINK \l _Toc2128 </w:instrText>
      </w:r>
      <w:r>
        <w:rPr>
          <w:bCs/>
        </w:rPr>
        <w:fldChar w:fldCharType="separate"/>
      </w:r>
      <w:r>
        <w:rPr>
          <w:rFonts w:hint="eastAsia" w:ascii="Times New Roman" w:hAnsi="Times New Roman" w:eastAsia="黑体" w:cs="Times New Roman"/>
          <w:bCs/>
          <w:szCs w:val="44"/>
        </w:rPr>
        <w:t>4</w:t>
      </w:r>
      <w:r>
        <w:rPr>
          <w:rFonts w:hint="eastAsia" w:ascii="Times New Roman" w:hAnsi="Times New Roman" w:cs="Times New Roman"/>
          <w:bCs/>
          <w:szCs w:val="44"/>
          <w:lang w:val="en-US" w:eastAsia="zh-CN"/>
        </w:rPr>
        <w:t>.</w:t>
      </w:r>
      <w:r>
        <w:rPr>
          <w:rFonts w:hint="eastAsia" w:ascii="Times New Roman" w:hAnsi="Times New Roman" w:eastAsia="黑体" w:cs="Times New Roman"/>
          <w:bCs/>
          <w:szCs w:val="44"/>
        </w:rPr>
        <w:t>评价单元划分及评价方法选择</w:t>
      </w:r>
      <w:r>
        <w:tab/>
      </w:r>
      <w:r>
        <w:fldChar w:fldCharType="begin"/>
      </w:r>
      <w:r>
        <w:instrText xml:space="preserve"> PAGEREF _Toc2128 \h </w:instrText>
      </w:r>
      <w:r>
        <w:fldChar w:fldCharType="separate"/>
      </w:r>
      <w:r>
        <w:t>91</w:t>
      </w:r>
      <w:r>
        <w:fldChar w:fldCharType="end"/>
      </w:r>
      <w:r>
        <w:rPr>
          <w:bCs/>
          <w:color w:val="auto"/>
        </w:rPr>
        <w:fldChar w:fldCharType="end"/>
      </w:r>
    </w:p>
    <w:p w14:paraId="5DF39FB1">
      <w:pPr>
        <w:pStyle w:val="14"/>
      </w:pPr>
      <w:r>
        <w:rPr>
          <w:bCs/>
          <w:color w:val="auto"/>
        </w:rPr>
        <w:fldChar w:fldCharType="begin"/>
      </w:r>
      <w:r>
        <w:rPr>
          <w:bCs/>
        </w:rPr>
        <w:instrText xml:space="preserve"> HYPERLINK \l _Toc18740 </w:instrText>
      </w:r>
      <w:r>
        <w:rPr>
          <w:bCs/>
        </w:rPr>
        <w:fldChar w:fldCharType="separate"/>
      </w:r>
      <w:r>
        <w:rPr>
          <w:rFonts w:hint="eastAsia" w:ascii="Times New Roman" w:hAnsi="Times New Roman" w:eastAsia="黑体" w:cs="Times New Roman"/>
          <w:bCs/>
          <w:szCs w:val="30"/>
        </w:rPr>
        <w:t>4.1评价单元划分</w:t>
      </w:r>
      <w:r>
        <w:tab/>
      </w:r>
      <w:r>
        <w:fldChar w:fldCharType="begin"/>
      </w:r>
      <w:r>
        <w:instrText xml:space="preserve"> PAGEREF _Toc18740 \h </w:instrText>
      </w:r>
      <w:r>
        <w:fldChar w:fldCharType="separate"/>
      </w:r>
      <w:r>
        <w:t>91</w:t>
      </w:r>
      <w:r>
        <w:fldChar w:fldCharType="end"/>
      </w:r>
      <w:r>
        <w:rPr>
          <w:bCs/>
          <w:color w:val="auto"/>
        </w:rPr>
        <w:fldChar w:fldCharType="end"/>
      </w:r>
    </w:p>
    <w:p w14:paraId="1843C891">
      <w:pPr>
        <w:pStyle w:val="14"/>
      </w:pPr>
      <w:r>
        <w:rPr>
          <w:bCs/>
          <w:color w:val="auto"/>
        </w:rPr>
        <w:fldChar w:fldCharType="begin"/>
      </w:r>
      <w:r>
        <w:rPr>
          <w:bCs/>
        </w:rPr>
        <w:instrText xml:space="preserve"> HYPERLINK \l _Toc9396 </w:instrText>
      </w:r>
      <w:r>
        <w:rPr>
          <w:bCs/>
        </w:rPr>
        <w:fldChar w:fldCharType="separate"/>
      </w:r>
      <w:r>
        <w:rPr>
          <w:rFonts w:hint="default" w:ascii="Times New Roman" w:hAnsi="Times New Roman" w:eastAsia="黑体" w:cs="Times New Roman"/>
          <w:bCs/>
          <w:szCs w:val="30"/>
          <w:lang w:val="en-US" w:eastAsia="zh-CN"/>
        </w:rPr>
        <w:t>4.2评价方法介绍</w:t>
      </w:r>
      <w:r>
        <w:tab/>
      </w:r>
      <w:r>
        <w:fldChar w:fldCharType="begin"/>
      </w:r>
      <w:r>
        <w:instrText xml:space="preserve"> PAGEREF _Toc9396 \h </w:instrText>
      </w:r>
      <w:r>
        <w:fldChar w:fldCharType="separate"/>
      </w:r>
      <w:r>
        <w:t>93</w:t>
      </w:r>
      <w:r>
        <w:fldChar w:fldCharType="end"/>
      </w:r>
      <w:r>
        <w:rPr>
          <w:bCs/>
          <w:color w:val="auto"/>
        </w:rPr>
        <w:fldChar w:fldCharType="end"/>
      </w:r>
    </w:p>
    <w:p w14:paraId="7A79C03F">
      <w:pPr>
        <w:pStyle w:val="13"/>
      </w:pPr>
      <w:r>
        <w:rPr>
          <w:bCs/>
          <w:color w:val="auto"/>
        </w:rPr>
        <w:fldChar w:fldCharType="begin"/>
      </w:r>
      <w:r>
        <w:rPr>
          <w:bCs/>
        </w:rPr>
        <w:instrText xml:space="preserve"> HYPERLINK \l _Toc17183 </w:instrText>
      </w:r>
      <w:r>
        <w:rPr>
          <w:bCs/>
        </w:rPr>
        <w:fldChar w:fldCharType="separate"/>
      </w:r>
      <w:r>
        <w:rPr>
          <w:rFonts w:hint="eastAsia" w:ascii="Times New Roman" w:hAnsi="Times New Roman" w:eastAsia="黑体" w:cs="Times New Roman"/>
          <w:bCs/>
          <w:szCs w:val="44"/>
        </w:rPr>
        <w:t>5</w:t>
      </w:r>
      <w:r>
        <w:rPr>
          <w:rFonts w:hint="eastAsia" w:ascii="Times New Roman" w:hAnsi="Times New Roman" w:cs="Times New Roman"/>
          <w:bCs/>
          <w:szCs w:val="44"/>
          <w:lang w:val="en-US" w:eastAsia="zh-CN"/>
        </w:rPr>
        <w:t>.</w:t>
      </w:r>
      <w:r>
        <w:rPr>
          <w:rFonts w:hint="eastAsia" w:ascii="Times New Roman" w:hAnsi="Times New Roman" w:eastAsia="黑体" w:cs="Times New Roman"/>
          <w:bCs/>
          <w:szCs w:val="44"/>
        </w:rPr>
        <w:t>定性定量评价</w:t>
      </w:r>
      <w:r>
        <w:tab/>
      </w:r>
      <w:r>
        <w:fldChar w:fldCharType="begin"/>
      </w:r>
      <w:r>
        <w:instrText xml:space="preserve"> PAGEREF _Toc17183 \h </w:instrText>
      </w:r>
      <w:r>
        <w:fldChar w:fldCharType="separate"/>
      </w:r>
      <w:r>
        <w:t>98</w:t>
      </w:r>
      <w:r>
        <w:fldChar w:fldCharType="end"/>
      </w:r>
      <w:r>
        <w:rPr>
          <w:bCs/>
          <w:color w:val="auto"/>
        </w:rPr>
        <w:fldChar w:fldCharType="end"/>
      </w:r>
    </w:p>
    <w:p w14:paraId="32680AC0">
      <w:pPr>
        <w:pStyle w:val="14"/>
      </w:pPr>
      <w:r>
        <w:rPr>
          <w:bCs/>
          <w:color w:val="auto"/>
        </w:rPr>
        <w:fldChar w:fldCharType="begin"/>
      </w:r>
      <w:r>
        <w:rPr>
          <w:bCs/>
        </w:rPr>
        <w:instrText xml:space="preserve"> HYPERLINK \l _Toc29386 </w:instrText>
      </w:r>
      <w:r>
        <w:rPr>
          <w:bCs/>
        </w:rPr>
        <w:fldChar w:fldCharType="separate"/>
      </w:r>
      <w:r>
        <w:rPr>
          <w:rFonts w:hint="eastAsia" w:ascii="Times New Roman" w:hAnsi="Times New Roman" w:eastAsia="黑体" w:cs="Times New Roman"/>
          <w:bCs/>
          <w:szCs w:val="30"/>
        </w:rPr>
        <w:t>5.1厂址及总平面布置单元</w:t>
      </w:r>
      <w:r>
        <w:tab/>
      </w:r>
      <w:r>
        <w:fldChar w:fldCharType="begin"/>
      </w:r>
      <w:r>
        <w:instrText xml:space="preserve"> PAGEREF _Toc29386 \h </w:instrText>
      </w:r>
      <w:r>
        <w:fldChar w:fldCharType="separate"/>
      </w:r>
      <w:r>
        <w:t>98</w:t>
      </w:r>
      <w:r>
        <w:fldChar w:fldCharType="end"/>
      </w:r>
      <w:r>
        <w:rPr>
          <w:bCs/>
          <w:color w:val="auto"/>
        </w:rPr>
        <w:fldChar w:fldCharType="end"/>
      </w:r>
    </w:p>
    <w:p w14:paraId="0D25636D">
      <w:pPr>
        <w:pStyle w:val="14"/>
      </w:pPr>
      <w:r>
        <w:rPr>
          <w:bCs/>
          <w:color w:val="auto"/>
        </w:rPr>
        <w:fldChar w:fldCharType="begin"/>
      </w:r>
      <w:r>
        <w:rPr>
          <w:bCs/>
        </w:rPr>
        <w:instrText xml:space="preserve"> HYPERLINK \l _Toc10739 </w:instrText>
      </w:r>
      <w:r>
        <w:rPr>
          <w:bCs/>
        </w:rPr>
        <w:fldChar w:fldCharType="separate"/>
      </w:r>
      <w:r>
        <w:rPr>
          <w:rFonts w:hint="eastAsia" w:ascii="Times New Roman" w:hAnsi="Times New Roman" w:eastAsia="黑体" w:cs="Times New Roman"/>
          <w:bCs/>
          <w:szCs w:val="30"/>
        </w:rPr>
        <w:t>5.2选矿工艺单元</w:t>
      </w:r>
      <w:r>
        <w:tab/>
      </w:r>
      <w:r>
        <w:fldChar w:fldCharType="begin"/>
      </w:r>
      <w:r>
        <w:instrText xml:space="preserve"> PAGEREF _Toc10739 \h </w:instrText>
      </w:r>
      <w:r>
        <w:fldChar w:fldCharType="separate"/>
      </w:r>
      <w:r>
        <w:t>104</w:t>
      </w:r>
      <w:r>
        <w:fldChar w:fldCharType="end"/>
      </w:r>
      <w:r>
        <w:rPr>
          <w:bCs/>
          <w:color w:val="auto"/>
        </w:rPr>
        <w:fldChar w:fldCharType="end"/>
      </w:r>
    </w:p>
    <w:p w14:paraId="480E34D1">
      <w:pPr>
        <w:pStyle w:val="14"/>
      </w:pPr>
      <w:r>
        <w:rPr>
          <w:bCs/>
          <w:color w:val="auto"/>
        </w:rPr>
        <w:fldChar w:fldCharType="begin"/>
      </w:r>
      <w:r>
        <w:rPr>
          <w:bCs/>
        </w:rPr>
        <w:instrText xml:space="preserve"> HYPERLINK \l _Toc15659 </w:instrText>
      </w:r>
      <w:r>
        <w:rPr>
          <w:bCs/>
        </w:rPr>
        <w:fldChar w:fldCharType="separate"/>
      </w:r>
      <w:r>
        <w:rPr>
          <w:rFonts w:hint="eastAsia" w:ascii="Times New Roman" w:hAnsi="Times New Roman" w:eastAsia="黑体" w:cs="Times New Roman"/>
          <w:bCs/>
          <w:szCs w:val="30"/>
        </w:rPr>
        <w:t>5.3</w:t>
      </w:r>
      <w:r>
        <w:rPr>
          <w:rFonts w:hint="eastAsia" w:ascii="Times New Roman" w:hAnsi="Times New Roman" w:eastAsia="黑体" w:cs="Times New Roman"/>
          <w:bCs/>
          <w:szCs w:val="30"/>
          <w:lang w:val="en-US" w:eastAsia="zh-CN"/>
        </w:rPr>
        <w:t>防排水和防灭火单元</w:t>
      </w:r>
      <w:r>
        <w:tab/>
      </w:r>
      <w:r>
        <w:fldChar w:fldCharType="begin"/>
      </w:r>
      <w:r>
        <w:instrText xml:space="preserve"> PAGEREF _Toc15659 \h </w:instrText>
      </w:r>
      <w:r>
        <w:fldChar w:fldCharType="separate"/>
      </w:r>
      <w:r>
        <w:t>135</w:t>
      </w:r>
      <w:r>
        <w:fldChar w:fldCharType="end"/>
      </w:r>
      <w:r>
        <w:rPr>
          <w:bCs/>
          <w:color w:val="auto"/>
        </w:rPr>
        <w:fldChar w:fldCharType="end"/>
      </w:r>
    </w:p>
    <w:p w14:paraId="0F6FBDD6">
      <w:pPr>
        <w:pStyle w:val="14"/>
      </w:pPr>
      <w:r>
        <w:rPr>
          <w:bCs/>
          <w:color w:val="auto"/>
        </w:rPr>
        <w:fldChar w:fldCharType="begin"/>
      </w:r>
      <w:r>
        <w:rPr>
          <w:bCs/>
        </w:rPr>
        <w:instrText xml:space="preserve"> HYPERLINK \l _Toc30676 </w:instrText>
      </w:r>
      <w:r>
        <w:rPr>
          <w:bCs/>
        </w:rPr>
        <w:fldChar w:fldCharType="separate"/>
      </w:r>
      <w:r>
        <w:rPr>
          <w:rFonts w:hint="default" w:ascii="Times New Roman" w:hAnsi="Times New Roman" w:eastAsia="黑体" w:cs="Times New Roman"/>
          <w:bCs/>
          <w:szCs w:val="30"/>
        </w:rPr>
        <w:t>5.4供配电系统单元</w:t>
      </w:r>
      <w:r>
        <w:tab/>
      </w:r>
      <w:r>
        <w:fldChar w:fldCharType="begin"/>
      </w:r>
      <w:r>
        <w:instrText xml:space="preserve"> PAGEREF _Toc30676 \h </w:instrText>
      </w:r>
      <w:r>
        <w:fldChar w:fldCharType="separate"/>
      </w:r>
      <w:r>
        <w:t>137</w:t>
      </w:r>
      <w:r>
        <w:fldChar w:fldCharType="end"/>
      </w:r>
      <w:r>
        <w:rPr>
          <w:bCs/>
          <w:color w:val="auto"/>
        </w:rPr>
        <w:fldChar w:fldCharType="end"/>
      </w:r>
    </w:p>
    <w:p w14:paraId="0E6557A6">
      <w:pPr>
        <w:pStyle w:val="14"/>
      </w:pPr>
      <w:r>
        <w:rPr>
          <w:bCs/>
          <w:color w:val="auto"/>
        </w:rPr>
        <w:fldChar w:fldCharType="begin"/>
      </w:r>
      <w:r>
        <w:rPr>
          <w:bCs/>
        </w:rPr>
        <w:instrText xml:space="preserve"> HYPERLINK \l _Toc20373 </w:instrText>
      </w:r>
      <w:r>
        <w:rPr>
          <w:bCs/>
        </w:rPr>
        <w:fldChar w:fldCharType="separate"/>
      </w:r>
      <w:r>
        <w:rPr>
          <w:rFonts w:hint="default" w:ascii="Times New Roman" w:hAnsi="Times New Roman" w:eastAsia="黑体" w:cs="Times New Roman"/>
          <w:bCs/>
          <w:szCs w:val="30"/>
          <w:lang w:val="en-US" w:eastAsia="zh-CN"/>
        </w:rPr>
        <w:t>5.5安全管理单元</w:t>
      </w:r>
      <w:r>
        <w:tab/>
      </w:r>
      <w:r>
        <w:fldChar w:fldCharType="begin"/>
      </w:r>
      <w:r>
        <w:instrText xml:space="preserve"> PAGEREF _Toc20373 \h </w:instrText>
      </w:r>
      <w:r>
        <w:fldChar w:fldCharType="separate"/>
      </w:r>
      <w:r>
        <w:t>146</w:t>
      </w:r>
      <w:r>
        <w:fldChar w:fldCharType="end"/>
      </w:r>
      <w:r>
        <w:rPr>
          <w:bCs/>
          <w:color w:val="auto"/>
        </w:rPr>
        <w:fldChar w:fldCharType="end"/>
      </w:r>
    </w:p>
    <w:p w14:paraId="686C72EE">
      <w:pPr>
        <w:pStyle w:val="13"/>
      </w:pPr>
      <w:r>
        <w:rPr>
          <w:bCs/>
          <w:color w:val="auto"/>
        </w:rPr>
        <w:fldChar w:fldCharType="begin"/>
      </w:r>
      <w:r>
        <w:rPr>
          <w:bCs/>
        </w:rPr>
        <w:instrText xml:space="preserve"> HYPERLINK \l _Toc17167 </w:instrText>
      </w:r>
      <w:r>
        <w:rPr>
          <w:bCs/>
        </w:rPr>
        <w:fldChar w:fldCharType="separate"/>
      </w:r>
      <w:r>
        <w:rPr>
          <w:rFonts w:hint="eastAsia" w:ascii="Times New Roman" w:hAnsi="Times New Roman" w:eastAsia="黑体" w:cs="Times New Roman"/>
          <w:bCs/>
          <w:szCs w:val="44"/>
        </w:rPr>
        <w:t>6</w:t>
      </w:r>
      <w:r>
        <w:rPr>
          <w:rFonts w:hint="eastAsia" w:ascii="Times New Roman" w:hAnsi="Times New Roman" w:cs="Times New Roman"/>
          <w:bCs/>
          <w:szCs w:val="44"/>
          <w:lang w:val="en-US" w:eastAsia="zh-CN"/>
        </w:rPr>
        <w:t>.</w:t>
      </w:r>
      <w:r>
        <w:rPr>
          <w:rFonts w:hint="eastAsia" w:ascii="Times New Roman" w:hAnsi="Times New Roman" w:eastAsia="黑体" w:cs="Times New Roman"/>
          <w:bCs/>
          <w:szCs w:val="44"/>
        </w:rPr>
        <w:t>安全对策措施建议</w:t>
      </w:r>
      <w:r>
        <w:tab/>
      </w:r>
      <w:r>
        <w:fldChar w:fldCharType="begin"/>
      </w:r>
      <w:r>
        <w:instrText xml:space="preserve"> PAGEREF _Toc17167 \h </w:instrText>
      </w:r>
      <w:r>
        <w:fldChar w:fldCharType="separate"/>
      </w:r>
      <w:r>
        <w:t>153</w:t>
      </w:r>
      <w:r>
        <w:fldChar w:fldCharType="end"/>
      </w:r>
      <w:r>
        <w:rPr>
          <w:bCs/>
          <w:color w:val="auto"/>
        </w:rPr>
        <w:fldChar w:fldCharType="end"/>
      </w:r>
    </w:p>
    <w:p w14:paraId="18FBE5EE">
      <w:pPr>
        <w:pStyle w:val="14"/>
      </w:pPr>
      <w:r>
        <w:rPr>
          <w:bCs/>
          <w:color w:val="auto"/>
        </w:rPr>
        <w:fldChar w:fldCharType="begin"/>
      </w:r>
      <w:r>
        <w:rPr>
          <w:bCs/>
        </w:rPr>
        <w:instrText xml:space="preserve"> HYPERLINK \l _Toc668 </w:instrText>
      </w:r>
      <w:r>
        <w:rPr>
          <w:bCs/>
        </w:rPr>
        <w:fldChar w:fldCharType="separate"/>
      </w:r>
      <w:r>
        <w:rPr>
          <w:rFonts w:hint="eastAsia" w:ascii="Times New Roman" w:hAnsi="Times New Roman" w:eastAsia="黑体" w:cs="Times New Roman"/>
          <w:bCs/>
          <w:szCs w:val="30"/>
        </w:rPr>
        <w:t>6.1厂址及总平面布置单元安全对策措施建议</w:t>
      </w:r>
      <w:r>
        <w:tab/>
      </w:r>
      <w:r>
        <w:fldChar w:fldCharType="begin"/>
      </w:r>
      <w:r>
        <w:instrText xml:space="preserve"> PAGEREF _Toc668 \h </w:instrText>
      </w:r>
      <w:r>
        <w:fldChar w:fldCharType="separate"/>
      </w:r>
      <w:r>
        <w:t>153</w:t>
      </w:r>
      <w:r>
        <w:fldChar w:fldCharType="end"/>
      </w:r>
      <w:r>
        <w:rPr>
          <w:bCs/>
          <w:color w:val="auto"/>
        </w:rPr>
        <w:fldChar w:fldCharType="end"/>
      </w:r>
    </w:p>
    <w:p w14:paraId="1F2FBE67">
      <w:pPr>
        <w:pStyle w:val="14"/>
      </w:pPr>
      <w:r>
        <w:rPr>
          <w:bCs/>
          <w:color w:val="auto"/>
        </w:rPr>
        <w:fldChar w:fldCharType="begin"/>
      </w:r>
      <w:r>
        <w:rPr>
          <w:bCs/>
        </w:rPr>
        <w:instrText xml:space="preserve"> HYPERLINK \l _Toc6009 </w:instrText>
      </w:r>
      <w:r>
        <w:rPr>
          <w:bCs/>
        </w:rPr>
        <w:fldChar w:fldCharType="separate"/>
      </w:r>
      <w:r>
        <w:rPr>
          <w:rFonts w:hint="eastAsia" w:ascii="Times New Roman" w:hAnsi="Times New Roman" w:eastAsia="黑体" w:cs="Times New Roman"/>
          <w:bCs/>
          <w:szCs w:val="30"/>
        </w:rPr>
        <w:t>6.2</w:t>
      </w:r>
      <w:r>
        <w:rPr>
          <w:rFonts w:hint="eastAsia" w:ascii="Times New Roman" w:hAnsi="Times New Roman" w:eastAsia="黑体" w:cs="Times New Roman"/>
          <w:bCs/>
          <w:szCs w:val="30"/>
          <w:lang w:val="en-US" w:eastAsia="zh-CN"/>
        </w:rPr>
        <w:t>选矿</w:t>
      </w:r>
      <w:r>
        <w:rPr>
          <w:rFonts w:hint="eastAsia" w:ascii="Times New Roman" w:hAnsi="Times New Roman" w:eastAsia="黑体" w:cs="Times New Roman"/>
          <w:bCs/>
          <w:szCs w:val="30"/>
        </w:rPr>
        <w:t>工艺单元安全对策措施建议</w:t>
      </w:r>
      <w:r>
        <w:tab/>
      </w:r>
      <w:r>
        <w:fldChar w:fldCharType="begin"/>
      </w:r>
      <w:r>
        <w:instrText xml:space="preserve"> PAGEREF _Toc6009 \h </w:instrText>
      </w:r>
      <w:r>
        <w:fldChar w:fldCharType="separate"/>
      </w:r>
      <w:r>
        <w:t>154</w:t>
      </w:r>
      <w:r>
        <w:fldChar w:fldCharType="end"/>
      </w:r>
      <w:r>
        <w:rPr>
          <w:bCs/>
          <w:color w:val="auto"/>
        </w:rPr>
        <w:fldChar w:fldCharType="end"/>
      </w:r>
    </w:p>
    <w:p w14:paraId="0DD2F70F">
      <w:pPr>
        <w:pStyle w:val="14"/>
      </w:pPr>
      <w:r>
        <w:rPr>
          <w:bCs/>
          <w:color w:val="auto"/>
        </w:rPr>
        <w:fldChar w:fldCharType="begin"/>
      </w:r>
      <w:r>
        <w:rPr>
          <w:bCs/>
        </w:rPr>
        <w:instrText xml:space="preserve"> HYPERLINK \l _Toc14857 </w:instrText>
      </w:r>
      <w:r>
        <w:rPr>
          <w:bCs/>
        </w:rPr>
        <w:fldChar w:fldCharType="separate"/>
      </w:r>
      <w:r>
        <w:rPr>
          <w:rFonts w:hint="eastAsia" w:ascii="Times New Roman" w:hAnsi="Times New Roman" w:eastAsia="黑体" w:cs="Times New Roman"/>
          <w:bCs/>
          <w:szCs w:val="30"/>
        </w:rPr>
        <w:t>6.3</w:t>
      </w:r>
      <w:r>
        <w:rPr>
          <w:rFonts w:hint="eastAsia" w:ascii="Times New Roman" w:hAnsi="Times New Roman" w:eastAsia="黑体" w:cs="Times New Roman"/>
          <w:bCs/>
          <w:szCs w:val="30"/>
          <w:lang w:val="en-US" w:eastAsia="zh-CN"/>
        </w:rPr>
        <w:t>防排水和防灭火单元</w:t>
      </w:r>
      <w:r>
        <w:rPr>
          <w:rFonts w:hint="eastAsia" w:ascii="Times New Roman" w:hAnsi="Times New Roman" w:eastAsia="黑体" w:cs="Times New Roman"/>
          <w:bCs/>
          <w:szCs w:val="30"/>
        </w:rPr>
        <w:t>安全对策措施建议</w:t>
      </w:r>
      <w:r>
        <w:tab/>
      </w:r>
      <w:r>
        <w:fldChar w:fldCharType="begin"/>
      </w:r>
      <w:r>
        <w:instrText xml:space="preserve"> PAGEREF _Toc14857 \h </w:instrText>
      </w:r>
      <w:r>
        <w:fldChar w:fldCharType="separate"/>
      </w:r>
      <w:r>
        <w:t>158</w:t>
      </w:r>
      <w:r>
        <w:fldChar w:fldCharType="end"/>
      </w:r>
      <w:r>
        <w:rPr>
          <w:bCs/>
          <w:color w:val="auto"/>
        </w:rPr>
        <w:fldChar w:fldCharType="end"/>
      </w:r>
    </w:p>
    <w:p w14:paraId="0DBCC9A4">
      <w:pPr>
        <w:pStyle w:val="14"/>
      </w:pPr>
      <w:r>
        <w:rPr>
          <w:bCs/>
          <w:color w:val="auto"/>
        </w:rPr>
        <w:fldChar w:fldCharType="begin"/>
      </w:r>
      <w:r>
        <w:rPr>
          <w:bCs/>
        </w:rPr>
        <w:instrText xml:space="preserve"> HYPERLINK \l _Toc23509 </w:instrText>
      </w:r>
      <w:r>
        <w:rPr>
          <w:bCs/>
        </w:rPr>
        <w:fldChar w:fldCharType="separate"/>
      </w:r>
      <w:r>
        <w:rPr>
          <w:rFonts w:hint="eastAsia" w:ascii="Times New Roman" w:hAnsi="Times New Roman" w:eastAsia="黑体" w:cs="Times New Roman"/>
          <w:bCs/>
          <w:szCs w:val="30"/>
        </w:rPr>
        <w:t>6.4供配电系统单元安全对策措施建议</w:t>
      </w:r>
      <w:r>
        <w:tab/>
      </w:r>
      <w:r>
        <w:fldChar w:fldCharType="begin"/>
      </w:r>
      <w:r>
        <w:instrText xml:space="preserve"> PAGEREF _Toc23509 \h </w:instrText>
      </w:r>
      <w:r>
        <w:fldChar w:fldCharType="separate"/>
      </w:r>
      <w:r>
        <w:t>160</w:t>
      </w:r>
      <w:r>
        <w:fldChar w:fldCharType="end"/>
      </w:r>
      <w:r>
        <w:rPr>
          <w:bCs/>
          <w:color w:val="auto"/>
        </w:rPr>
        <w:fldChar w:fldCharType="end"/>
      </w:r>
    </w:p>
    <w:p w14:paraId="29D7B3E6">
      <w:pPr>
        <w:pStyle w:val="14"/>
      </w:pPr>
      <w:r>
        <w:rPr>
          <w:bCs/>
          <w:color w:val="auto"/>
        </w:rPr>
        <w:fldChar w:fldCharType="begin"/>
      </w:r>
      <w:r>
        <w:rPr>
          <w:bCs/>
        </w:rPr>
        <w:instrText xml:space="preserve"> HYPERLINK \l _Toc4908 </w:instrText>
      </w:r>
      <w:r>
        <w:rPr>
          <w:bCs/>
        </w:rPr>
        <w:fldChar w:fldCharType="separate"/>
      </w:r>
      <w:r>
        <w:rPr>
          <w:rFonts w:hint="eastAsia" w:ascii="Times New Roman" w:hAnsi="Times New Roman" w:eastAsia="黑体" w:cs="Times New Roman"/>
          <w:bCs/>
          <w:szCs w:val="30"/>
        </w:rPr>
        <w:t>6.5安全管理单元安全对策措施建议</w:t>
      </w:r>
      <w:r>
        <w:tab/>
      </w:r>
      <w:r>
        <w:fldChar w:fldCharType="begin"/>
      </w:r>
      <w:r>
        <w:instrText xml:space="preserve"> PAGEREF _Toc4908 \h </w:instrText>
      </w:r>
      <w:r>
        <w:fldChar w:fldCharType="separate"/>
      </w:r>
      <w:r>
        <w:t>166</w:t>
      </w:r>
      <w:r>
        <w:fldChar w:fldCharType="end"/>
      </w:r>
      <w:r>
        <w:rPr>
          <w:bCs/>
          <w:color w:val="auto"/>
        </w:rPr>
        <w:fldChar w:fldCharType="end"/>
      </w:r>
    </w:p>
    <w:p w14:paraId="7C4D4A17">
      <w:pPr>
        <w:pStyle w:val="14"/>
      </w:pPr>
      <w:r>
        <w:rPr>
          <w:bCs/>
          <w:color w:val="auto"/>
        </w:rPr>
        <w:fldChar w:fldCharType="begin"/>
      </w:r>
      <w:r>
        <w:rPr>
          <w:bCs/>
        </w:rPr>
        <w:instrText xml:space="preserve"> HYPERLINK \l _Toc11112 </w:instrText>
      </w:r>
      <w:r>
        <w:rPr>
          <w:bCs/>
        </w:rPr>
        <w:fldChar w:fldCharType="separate"/>
      </w:r>
      <w:r>
        <w:rPr>
          <w:rFonts w:hint="eastAsia" w:ascii="Times New Roman" w:hAnsi="Times New Roman" w:eastAsia="黑体" w:cs="Times New Roman"/>
          <w:bCs/>
          <w:szCs w:val="30"/>
        </w:rPr>
        <w:t>6.6其他安全对策措施与建议</w:t>
      </w:r>
      <w:r>
        <w:tab/>
      </w:r>
      <w:r>
        <w:fldChar w:fldCharType="begin"/>
      </w:r>
      <w:r>
        <w:instrText xml:space="preserve"> PAGEREF _Toc11112 \h </w:instrText>
      </w:r>
      <w:r>
        <w:fldChar w:fldCharType="separate"/>
      </w:r>
      <w:r>
        <w:t>172</w:t>
      </w:r>
      <w:r>
        <w:fldChar w:fldCharType="end"/>
      </w:r>
      <w:r>
        <w:rPr>
          <w:bCs/>
          <w:color w:val="auto"/>
        </w:rPr>
        <w:fldChar w:fldCharType="end"/>
      </w:r>
    </w:p>
    <w:p w14:paraId="727AA467">
      <w:pPr>
        <w:pStyle w:val="14"/>
      </w:pPr>
      <w:r>
        <w:rPr>
          <w:bCs/>
          <w:color w:val="auto"/>
        </w:rPr>
        <w:fldChar w:fldCharType="begin"/>
      </w:r>
      <w:r>
        <w:rPr>
          <w:bCs/>
        </w:rPr>
        <w:instrText xml:space="preserve"> HYPERLINK \l _Toc10912 </w:instrText>
      </w:r>
      <w:r>
        <w:rPr>
          <w:bCs/>
        </w:rPr>
        <w:fldChar w:fldCharType="separate"/>
      </w:r>
      <w:r>
        <w:rPr>
          <w:rFonts w:hint="eastAsia" w:ascii="Times New Roman" w:hAnsi="Times New Roman" w:eastAsia="黑体" w:cs="Times New Roman"/>
          <w:bCs/>
          <w:szCs w:val="30"/>
        </w:rPr>
        <w:t>6.7安全设施设计中应补充的安全对策措施及建议</w:t>
      </w:r>
      <w:r>
        <w:tab/>
      </w:r>
      <w:r>
        <w:fldChar w:fldCharType="begin"/>
      </w:r>
      <w:r>
        <w:instrText xml:space="preserve"> PAGEREF _Toc10912 \h </w:instrText>
      </w:r>
      <w:r>
        <w:fldChar w:fldCharType="separate"/>
      </w:r>
      <w:r>
        <w:t>175</w:t>
      </w:r>
      <w:r>
        <w:fldChar w:fldCharType="end"/>
      </w:r>
      <w:r>
        <w:rPr>
          <w:bCs/>
          <w:color w:val="auto"/>
        </w:rPr>
        <w:fldChar w:fldCharType="end"/>
      </w:r>
    </w:p>
    <w:p w14:paraId="12B8188A">
      <w:pPr>
        <w:pStyle w:val="13"/>
      </w:pPr>
      <w:r>
        <w:rPr>
          <w:bCs/>
          <w:color w:val="auto"/>
        </w:rPr>
        <w:fldChar w:fldCharType="begin"/>
      </w:r>
      <w:r>
        <w:rPr>
          <w:bCs/>
        </w:rPr>
        <w:instrText xml:space="preserve"> HYPERLINK \l _Toc3359 </w:instrText>
      </w:r>
      <w:r>
        <w:rPr>
          <w:bCs/>
        </w:rPr>
        <w:fldChar w:fldCharType="separate"/>
      </w:r>
      <w:r>
        <w:rPr>
          <w:rFonts w:hint="eastAsia" w:ascii="Times New Roman" w:hAnsi="Times New Roman" w:eastAsia="黑体" w:cs="Times New Roman"/>
          <w:bCs/>
          <w:szCs w:val="44"/>
        </w:rPr>
        <w:t>7</w:t>
      </w:r>
      <w:r>
        <w:rPr>
          <w:rFonts w:hint="eastAsia" w:ascii="Times New Roman" w:hAnsi="Times New Roman" w:cs="Times New Roman"/>
          <w:bCs/>
          <w:szCs w:val="44"/>
          <w:lang w:val="en-US" w:eastAsia="zh-CN"/>
        </w:rPr>
        <w:t>.</w:t>
      </w:r>
      <w:r>
        <w:rPr>
          <w:rFonts w:hint="eastAsia" w:ascii="Times New Roman" w:hAnsi="Times New Roman" w:eastAsia="黑体" w:cs="Times New Roman"/>
          <w:bCs/>
          <w:szCs w:val="44"/>
        </w:rPr>
        <w:t>评价结论</w:t>
      </w:r>
      <w:r>
        <w:tab/>
      </w:r>
      <w:r>
        <w:fldChar w:fldCharType="begin"/>
      </w:r>
      <w:r>
        <w:instrText xml:space="preserve"> PAGEREF _Toc3359 \h </w:instrText>
      </w:r>
      <w:r>
        <w:fldChar w:fldCharType="separate"/>
      </w:r>
      <w:r>
        <w:t>176</w:t>
      </w:r>
      <w:r>
        <w:fldChar w:fldCharType="end"/>
      </w:r>
      <w:r>
        <w:rPr>
          <w:bCs/>
          <w:color w:val="auto"/>
        </w:rPr>
        <w:fldChar w:fldCharType="end"/>
      </w:r>
    </w:p>
    <w:p w14:paraId="5B65B3C2">
      <w:pPr>
        <w:pStyle w:val="14"/>
      </w:pPr>
      <w:r>
        <w:rPr>
          <w:bCs/>
          <w:color w:val="auto"/>
        </w:rPr>
        <w:fldChar w:fldCharType="begin"/>
      </w:r>
      <w:r>
        <w:rPr>
          <w:bCs/>
        </w:rPr>
        <w:instrText xml:space="preserve"> HYPERLINK \l _Toc23898 </w:instrText>
      </w:r>
      <w:r>
        <w:rPr>
          <w:bCs/>
        </w:rPr>
        <w:fldChar w:fldCharType="separate"/>
      </w:r>
      <w:r>
        <w:rPr>
          <w:rFonts w:hint="eastAsia" w:ascii="Times New Roman" w:hAnsi="Times New Roman" w:eastAsia="黑体" w:cs="Times New Roman"/>
          <w:bCs/>
          <w:szCs w:val="30"/>
        </w:rPr>
        <w:t>7.1主要危险、有害因素及重大危险源辨识结果</w:t>
      </w:r>
      <w:r>
        <w:tab/>
      </w:r>
      <w:r>
        <w:fldChar w:fldCharType="begin"/>
      </w:r>
      <w:r>
        <w:instrText xml:space="preserve"> PAGEREF _Toc23898 \h </w:instrText>
      </w:r>
      <w:r>
        <w:fldChar w:fldCharType="separate"/>
      </w:r>
      <w:r>
        <w:t>176</w:t>
      </w:r>
      <w:r>
        <w:fldChar w:fldCharType="end"/>
      </w:r>
      <w:r>
        <w:rPr>
          <w:bCs/>
          <w:color w:val="auto"/>
        </w:rPr>
        <w:fldChar w:fldCharType="end"/>
      </w:r>
    </w:p>
    <w:p w14:paraId="4336A6B2">
      <w:pPr>
        <w:pStyle w:val="14"/>
      </w:pPr>
      <w:r>
        <w:rPr>
          <w:bCs/>
          <w:color w:val="auto"/>
        </w:rPr>
        <w:fldChar w:fldCharType="begin"/>
      </w:r>
      <w:r>
        <w:rPr>
          <w:bCs/>
        </w:rPr>
        <w:instrText xml:space="preserve"> HYPERLINK \l _Toc31989 </w:instrText>
      </w:r>
      <w:r>
        <w:rPr>
          <w:bCs/>
        </w:rPr>
        <w:fldChar w:fldCharType="separate"/>
      </w:r>
      <w:r>
        <w:rPr>
          <w:rFonts w:hint="eastAsia" w:ascii="Times New Roman" w:hAnsi="Times New Roman" w:eastAsia="黑体" w:cs="Times New Roman"/>
          <w:bCs/>
          <w:szCs w:val="30"/>
        </w:rPr>
        <w:t>7.2应重视的安全对策措施建议</w:t>
      </w:r>
      <w:r>
        <w:tab/>
      </w:r>
      <w:r>
        <w:fldChar w:fldCharType="begin"/>
      </w:r>
      <w:r>
        <w:instrText xml:space="preserve"> PAGEREF _Toc31989 \h </w:instrText>
      </w:r>
      <w:r>
        <w:fldChar w:fldCharType="separate"/>
      </w:r>
      <w:r>
        <w:t>176</w:t>
      </w:r>
      <w:r>
        <w:fldChar w:fldCharType="end"/>
      </w:r>
      <w:r>
        <w:rPr>
          <w:bCs/>
          <w:color w:val="auto"/>
        </w:rPr>
        <w:fldChar w:fldCharType="end"/>
      </w:r>
    </w:p>
    <w:p w14:paraId="476AE199">
      <w:pPr>
        <w:pStyle w:val="14"/>
      </w:pPr>
      <w:r>
        <w:rPr>
          <w:bCs/>
          <w:color w:val="auto"/>
        </w:rPr>
        <w:fldChar w:fldCharType="begin"/>
      </w:r>
      <w:r>
        <w:rPr>
          <w:bCs/>
        </w:rPr>
        <w:instrText xml:space="preserve"> HYPERLINK \l _Toc18162 </w:instrText>
      </w:r>
      <w:r>
        <w:rPr>
          <w:bCs/>
        </w:rPr>
        <w:fldChar w:fldCharType="separate"/>
      </w:r>
      <w:r>
        <w:rPr>
          <w:rFonts w:hint="eastAsia" w:ascii="Times New Roman" w:hAnsi="Times New Roman" w:eastAsia="黑体" w:cs="Times New Roman"/>
          <w:bCs/>
          <w:szCs w:val="30"/>
        </w:rPr>
        <w:t>7.3评价结论</w:t>
      </w:r>
      <w:r>
        <w:tab/>
      </w:r>
      <w:r>
        <w:fldChar w:fldCharType="begin"/>
      </w:r>
      <w:r>
        <w:instrText xml:space="preserve"> PAGEREF _Toc18162 \h </w:instrText>
      </w:r>
      <w:r>
        <w:fldChar w:fldCharType="separate"/>
      </w:r>
      <w:r>
        <w:t>178</w:t>
      </w:r>
      <w:r>
        <w:fldChar w:fldCharType="end"/>
      </w:r>
      <w:r>
        <w:rPr>
          <w:bCs/>
          <w:color w:val="auto"/>
        </w:rPr>
        <w:fldChar w:fldCharType="end"/>
      </w:r>
    </w:p>
    <w:p w14:paraId="09D8FD3D">
      <w:pPr>
        <w:pStyle w:val="13"/>
      </w:pPr>
      <w:r>
        <w:rPr>
          <w:bCs/>
          <w:color w:val="auto"/>
        </w:rPr>
        <w:fldChar w:fldCharType="begin"/>
      </w:r>
      <w:r>
        <w:rPr>
          <w:bCs/>
        </w:rPr>
        <w:instrText xml:space="preserve"> HYPERLINK \l _Toc8571 </w:instrText>
      </w:r>
      <w:r>
        <w:rPr>
          <w:bCs/>
        </w:rPr>
        <w:fldChar w:fldCharType="separate"/>
      </w:r>
      <w:r>
        <w:rPr>
          <w:rFonts w:hint="eastAsia" w:ascii="Times New Roman" w:hAnsi="Times New Roman" w:eastAsia="黑体" w:cs="Times New Roman"/>
          <w:bCs/>
          <w:szCs w:val="44"/>
        </w:rPr>
        <w:t>8</w:t>
      </w:r>
      <w:r>
        <w:rPr>
          <w:rFonts w:hint="eastAsia" w:ascii="Times New Roman" w:hAnsi="Times New Roman" w:cs="Times New Roman"/>
          <w:bCs/>
          <w:szCs w:val="44"/>
          <w:lang w:val="en-US" w:eastAsia="zh-CN"/>
        </w:rPr>
        <w:t>.</w:t>
      </w:r>
      <w:r>
        <w:rPr>
          <w:rFonts w:hint="eastAsia" w:ascii="Times New Roman" w:hAnsi="Times New Roman" w:eastAsia="黑体" w:cs="Times New Roman"/>
          <w:bCs/>
          <w:szCs w:val="44"/>
        </w:rPr>
        <w:t>附件和附图</w:t>
      </w:r>
      <w:r>
        <w:tab/>
      </w:r>
      <w:r>
        <w:fldChar w:fldCharType="begin"/>
      </w:r>
      <w:r>
        <w:instrText xml:space="preserve"> PAGEREF _Toc8571 \h </w:instrText>
      </w:r>
      <w:r>
        <w:fldChar w:fldCharType="separate"/>
      </w:r>
      <w:r>
        <w:t>180</w:t>
      </w:r>
      <w:r>
        <w:fldChar w:fldCharType="end"/>
      </w:r>
      <w:r>
        <w:rPr>
          <w:bCs/>
          <w:color w:val="auto"/>
        </w:rPr>
        <w:fldChar w:fldCharType="end"/>
      </w:r>
    </w:p>
    <w:p w14:paraId="3AECF612">
      <w:pPr>
        <w:pStyle w:val="14"/>
      </w:pPr>
      <w:r>
        <w:rPr>
          <w:bCs/>
          <w:color w:val="auto"/>
        </w:rPr>
        <w:fldChar w:fldCharType="begin"/>
      </w:r>
      <w:r>
        <w:rPr>
          <w:bCs/>
        </w:rPr>
        <w:instrText xml:space="preserve"> HYPERLINK \l _Toc3985 </w:instrText>
      </w:r>
      <w:r>
        <w:rPr>
          <w:bCs/>
        </w:rPr>
        <w:fldChar w:fldCharType="separate"/>
      </w:r>
      <w:r>
        <w:rPr>
          <w:rFonts w:hint="eastAsia" w:ascii="Times New Roman" w:hAnsi="Times New Roman" w:eastAsia="黑体" w:cs="Times New Roman"/>
          <w:bCs/>
          <w:szCs w:val="30"/>
        </w:rPr>
        <w:t>8.1附件</w:t>
      </w:r>
      <w:r>
        <w:tab/>
      </w:r>
      <w:r>
        <w:fldChar w:fldCharType="begin"/>
      </w:r>
      <w:r>
        <w:instrText xml:space="preserve"> PAGEREF _Toc3985 \h </w:instrText>
      </w:r>
      <w:r>
        <w:fldChar w:fldCharType="separate"/>
      </w:r>
      <w:r>
        <w:t>180</w:t>
      </w:r>
      <w:r>
        <w:fldChar w:fldCharType="end"/>
      </w:r>
      <w:r>
        <w:rPr>
          <w:bCs/>
          <w:color w:val="auto"/>
        </w:rPr>
        <w:fldChar w:fldCharType="end"/>
      </w:r>
    </w:p>
    <w:p w14:paraId="55CCEBD1">
      <w:pPr>
        <w:pStyle w:val="14"/>
      </w:pPr>
      <w:r>
        <w:rPr>
          <w:bCs/>
          <w:color w:val="auto"/>
        </w:rPr>
        <w:fldChar w:fldCharType="begin"/>
      </w:r>
      <w:r>
        <w:rPr>
          <w:bCs/>
        </w:rPr>
        <w:instrText xml:space="preserve"> HYPERLINK \l _Toc5807 </w:instrText>
      </w:r>
      <w:r>
        <w:rPr>
          <w:bCs/>
        </w:rPr>
        <w:fldChar w:fldCharType="separate"/>
      </w:r>
      <w:r>
        <w:rPr>
          <w:rFonts w:hint="eastAsia" w:ascii="Times New Roman" w:hAnsi="Times New Roman" w:eastAsia="黑体" w:cs="Times New Roman"/>
          <w:bCs/>
          <w:szCs w:val="30"/>
          <w:lang w:val="en-US" w:eastAsia="zh-CN"/>
        </w:rPr>
        <w:t>8.2附图</w:t>
      </w:r>
      <w:r>
        <w:tab/>
      </w:r>
      <w:r>
        <w:fldChar w:fldCharType="begin"/>
      </w:r>
      <w:r>
        <w:instrText xml:space="preserve"> PAGEREF _Toc5807 \h </w:instrText>
      </w:r>
      <w:r>
        <w:fldChar w:fldCharType="separate"/>
      </w:r>
      <w:r>
        <w:t>180</w:t>
      </w:r>
      <w:r>
        <w:fldChar w:fldCharType="end"/>
      </w:r>
      <w:r>
        <w:rPr>
          <w:bCs/>
          <w:color w:val="auto"/>
        </w:rPr>
        <w:fldChar w:fldCharType="end"/>
      </w:r>
    </w:p>
    <w:p w14:paraId="0CA757F0">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b w:val="0"/>
          <w:bCs/>
          <w:color w:val="auto"/>
        </w:rPr>
      </w:pPr>
      <w:r>
        <w:rPr>
          <w:bCs/>
          <w:color w:val="auto"/>
        </w:rPr>
        <w:fldChar w:fldCharType="end"/>
      </w:r>
    </w:p>
    <w:p w14:paraId="74640521">
      <w:pPr>
        <w:bidi w:val="0"/>
        <w:rPr>
          <w:b w:val="0"/>
          <w:bCs/>
          <w:color w:val="auto"/>
        </w:rPr>
        <w:sectPr>
          <w:headerReference r:id="rId7" w:type="default"/>
          <w:footerReference r:id="rId8" w:type="default"/>
          <w:pgSz w:w="11906" w:h="16838"/>
          <w:pgMar w:top="1417" w:right="1134" w:bottom="1134"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86" w:charSpace="0"/>
        </w:sectPr>
      </w:pPr>
    </w:p>
    <w:p w14:paraId="623D487D">
      <w:pPr>
        <w:pStyle w:val="2"/>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2"/>
          <w:szCs w:val="44"/>
        </w:rPr>
      </w:pPr>
      <w:bookmarkStart w:id="51" w:name="_Toc1835"/>
      <w:bookmarkStart w:id="52" w:name="_Toc27855"/>
      <w:r>
        <w:rPr>
          <w:rFonts w:hint="eastAsia" w:ascii="Times New Roman" w:hAnsi="Times New Roman" w:eastAsia="黑体" w:cs="Times New Roman"/>
          <w:b/>
          <w:bCs/>
          <w:color w:val="auto"/>
          <w:sz w:val="32"/>
          <w:szCs w:val="44"/>
        </w:rPr>
        <w:t>1</w:t>
      </w:r>
      <w:r>
        <w:rPr>
          <w:rFonts w:hint="eastAsia" w:ascii="Times New Roman" w:hAnsi="Times New Roman" w:cs="Times New Roman"/>
          <w:b/>
          <w:bCs/>
          <w:color w:val="auto"/>
          <w:sz w:val="32"/>
          <w:szCs w:val="44"/>
          <w:lang w:val="en-US" w:eastAsia="zh-CN"/>
        </w:rPr>
        <w:t>.</w:t>
      </w:r>
      <w:r>
        <w:rPr>
          <w:rFonts w:hint="eastAsia" w:ascii="Times New Roman" w:hAnsi="Times New Roman" w:eastAsia="黑体" w:cs="Times New Roman"/>
          <w:b/>
          <w:bCs/>
          <w:color w:val="auto"/>
          <w:sz w:val="32"/>
          <w:szCs w:val="44"/>
        </w:rPr>
        <w:t>编制说明</w:t>
      </w:r>
      <w:bookmarkEnd w:id="51"/>
      <w:bookmarkEnd w:id="52"/>
    </w:p>
    <w:p w14:paraId="21DFBD91">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53" w:name="_Toc16545"/>
      <w:bookmarkStart w:id="54" w:name="_Toc24390"/>
      <w:r>
        <w:rPr>
          <w:rFonts w:hint="eastAsia" w:ascii="Times New Roman" w:hAnsi="Times New Roman" w:eastAsia="黑体" w:cs="Times New Roman"/>
          <w:b/>
          <w:bCs/>
          <w:color w:val="auto"/>
          <w:sz w:val="30"/>
          <w:szCs w:val="30"/>
        </w:rPr>
        <w:t>1.1评价目的及范围</w:t>
      </w:r>
      <w:bookmarkEnd w:id="53"/>
      <w:bookmarkEnd w:id="54"/>
    </w:p>
    <w:p w14:paraId="50910B73">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55" w:name="_Toc9660"/>
      <w:r>
        <w:rPr>
          <w:rFonts w:hint="eastAsia" w:ascii="Times New Roman" w:hAnsi="Times New Roman" w:cs="Times New Roman"/>
          <w:bCs/>
          <w:color w:val="auto"/>
          <w:sz w:val="28"/>
          <w:szCs w:val="28"/>
        </w:rPr>
        <w:t>1.1.1评价目的</w:t>
      </w:r>
      <w:bookmarkEnd w:id="55"/>
    </w:p>
    <w:p w14:paraId="2E975729">
      <w:pPr>
        <w:bidi w:val="0"/>
        <w:rPr>
          <w:rFonts w:hint="eastAsia"/>
          <w:b w:val="0"/>
          <w:bCs/>
          <w:color w:val="auto"/>
        </w:rPr>
      </w:pPr>
      <w:r>
        <w:rPr>
          <w:rFonts w:hint="eastAsia"/>
          <w:b w:val="0"/>
          <w:bCs/>
          <w:color w:val="auto"/>
        </w:rPr>
        <w:t>为贯彻</w:t>
      </w:r>
      <w:r>
        <w:rPr>
          <w:rFonts w:hint="eastAsia"/>
          <w:b w:val="0"/>
          <w:bCs/>
          <w:color w:val="auto"/>
          <w:lang w:eastAsia="zh-CN"/>
        </w:rPr>
        <w:t>“</w:t>
      </w:r>
      <w:r>
        <w:rPr>
          <w:rFonts w:hint="eastAsia"/>
          <w:b w:val="0"/>
          <w:bCs/>
          <w:color w:val="auto"/>
        </w:rPr>
        <w:t>安全第一、预防为主、综合治理</w:t>
      </w:r>
      <w:r>
        <w:rPr>
          <w:rFonts w:hint="eastAsia"/>
          <w:b w:val="0"/>
          <w:bCs/>
          <w:color w:val="auto"/>
          <w:lang w:eastAsia="zh-CN"/>
        </w:rPr>
        <w:t>”</w:t>
      </w:r>
      <w:r>
        <w:rPr>
          <w:rFonts w:hint="eastAsia"/>
          <w:b w:val="0"/>
          <w:bCs/>
          <w:color w:val="auto"/>
        </w:rPr>
        <w:t>的方针，通过评价查找其存在的危险、有害因素并确定危险程度，提出合理可行的安全对策措施及建议。</w:t>
      </w:r>
    </w:p>
    <w:p w14:paraId="557FBF52">
      <w:pPr>
        <w:bidi w:val="0"/>
        <w:rPr>
          <w:rFonts w:hint="eastAsia"/>
          <w:b w:val="0"/>
          <w:bCs/>
          <w:color w:val="auto"/>
        </w:rPr>
      </w:pPr>
      <w:r>
        <w:rPr>
          <w:rFonts w:hint="eastAsia"/>
          <w:b w:val="0"/>
          <w:bCs/>
          <w:color w:val="auto"/>
        </w:rPr>
        <w:t>1、促进实现系统本质安全化生产；</w:t>
      </w:r>
    </w:p>
    <w:p w14:paraId="1DC3EE68">
      <w:pPr>
        <w:bidi w:val="0"/>
        <w:rPr>
          <w:rFonts w:hint="eastAsia"/>
          <w:b w:val="0"/>
          <w:bCs/>
          <w:color w:val="auto"/>
        </w:rPr>
      </w:pPr>
      <w:r>
        <w:rPr>
          <w:rFonts w:hint="eastAsia"/>
          <w:b w:val="0"/>
          <w:bCs/>
          <w:color w:val="auto"/>
        </w:rPr>
        <w:t>2、实现系统全过程安全控制；</w:t>
      </w:r>
    </w:p>
    <w:p w14:paraId="7059F87A">
      <w:pPr>
        <w:bidi w:val="0"/>
        <w:rPr>
          <w:rFonts w:hint="eastAsia"/>
          <w:b w:val="0"/>
          <w:bCs/>
          <w:color w:val="auto"/>
        </w:rPr>
      </w:pPr>
      <w:r>
        <w:rPr>
          <w:rFonts w:hint="eastAsia"/>
          <w:b w:val="0"/>
          <w:bCs/>
          <w:color w:val="auto"/>
        </w:rPr>
        <w:t>3、建立系统安全最优方案，为管理者提供安全管理依据；</w:t>
      </w:r>
    </w:p>
    <w:p w14:paraId="616E3DBB">
      <w:pPr>
        <w:bidi w:val="0"/>
        <w:rPr>
          <w:rFonts w:hint="eastAsia"/>
          <w:b w:val="0"/>
          <w:bCs/>
          <w:color w:val="auto"/>
        </w:rPr>
      </w:pPr>
      <w:r>
        <w:rPr>
          <w:rFonts w:hint="eastAsia"/>
          <w:b w:val="0"/>
          <w:bCs/>
          <w:color w:val="auto"/>
        </w:rPr>
        <w:t>4、为实现安全技术、安全管理的标准化和科学化创造条件；</w:t>
      </w:r>
    </w:p>
    <w:p w14:paraId="3F586E9F">
      <w:pPr>
        <w:bidi w:val="0"/>
        <w:rPr>
          <w:rFonts w:hint="eastAsia"/>
          <w:b w:val="0"/>
          <w:bCs/>
          <w:color w:val="auto"/>
        </w:rPr>
      </w:pPr>
      <w:r>
        <w:rPr>
          <w:rFonts w:hint="eastAsia"/>
          <w:b w:val="0"/>
          <w:bCs/>
          <w:color w:val="auto"/>
        </w:rPr>
        <w:t>5、为应急管理部门提供监督依据。</w:t>
      </w:r>
    </w:p>
    <w:p w14:paraId="2F5DC183">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56" w:name="_Toc17587"/>
      <w:r>
        <w:rPr>
          <w:rFonts w:hint="eastAsia" w:ascii="Times New Roman" w:hAnsi="Times New Roman" w:cs="Times New Roman"/>
          <w:bCs/>
          <w:color w:val="auto"/>
          <w:sz w:val="28"/>
          <w:szCs w:val="28"/>
        </w:rPr>
        <w:t>1.1.2评价范围</w:t>
      </w:r>
      <w:bookmarkEnd w:id="56"/>
    </w:p>
    <w:p w14:paraId="39FF8266">
      <w:pPr>
        <w:bidi w:val="0"/>
        <w:rPr>
          <w:rFonts w:hint="eastAsia"/>
          <w:b w:val="0"/>
          <w:bCs/>
          <w:color w:val="auto"/>
        </w:rPr>
      </w:pPr>
      <w:r>
        <w:rPr>
          <w:rFonts w:hint="eastAsia"/>
          <w:b w:val="0"/>
          <w:bCs/>
          <w:color w:val="auto"/>
        </w:rPr>
        <w:t>根据</w:t>
      </w:r>
      <w:r>
        <w:rPr>
          <w:rFonts w:hint="eastAsia"/>
          <w:b w:val="0"/>
          <w:bCs/>
          <w:color w:val="auto"/>
          <w:lang w:eastAsia="zh-CN"/>
        </w:rPr>
        <w:t>合德再生资源科技马关有限公司</w:t>
      </w:r>
      <w:r>
        <w:rPr>
          <w:rFonts w:hint="eastAsia"/>
          <w:b w:val="0"/>
          <w:bCs/>
          <w:color w:val="auto"/>
        </w:rPr>
        <w:t>与辽宁诺诚安全科技有限公司签订的安全预评价技术服务合同和安全评价委托书的约定，本次安全评价的范围为</w:t>
      </w:r>
      <w:r>
        <w:rPr>
          <w:rFonts w:hint="default"/>
          <w:b w:val="0"/>
          <w:bCs/>
          <w:color w:val="auto"/>
          <w:lang w:val="en-US" w:eastAsia="zh-CN"/>
        </w:rPr>
        <w:t>合德再生资源科技马关有限公司野猫坟300t/d多金属选厂提质增效改造项目</w:t>
      </w:r>
      <w:r>
        <w:rPr>
          <w:rFonts w:hint="eastAsia"/>
          <w:b w:val="0"/>
          <w:bCs/>
          <w:color w:val="auto"/>
        </w:rPr>
        <w:t>的总图布置</w:t>
      </w:r>
      <w:r>
        <w:rPr>
          <w:rFonts w:hint="eastAsia"/>
          <w:b w:val="0"/>
          <w:bCs/>
          <w:color w:val="auto"/>
          <w:lang w:eastAsia="zh-CN"/>
        </w:rPr>
        <w:t>、</w:t>
      </w:r>
      <w:r>
        <w:rPr>
          <w:rFonts w:hint="eastAsia"/>
          <w:b w:val="0"/>
          <w:bCs/>
          <w:color w:val="auto"/>
        </w:rPr>
        <w:t>选矿工艺、</w:t>
      </w:r>
      <w:r>
        <w:rPr>
          <w:rFonts w:hint="eastAsia"/>
          <w:b w:val="0"/>
          <w:bCs/>
          <w:color w:val="auto"/>
          <w:lang w:val="en-US" w:eastAsia="zh-CN"/>
        </w:rPr>
        <w:t>防排水和防灭火、供配电、安</w:t>
      </w:r>
      <w:r>
        <w:rPr>
          <w:rFonts w:hint="eastAsia"/>
          <w:b w:val="0"/>
          <w:bCs/>
          <w:color w:val="auto"/>
        </w:rPr>
        <w:t>全管理，职业病及职业病防治、环保、地质灾害评估等问题不在本次安全评价范围内，但在评价过程中会有所提及。</w:t>
      </w:r>
    </w:p>
    <w:p w14:paraId="67DC4D30">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57" w:name="_Toc13494"/>
      <w:r>
        <w:rPr>
          <w:rFonts w:hint="eastAsia" w:ascii="Times New Roman" w:hAnsi="Times New Roman" w:cs="Times New Roman"/>
          <w:bCs/>
          <w:color w:val="auto"/>
          <w:sz w:val="28"/>
          <w:szCs w:val="28"/>
        </w:rPr>
        <w:t>1.1.3评价原则</w:t>
      </w:r>
      <w:bookmarkEnd w:id="57"/>
    </w:p>
    <w:p w14:paraId="567B26BF">
      <w:pPr>
        <w:bidi w:val="0"/>
        <w:rPr>
          <w:rFonts w:hint="eastAsia"/>
          <w:b w:val="0"/>
          <w:bCs/>
          <w:color w:val="auto"/>
        </w:rPr>
      </w:pPr>
      <w:r>
        <w:rPr>
          <w:rFonts w:hint="eastAsia"/>
          <w:b w:val="0"/>
          <w:bCs/>
          <w:color w:val="auto"/>
        </w:rPr>
        <w:t>《安全评价通则》第4条规定，安全评价基本原则是具备国家规定资质的安全评价机构科学、公正和合法的自主开展安全评价。</w:t>
      </w:r>
    </w:p>
    <w:p w14:paraId="79C3EB17">
      <w:pPr>
        <w:bidi w:val="0"/>
        <w:rPr>
          <w:rFonts w:hint="eastAsia"/>
          <w:b w:val="0"/>
          <w:bCs/>
          <w:color w:val="auto"/>
        </w:rPr>
      </w:pPr>
      <w:r>
        <w:rPr>
          <w:rFonts w:hint="eastAsia"/>
          <w:b w:val="0"/>
          <w:bCs/>
          <w:color w:val="auto"/>
        </w:rPr>
        <w:t>本报告将按国家现行有关劳动安全的法律、法规和标准要求对该项目进行安全评价，同时遵循下列原则：</w:t>
      </w:r>
    </w:p>
    <w:p w14:paraId="544CD2DF">
      <w:pPr>
        <w:bidi w:val="0"/>
        <w:rPr>
          <w:rFonts w:hint="eastAsia"/>
          <w:b w:val="0"/>
          <w:bCs/>
          <w:color w:val="auto"/>
        </w:rPr>
      </w:pPr>
      <w:r>
        <w:rPr>
          <w:rFonts w:hint="eastAsia"/>
          <w:b w:val="0"/>
          <w:bCs/>
          <w:color w:val="auto"/>
        </w:rPr>
        <w:t>（1）严格执行国家现行有关法律、法规、标准和规范的要求，对该企业应具备的安全生产条件进行科学、公正、合法、自主的评价；</w:t>
      </w:r>
    </w:p>
    <w:p w14:paraId="592DBC45">
      <w:pPr>
        <w:bidi w:val="0"/>
        <w:rPr>
          <w:rFonts w:hint="eastAsia"/>
          <w:b w:val="0"/>
          <w:bCs/>
          <w:color w:val="auto"/>
        </w:rPr>
      </w:pPr>
      <w:r>
        <w:rPr>
          <w:rFonts w:hint="eastAsia"/>
          <w:b w:val="0"/>
          <w:bCs/>
          <w:color w:val="auto"/>
        </w:rPr>
        <w:t>（2）执行行业现行有关法规、标准、规范和政策的要求；</w:t>
      </w:r>
    </w:p>
    <w:p w14:paraId="6E69C0A9">
      <w:pPr>
        <w:bidi w:val="0"/>
        <w:rPr>
          <w:rFonts w:hint="eastAsia"/>
          <w:b w:val="0"/>
          <w:bCs/>
          <w:color w:val="auto"/>
        </w:rPr>
      </w:pPr>
      <w:r>
        <w:rPr>
          <w:rFonts w:hint="eastAsia"/>
          <w:b w:val="0"/>
          <w:bCs/>
          <w:color w:val="auto"/>
        </w:rPr>
        <w:t>（3）采用适用、可靠的评价技术和评价方法，保证评价的针对性，确保评价质量；</w:t>
      </w:r>
    </w:p>
    <w:p w14:paraId="2BF2065F">
      <w:pPr>
        <w:bidi w:val="0"/>
        <w:rPr>
          <w:b w:val="0"/>
          <w:bCs/>
          <w:color w:val="auto"/>
        </w:rPr>
      </w:pPr>
      <w:r>
        <w:rPr>
          <w:rFonts w:hint="eastAsia"/>
          <w:b w:val="0"/>
          <w:bCs/>
          <w:color w:val="auto"/>
        </w:rPr>
        <w:t>（4）恪守职业道德，遵循诚实守信的原则，对被评价企业的技术资料和商业运作保密。</w:t>
      </w:r>
    </w:p>
    <w:p w14:paraId="5CF9D9D5">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58" w:name="_Toc21030"/>
      <w:bookmarkStart w:id="59" w:name="_Toc17262"/>
      <w:r>
        <w:rPr>
          <w:rFonts w:hint="eastAsia" w:ascii="Times New Roman" w:hAnsi="Times New Roman" w:eastAsia="黑体" w:cs="Times New Roman"/>
          <w:b/>
          <w:bCs/>
          <w:color w:val="auto"/>
          <w:sz w:val="30"/>
          <w:szCs w:val="30"/>
        </w:rPr>
        <w:t>1.2评价依据</w:t>
      </w:r>
      <w:bookmarkEnd w:id="58"/>
      <w:bookmarkEnd w:id="59"/>
    </w:p>
    <w:p w14:paraId="601A7318">
      <w:pPr>
        <w:bidi w:val="0"/>
        <w:rPr>
          <w:rFonts w:hint="eastAsia"/>
          <w:b w:val="0"/>
          <w:bCs/>
          <w:color w:val="auto"/>
        </w:rPr>
      </w:pPr>
      <w:r>
        <w:rPr>
          <w:rFonts w:hint="eastAsia"/>
          <w:b w:val="0"/>
          <w:bCs/>
          <w:color w:val="auto"/>
        </w:rPr>
        <w:t>本次评价主要依据以下国家有关安全生产方面的法律、法规、规章、规范性文件、标准、规范。</w:t>
      </w:r>
    </w:p>
    <w:p w14:paraId="7AF47446">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60" w:name="_Toc29913"/>
      <w:r>
        <w:rPr>
          <w:rFonts w:hint="eastAsia" w:ascii="Times New Roman" w:hAnsi="Times New Roman" w:cs="Times New Roman"/>
          <w:bCs/>
          <w:color w:val="auto"/>
          <w:sz w:val="28"/>
          <w:szCs w:val="28"/>
        </w:rPr>
        <w:t>1.2.1国家法律</w:t>
      </w:r>
      <w:bookmarkEnd w:id="60"/>
    </w:p>
    <w:p w14:paraId="6F92469C">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《中华人民共和国防震减灾法》（中华人民共和国主席令[2008]第七号，中华人民共和国第十一届全国人民代表大会常务委员会第六次会议修订通过，自2009年5月1日起施行）；</w:t>
      </w:r>
    </w:p>
    <w:p w14:paraId="4BCD15A6">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《中华人民共和国环境保护法》（中华人民共和国主席令[2014]第九号，2015年1月1日实施）；</w:t>
      </w:r>
    </w:p>
    <w:p w14:paraId="6475792D">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《中华人民共和国气象法（2016年版）》（中华人民共和国主席令第23号，中华人民共和国主席令[2016]第五十七号修订，2016年11月7日）；</w:t>
      </w:r>
    </w:p>
    <w:p w14:paraId="1D91B776">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《中华人民共和国职业病防治法》（中华人民共和国主席令[2018]第二十四号，2018年12月29日施行）；</w:t>
      </w:r>
    </w:p>
    <w:p w14:paraId="724D1124">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《中华人民共和国劳动法》（中华人民共和国主席令第28号，1995年1月1日施行；2009年中华人民共和国主席令第18号修改，2009年8月27日施行，2018年12月29日第十三届全国人民代表大会常务委员会第七次会议修改）</w:t>
      </w:r>
      <w:r>
        <w:rPr>
          <w:rFonts w:hint="eastAsia" w:ascii="Times New Roman" w:hAnsi="Times New Roman" w:eastAsia="宋体" w:cs="Times New Roman"/>
          <w:color w:val="auto"/>
          <w:sz w:val="28"/>
          <w:szCs w:val="28"/>
          <w:lang w:eastAsia="zh-CN"/>
        </w:rPr>
        <w:t>；</w:t>
      </w:r>
    </w:p>
    <w:p w14:paraId="5E83E4D5">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消防法》（1998年4月29日第九届全国人民代表大会常务委员会第二次会议通过；2008年10月28日第十一届全国人民代表大会常务委员会第五次会议第一次修订，2019年4月23日第十三届全国人民代表大会常务委员会第十次会议《全国人民代表大会常务委员会关于修改〈中华人民共和国建筑法〉等八部法律的决定》第二次修订；2021年4月29日第十三届全国人民代表大会常务委员会第二十八次会议通过的《全国人民代表大会常务委员会关于修改〈中华人民共和国道路交通安全法〉等八部法律的决定》第三次修正）；</w:t>
      </w:r>
    </w:p>
    <w:p w14:paraId="3A511D9E">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《中华人民共和国建筑法》（中华人民共和国主席令第91号，2019年4月23日第十三届全国人民代表大会常务委员会第十次会议《关于修改〈中华人民共和国建筑法〉等八部法律的决定》第二次修正）；</w:t>
      </w:r>
    </w:p>
    <w:p w14:paraId="30909176">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安全生产法》（中华人民共和国主席令第88号公布，根据2021年6月10日第十三届全国人民代表大会常务委员会第二十九次会议《关于修改〈中华人民共和国安全生产法〉的决定》第三次修正，自2021年9月1日起施行）；</w:t>
      </w:r>
    </w:p>
    <w:p w14:paraId="46855B7C">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《中华人民共和国特种设备安全法》（中华人民共和国主席令[2013]第四号，2014年1月1日实施）；</w:t>
      </w:r>
    </w:p>
    <w:p w14:paraId="6E75603A">
      <w:pPr>
        <w:pStyle w:val="31"/>
        <w:numPr>
          <w:ilvl w:val="0"/>
          <w:numId w:val="1"/>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《中华人民共和国突发事件应对法》（中华人民共和国主席令[2007]第六十九号，2024年6月28日第十四届全国人民代表大会常务委员会第十次会议修订，自2024年11月1日起施行）</w:t>
      </w:r>
      <w:r>
        <w:rPr>
          <w:rFonts w:hint="eastAsia" w:ascii="Times New Roman" w:hAnsi="Times New Roman" w:eastAsia="宋体" w:cs="Times New Roman"/>
          <w:color w:val="auto"/>
          <w:sz w:val="28"/>
          <w:szCs w:val="28"/>
          <w:lang w:eastAsia="zh-CN"/>
        </w:rPr>
        <w:t>。</w:t>
      </w:r>
    </w:p>
    <w:p w14:paraId="6279FBDC">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61" w:name="_Toc4459"/>
      <w:r>
        <w:rPr>
          <w:rFonts w:hint="eastAsia" w:ascii="Times New Roman" w:hAnsi="Times New Roman" w:cs="Times New Roman"/>
          <w:bCs/>
          <w:color w:val="auto"/>
          <w:sz w:val="28"/>
          <w:szCs w:val="28"/>
        </w:rPr>
        <w:t>1.2.2行政法规</w:t>
      </w:r>
      <w:bookmarkEnd w:id="61"/>
    </w:p>
    <w:p w14:paraId="7858A6EB">
      <w:pPr>
        <w:pStyle w:val="31"/>
        <w:numPr>
          <w:ilvl w:val="0"/>
          <w:numId w:val="2"/>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《建设工程安全生产管理条例》（中华人民共和国国务院令[2003]第393号，2004年2月1日起施行）；</w:t>
      </w:r>
    </w:p>
    <w:p w14:paraId="37EF20F6">
      <w:pPr>
        <w:pStyle w:val="31"/>
        <w:numPr>
          <w:ilvl w:val="0"/>
          <w:numId w:val="2"/>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《劳动保障监察条例》（中华人民共和国国务院令[2004]第423号，自2004年12月1日起施行）</w:t>
      </w:r>
      <w:r>
        <w:rPr>
          <w:rFonts w:hint="eastAsia" w:ascii="Times New Roman" w:hAnsi="Times New Roman" w:eastAsia="宋体" w:cs="Times New Roman"/>
          <w:color w:val="auto"/>
          <w:sz w:val="28"/>
          <w:szCs w:val="28"/>
          <w:lang w:eastAsia="zh-CN"/>
        </w:rPr>
        <w:t>；</w:t>
      </w:r>
    </w:p>
    <w:p w14:paraId="12219FF9">
      <w:pPr>
        <w:pStyle w:val="31"/>
        <w:numPr>
          <w:ilvl w:val="0"/>
          <w:numId w:val="2"/>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《生产安全事故报告和调查处理条例》（中华人民共和国国务院令[2007]第493号，2007年6月1日起施行）；</w:t>
      </w:r>
    </w:p>
    <w:p w14:paraId="24FC21C9">
      <w:pPr>
        <w:pStyle w:val="31"/>
        <w:numPr>
          <w:ilvl w:val="0"/>
          <w:numId w:val="2"/>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《特种设备安全监察条例》（中华人民共和国国务院令[2009]第549号，2009年5月1日起施行）；</w:t>
      </w:r>
    </w:p>
    <w:p w14:paraId="45CA48C1">
      <w:pPr>
        <w:pStyle w:val="31"/>
        <w:numPr>
          <w:ilvl w:val="0"/>
          <w:numId w:val="2"/>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《工伤保险条例》（中华人民共和国国务院令[2010]第586号，2011年1月1日实施）；</w:t>
      </w:r>
    </w:p>
    <w:p w14:paraId="007DEF2F">
      <w:pPr>
        <w:pStyle w:val="31"/>
        <w:numPr>
          <w:ilvl w:val="0"/>
          <w:numId w:val="2"/>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《中共中央国务院关于推进安全生产领域改革发展的意见》（中共中央国务院，自2016年12月18日起施行）；</w:t>
      </w:r>
    </w:p>
    <w:p w14:paraId="3C123D2B">
      <w:pPr>
        <w:pStyle w:val="31"/>
        <w:numPr>
          <w:ilvl w:val="0"/>
          <w:numId w:val="2"/>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《建设工程质量管理条例（2019修正）》（中华人民共和国国务院令[2019]第709号修订）；</w:t>
      </w:r>
    </w:p>
    <w:p w14:paraId="291190C9">
      <w:pPr>
        <w:pStyle w:val="31"/>
        <w:numPr>
          <w:ilvl w:val="0"/>
          <w:numId w:val="2"/>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《生产安全事故应急条例》（中华人民共和国国务院令第708号，2019年4月1日施行）</w:t>
      </w:r>
      <w:r>
        <w:rPr>
          <w:rFonts w:hint="eastAsia" w:ascii="Times New Roman" w:hAnsi="Times New Roman" w:eastAsia="宋体" w:cs="Times New Roman"/>
          <w:color w:val="auto"/>
          <w:sz w:val="28"/>
          <w:szCs w:val="28"/>
          <w:lang w:eastAsia="zh-CN"/>
        </w:rPr>
        <w:t>。</w:t>
      </w:r>
    </w:p>
    <w:p w14:paraId="723F85A3">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62" w:name="_Toc3235"/>
      <w:r>
        <w:rPr>
          <w:rFonts w:hint="eastAsia" w:ascii="Times New Roman" w:hAnsi="Times New Roman" w:cs="Times New Roman"/>
          <w:bCs/>
          <w:color w:val="auto"/>
          <w:sz w:val="28"/>
          <w:szCs w:val="28"/>
        </w:rPr>
        <w:t>1.2.3部门规章</w:t>
      </w:r>
      <w:bookmarkEnd w:id="62"/>
    </w:p>
    <w:p w14:paraId="4C3F4539">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《仓库防火安全管理规则》（公安部令第6号，1990年4月10日起实施）；</w:t>
      </w:r>
    </w:p>
    <w:p w14:paraId="597A167B">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《建设项目安全设施</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rPr>
        <w:t>三同时</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rPr>
        <w:t>监督管理办法》（原国家安全生产监管总局令[2010]第36号，原国家安全生产监管总局令[2015]第77号修订，2015年5月1日起实施）；</w:t>
      </w:r>
    </w:p>
    <w:p w14:paraId="31101DB4">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《国家安全监管总局关于废止和修改劳动防护用品和安全培训等领域十部规章的决定》（原国家安全生产监督管理总局令[2015]第80号，2015年7月1日实施）；</w:t>
      </w:r>
    </w:p>
    <w:p w14:paraId="17F04751">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经营单位安全培训规定》（2006年1月17日国家安全生产监督管理总局令第3号公布，自2006年3月1日起施行；根据2013年8月29日国家安全生产监督管理总局令第63号第一次修正，根据2015年5月29日国家安全生产监督管理总局令第80号第二次修正）；</w:t>
      </w:r>
    </w:p>
    <w:p w14:paraId="62F7B346">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安全生产培训管理办法》（2012年1月19日国家安全生产监督管理总局令第44号公布，自2012年3月1日起施行；根据2013年8月29日国家安全生产监督管理总局令第63号第一次修正，根据2015年5月29日国家安全生产监督管理总局令第80号第二次修正）；</w:t>
      </w:r>
    </w:p>
    <w:p w14:paraId="1AD94AA3">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《国务院安委会办公室关于印发标本兼治遏制重特大事故工作指南的通知》（安委办[2016]3号）；</w:t>
      </w:r>
    </w:p>
    <w:p w14:paraId="14E4BE6B">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《国务院安委会办公室关于实施遏制重特大事故工作指南构建双重预防机制的意见》（安委办[2016]11号）</w:t>
      </w:r>
      <w:r>
        <w:rPr>
          <w:rFonts w:hint="eastAsia" w:ascii="Times New Roman" w:hAnsi="Times New Roman" w:eastAsia="宋体" w:cs="Times New Roman"/>
          <w:color w:val="auto"/>
          <w:sz w:val="28"/>
          <w:szCs w:val="28"/>
          <w:lang w:eastAsia="zh-CN"/>
        </w:rPr>
        <w:t>；</w:t>
      </w:r>
    </w:p>
    <w:p w14:paraId="4F66695E">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《国务院办公厅关于印发消防安全责任制实施办法的通知》（国办发〔2017〕87号）；</w:t>
      </w:r>
    </w:p>
    <w:p w14:paraId="6F7A55EA">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《生产安全事故应急预案管理办法》（原国家安全生产监督管理总局令第88号，中华人民共和国应急管理部令第2号修改，自2019年9月1日起施行）；</w:t>
      </w:r>
    </w:p>
    <w:p w14:paraId="55D31515">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应急管理部办公厅关于印发《有限空间作业安全指导手册》和4个专题系列折页的通知（应急厅函[2020]299号）；</w:t>
      </w:r>
    </w:p>
    <w:p w14:paraId="0566B699">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《工作场所职业卫生管理规定》（中华人民共和国国家卫生健康委员会令第5号，自2021年2月1日起施行）；</w:t>
      </w:r>
    </w:p>
    <w:p w14:paraId="7278B68F">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《关于印发&lt;企业安全生产费用提取和使用管理办法&gt;的通知》（财资〔2022〕136号）；</w:t>
      </w:r>
    </w:p>
    <w:p w14:paraId="64F2CB1B">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《工贸企业重大事故隐患判定标准》（2023年4月14日应急管理部令第10号公布，自2023年5月15日起施行）；</w:t>
      </w:r>
    </w:p>
    <w:p w14:paraId="317B6DA2">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《住房和城乡建设部关于修改〈建设工程消防设计审查验收管理暂行规定〉的决定》经2023年7月24日第2次部务会议审议通过，自2023年10月30日起施行；</w:t>
      </w:r>
    </w:p>
    <w:p w14:paraId="51913131">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《工贸企业有限空间作业安全规定》（应急管理部令第13号，自2024年1月1日起施行）；</w:t>
      </w:r>
    </w:p>
    <w:p w14:paraId="2A299948">
      <w:pPr>
        <w:pStyle w:val="31"/>
        <w:numPr>
          <w:ilvl w:val="0"/>
          <w:numId w:val="3"/>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《职业病分类和目录》（国卫职健发〔2024〕39号）；</w:t>
      </w:r>
    </w:p>
    <w:p w14:paraId="69D58FA5">
      <w:pPr>
        <w:pStyle w:val="31"/>
        <w:numPr>
          <w:ilvl w:val="0"/>
          <w:numId w:val="3"/>
        </w:numPr>
        <w:spacing w:line="360" w:lineRule="auto"/>
        <w:ind w:firstLine="560"/>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rPr>
        <w:t>《产业结构调整指导目录（2024年本）》经2023年12月1日第6次委务会议审议通过，自2024年2月1日起施行</w:t>
      </w:r>
      <w:r>
        <w:rPr>
          <w:rFonts w:hint="default" w:cs="Times New Roman"/>
          <w:color w:val="auto"/>
          <w:sz w:val="28"/>
          <w:szCs w:val="28"/>
          <w:lang w:eastAsia="zh-CN"/>
        </w:rPr>
        <w:t>；</w:t>
      </w:r>
    </w:p>
    <w:p w14:paraId="76ED7A40">
      <w:pPr>
        <w:pStyle w:val="31"/>
        <w:numPr>
          <w:ilvl w:val="0"/>
          <w:numId w:val="3"/>
        </w:numPr>
        <w:spacing w:line="360" w:lineRule="auto"/>
        <w:ind w:firstLine="560"/>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《危险化学品目录（2015版）》（国家安全生产监督管理总局等十部门公告〔2015〕第5号公布，应急管理部等十部门公告〔2022〕第8号修正，应急管理部等十部门公告〔2026〕第3号增补）</w:t>
      </w:r>
      <w:r>
        <w:rPr>
          <w:rFonts w:hint="eastAsia" w:cs="Times New Roman"/>
          <w:color w:val="auto"/>
          <w:sz w:val="28"/>
          <w:szCs w:val="28"/>
          <w:lang w:eastAsia="zh-CN"/>
        </w:rPr>
        <w:t>；</w:t>
      </w:r>
    </w:p>
    <w:p w14:paraId="7DD84C6E">
      <w:pPr>
        <w:pStyle w:val="31"/>
        <w:numPr>
          <w:ilvl w:val="0"/>
          <w:numId w:val="3"/>
        </w:numPr>
        <w:spacing w:line="360" w:lineRule="auto"/>
        <w:ind w:firstLine="560"/>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eastAsia="zh-CN"/>
        </w:rPr>
        <w:t>《特种作业人员安全技术培训考核管理规定》（应急管理部令第19号，2026年6月1日施行）</w:t>
      </w:r>
      <w:r>
        <w:rPr>
          <w:rFonts w:hint="eastAsia" w:cs="Times New Roman"/>
          <w:color w:val="auto"/>
          <w:sz w:val="28"/>
          <w:szCs w:val="28"/>
          <w:lang w:eastAsia="zh-CN"/>
        </w:rPr>
        <w:t>。</w:t>
      </w:r>
    </w:p>
    <w:p w14:paraId="755BBA33">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63" w:name="_Toc19295"/>
      <w:r>
        <w:rPr>
          <w:rFonts w:hint="eastAsia" w:ascii="Times New Roman" w:hAnsi="Times New Roman" w:cs="Times New Roman"/>
          <w:bCs/>
          <w:color w:val="auto"/>
          <w:sz w:val="28"/>
          <w:szCs w:val="28"/>
        </w:rPr>
        <w:t>1.2.4地方性法规及文件</w:t>
      </w:r>
      <w:bookmarkEnd w:id="63"/>
    </w:p>
    <w:p w14:paraId="6E61D023">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《云南省生产安全事故报告和调查处理规定》（云南省政府令[2009]第155号）；</w:t>
      </w:r>
    </w:p>
    <w:p w14:paraId="58EB2C29">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《云南省人民政府贯彻落实国务院关于进一步加强企业安全生产工作通知的实施意见》（云政发〔2010〕157号）；</w:t>
      </w:r>
    </w:p>
    <w:p w14:paraId="784341CB">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《云南省安全生产监督管理局关于进一步加强工贸行业有限空间作业安全生产工作的通知》（云安监管函〔2016〕85号）；</w:t>
      </w:r>
    </w:p>
    <w:p w14:paraId="5FEEE348">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《云南省安全生产条例》（2017年11月30日云南省第十二届人民代表大会常务委员会第三十八次会议通过，2018年1月1日起施行）；</w:t>
      </w:r>
    </w:p>
    <w:p w14:paraId="4CB6DD32">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《云南省应急管理厅关于在重点工贸企业开展安全生产动态巡查和预警工作的通知》（云应急〔2020〕10号）；</w:t>
      </w:r>
    </w:p>
    <w:p w14:paraId="4E773C82">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《云南省安全生产委员会办公室关于印发＜云南省工贸行业安全生产综合治理实施方案＞的通知》（云安办〔2020〕16号）；</w:t>
      </w:r>
    </w:p>
    <w:p w14:paraId="147F795F">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《云南省应急管理厅关于学习使用&lt;有限空间作业安全指导手册&gt;和4个专题系列折页的通知》（云应急函〔2020〕238号）；</w:t>
      </w:r>
    </w:p>
    <w:p w14:paraId="2DC14B04">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消防条例》（2010年9月30日云南省第十一届人民代表大会常务委员会第十九次会议通过，根据2020年11月25日云南省第十三届人民代表大会常务委员会第二十一次会议《云南省人民代表大会常务委员会关于修改部分地方性法规的决定》修正）；</w:t>
      </w:r>
    </w:p>
    <w:p w14:paraId="5881A40C">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《云南安全生产委员会关于建立完善安全风险分级管控和隐患排查治理双重预防机制的指导意见》（云安〔2021〕3号）；</w:t>
      </w:r>
    </w:p>
    <w:p w14:paraId="7BE1AB74">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《云南省工贸行业企业安全风险源点定性定量判别参考标准指南（试行）》（云应急〔2022〕8号）</w:t>
      </w:r>
      <w:r>
        <w:rPr>
          <w:rFonts w:hint="eastAsia" w:ascii="Times New Roman" w:hAnsi="Times New Roman" w:eastAsia="宋体" w:cs="Times New Roman"/>
          <w:color w:val="auto"/>
          <w:sz w:val="28"/>
          <w:szCs w:val="28"/>
          <w:lang w:eastAsia="zh-CN"/>
        </w:rPr>
        <w:t>；</w:t>
      </w:r>
    </w:p>
    <w:p w14:paraId="5D780E9F">
      <w:pPr>
        <w:pStyle w:val="31"/>
        <w:numPr>
          <w:ilvl w:val="0"/>
          <w:numId w:val="4"/>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《云南省应急管理厅关于印发云南省企业安全生产标准化建设定级实施办法的通知》（云应急〔2023〕6号）</w:t>
      </w:r>
      <w:r>
        <w:rPr>
          <w:rFonts w:hint="eastAsia" w:ascii="Times New Roman" w:hAnsi="Times New Roman" w:eastAsia="宋体" w:cs="Times New Roman"/>
          <w:color w:val="auto"/>
          <w:sz w:val="28"/>
          <w:szCs w:val="28"/>
          <w:lang w:eastAsia="zh-CN"/>
        </w:rPr>
        <w:t>。</w:t>
      </w:r>
    </w:p>
    <w:p w14:paraId="3E8A2EF7">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64" w:name="_Toc21619"/>
      <w:r>
        <w:rPr>
          <w:rFonts w:hint="eastAsia" w:ascii="Times New Roman" w:hAnsi="Times New Roman" w:cs="Times New Roman"/>
          <w:bCs/>
          <w:color w:val="auto"/>
          <w:sz w:val="28"/>
          <w:szCs w:val="28"/>
        </w:rPr>
        <w:t>1.2.5标准规范</w:t>
      </w:r>
      <w:bookmarkEnd w:id="64"/>
    </w:p>
    <w:p w14:paraId="08222464">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《厂矿道路设计规范》（GB J 22-1987，1988年8月1日实施）；</w:t>
      </w:r>
    </w:p>
    <w:p w14:paraId="796CCB2F">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《选矿安全规程》（GB/T 18152-2000）；</w:t>
      </w:r>
    </w:p>
    <w:p w14:paraId="4D262700">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《建筑灭火器配置设计规范》（GB 50140-2005，中华人民共和国建设部 中华人民共和国国家质量监督检验检疫总局，2005年10月1日实行）；</w:t>
      </w:r>
    </w:p>
    <w:p w14:paraId="7BE84A90">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《缺氧危险作业安全规程》（GB 8958-2006，2006年12月1日实施）；</w:t>
      </w:r>
    </w:p>
    <w:p w14:paraId="1A93814D">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《密闭空间作业职业危害防护规范》（GBZ/T 205-2007）；</w:t>
      </w:r>
    </w:p>
    <w:p w14:paraId="4209A4F1">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《工作场所有害因素职业接触限值第二部分：物理因素》（GB Z2.2-2007，2007年11月1日实施）；</w:t>
      </w:r>
    </w:p>
    <w:p w14:paraId="1A905047">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《生产过程安全卫生要求总则》（GB /T 12801-2008，2009年10月01日实施）；</w:t>
      </w:r>
    </w:p>
    <w:p w14:paraId="4E84FB84">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《工业企业厂内铁路、道路运输安全规程》（GB 4387-2008，2009年10月01日实施）；</w:t>
      </w:r>
    </w:p>
    <w:p w14:paraId="1993DA7B">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《固定式钢梯及平台安全要求》（GB 4053.1~3-2009，2009年12月1日实施）；</w:t>
      </w:r>
    </w:p>
    <w:p w14:paraId="6F11795E">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《固定式钢梯及平台安全要求第2部分：钢斜梯》（GB 4053.1-2009，2009年12月1日实行）；</w:t>
      </w:r>
    </w:p>
    <w:p w14:paraId="4B4E7726">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《工业企业设计卫生标准》（GB Z 1-2010，2010年8月1日施行）；</w:t>
      </w:r>
    </w:p>
    <w:p w14:paraId="25A33218">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《电气设备安全设计导则》（GB /T 25295-2010，2011年5月1日实施）；</w:t>
      </w:r>
    </w:p>
    <w:p w14:paraId="313714A7">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《建筑物防雷设计规范》（GB 50057-2010，2011年10月01日实施）；</w:t>
      </w:r>
    </w:p>
    <w:p w14:paraId="01E186D1">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《工业企业总平面设计规范》（GB 50187-2012，2012年08月01日实施）；</w:t>
      </w:r>
    </w:p>
    <w:p w14:paraId="36137129">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《有色金属选矿厂工艺设计规范》（GB 50782-2012）；</w:t>
      </w:r>
    </w:p>
    <w:p w14:paraId="3F3B2408">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《建筑采光设计标准》（GB 50033-2013，2013年5月1日实施）；</w:t>
      </w:r>
    </w:p>
    <w:p w14:paraId="2DFBB1DC">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《工业企业噪声控制设计规范》（GB /T 50087-2013，2014年06月01日实施）；</w:t>
      </w:r>
    </w:p>
    <w:p w14:paraId="386F01F1">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《压缩空气站设计规范》（GB50029-2014）；</w:t>
      </w:r>
    </w:p>
    <w:p w14:paraId="048456FE">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《带式输送机安全规范》（GB 14784-2013，2014年7月1日实施）；</w:t>
      </w:r>
    </w:p>
    <w:p w14:paraId="5D22C9B8">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《消防给水及消火栓系统技术规范》（GB 50974-2014，中华人民共和国住房和城乡建设部，2014年10月1日实行）；</w:t>
      </w:r>
    </w:p>
    <w:p w14:paraId="45767E11">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《危险货物分类和品名编号》（GB 6944-2025，201</w:t>
      </w:r>
      <w:r>
        <w:rPr>
          <w:rFonts w:hint="eastAsia" w:ascii="Times New Roman" w:hAnsi="Times New Roman" w:eastAsia="宋体" w:cs="Times New Roman"/>
          <w:color w:val="auto"/>
          <w:sz w:val="28"/>
          <w:szCs w:val="28"/>
          <w:lang w:val="en-US" w:eastAsia="zh-CN"/>
        </w:rPr>
        <w:t>5</w:t>
      </w:r>
      <w:r>
        <w:rPr>
          <w:rFonts w:hint="eastAsia" w:ascii="Times New Roman" w:hAnsi="Times New Roman" w:eastAsia="宋体" w:cs="Times New Roman"/>
          <w:color w:val="auto"/>
          <w:sz w:val="28"/>
          <w:szCs w:val="28"/>
        </w:rPr>
        <w:t>年1</w:t>
      </w:r>
      <w:r>
        <w:rPr>
          <w:rFonts w:hint="eastAsia" w:ascii="Times New Roman" w:hAnsi="Times New Roman" w:eastAsia="宋体" w:cs="Times New Roman"/>
          <w:color w:val="auto"/>
          <w:sz w:val="28"/>
          <w:szCs w:val="28"/>
          <w:lang w:val="en-US" w:eastAsia="zh-CN"/>
        </w:rPr>
        <w:t>0</w:t>
      </w:r>
      <w:r>
        <w:rPr>
          <w:rFonts w:hint="eastAsia" w:ascii="Times New Roman" w:hAnsi="Times New Roman" w:eastAsia="宋体" w:cs="Times New Roman"/>
          <w:color w:val="auto"/>
          <w:sz w:val="28"/>
          <w:szCs w:val="28"/>
        </w:rPr>
        <w:t>月1日实施）；</w:t>
      </w:r>
    </w:p>
    <w:p w14:paraId="351616F7">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《电气装置安装工程 接地装置施工及验收规范》（GB 50169-2016）；</w:t>
      </w:r>
    </w:p>
    <w:p w14:paraId="25F7959A">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《建筑电气工程施工质量验收规范》（GB 50303-2015，2016年8月1日实施）；</w:t>
      </w:r>
    </w:p>
    <w:p w14:paraId="3101DB00">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《电气装置安装工程接地装置施工及验收规范》（GB 50169-2016，2017年4月1日实施）；</w:t>
      </w:r>
    </w:p>
    <w:p w14:paraId="2AABEC28">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《手持式电动工具的管理、使用、检查和维修安全技术规程》（GB /T 3787-2017）；</w:t>
      </w:r>
    </w:p>
    <w:p w14:paraId="67F8F69D">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《带式输送机》（GB /T 10595-2017，2018年7月1日实施）；</w:t>
      </w:r>
    </w:p>
    <w:p w14:paraId="0CD66C61">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《用电安全导则》（GB /T 13869-2017，2018年07月01日实施）；</w:t>
      </w:r>
    </w:p>
    <w:p w14:paraId="4A3AB1A4">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lang w:val="sq-AL"/>
        </w:rPr>
        <w:t>《建筑设计防火规范》（GB50016-2014[2018版]，2018年10月1日）</w:t>
      </w:r>
      <w:r>
        <w:rPr>
          <w:rFonts w:hint="eastAsia" w:ascii="Times New Roman" w:hAnsi="Times New Roman" w:eastAsia="宋体" w:cs="Times New Roman"/>
          <w:color w:val="auto"/>
          <w:sz w:val="28"/>
          <w:szCs w:val="28"/>
        </w:rPr>
        <w:t>；</w:t>
      </w:r>
    </w:p>
    <w:p w14:paraId="4F9D8731">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《机械安全 生产设备安全通则》（GB /T 35076-2018，2018年12月01日实施）；</w:t>
      </w:r>
    </w:p>
    <w:p w14:paraId="76E36A33">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《工业建筑防腐蚀设计标准》（GB /T 50046-2018，2019年03月01日实施）；</w:t>
      </w:r>
    </w:p>
    <w:p w14:paraId="071DF492">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《危险化学品重大危险源辨识》（GB 18218-2018，2019年3月1日实施）；</w:t>
      </w:r>
    </w:p>
    <w:p w14:paraId="6E6F73D8">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《电气装置安装工程 电缆线路施工及验收标准》（GB 50168-2018，2019年5月1日实施）；</w:t>
      </w:r>
    </w:p>
    <w:p w14:paraId="44BC731C">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《机械安全防护装置固定式和活动式防护装置设计与制造一般要求》（GB /T 8196-2018，2019年07月01日实施）；</w:t>
      </w:r>
    </w:p>
    <w:p w14:paraId="71C04A4C">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《室外给水设计标准》（GB 0013-2018，2019年8月1日实施）；</w:t>
      </w:r>
    </w:p>
    <w:p w14:paraId="5305FDBC">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《电击防护装置和设备的通用部分》（GB /T 17045-2020，2020年10月01日实施）；</w:t>
      </w:r>
    </w:p>
    <w:p w14:paraId="642119E9">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《带式输送机工程技术标准》（GB 50431-2020，中华人民共和国住房和城乡建设部2020年第147号，2021年3月1日实施）；</w:t>
      </w:r>
    </w:p>
    <w:p w14:paraId="087165D8">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《生产经营单位生产安全事故应急预案编制导则》（GB /T 29639-2020，2021年4月1日实施）；</w:t>
      </w:r>
    </w:p>
    <w:p w14:paraId="4C416E2A">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《室外排水设计标准》（GB 50014-2021，2021年10月1日实施）；</w:t>
      </w:r>
    </w:p>
    <w:p w14:paraId="61A592A4">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《个体防护装备配备规范 第1部分：总则》（GB 39800.1-2020，2020年12月24日发布，2022年1月1日实施）；</w:t>
      </w:r>
    </w:p>
    <w:p w14:paraId="1FA938E3">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《生产过程危险和有害因素分类与代码》（GB /T 13861-2022，2022年10月1日实施）；</w:t>
      </w:r>
    </w:p>
    <w:p w14:paraId="7D409B80">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《工作场所有害因素职业接触限值第一部分：化学有害因素》（GB Z2.1-2019，第1号修改单，2022年11月28日实施）；</w:t>
      </w:r>
    </w:p>
    <w:p w14:paraId="594111B8">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《建筑防火通用规范》（GB 55037-2022，2023年06月01日实施）；</w:t>
      </w:r>
    </w:p>
    <w:p w14:paraId="77226D8A">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《建筑照明设计标准》（GB/T 50034-2024，2024年08月01日实施）；</w:t>
      </w:r>
    </w:p>
    <w:p w14:paraId="42597537">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《建筑抗震设计标准（2024年版）》（GB/T 50011-2010，2024年08月01日实施）；</w:t>
      </w:r>
    </w:p>
    <w:p w14:paraId="7773F49C">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《生产设备安全卫生设计总则》（GB 5083-2023，2025年1月1日实施）；</w:t>
      </w:r>
    </w:p>
    <w:p w14:paraId="77224B25">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《消防应急照明和疏散指示系统》（GB 17945-2024，2025年5月1日</w:t>
      </w:r>
      <w:r>
        <w:rPr>
          <w:rFonts w:hint="eastAsia" w:ascii="Times New Roman" w:hAnsi="Times New Roman" w:eastAsia="宋体" w:cs="Times New Roman"/>
          <w:color w:val="auto"/>
          <w:sz w:val="28"/>
          <w:szCs w:val="28"/>
          <w:lang w:val="en-US" w:eastAsia="zh-CN"/>
        </w:rPr>
        <w:t>实施</w:t>
      </w:r>
      <w:r>
        <w:rPr>
          <w:rFonts w:hint="eastAsia" w:ascii="Times New Roman" w:hAnsi="Times New Roman" w:eastAsia="宋体" w:cs="Times New Roman"/>
          <w:color w:val="auto"/>
          <w:sz w:val="28"/>
          <w:szCs w:val="28"/>
        </w:rPr>
        <w:t>）；</w:t>
      </w:r>
    </w:p>
    <w:p w14:paraId="2C2C2C3E">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lang w:val="en-US" w:eastAsia="zh-CN"/>
        </w:rPr>
        <w:t>职业病危害作业分级标准第3部分：高温作业》（GBZ/T 229.3-2025，2026年2月1日实施）</w:t>
      </w:r>
    </w:p>
    <w:p w14:paraId="2813E347">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w:t>
      </w:r>
      <w:r>
        <w:rPr>
          <w:rFonts w:hint="eastAsia" w:ascii="Times New Roman" w:hAnsi="Times New Roman" w:eastAsia="宋体" w:cs="Times New Roman"/>
          <w:color w:val="auto"/>
          <w:sz w:val="28"/>
          <w:szCs w:val="28"/>
          <w:lang w:val="en-US" w:eastAsia="zh-CN"/>
        </w:rPr>
        <w:t>安全色和安全标志</w:t>
      </w:r>
      <w:r>
        <w:rPr>
          <w:rFonts w:hint="eastAsia" w:ascii="Times New Roman" w:hAnsi="Times New Roman" w:eastAsia="宋体" w:cs="Times New Roman"/>
          <w:color w:val="auto"/>
          <w:sz w:val="28"/>
          <w:szCs w:val="28"/>
        </w:rPr>
        <w:t>》（GB</w:t>
      </w:r>
      <w:r>
        <w:rPr>
          <w:rFonts w:hint="eastAsia" w:cs="Times New Roman"/>
          <w:color w:val="auto"/>
          <w:sz w:val="28"/>
          <w:szCs w:val="28"/>
          <w:lang w:val="en-US" w:eastAsia="zh-CN"/>
        </w:rPr>
        <w:t xml:space="preserve"> </w:t>
      </w:r>
      <w:r>
        <w:rPr>
          <w:rFonts w:hint="eastAsia" w:ascii="Times New Roman" w:hAnsi="Times New Roman" w:eastAsia="宋体" w:cs="Times New Roman"/>
          <w:color w:val="auto"/>
          <w:sz w:val="28"/>
          <w:szCs w:val="28"/>
        </w:rPr>
        <w:t>2894</w:t>
      </w: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rPr>
        <w:t>2025，20</w:t>
      </w:r>
      <w:r>
        <w:rPr>
          <w:rFonts w:hint="eastAsia" w:cs="Times New Roman"/>
          <w:color w:val="auto"/>
          <w:sz w:val="28"/>
          <w:szCs w:val="28"/>
          <w:lang w:val="en-US" w:eastAsia="zh-CN"/>
        </w:rPr>
        <w:t>26</w:t>
      </w:r>
      <w:r>
        <w:rPr>
          <w:rFonts w:hint="eastAsia" w:ascii="Times New Roman" w:hAnsi="Times New Roman" w:eastAsia="宋体" w:cs="Times New Roman"/>
          <w:color w:val="auto"/>
          <w:sz w:val="28"/>
          <w:szCs w:val="28"/>
        </w:rPr>
        <w:t>年</w:t>
      </w:r>
      <w:r>
        <w:rPr>
          <w:rFonts w:hint="eastAsia" w:cs="Times New Roman"/>
          <w:color w:val="auto"/>
          <w:sz w:val="28"/>
          <w:szCs w:val="28"/>
          <w:lang w:val="en-US" w:eastAsia="zh-CN"/>
        </w:rPr>
        <w:t>03</w:t>
      </w:r>
      <w:r>
        <w:rPr>
          <w:rFonts w:hint="eastAsia" w:ascii="Times New Roman" w:hAnsi="Times New Roman" w:eastAsia="宋体" w:cs="Times New Roman"/>
          <w:color w:val="auto"/>
          <w:sz w:val="28"/>
          <w:szCs w:val="28"/>
        </w:rPr>
        <w:t>月01日实施）；</w:t>
      </w:r>
    </w:p>
    <w:p w14:paraId="69D4AAD0">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《高处作业分级》</w:t>
      </w:r>
      <w:r>
        <w:rPr>
          <w:rFonts w:hint="eastAsia" w:cs="Times New Roman"/>
          <w:color w:val="auto"/>
          <w:sz w:val="28"/>
          <w:szCs w:val="28"/>
          <w:lang w:eastAsia="zh-CN"/>
        </w:rPr>
        <w:t>（</w:t>
      </w:r>
      <w:r>
        <w:rPr>
          <w:rFonts w:hint="eastAsia" w:ascii="Times New Roman" w:hAnsi="Times New Roman" w:eastAsia="宋体" w:cs="Times New Roman"/>
          <w:color w:val="auto"/>
          <w:sz w:val="28"/>
          <w:szCs w:val="28"/>
        </w:rPr>
        <w:t>GB 3608-2025</w:t>
      </w:r>
      <w:r>
        <w:rPr>
          <w:rFonts w:hint="eastAsia" w:cs="Times New Roman"/>
          <w:color w:val="auto"/>
          <w:sz w:val="28"/>
          <w:szCs w:val="28"/>
          <w:lang w:eastAsia="zh-CN"/>
        </w:rPr>
        <w:t>，</w:t>
      </w:r>
      <w:r>
        <w:rPr>
          <w:rFonts w:hint="eastAsia" w:ascii="Times New Roman" w:hAnsi="Times New Roman" w:eastAsia="宋体" w:cs="Times New Roman"/>
          <w:color w:val="auto"/>
          <w:sz w:val="28"/>
          <w:szCs w:val="28"/>
        </w:rPr>
        <w:t>2026</w:t>
      </w:r>
      <w:r>
        <w:rPr>
          <w:rFonts w:hint="eastAsia" w:cs="Times New Roman"/>
          <w:color w:val="auto"/>
          <w:sz w:val="28"/>
          <w:szCs w:val="28"/>
          <w:lang w:val="en-US" w:eastAsia="zh-CN"/>
        </w:rPr>
        <w:t>年</w:t>
      </w:r>
      <w:r>
        <w:rPr>
          <w:rFonts w:hint="eastAsia" w:ascii="Times New Roman" w:hAnsi="Times New Roman" w:eastAsia="宋体" w:cs="Times New Roman"/>
          <w:color w:val="auto"/>
          <w:sz w:val="28"/>
          <w:szCs w:val="28"/>
        </w:rPr>
        <w:t>05</w:t>
      </w:r>
      <w:r>
        <w:rPr>
          <w:rFonts w:hint="eastAsia" w:cs="Times New Roman"/>
          <w:color w:val="auto"/>
          <w:sz w:val="28"/>
          <w:szCs w:val="28"/>
          <w:lang w:val="en-US" w:eastAsia="zh-CN"/>
        </w:rPr>
        <w:t>月</w:t>
      </w:r>
      <w:r>
        <w:rPr>
          <w:rFonts w:hint="eastAsia" w:ascii="Times New Roman" w:hAnsi="Times New Roman" w:eastAsia="宋体" w:cs="Times New Roman"/>
          <w:color w:val="auto"/>
          <w:sz w:val="28"/>
          <w:szCs w:val="28"/>
        </w:rPr>
        <w:t>01</w:t>
      </w:r>
      <w:r>
        <w:rPr>
          <w:rFonts w:hint="eastAsia" w:cs="Times New Roman"/>
          <w:color w:val="auto"/>
          <w:sz w:val="28"/>
          <w:szCs w:val="28"/>
          <w:lang w:val="en-US" w:eastAsia="zh-CN"/>
        </w:rPr>
        <w:t>日</w:t>
      </w:r>
      <w:r>
        <w:rPr>
          <w:rFonts w:hint="eastAsia" w:ascii="Times New Roman" w:hAnsi="Times New Roman" w:eastAsia="宋体" w:cs="Times New Roman"/>
          <w:color w:val="auto"/>
          <w:sz w:val="28"/>
          <w:szCs w:val="28"/>
        </w:rPr>
        <w:t>实施）</w:t>
      </w:r>
      <w:r>
        <w:rPr>
          <w:rFonts w:hint="eastAsia" w:cs="Times New Roman"/>
          <w:color w:val="auto"/>
          <w:sz w:val="28"/>
          <w:szCs w:val="28"/>
          <w:lang w:eastAsia="zh-CN"/>
        </w:rPr>
        <w:t>；</w:t>
      </w:r>
    </w:p>
    <w:p w14:paraId="71D99DCC">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lang w:val="en-US" w:eastAsia="zh-CN"/>
        </w:rPr>
        <w:t>生产安全事故分类与编码</w:t>
      </w: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rPr>
        <w:t>（</w:t>
      </w:r>
      <w:r>
        <w:rPr>
          <w:rFonts w:hint="eastAsia" w:ascii="Times New Roman" w:hAnsi="Times New Roman" w:eastAsia="宋体" w:cs="Times New Roman"/>
          <w:color w:val="auto"/>
          <w:sz w:val="28"/>
          <w:szCs w:val="28"/>
          <w:lang w:val="en-US" w:eastAsia="zh-CN"/>
        </w:rPr>
        <w:t>GB6441</w:t>
      </w: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lang w:val="en-US" w:eastAsia="zh-CN"/>
        </w:rPr>
        <w:t>2025</w:t>
      </w: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rPr>
        <w:t>202</w:t>
      </w:r>
      <w:r>
        <w:rPr>
          <w:rFonts w:hint="eastAsia" w:cs="Times New Roman"/>
          <w:color w:val="auto"/>
          <w:sz w:val="28"/>
          <w:szCs w:val="28"/>
          <w:lang w:val="en-US" w:eastAsia="zh-CN"/>
        </w:rPr>
        <w:t>6</w:t>
      </w:r>
      <w:r>
        <w:rPr>
          <w:rFonts w:hint="eastAsia" w:ascii="Times New Roman" w:hAnsi="Times New Roman" w:eastAsia="宋体" w:cs="Times New Roman"/>
          <w:color w:val="auto"/>
          <w:sz w:val="28"/>
          <w:szCs w:val="28"/>
        </w:rPr>
        <w:t>年</w:t>
      </w:r>
      <w:r>
        <w:rPr>
          <w:rFonts w:hint="eastAsia" w:cs="Times New Roman"/>
          <w:color w:val="auto"/>
          <w:sz w:val="28"/>
          <w:szCs w:val="28"/>
          <w:lang w:val="en-US" w:eastAsia="zh-CN"/>
        </w:rPr>
        <w:t>7</w:t>
      </w:r>
      <w:r>
        <w:rPr>
          <w:rFonts w:hint="eastAsia" w:ascii="Times New Roman" w:hAnsi="Times New Roman" w:eastAsia="宋体" w:cs="Times New Roman"/>
          <w:color w:val="auto"/>
          <w:sz w:val="28"/>
          <w:szCs w:val="28"/>
        </w:rPr>
        <w:t>月1日</w:t>
      </w:r>
      <w:r>
        <w:rPr>
          <w:rFonts w:hint="eastAsia" w:ascii="Times New Roman" w:hAnsi="Times New Roman" w:eastAsia="宋体" w:cs="Times New Roman"/>
          <w:color w:val="auto"/>
          <w:sz w:val="28"/>
          <w:szCs w:val="28"/>
          <w:lang w:val="en-US" w:eastAsia="zh-CN"/>
        </w:rPr>
        <w:t>实施</w:t>
      </w:r>
      <w:r>
        <w:rPr>
          <w:rFonts w:hint="eastAsia" w:ascii="Times New Roman" w:hAnsi="Times New Roman" w:eastAsia="宋体" w:cs="Times New Roman"/>
          <w:color w:val="auto"/>
          <w:sz w:val="28"/>
          <w:szCs w:val="28"/>
        </w:rPr>
        <w:t>）</w:t>
      </w:r>
      <w:r>
        <w:rPr>
          <w:rFonts w:hint="eastAsia" w:cs="Times New Roman"/>
          <w:color w:val="auto"/>
          <w:sz w:val="28"/>
          <w:szCs w:val="28"/>
          <w:lang w:eastAsia="zh-CN"/>
        </w:rPr>
        <w:t>；</w:t>
      </w:r>
    </w:p>
    <w:p w14:paraId="46BF806C">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lang w:val="en-US" w:eastAsia="zh-CN"/>
        </w:rPr>
        <w:t>《焊接与切割安全》</w:t>
      </w: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lang w:val="en-US" w:eastAsia="zh-CN"/>
        </w:rPr>
        <w:t>GB 9448-2025</w:t>
      </w:r>
      <w:r>
        <w:rPr>
          <w:rFonts w:hint="eastAsia" w:cs="Times New Roman"/>
          <w:color w:val="auto"/>
          <w:sz w:val="28"/>
          <w:szCs w:val="28"/>
          <w:lang w:val="en-US" w:eastAsia="zh-CN"/>
        </w:rPr>
        <w:t>，2026年8月1日实施）；</w:t>
      </w:r>
    </w:p>
    <w:p w14:paraId="09C20458">
      <w:pPr>
        <w:pStyle w:val="31"/>
        <w:numPr>
          <w:ilvl w:val="0"/>
          <w:numId w:val="5"/>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其他相关的标准及规范。</w:t>
      </w:r>
    </w:p>
    <w:p w14:paraId="110EC931">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65" w:name="_Toc9746"/>
      <w:r>
        <w:rPr>
          <w:rFonts w:hint="eastAsia" w:ascii="Times New Roman" w:hAnsi="Times New Roman" w:cs="Times New Roman"/>
          <w:bCs/>
          <w:color w:val="auto"/>
          <w:sz w:val="28"/>
          <w:szCs w:val="28"/>
        </w:rPr>
        <w:t>1.2.6行业规范</w:t>
      </w:r>
      <w:bookmarkEnd w:id="65"/>
    </w:p>
    <w:p w14:paraId="1715E62D">
      <w:pPr>
        <w:pStyle w:val="31"/>
        <w:numPr>
          <w:ilvl w:val="0"/>
          <w:numId w:val="6"/>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《安全评价通则》（AQ 8001-2007，2007年4月1日）；</w:t>
      </w:r>
    </w:p>
    <w:p w14:paraId="0E32CDA0">
      <w:pPr>
        <w:pStyle w:val="31"/>
        <w:numPr>
          <w:ilvl w:val="0"/>
          <w:numId w:val="6"/>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《安全预评价导则》（AQ8002-2007，2007年4月1日实施）；</w:t>
      </w:r>
    </w:p>
    <w:p w14:paraId="2C337AF6">
      <w:pPr>
        <w:pStyle w:val="31"/>
        <w:numPr>
          <w:ilvl w:val="0"/>
          <w:numId w:val="6"/>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《带式输送机用逆止器》（JB/T 9015-2011，2012年4月1日实施）；</w:t>
      </w:r>
    </w:p>
    <w:p w14:paraId="405A077C">
      <w:pPr>
        <w:pStyle w:val="31"/>
        <w:numPr>
          <w:ilvl w:val="0"/>
          <w:numId w:val="6"/>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《生产安全事故应急演练评估规范》（YJ/T 9009-2015，2015年9月1日实施）</w:t>
      </w:r>
      <w:r>
        <w:rPr>
          <w:rFonts w:hint="eastAsia" w:ascii="Times New Roman" w:hAnsi="Times New Roman" w:eastAsia="宋体" w:cs="Times New Roman"/>
          <w:color w:val="auto"/>
          <w:sz w:val="28"/>
          <w:szCs w:val="28"/>
          <w:lang w:eastAsia="zh-CN"/>
        </w:rPr>
        <w:t>；</w:t>
      </w:r>
    </w:p>
    <w:p w14:paraId="552FFAC3">
      <w:pPr>
        <w:pStyle w:val="31"/>
        <w:numPr>
          <w:ilvl w:val="0"/>
          <w:numId w:val="6"/>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《生产安全事故应急演练基本规范》（YJ/T 9007-2019）；</w:t>
      </w:r>
    </w:p>
    <w:p w14:paraId="0286DC01">
      <w:pPr>
        <w:pStyle w:val="31"/>
        <w:numPr>
          <w:ilvl w:val="0"/>
          <w:numId w:val="6"/>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《生产经营单位生产安全事故应急预案评估指南》（YJ/T 9011-2019）；</w:t>
      </w:r>
    </w:p>
    <w:p w14:paraId="48C6C7DE">
      <w:pPr>
        <w:pStyle w:val="31"/>
        <w:numPr>
          <w:ilvl w:val="0"/>
          <w:numId w:val="6"/>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《固定式压力容器安全技术监察规程》行业标准第1号修改单（TSG 21-2016/XG1-2020）；</w:t>
      </w:r>
    </w:p>
    <w:p w14:paraId="0DD20138">
      <w:pPr>
        <w:pStyle w:val="31"/>
        <w:numPr>
          <w:ilvl w:val="0"/>
          <w:numId w:val="6"/>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《气瓶安全技术规程》（TSG 23-2021，2021年01月04日实施）；</w:t>
      </w:r>
    </w:p>
    <w:p w14:paraId="583B4939">
      <w:pPr>
        <w:pStyle w:val="31"/>
        <w:numPr>
          <w:ilvl w:val="0"/>
          <w:numId w:val="6"/>
        </w:numPr>
        <w:spacing w:line="360" w:lineRule="auto"/>
        <w:ind w:firstLine="560"/>
        <w:rPr>
          <w:rFonts w:hint="eastAsia"/>
          <w:b w:val="0"/>
          <w:bCs/>
          <w:color w:val="auto"/>
        </w:rPr>
      </w:pPr>
      <w:r>
        <w:rPr>
          <w:rFonts w:hint="eastAsia" w:ascii="Times New Roman" w:hAnsi="Times New Roman" w:eastAsia="宋体" w:cs="Times New Roman"/>
          <w:color w:val="auto"/>
          <w:sz w:val="28"/>
          <w:szCs w:val="28"/>
        </w:rPr>
        <w:t>《带式输送机 拉绳开关》（JB/T 10960-2024，2024年10月1日实施）</w:t>
      </w:r>
      <w:r>
        <w:rPr>
          <w:rFonts w:hint="eastAsia" w:ascii="Times New Roman" w:hAnsi="Times New Roman" w:eastAsia="宋体" w:cs="Times New Roman"/>
          <w:color w:val="auto"/>
          <w:sz w:val="28"/>
          <w:szCs w:val="28"/>
          <w:lang w:eastAsia="zh-CN"/>
        </w:rPr>
        <w:t>。</w:t>
      </w:r>
    </w:p>
    <w:p w14:paraId="741E2A09">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66" w:name="_Toc29847"/>
      <w:r>
        <w:rPr>
          <w:rFonts w:hint="eastAsia" w:ascii="Times New Roman" w:hAnsi="Times New Roman" w:cs="Times New Roman"/>
          <w:bCs/>
          <w:color w:val="auto"/>
          <w:sz w:val="28"/>
          <w:szCs w:val="28"/>
        </w:rPr>
        <w:t>1.2.7技术文件及有关资料</w:t>
      </w:r>
      <w:bookmarkEnd w:id="66"/>
    </w:p>
    <w:p w14:paraId="4CA9D370">
      <w:pPr>
        <w:pStyle w:val="31"/>
        <w:numPr>
          <w:ilvl w:val="0"/>
          <w:numId w:val="7"/>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lang w:eastAsia="zh-CN"/>
        </w:rPr>
        <w:t>合德再生资源科技马关有限公司</w:t>
      </w:r>
      <w:r>
        <w:rPr>
          <w:rFonts w:hint="eastAsia" w:ascii="Times New Roman" w:hAnsi="Times New Roman" w:eastAsia="宋体" w:cs="Times New Roman"/>
          <w:color w:val="auto"/>
          <w:sz w:val="28"/>
          <w:szCs w:val="28"/>
        </w:rPr>
        <w:t>与辽宁诺诚安全科技有限公司所签订的安全技术服务合同及安全</w:t>
      </w:r>
      <w:r>
        <w:rPr>
          <w:rFonts w:hint="eastAsia" w:ascii="Times New Roman" w:hAnsi="Times New Roman" w:eastAsia="宋体" w:cs="Times New Roman"/>
          <w:color w:val="auto"/>
          <w:sz w:val="28"/>
          <w:szCs w:val="28"/>
          <w:lang w:val="en-US" w:eastAsia="zh-CN"/>
        </w:rPr>
        <w:t>预</w:t>
      </w:r>
      <w:r>
        <w:rPr>
          <w:rFonts w:hint="eastAsia" w:ascii="Times New Roman" w:hAnsi="Times New Roman" w:eastAsia="宋体" w:cs="Times New Roman"/>
          <w:color w:val="auto"/>
          <w:sz w:val="28"/>
          <w:szCs w:val="28"/>
        </w:rPr>
        <w:t>评价委托书；</w:t>
      </w:r>
    </w:p>
    <w:p w14:paraId="1C98732D">
      <w:pPr>
        <w:pStyle w:val="31"/>
        <w:numPr>
          <w:ilvl w:val="0"/>
          <w:numId w:val="7"/>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项目投资备案证</w:t>
      </w:r>
      <w:r>
        <w:rPr>
          <w:rFonts w:hint="eastAsia" w:cs="Times New Roman"/>
          <w:color w:val="auto"/>
          <w:sz w:val="28"/>
          <w:szCs w:val="28"/>
          <w:lang w:eastAsia="zh-CN"/>
        </w:rPr>
        <w:t>；</w:t>
      </w:r>
    </w:p>
    <w:p w14:paraId="4EBDC810">
      <w:pPr>
        <w:pStyle w:val="31"/>
        <w:numPr>
          <w:ilvl w:val="0"/>
          <w:numId w:val="7"/>
        </w:numPr>
        <w:spacing w:line="360" w:lineRule="auto"/>
        <w:ind w:firstLine="560"/>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w:t>
      </w:r>
      <w:r>
        <w:rPr>
          <w:rFonts w:hint="default" w:ascii="Times New Roman" w:hAnsi="Times New Roman" w:eastAsia="宋体" w:cs="Times New Roman"/>
          <w:color w:val="auto"/>
          <w:sz w:val="28"/>
          <w:szCs w:val="28"/>
          <w:lang w:val="en-US" w:eastAsia="zh-CN"/>
        </w:rPr>
        <w:t>合德再生资源科技马关有限公司野猫坟300t/d多金属选厂提质增效改造项目</w:t>
      </w:r>
      <w:r>
        <w:rPr>
          <w:rFonts w:hint="eastAsia" w:ascii="Times New Roman" w:hAnsi="Times New Roman" w:eastAsia="宋体" w:cs="Times New Roman"/>
          <w:color w:val="auto"/>
          <w:sz w:val="28"/>
          <w:szCs w:val="28"/>
          <w:lang w:val="en-US" w:eastAsia="zh-CN"/>
        </w:rPr>
        <w:t>初步设计（代可研）》（智诚建科设计有限公司，202</w:t>
      </w:r>
      <w:r>
        <w:rPr>
          <w:rFonts w:hint="eastAsia" w:cs="Times New Roman"/>
          <w:color w:val="auto"/>
          <w:sz w:val="28"/>
          <w:szCs w:val="28"/>
          <w:lang w:val="en-US" w:eastAsia="zh-CN"/>
        </w:rPr>
        <w:t>6</w:t>
      </w:r>
      <w:r>
        <w:rPr>
          <w:rFonts w:hint="eastAsia" w:ascii="Times New Roman" w:hAnsi="Times New Roman" w:eastAsia="宋体" w:cs="Times New Roman"/>
          <w:color w:val="auto"/>
          <w:sz w:val="28"/>
          <w:szCs w:val="28"/>
          <w:lang w:val="en-US" w:eastAsia="zh-CN"/>
        </w:rPr>
        <w:t>年02月）；</w:t>
      </w:r>
    </w:p>
    <w:p w14:paraId="77069B14">
      <w:pPr>
        <w:pStyle w:val="31"/>
        <w:numPr>
          <w:ilvl w:val="0"/>
          <w:numId w:val="7"/>
        </w:numPr>
        <w:spacing w:line="360" w:lineRule="auto"/>
        <w:ind w:firstLine="560"/>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合德再生资源科技马关有限公司提供的其他资料；</w:t>
      </w:r>
    </w:p>
    <w:p w14:paraId="5B774FF2">
      <w:pPr>
        <w:pStyle w:val="31"/>
        <w:numPr>
          <w:ilvl w:val="0"/>
          <w:numId w:val="7"/>
        </w:numPr>
        <w:spacing w:line="360" w:lineRule="auto"/>
        <w:ind w:firstLine="560"/>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我公司评价人员现场采集的数据和资料等。</w:t>
      </w:r>
    </w:p>
    <w:p w14:paraId="31531D57">
      <w:pPr>
        <w:pStyle w:val="31"/>
        <w:numPr>
          <w:ilvl w:val="0"/>
          <w:numId w:val="0"/>
        </w:numPr>
        <w:spacing w:line="360" w:lineRule="auto"/>
        <w:ind w:leftChars="200"/>
        <w:rPr>
          <w:rFonts w:hint="eastAsia" w:ascii="Times New Roman" w:hAnsi="Times New Roman" w:eastAsia="宋体" w:cs="Times New Roman"/>
          <w:color w:val="auto"/>
          <w:sz w:val="28"/>
          <w:szCs w:val="28"/>
        </w:rPr>
      </w:pPr>
    </w:p>
    <w:p w14:paraId="63B0490D">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67" w:name="_Toc24846"/>
      <w:bookmarkStart w:id="68" w:name="_Toc31915"/>
      <w:r>
        <w:rPr>
          <w:rFonts w:hint="eastAsia" w:ascii="Times New Roman" w:hAnsi="Times New Roman" w:eastAsia="黑体" w:cs="Times New Roman"/>
          <w:b/>
          <w:bCs/>
          <w:color w:val="auto"/>
          <w:sz w:val="30"/>
          <w:szCs w:val="30"/>
        </w:rPr>
        <w:t>1.3评价程序</w:t>
      </w:r>
      <w:bookmarkEnd w:id="67"/>
      <w:bookmarkEnd w:id="68"/>
    </w:p>
    <w:p w14:paraId="724459F3">
      <w:pPr>
        <w:bidi w:val="0"/>
        <w:rPr>
          <w:b w:val="0"/>
          <w:bCs/>
          <w:color w:val="auto"/>
        </w:rPr>
      </w:pPr>
      <w:r>
        <w:rPr>
          <w:rFonts w:hint="eastAsia"/>
          <w:b w:val="0"/>
          <w:bCs/>
          <w:color w:val="auto"/>
        </w:rPr>
        <w:t>评价工作程序按《安全评价通则》AQ8001-2007及《安全预评价导则》AQ8002-2007的要求开展工作，包括：前期准备，辨识与分析危险、有害因素，划分评价单元，定性、定量评价，提出安全对策措施建议，做出评价结论，编制安全预评价报告。具体预评价程序如图1.3-1所示。</w:t>
      </w:r>
    </w:p>
    <w:p w14:paraId="52E9DB59">
      <w:pPr>
        <w:bidi w:val="0"/>
        <w:ind w:left="0" w:leftChars="0" w:firstLine="0" w:firstLineChars="0"/>
        <w:jc w:val="center"/>
        <w:rPr>
          <w:b w:val="0"/>
          <w:bCs/>
          <w:color w:val="auto"/>
        </w:rPr>
      </w:pPr>
      <w:r>
        <w:rPr>
          <w:b w:val="0"/>
          <w:bCs/>
          <w:color w:val="auto"/>
        </w:rPr>
        <w:drawing>
          <wp:inline distT="0" distB="0" distL="114300" distR="114300">
            <wp:extent cx="2276475" cy="40195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2276475" cy="4019550"/>
                    </a:xfrm>
                    <a:prstGeom prst="rect">
                      <a:avLst/>
                    </a:prstGeom>
                    <a:noFill/>
                    <a:ln w="12700">
                      <a:noFill/>
                    </a:ln>
                  </pic:spPr>
                </pic:pic>
              </a:graphicData>
            </a:graphic>
          </wp:inline>
        </w:drawing>
      </w:r>
    </w:p>
    <w:p w14:paraId="07748199">
      <w:pPr>
        <w:pStyle w:val="24"/>
        <w:bidi w:val="0"/>
        <w:rPr>
          <w:b w:val="0"/>
          <w:bCs/>
          <w:color w:val="auto"/>
          <w:sz w:val="21"/>
          <w:szCs w:val="21"/>
        </w:rPr>
      </w:pPr>
      <w:r>
        <w:rPr>
          <w:rFonts w:hint="eastAsia"/>
          <w:b w:val="0"/>
          <w:bCs/>
          <w:color w:val="auto"/>
          <w:sz w:val="21"/>
          <w:szCs w:val="21"/>
        </w:rPr>
        <w:t>图1.3-1  安全评价程序图</w:t>
      </w:r>
    </w:p>
    <w:p w14:paraId="5099B105">
      <w:pPr>
        <w:rPr>
          <w:b w:val="0"/>
          <w:bCs/>
          <w:color w:val="auto"/>
        </w:rPr>
      </w:pPr>
      <w:r>
        <w:rPr>
          <w:b w:val="0"/>
          <w:bCs/>
          <w:color w:val="auto"/>
        </w:rPr>
        <w:br w:type="page"/>
      </w:r>
    </w:p>
    <w:p w14:paraId="19CCBAF0">
      <w:pPr>
        <w:pStyle w:val="2"/>
        <w:keepNext w:val="0"/>
        <w:keepLines w:val="0"/>
        <w:spacing w:before="0" w:beforeLines="-2147483648" w:beforeAutospacing="0" w:after="0" w:afterLines="-2147483648" w:afterAutospacing="0" w:line="360" w:lineRule="auto"/>
        <w:ind w:firstLine="0" w:firstLineChars="0"/>
        <w:jc w:val="center"/>
        <w:rPr>
          <w:rFonts w:hint="default" w:ascii="Times New Roman" w:hAnsi="Times New Roman" w:eastAsia="黑体" w:cs="Times New Roman"/>
          <w:b/>
          <w:bCs/>
          <w:color w:val="auto"/>
          <w:sz w:val="32"/>
          <w:szCs w:val="44"/>
        </w:rPr>
      </w:pPr>
      <w:bookmarkStart w:id="69" w:name="_Toc5817"/>
      <w:bookmarkStart w:id="70" w:name="_Toc27908"/>
      <w:r>
        <w:rPr>
          <w:rFonts w:hint="eastAsia" w:ascii="Times New Roman" w:hAnsi="Times New Roman" w:eastAsia="黑体" w:cs="Times New Roman"/>
          <w:b/>
          <w:bCs/>
          <w:color w:val="auto"/>
          <w:sz w:val="32"/>
          <w:szCs w:val="44"/>
        </w:rPr>
        <w:t>2</w:t>
      </w:r>
      <w:r>
        <w:rPr>
          <w:rFonts w:hint="eastAsia" w:ascii="Times New Roman" w:hAnsi="Times New Roman" w:cs="Times New Roman"/>
          <w:b/>
          <w:bCs/>
          <w:color w:val="auto"/>
          <w:sz w:val="32"/>
          <w:szCs w:val="44"/>
          <w:lang w:val="en-US" w:eastAsia="zh-CN"/>
        </w:rPr>
        <w:t>.</w:t>
      </w:r>
      <w:r>
        <w:rPr>
          <w:rFonts w:hint="eastAsia" w:ascii="Times New Roman" w:hAnsi="Times New Roman" w:eastAsia="黑体" w:cs="Times New Roman"/>
          <w:b/>
          <w:bCs/>
          <w:color w:val="auto"/>
          <w:sz w:val="32"/>
          <w:szCs w:val="44"/>
        </w:rPr>
        <w:t>建设项目概述</w:t>
      </w:r>
      <w:bookmarkEnd w:id="69"/>
      <w:bookmarkEnd w:id="70"/>
    </w:p>
    <w:p w14:paraId="2189BC61">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71" w:name="_Toc5931"/>
      <w:bookmarkStart w:id="72" w:name="_Toc2246"/>
      <w:r>
        <w:rPr>
          <w:rFonts w:hint="eastAsia" w:ascii="Times New Roman" w:hAnsi="Times New Roman" w:eastAsia="黑体" w:cs="Times New Roman"/>
          <w:b/>
          <w:bCs/>
          <w:color w:val="auto"/>
          <w:sz w:val="30"/>
          <w:szCs w:val="30"/>
        </w:rPr>
        <w:t>2.1建设单位概况</w:t>
      </w:r>
      <w:bookmarkEnd w:id="71"/>
      <w:bookmarkEnd w:id="72"/>
    </w:p>
    <w:p w14:paraId="337E0E7A">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rPr>
      </w:pPr>
      <w:bookmarkStart w:id="73" w:name="_Toc7043"/>
      <w:r>
        <w:rPr>
          <w:rFonts w:hint="eastAsia" w:ascii="Times New Roman" w:hAnsi="Times New Roman" w:cs="Times New Roman"/>
          <w:bCs/>
          <w:color w:val="auto"/>
          <w:sz w:val="28"/>
          <w:szCs w:val="28"/>
        </w:rPr>
        <w:t>2.1.1建设单位简介</w:t>
      </w:r>
      <w:bookmarkEnd w:id="73"/>
    </w:p>
    <w:p w14:paraId="4E644D01">
      <w:pPr>
        <w:bidi w:val="0"/>
        <w:rPr>
          <w:rFonts w:hint="eastAsia"/>
          <w:b w:val="0"/>
          <w:bCs/>
          <w:color w:val="auto"/>
          <w:lang w:eastAsia="zh-CN"/>
        </w:rPr>
      </w:pPr>
      <w:r>
        <w:rPr>
          <w:rFonts w:hint="eastAsia"/>
          <w:b w:val="0"/>
          <w:bCs/>
          <w:color w:val="auto"/>
          <w:lang w:eastAsia="zh-CN"/>
        </w:rPr>
        <w:t>合德再生资源科技马关有限公司野猫坟300t/d多金属选厂位于</w:t>
      </w:r>
      <w:r>
        <w:rPr>
          <w:rFonts w:hint="eastAsia"/>
          <w:b w:val="0"/>
          <w:bCs/>
          <w:color w:val="auto"/>
          <w:lang w:val="en-US" w:eastAsia="zh-CN"/>
        </w:rPr>
        <w:t>云南省马关县都龙镇大寨村民委老寨村</w:t>
      </w:r>
      <w:r>
        <w:rPr>
          <w:rFonts w:hint="eastAsia"/>
          <w:b w:val="0"/>
          <w:bCs/>
          <w:color w:val="auto"/>
          <w:lang w:eastAsia="zh-CN"/>
        </w:rPr>
        <w:t>。</w:t>
      </w:r>
      <w:r>
        <w:rPr>
          <w:rFonts w:hint="eastAsia"/>
          <w:b w:val="0"/>
          <w:bCs/>
          <w:color w:val="auto"/>
          <w:lang w:val="en-US" w:eastAsia="zh-CN"/>
        </w:rPr>
        <w:t>所设计的选矿厂生产能力为多金属原矿300t/d，采用浮选、磁选得到钨、铜、硫、铁精矿的工艺</w:t>
      </w:r>
      <w:r>
        <w:rPr>
          <w:rFonts w:hint="eastAsia"/>
          <w:b w:val="0"/>
          <w:bCs/>
          <w:color w:val="auto"/>
          <w:lang w:eastAsia="zh-CN"/>
        </w:rPr>
        <w:t>。</w:t>
      </w:r>
    </w:p>
    <w:p w14:paraId="61B68E83">
      <w:pPr>
        <w:bidi w:val="0"/>
        <w:rPr>
          <w:rFonts w:hint="eastAsia"/>
          <w:b w:val="0"/>
          <w:bCs/>
          <w:color w:val="auto"/>
          <w:lang w:val="en-US" w:eastAsia="zh-CN"/>
        </w:rPr>
      </w:pPr>
      <w:r>
        <w:rPr>
          <w:rFonts w:hint="eastAsia"/>
          <w:b w:val="0"/>
          <w:bCs/>
          <w:color w:val="auto"/>
          <w:lang w:eastAsia="zh-CN"/>
        </w:rPr>
        <w:t>马关县野猫坟300t/d多金属选厂建设项目是</w:t>
      </w:r>
      <w:r>
        <w:rPr>
          <w:rFonts w:hint="eastAsia"/>
          <w:b w:val="0"/>
          <w:bCs/>
          <w:color w:val="auto"/>
          <w:lang w:val="en-US" w:eastAsia="zh-CN"/>
        </w:rPr>
        <w:t>由</w:t>
      </w:r>
      <w:r>
        <w:rPr>
          <w:rFonts w:hint="eastAsia"/>
          <w:b w:val="0"/>
          <w:bCs/>
          <w:color w:val="auto"/>
          <w:lang w:eastAsia="zh-CN"/>
        </w:rPr>
        <w:t>合德再生资源科技马关有限公司（</w:t>
      </w:r>
      <w:r>
        <w:rPr>
          <w:rFonts w:hint="eastAsia"/>
          <w:b w:val="0"/>
          <w:bCs/>
          <w:color w:val="auto"/>
          <w:lang w:val="en-US" w:eastAsia="zh-CN"/>
        </w:rPr>
        <w:t>原名为马关县都龙洪德仙铜选厂</w:t>
      </w:r>
      <w:r>
        <w:rPr>
          <w:rFonts w:hint="eastAsia"/>
          <w:b w:val="0"/>
          <w:bCs/>
          <w:color w:val="auto"/>
          <w:lang w:eastAsia="zh-CN"/>
        </w:rPr>
        <w:t>）</w:t>
      </w:r>
      <w:r>
        <w:rPr>
          <w:rFonts w:hint="eastAsia"/>
          <w:b w:val="0"/>
          <w:bCs/>
          <w:color w:val="auto"/>
          <w:lang w:val="en-US" w:eastAsia="zh-CN"/>
        </w:rPr>
        <w:t>2008年提出，经马关县发展和改革局备案（备案号：075326250910012）批复同意建设，建设单位委托昆明煤炭设计研究院编制了《马关县都龙洪德仙铜选厂马关县野猫坟</w:t>
      </w:r>
      <w:r>
        <w:rPr>
          <w:rFonts w:hint="eastAsia"/>
          <w:b w:val="0"/>
          <w:bCs/>
          <w:color w:val="auto"/>
          <w:lang w:eastAsia="zh-CN"/>
        </w:rPr>
        <w:t>300t/d多金属选厂建设项目</w:t>
      </w:r>
      <w:r>
        <w:rPr>
          <w:rFonts w:hint="eastAsia"/>
          <w:b w:val="0"/>
          <w:bCs/>
          <w:color w:val="auto"/>
          <w:lang w:val="en-US" w:eastAsia="zh-CN"/>
        </w:rPr>
        <w:t>环境影响报告书》，并于2008年8月组织专家技术评审会，取得《马关县野猫坟</w:t>
      </w:r>
      <w:r>
        <w:rPr>
          <w:rFonts w:hint="eastAsia"/>
          <w:b w:val="0"/>
          <w:bCs/>
          <w:color w:val="auto"/>
          <w:lang w:eastAsia="zh-CN"/>
        </w:rPr>
        <w:t>300t/d多金属选厂建设项目</w:t>
      </w:r>
      <w:r>
        <w:rPr>
          <w:rFonts w:hint="eastAsia"/>
          <w:b w:val="0"/>
          <w:bCs/>
          <w:color w:val="auto"/>
          <w:lang w:val="en-US" w:eastAsia="zh-CN"/>
        </w:rPr>
        <w:t>环境影响报告书的技术评估意见》（文环评估〔2009〕37号），于2009年5月11日取得《文山州环境保护局准予行政许可决定书》（文环许准〔2009〕54号）批准项目环境影响评价报告书</w:t>
      </w:r>
      <w:r>
        <w:rPr>
          <w:rFonts w:hint="eastAsia"/>
          <w:b w:val="0"/>
          <w:bCs/>
          <w:color w:val="auto"/>
          <w:lang w:eastAsia="zh-CN"/>
        </w:rPr>
        <w:t>。</w:t>
      </w:r>
      <w:r>
        <w:rPr>
          <w:rFonts w:hint="eastAsia"/>
          <w:b w:val="0"/>
          <w:bCs/>
          <w:color w:val="auto"/>
          <w:lang w:val="en-US" w:eastAsia="zh-CN"/>
        </w:rPr>
        <w:t>项目建设完成后取得《文山州环境保护局准予行政许可决定书》（文环许准〔2009〕92号）同意项目试运行。2010年10月，建设单位委托文山州环境保护监测站开展项目竣工环境保护验收监测报告编制，文山州环境保护监测站于2010年11月提交《</w:t>
      </w:r>
      <w:r>
        <w:rPr>
          <w:rFonts w:hint="eastAsia"/>
          <w:b w:val="0"/>
          <w:bCs/>
          <w:color w:val="auto"/>
          <w:lang w:eastAsia="zh-CN"/>
        </w:rPr>
        <w:t>马关县野猫坟300t/d多金属选厂建设项目</w:t>
      </w:r>
      <w:r>
        <w:rPr>
          <w:rFonts w:hint="eastAsia"/>
          <w:b w:val="0"/>
          <w:bCs/>
          <w:color w:val="auto"/>
          <w:lang w:val="en-US" w:eastAsia="zh-CN"/>
        </w:rPr>
        <w:t>竣工环境保护验收监测报告》（文环验字〔2010〕5号），于2012年4月25日取得《文山州环境保护局关于马关县都龙洪德仙铜选厂</w:t>
      </w:r>
      <w:r>
        <w:rPr>
          <w:rFonts w:hint="eastAsia"/>
          <w:b w:val="0"/>
          <w:bCs/>
          <w:color w:val="auto"/>
          <w:lang w:eastAsia="zh-CN"/>
        </w:rPr>
        <w:t>马关县野猫坟300t/d多金属选厂建设项目</w:t>
      </w:r>
      <w:r>
        <w:rPr>
          <w:rFonts w:hint="eastAsia"/>
          <w:b w:val="0"/>
          <w:bCs/>
          <w:color w:val="auto"/>
          <w:lang w:val="en-US" w:eastAsia="zh-CN"/>
        </w:rPr>
        <w:t>竣工环境保护验收的批复》（文环审〔2012〕70号），于2024年9月</w:t>
      </w:r>
      <w:r>
        <w:rPr>
          <w:rFonts w:hint="eastAsia"/>
          <w:b w:val="0"/>
          <w:bCs/>
          <w:color w:val="auto"/>
          <w:lang w:eastAsia="zh-CN"/>
        </w:rPr>
        <w:t>委托云南高务环保科技有限公司编制《合德再生资源科技马关有限公司野猫坟300t/d多金属选厂建设项目环境影响后评价报告书》。</w:t>
      </w:r>
    </w:p>
    <w:p w14:paraId="63BC3205">
      <w:pPr>
        <w:bidi w:val="0"/>
        <w:rPr>
          <w:rFonts w:hint="eastAsia"/>
          <w:b w:val="0"/>
          <w:bCs/>
          <w:color w:val="auto"/>
          <w:lang w:eastAsia="zh-CN"/>
        </w:rPr>
      </w:pPr>
      <w:r>
        <w:rPr>
          <w:rFonts w:hint="eastAsia"/>
          <w:b w:val="0"/>
          <w:bCs/>
          <w:color w:val="auto"/>
          <w:lang w:val="en-US" w:eastAsia="zh-CN"/>
        </w:rPr>
        <w:t>根据</w:t>
      </w:r>
      <w:r>
        <w:rPr>
          <w:rFonts w:hint="eastAsia"/>
          <w:b w:val="0"/>
          <w:bCs/>
          <w:color w:val="auto"/>
          <w:lang w:eastAsia="zh-CN"/>
        </w:rPr>
        <w:t>《云南省应急管理厅关于进一步加强非煤矿山选矿厂及尾矿干堆场安全生产工作的通知》（</w:t>
      </w:r>
      <w:r>
        <w:rPr>
          <w:rFonts w:hint="eastAsia"/>
          <w:b w:val="0"/>
          <w:bCs/>
          <w:color w:val="auto"/>
          <w:lang w:val="en-US" w:eastAsia="zh-CN"/>
        </w:rPr>
        <w:t>云南省应急管理厅，2025年8月8日</w:t>
      </w:r>
      <w:r>
        <w:rPr>
          <w:rFonts w:hint="eastAsia"/>
          <w:b w:val="0"/>
          <w:bCs/>
          <w:color w:val="auto"/>
          <w:lang w:eastAsia="zh-CN"/>
        </w:rPr>
        <w:t>）有关规定，督促指导选矿厂履行安全设施“三同时”手续。</w:t>
      </w:r>
      <w:r>
        <w:rPr>
          <w:rFonts w:hint="eastAsia"/>
          <w:b w:val="0"/>
          <w:bCs/>
          <w:color w:val="auto"/>
          <w:lang w:val="en-US" w:eastAsia="zh-CN"/>
        </w:rPr>
        <w:t>由于</w:t>
      </w:r>
      <w:r>
        <w:rPr>
          <w:rFonts w:hint="eastAsia"/>
          <w:b w:val="0"/>
          <w:bCs/>
          <w:color w:val="auto"/>
          <w:lang w:eastAsia="zh-CN"/>
        </w:rPr>
        <w:t>合德再生资源科技马关有限公司马关县野猫坟300t/d多金属选厂</w:t>
      </w:r>
      <w:r>
        <w:rPr>
          <w:rFonts w:hint="eastAsia"/>
          <w:b w:val="0"/>
          <w:bCs/>
          <w:color w:val="auto"/>
          <w:lang w:val="en-US" w:eastAsia="zh-CN"/>
        </w:rPr>
        <w:t>为完善</w:t>
      </w:r>
      <w:r>
        <w:rPr>
          <w:rFonts w:hint="eastAsia"/>
          <w:b w:val="0"/>
          <w:bCs/>
          <w:color w:val="auto"/>
          <w:lang w:eastAsia="zh-CN"/>
        </w:rPr>
        <w:t>建设项目“三同时”工作，企业委托智诚建科设计有限公司承担本项目初步设计（代可研）编制工作，该单位于2026年2月完成并出具《合德再生资源科技马关有限公司野猫坟300t/d多金属选厂提质增效改造项目初步设计（代可研）》</w:t>
      </w:r>
      <w:r>
        <w:rPr>
          <w:rFonts w:hint="eastAsia"/>
          <w:b w:val="0"/>
          <w:bCs/>
          <w:color w:val="auto"/>
          <w:lang w:val="en-US" w:eastAsia="zh-CN"/>
        </w:rPr>
        <w:t>，现委托我公司编制</w:t>
      </w:r>
      <w:r>
        <w:rPr>
          <w:rFonts w:hint="eastAsia"/>
          <w:b w:val="0"/>
          <w:bCs/>
          <w:color w:val="auto"/>
          <w:lang w:eastAsia="zh-CN"/>
        </w:rPr>
        <w:t>《</w:t>
      </w:r>
      <w:r>
        <w:rPr>
          <w:rFonts w:hint="eastAsia"/>
          <w:b w:val="0"/>
          <w:bCs/>
          <w:color w:val="auto"/>
          <w:lang w:val="en-US" w:eastAsia="zh-CN"/>
        </w:rPr>
        <w:t>合德再生资源科技马关有限公司野猫坟300t/d多金属选厂提质增效改造项目安全预评价</w:t>
      </w:r>
      <w:r>
        <w:rPr>
          <w:rFonts w:hint="eastAsia"/>
          <w:b w:val="0"/>
          <w:bCs/>
          <w:color w:val="auto"/>
          <w:lang w:eastAsia="zh-CN"/>
        </w:rPr>
        <w:t>》。</w:t>
      </w:r>
    </w:p>
    <w:p w14:paraId="4848CC4D">
      <w:pPr>
        <w:bidi w:val="0"/>
        <w:rPr>
          <w:rFonts w:hint="eastAsia"/>
          <w:b w:val="0"/>
          <w:bCs/>
          <w:color w:val="auto"/>
        </w:rPr>
      </w:pPr>
      <w:r>
        <w:rPr>
          <w:rFonts w:hint="eastAsia"/>
          <w:b w:val="0"/>
          <w:bCs/>
          <w:color w:val="auto"/>
        </w:rPr>
        <w:t>营业执照：</w:t>
      </w:r>
    </w:p>
    <w:p w14:paraId="5415F28D">
      <w:pPr>
        <w:bidi w:val="0"/>
        <w:rPr>
          <w:rFonts w:hint="eastAsia"/>
          <w:b w:val="0"/>
          <w:bCs/>
          <w:color w:val="auto"/>
        </w:rPr>
      </w:pPr>
      <w:r>
        <w:rPr>
          <w:rFonts w:hint="eastAsia"/>
          <w:b w:val="0"/>
          <w:bCs/>
          <w:color w:val="auto"/>
        </w:rPr>
        <w:t>。</w:t>
      </w:r>
    </w:p>
    <w:p w14:paraId="20C1AC9D">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74" w:name="_Toc627"/>
      <w:r>
        <w:rPr>
          <w:rFonts w:hint="eastAsia" w:ascii="Times New Roman" w:hAnsi="Times New Roman" w:cs="Times New Roman"/>
          <w:bCs/>
          <w:color w:val="auto"/>
          <w:sz w:val="28"/>
          <w:szCs w:val="28"/>
        </w:rPr>
        <w:t>2.1.2立项情况</w:t>
      </w:r>
      <w:bookmarkEnd w:id="74"/>
    </w:p>
    <w:p w14:paraId="257B1718">
      <w:pPr>
        <w:bidi w:val="0"/>
        <w:rPr>
          <w:b w:val="0"/>
          <w:bCs/>
          <w:color w:val="auto"/>
        </w:rPr>
      </w:pPr>
    </w:p>
    <w:p w14:paraId="475D219C">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rPr>
      </w:pPr>
      <w:bookmarkStart w:id="75" w:name="_Toc15515"/>
      <w:r>
        <w:rPr>
          <w:rFonts w:hint="eastAsia" w:ascii="Times New Roman" w:hAnsi="Times New Roman" w:cs="Times New Roman"/>
          <w:bCs/>
          <w:color w:val="auto"/>
          <w:sz w:val="28"/>
          <w:szCs w:val="28"/>
        </w:rPr>
        <w:t>2.1.3项目地理位置及交通情况</w:t>
      </w:r>
      <w:bookmarkEnd w:id="75"/>
    </w:p>
    <w:p w14:paraId="53740A43">
      <w:pPr>
        <w:bidi w:val="0"/>
        <w:ind w:left="0" w:leftChars="0" w:firstLine="560" w:firstLineChars="0"/>
        <w:jc w:val="left"/>
        <w:rPr>
          <w:b w:val="0"/>
          <w:bCs/>
          <w:color w:val="auto"/>
        </w:rPr>
      </w:pPr>
      <w:r>
        <w:rPr>
          <w:rFonts w:hint="eastAsia"/>
          <w:b w:val="0"/>
          <w:bCs/>
          <w:color w:val="auto"/>
        </w:rPr>
        <w:t>项目位于</w:t>
      </w:r>
      <w:r>
        <w:rPr>
          <w:rFonts w:hint="eastAsia"/>
          <w:b w:val="0"/>
          <w:bCs/>
          <w:color w:val="auto"/>
          <w:lang w:val="en-US" w:eastAsia="zh-CN"/>
        </w:rPr>
        <w:t>云南省马关县都龙镇大寨村民委老寨村</w:t>
      </w:r>
      <w:r>
        <w:rPr>
          <w:rFonts w:hint="eastAsia"/>
          <w:b w:val="0"/>
          <w:bCs/>
          <w:color w:val="auto"/>
        </w:rPr>
        <w:t>，距离都龙镇直线距离约4km，距离马关县城约30km，周边矿产资源丰富矿山较多，地理位置优越。拟建场地周边有道路分布，施工材料进出及后期矿石及成品运输较方便，交通较为便利</w:t>
      </w:r>
      <w:r>
        <w:rPr>
          <w:b w:val="0"/>
          <w:bCs/>
          <w:color w:val="auto"/>
        </w:rPr>
        <mc:AlternateContent>
          <mc:Choice Requires="wps">
            <w:drawing>
              <wp:anchor distT="0" distB="0" distL="114300" distR="114300" simplePos="0" relativeHeight="251663360" behindDoc="0" locked="0" layoutInCell="1" allowOverlap="1">
                <wp:simplePos x="0" y="0"/>
                <wp:positionH relativeFrom="character">
                  <wp:posOffset>2251710</wp:posOffset>
                </wp:positionH>
                <wp:positionV relativeFrom="line">
                  <wp:posOffset>-5215255</wp:posOffset>
                </wp:positionV>
                <wp:extent cx="0" cy="594995"/>
                <wp:effectExtent l="0" t="0" r="0" b="0"/>
                <wp:wrapNone/>
                <wp:docPr id="697445750" name="Line 9"/>
                <wp:cNvGraphicFramePr/>
                <a:graphic xmlns:a="http://schemas.openxmlformats.org/drawingml/2006/main">
                  <a:graphicData uri="http://schemas.microsoft.com/office/word/2010/wordprocessingShape">
                    <wps:wsp>
                      <wps:cNvCnPr>
                        <a:cxnSpLocks noChangeShapeType="1"/>
                      </wps:cNvCnPr>
                      <wps:spPr bwMode="auto">
                        <a:xfrm flipV="1">
                          <a:off x="0" y="0"/>
                          <a:ext cx="0" cy="594995"/>
                        </a:xfrm>
                        <a:prstGeom prst="line">
                          <a:avLst/>
                        </a:prstGeom>
                        <a:noFill/>
                        <a:ln>
                          <a:noFill/>
                        </a:ln>
                      </wps:spPr>
                      <wps:bodyPr/>
                    </wps:wsp>
                  </a:graphicData>
                </a:graphic>
              </wp:anchor>
            </w:drawing>
          </mc:Choice>
          <mc:Fallback>
            <w:pict>
              <v:line id="Line 9" o:spid="_x0000_s1026" o:spt="20" style="position:absolute;left:0pt;flip:y;margin-left:177.3pt;margin-top:-410.65pt;height:46.85pt;width:0pt;mso-position-horizontal-relative:char;mso-position-vertical-relative:line;z-index:251663360;mso-width-relative:page;mso-height-relative:page;" filled="f" stroked="f" coordsize="21600,21600" o:gfxdata="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6MpevbAAAADQEAAA8AAAAAAAAAAQAgAAAAIgAAAGRycy9kb3ducmV2LnhtbFBLAQIUABQA&#10;AAAIAIdO4kBe4woNtAEAAHQDAAAOAAAAAAAAAAEAIAAAACoBAABkcnMvZTJvRG9jLnhtbFBLBQYA&#10;AAAABgAGAFkBAABQBQAAAAA=&#10;">
                <v:fill on="f" focussize="0,0"/>
                <v:stroke on="f"/>
                <v:imagedata o:title=""/>
                <o:lock v:ext="edit" aspectratio="f"/>
              </v:line>
            </w:pict>
          </mc:Fallback>
        </mc:AlternateContent>
      </w:r>
      <w:r>
        <w:rPr>
          <w:b w:val="0"/>
          <w:bCs/>
          <w:color w:val="auto"/>
        </w:rPr>
        <mc:AlternateContent>
          <mc:Choice Requires="wps">
            <w:drawing>
              <wp:anchor distT="0" distB="0" distL="114300" distR="114300" simplePos="0" relativeHeight="251662336" behindDoc="0" locked="0" layoutInCell="1" allowOverlap="1">
                <wp:simplePos x="0" y="0"/>
                <wp:positionH relativeFrom="character">
                  <wp:posOffset>2099310</wp:posOffset>
                </wp:positionH>
                <wp:positionV relativeFrom="line">
                  <wp:posOffset>-5367655</wp:posOffset>
                </wp:positionV>
                <wp:extent cx="0" cy="594995"/>
                <wp:effectExtent l="0" t="0" r="0" b="0"/>
                <wp:wrapNone/>
                <wp:docPr id="55933724" name="直线 2701"/>
                <wp:cNvGraphicFramePr/>
                <a:graphic xmlns:a="http://schemas.openxmlformats.org/drawingml/2006/main">
                  <a:graphicData uri="http://schemas.microsoft.com/office/word/2010/wordprocessingShape">
                    <wps:wsp>
                      <wps:cNvCnPr>
                        <a:cxnSpLocks noChangeShapeType="1"/>
                      </wps:cNvCnPr>
                      <wps:spPr bwMode="auto">
                        <a:xfrm flipV="1">
                          <a:off x="0" y="0"/>
                          <a:ext cx="0" cy="594995"/>
                        </a:xfrm>
                        <a:prstGeom prst="line">
                          <a:avLst/>
                        </a:prstGeom>
                        <a:noFill/>
                        <a:ln>
                          <a:noFill/>
                        </a:ln>
                      </wps:spPr>
                      <wps:bodyPr/>
                    </wps:wsp>
                  </a:graphicData>
                </a:graphic>
              </wp:anchor>
            </w:drawing>
          </mc:Choice>
          <mc:Fallback>
            <w:pict>
              <v:line id="直线 2701" o:spid="_x0000_s1026" o:spt="20" style="position:absolute;left:0pt;flip:y;margin-left:165.3pt;margin-top:-422.65pt;height:46.85pt;width:0pt;mso-position-horizontal-relative:char;mso-position-vertical-relative:line;z-index:251662336;mso-width-relative:page;mso-height-relative:page;" filled="f" stroked="f" coordsize="21600,21600" o:gfxdata="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rzimb2gAAAA0BAAAPAAAAAAAAAAEAIAAAACIAAABkcnMvZG93&#10;bnJldi54bWxQSwECFAAUAAAACACHTuJAZSLAwsUBAAB4AwAADgAAAAAAAAABACAAAAApAQAAZHJz&#10;L2Uyb0RvYy54bWxQSwUGAAAAAAYABgBZAQAAYAUAAAAA&#10;">
                <v:fill on="f" focussize="0,0"/>
                <v:stroke on="f"/>
                <v:imagedata o:title=""/>
                <o:lock v:ext="edit" aspectratio="f"/>
              </v:line>
            </w:pict>
          </mc:Fallback>
        </mc:AlternateContent>
      </w:r>
      <w:r>
        <w:rPr>
          <w:b w:val="0"/>
          <w:bCs/>
          <w:color w:val="auto"/>
        </w:rPr>
        <w:t>。</w:t>
      </w:r>
    </w:p>
    <w:p w14:paraId="3F63EBFB">
      <w:pPr>
        <w:pStyle w:val="24"/>
        <w:keepNext w:val="0"/>
        <w:keepLines w:val="0"/>
        <w:pageBreakBefore w:val="0"/>
        <w:widowControl w:val="0"/>
        <w:kinsoku/>
        <w:wordWrap/>
        <w:overflowPunct/>
        <w:topLinePunct w:val="0"/>
        <w:autoSpaceDE/>
        <w:autoSpaceDN/>
        <w:bidi w:val="0"/>
        <w:adjustRightInd/>
        <w:snapToGrid/>
        <w:spacing w:line="240" w:lineRule="auto"/>
        <w:textAlignment w:val="auto"/>
        <w:rPr>
          <w:b w:val="0"/>
          <w:bCs/>
          <w:color w:val="auto"/>
          <w:sz w:val="21"/>
          <w:szCs w:val="21"/>
        </w:rPr>
      </w:pPr>
      <w:r>
        <w:rPr>
          <w:rFonts w:hint="eastAsia"/>
          <w:b w:val="0"/>
          <w:bCs/>
          <w:color w:val="auto"/>
          <w:sz w:val="21"/>
          <w:szCs w:val="21"/>
          <w:lang w:val="en-US" w:eastAsia="zh-CN"/>
        </w:rPr>
        <w:t xml:space="preserve">图2.1-1  </w:t>
      </w:r>
      <w:r>
        <w:rPr>
          <w:rFonts w:hint="eastAsia"/>
          <w:b w:val="0"/>
          <w:bCs/>
          <w:color w:val="auto"/>
          <w:sz w:val="21"/>
          <w:szCs w:val="21"/>
        </w:rPr>
        <w:t>项目</w:t>
      </w:r>
      <w:r>
        <w:rPr>
          <w:rFonts w:hint="eastAsia"/>
          <w:b w:val="0"/>
          <w:bCs/>
          <w:color w:val="auto"/>
          <w:sz w:val="21"/>
          <w:szCs w:val="21"/>
          <w:lang w:val="en-US" w:eastAsia="zh-CN"/>
        </w:rPr>
        <w:t>交通</w:t>
      </w:r>
      <w:r>
        <w:rPr>
          <w:rFonts w:hint="eastAsia"/>
          <w:b w:val="0"/>
          <w:bCs/>
          <w:color w:val="auto"/>
          <w:sz w:val="21"/>
          <w:szCs w:val="21"/>
        </w:rPr>
        <w:t>位置图</w:t>
      </w:r>
    </w:p>
    <w:p w14:paraId="60279F9E">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rPr>
      </w:pPr>
      <w:bookmarkStart w:id="76" w:name="_Toc7150"/>
      <w:r>
        <w:rPr>
          <w:rFonts w:hint="eastAsia" w:ascii="Times New Roman" w:hAnsi="Times New Roman" w:cs="Times New Roman"/>
          <w:bCs/>
          <w:color w:val="auto"/>
          <w:sz w:val="28"/>
          <w:szCs w:val="28"/>
        </w:rPr>
        <w:t>2.1.4项目周边环境</w:t>
      </w:r>
      <w:bookmarkEnd w:id="76"/>
    </w:p>
    <w:p w14:paraId="799D3692">
      <w:pPr>
        <w:bidi w:val="0"/>
        <w:rPr>
          <w:rFonts w:hint="eastAsia" w:cs="宋体" w:asciiTheme="minorEastAsia" w:hAnsiTheme="minorEastAsia" w:eastAsiaTheme="minorEastAsia"/>
          <w:b w:val="0"/>
          <w:bCs/>
          <w:color w:val="auto"/>
          <w:szCs w:val="28"/>
          <w:lang w:bidi="ar"/>
        </w:rPr>
      </w:pPr>
      <w:r>
        <w:rPr>
          <w:rFonts w:hint="eastAsia" w:cs="宋体" w:asciiTheme="minorEastAsia" w:hAnsiTheme="minorEastAsia" w:eastAsiaTheme="minorEastAsia"/>
          <w:b w:val="0"/>
          <w:bCs/>
          <w:color w:val="auto"/>
          <w:szCs w:val="28"/>
          <w:lang w:val="en-US" w:eastAsia="zh-CN" w:bidi="ar"/>
        </w:rPr>
        <w:t>选矿厂北面848m为老寨，东面360m为零散住户，西南面577m为老街，西面110m、130m、240m为零散住户，西面445m为马关县玉兔矿业有限公司选厂、682m为马关玉兔矿业有限公司尾矿库</w:t>
      </w:r>
      <w:r>
        <w:rPr>
          <w:rFonts w:hint="eastAsia" w:cs="宋体" w:asciiTheme="minorEastAsia" w:hAnsiTheme="minorEastAsia" w:eastAsiaTheme="minorEastAsia"/>
          <w:b w:val="0"/>
          <w:bCs/>
          <w:color w:val="auto"/>
          <w:szCs w:val="28"/>
          <w:lang w:bidi="ar"/>
        </w:rPr>
        <w:t>。</w:t>
      </w:r>
    </w:p>
    <w:p w14:paraId="33013BF3">
      <w:pPr>
        <w:bidi w:val="0"/>
        <w:rPr>
          <w:rFonts w:hint="eastAsia" w:cs="宋体" w:asciiTheme="minorEastAsia" w:hAnsiTheme="minorEastAsia" w:eastAsiaTheme="minorEastAsia"/>
          <w:b w:val="0"/>
          <w:bCs/>
          <w:color w:val="auto"/>
          <w:szCs w:val="28"/>
          <w:lang w:bidi="ar"/>
        </w:rPr>
      </w:pPr>
      <w:r>
        <w:rPr>
          <w:rFonts w:hint="eastAsia" w:cs="宋体" w:asciiTheme="minorEastAsia" w:hAnsiTheme="minorEastAsia" w:eastAsiaTheme="minorEastAsia"/>
          <w:b w:val="0"/>
          <w:bCs/>
          <w:color w:val="auto"/>
          <w:szCs w:val="28"/>
          <w:lang w:bidi="ar"/>
        </w:rPr>
        <w:t>项目未在</w:t>
      </w:r>
      <w:r>
        <w:rPr>
          <w:rFonts w:hint="eastAsia" w:cs="宋体" w:asciiTheme="minorEastAsia" w:hAnsiTheme="minorEastAsia" w:eastAsiaTheme="minorEastAsia"/>
          <w:b w:val="0"/>
          <w:bCs/>
          <w:color w:val="auto"/>
          <w:szCs w:val="28"/>
          <w:lang w:eastAsia="zh-CN" w:bidi="ar"/>
        </w:rPr>
        <w:t>“</w:t>
      </w:r>
      <w:r>
        <w:rPr>
          <w:rFonts w:hint="eastAsia" w:cs="宋体" w:asciiTheme="minorEastAsia" w:hAnsiTheme="minorEastAsia" w:eastAsiaTheme="minorEastAsia"/>
          <w:b w:val="0"/>
          <w:bCs/>
          <w:color w:val="auto"/>
          <w:szCs w:val="28"/>
          <w:lang w:bidi="ar"/>
        </w:rPr>
        <w:t>四区</w:t>
      </w:r>
      <w:r>
        <w:rPr>
          <w:rFonts w:hint="eastAsia" w:cs="宋体" w:asciiTheme="minorEastAsia" w:hAnsiTheme="minorEastAsia" w:eastAsiaTheme="minorEastAsia"/>
          <w:b w:val="0"/>
          <w:bCs/>
          <w:color w:val="auto"/>
          <w:szCs w:val="28"/>
          <w:lang w:eastAsia="zh-CN" w:bidi="ar"/>
        </w:rPr>
        <w:t>”</w:t>
      </w:r>
      <w:r>
        <w:rPr>
          <w:rFonts w:hint="eastAsia" w:cs="宋体" w:asciiTheme="minorEastAsia" w:hAnsiTheme="minorEastAsia" w:eastAsiaTheme="minorEastAsia"/>
          <w:b w:val="0"/>
          <w:bCs/>
          <w:color w:val="auto"/>
          <w:szCs w:val="28"/>
          <w:lang w:bidi="ar"/>
        </w:rPr>
        <w:t>（城市规划区、风景名胜区、重要水源区、重要地质遗迹区）范围内。</w:t>
      </w:r>
    </w:p>
    <w:p w14:paraId="4FC87D5C">
      <w:pPr>
        <w:bidi w:val="0"/>
        <w:rPr>
          <w:rFonts w:hint="eastAsia" w:cs="宋体" w:asciiTheme="minorEastAsia" w:hAnsiTheme="minorEastAsia" w:eastAsiaTheme="minorEastAsia"/>
          <w:b w:val="0"/>
          <w:bCs/>
          <w:color w:val="auto"/>
          <w:szCs w:val="28"/>
          <w:lang w:bidi="ar"/>
        </w:rPr>
      </w:pPr>
      <w:r>
        <w:rPr>
          <w:rFonts w:hint="eastAsia" w:cs="宋体" w:asciiTheme="minorEastAsia" w:hAnsiTheme="minorEastAsia" w:eastAsiaTheme="minorEastAsia"/>
          <w:b w:val="0"/>
          <w:bCs/>
          <w:color w:val="auto"/>
          <w:szCs w:val="28"/>
          <w:lang w:bidi="ar"/>
        </w:rPr>
        <w:t>项目</w:t>
      </w:r>
      <w:r>
        <w:rPr>
          <w:rFonts w:hint="eastAsia" w:cs="宋体" w:asciiTheme="minorEastAsia" w:hAnsiTheme="minorEastAsia" w:eastAsiaTheme="minorEastAsia"/>
          <w:b w:val="0"/>
          <w:bCs/>
          <w:color w:val="auto"/>
          <w:szCs w:val="28"/>
          <w:lang w:val="en-US" w:eastAsia="zh-CN" w:bidi="ar"/>
        </w:rPr>
        <w:t>周边</w:t>
      </w:r>
      <w:r>
        <w:rPr>
          <w:rFonts w:hint="eastAsia" w:cs="宋体" w:asciiTheme="minorEastAsia" w:hAnsiTheme="minorEastAsia" w:eastAsiaTheme="minorEastAsia"/>
          <w:b w:val="0"/>
          <w:bCs/>
          <w:color w:val="auto"/>
          <w:szCs w:val="28"/>
          <w:lang w:bidi="ar"/>
        </w:rPr>
        <w:t>关系如下图所示：</w:t>
      </w:r>
    </w:p>
    <w:p w14:paraId="0503CAFC">
      <w:pPr>
        <w:pStyle w:val="2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color w:val="auto"/>
          <w:sz w:val="21"/>
          <w:szCs w:val="21"/>
          <w:lang w:val="en-US" w:eastAsia="zh-CN"/>
        </w:rPr>
      </w:pPr>
      <w:r>
        <w:rPr>
          <w:rFonts w:hint="eastAsia"/>
          <w:b w:val="0"/>
          <w:bCs/>
          <w:color w:val="auto"/>
          <w:sz w:val="21"/>
          <w:szCs w:val="21"/>
          <w:lang w:val="en-US" w:eastAsia="zh-CN"/>
        </w:rPr>
        <w:t>图2.1-2  项目</w:t>
      </w:r>
      <w:r>
        <w:rPr>
          <w:rFonts w:hint="eastAsia"/>
          <w:b w:val="0"/>
          <w:bCs/>
          <w:color w:val="auto"/>
          <w:sz w:val="21"/>
          <w:szCs w:val="21"/>
        </w:rPr>
        <w:t>周边环境</w:t>
      </w:r>
      <w:r>
        <w:rPr>
          <w:rFonts w:hint="eastAsia"/>
          <w:b w:val="0"/>
          <w:bCs/>
          <w:color w:val="auto"/>
          <w:sz w:val="21"/>
          <w:szCs w:val="21"/>
          <w:lang w:val="en-US" w:eastAsia="zh-CN"/>
        </w:rPr>
        <w:t>图</w:t>
      </w:r>
    </w:p>
    <w:p w14:paraId="5B582EB6">
      <w:pPr>
        <w:pStyle w:val="24"/>
        <w:bidi w:val="0"/>
        <w:rPr>
          <w:rFonts w:hint="eastAsia"/>
          <w:b w:val="0"/>
          <w:bCs/>
          <w:color w:val="auto"/>
          <w:sz w:val="21"/>
          <w:szCs w:val="21"/>
          <w:lang w:val="en-US" w:eastAsia="zh-CN"/>
        </w:rPr>
      </w:pPr>
    </w:p>
    <w:p w14:paraId="6F3C63B9">
      <w:pPr>
        <w:pStyle w:val="24"/>
        <w:bidi w:val="0"/>
        <w:rPr>
          <w:rFonts w:hint="eastAsia"/>
          <w:b w:val="0"/>
          <w:bCs/>
          <w:color w:val="auto"/>
          <w:sz w:val="21"/>
          <w:szCs w:val="21"/>
          <w:lang w:val="en-US" w:eastAsia="zh-CN"/>
        </w:rPr>
      </w:pPr>
    </w:p>
    <w:p w14:paraId="64AC2B16">
      <w:pPr>
        <w:pStyle w:val="3"/>
        <w:keepNext w:val="0"/>
        <w:keepLines w:val="0"/>
        <w:spacing w:before="0" w:beforeLines="-2147483648" w:beforeAutospacing="0" w:after="0" w:afterLines="-2147483648" w:afterAutospacing="0" w:line="360" w:lineRule="auto"/>
        <w:ind w:firstLine="0" w:firstLineChars="0"/>
        <w:jc w:val="center"/>
        <w:rPr>
          <w:rFonts w:hint="default" w:ascii="Times New Roman" w:hAnsi="Times New Roman" w:eastAsia="黑体" w:cs="Times New Roman"/>
          <w:b/>
          <w:bCs/>
          <w:color w:val="auto"/>
          <w:sz w:val="30"/>
          <w:szCs w:val="30"/>
        </w:rPr>
      </w:pPr>
      <w:bookmarkStart w:id="77" w:name="_Toc2614"/>
      <w:bookmarkStart w:id="78" w:name="_Toc1155"/>
      <w:r>
        <w:rPr>
          <w:rFonts w:hint="eastAsia" w:ascii="Times New Roman" w:hAnsi="Times New Roman" w:eastAsia="黑体" w:cs="Times New Roman"/>
          <w:b/>
          <w:bCs/>
          <w:color w:val="auto"/>
          <w:sz w:val="30"/>
          <w:szCs w:val="30"/>
        </w:rPr>
        <w:t>2.2自然环境</w:t>
      </w:r>
      <w:bookmarkEnd w:id="77"/>
      <w:bookmarkEnd w:id="78"/>
    </w:p>
    <w:p w14:paraId="0FFF3475">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rPr>
      </w:pPr>
      <w:bookmarkStart w:id="79" w:name="_Toc26439"/>
      <w:r>
        <w:rPr>
          <w:rFonts w:hint="eastAsia" w:ascii="Times New Roman" w:hAnsi="Times New Roman" w:cs="Times New Roman"/>
          <w:bCs/>
          <w:color w:val="auto"/>
          <w:sz w:val="28"/>
          <w:szCs w:val="28"/>
        </w:rPr>
        <w:t>2.2.1气象条件</w:t>
      </w:r>
      <w:bookmarkEnd w:id="79"/>
    </w:p>
    <w:p w14:paraId="128E2C81">
      <w:pPr>
        <w:bidi w:val="0"/>
        <w:rPr>
          <w:b w:val="0"/>
          <w:bCs/>
          <w:color w:val="auto"/>
        </w:rPr>
      </w:pPr>
      <w:r>
        <w:rPr>
          <w:rFonts w:hint="eastAsia"/>
          <w:b w:val="0"/>
          <w:bCs/>
          <w:color w:val="auto"/>
        </w:rPr>
        <w:t>项目区属亚热带气候区，具有湿热多雨的气候特征。马关多年平均气温16.9℃，极端最高气温32.3℃，极端最低气温-4℃。由于地形复杂，海拔高差悬殊，气候差异显著，具有“一山分四季，十里不同天”的立体气候特征。由于标高不同，气候垂直分带明显，按其差异性，可分为温热带河谷区：标高107～1000m，位于那母果河、南溪河及其支流、桥头河、响水河、白河流域，年均气温18.2～22.8℃；暖</w:t>
      </w:r>
      <w:r>
        <w:rPr>
          <w:rFonts w:hint="eastAsia"/>
          <w:b w:val="0"/>
          <w:bCs/>
          <w:color w:val="auto"/>
          <w:lang w:eastAsia="zh-CN"/>
        </w:rPr>
        <w:t>热衷</w:t>
      </w:r>
      <w:r>
        <w:rPr>
          <w:rFonts w:hint="eastAsia"/>
          <w:b w:val="0"/>
          <w:bCs/>
          <w:color w:val="auto"/>
        </w:rPr>
        <w:t>山区：标高1000～1600m，分布较广，主要是大栗树南部北部及东部，都竜南部，夹寒箐、木厂南部、马白、仁和、山车、坡脚、平均气温18.2～15.6℃；温凉中山区：标高1600～2579.3m，位于大栗树北西、八寨、篾厂、金城林场、古林箐，年均气温15.6～11.2℃。项目区多年平均降雨量1350.4mm，一日最大降水量111.2mm。。</w:t>
      </w:r>
    </w:p>
    <w:p w14:paraId="7448DF1D">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lang w:val="en-US" w:eastAsia="zh-CN"/>
        </w:rPr>
      </w:pPr>
      <w:bookmarkStart w:id="80" w:name="_Toc6365"/>
      <w:r>
        <w:rPr>
          <w:rFonts w:hint="eastAsia" w:ascii="Times New Roman" w:hAnsi="Times New Roman" w:cs="Times New Roman"/>
          <w:bCs/>
          <w:color w:val="auto"/>
          <w:sz w:val="28"/>
          <w:szCs w:val="28"/>
          <w:lang w:val="en-US" w:eastAsia="zh-CN"/>
        </w:rPr>
        <w:t>2.2.2区域地质构造</w:t>
      </w:r>
      <w:bookmarkEnd w:id="80"/>
    </w:p>
    <w:p w14:paraId="51DACCB6">
      <w:pPr>
        <w:bidi w:val="0"/>
        <w:rPr>
          <w:rFonts w:hint="eastAsia"/>
          <w:b w:val="0"/>
          <w:bCs/>
          <w:color w:val="auto"/>
          <w:lang w:val="en-US" w:eastAsia="zh-CN"/>
        </w:rPr>
      </w:pPr>
      <w:r>
        <w:rPr>
          <w:rFonts w:hint="eastAsia"/>
          <w:b w:val="0"/>
          <w:bCs/>
          <w:color w:val="auto"/>
          <w:lang w:val="en-US" w:eastAsia="zh-CN"/>
        </w:rPr>
        <w:t>选厂所在区域大地构造位置属华南褶皱系（Ⅱ），滇东南褶皱带（Ⅱ</w:t>
      </w:r>
      <w:r>
        <w:rPr>
          <w:rFonts w:hint="eastAsia"/>
          <w:b w:val="0"/>
          <w:bCs/>
          <w:color w:val="auto"/>
          <w:vertAlign w:val="subscript"/>
          <w:lang w:val="en-US" w:eastAsia="zh-CN"/>
        </w:rPr>
        <w:t>1</w:t>
      </w:r>
      <w:r>
        <w:rPr>
          <w:rFonts w:hint="eastAsia"/>
          <w:b w:val="0"/>
          <w:bCs/>
          <w:color w:val="auto"/>
          <w:lang w:val="en-US" w:eastAsia="zh-CN"/>
        </w:rPr>
        <w:t>），文山-富宁断褶束（Ⅱ</w:t>
      </w:r>
      <w:r>
        <w:rPr>
          <w:rFonts w:hint="eastAsia"/>
          <w:b w:val="0"/>
          <w:bCs/>
          <w:color w:val="auto"/>
          <w:vertAlign w:val="subscript"/>
          <w:lang w:val="en-US" w:eastAsia="zh-CN"/>
        </w:rPr>
        <w:t>1</w:t>
      </w:r>
      <w:r>
        <w:rPr>
          <w:rFonts w:hint="eastAsia"/>
          <w:b w:val="0"/>
          <w:bCs/>
          <w:color w:val="auto"/>
          <w:vertAlign w:val="superscript"/>
          <w:lang w:val="en-US" w:eastAsia="zh-CN"/>
        </w:rPr>
        <w:t>3</w:t>
      </w:r>
      <w:r>
        <w:rPr>
          <w:rFonts w:hint="eastAsia"/>
          <w:b w:val="0"/>
          <w:bCs/>
          <w:color w:val="auto"/>
          <w:lang w:val="en-US" w:eastAsia="zh-CN"/>
        </w:rPr>
        <w:t>），西畴拱凹（Ⅱ</w:t>
      </w:r>
      <w:r>
        <w:rPr>
          <w:rFonts w:hint="eastAsia"/>
          <w:b w:val="0"/>
          <w:bCs/>
          <w:color w:val="auto"/>
          <w:vertAlign w:val="subscript"/>
          <w:lang w:val="en-US" w:eastAsia="zh-CN"/>
        </w:rPr>
        <w:t>1</w:t>
      </w:r>
      <w:r>
        <w:rPr>
          <w:rFonts w:hint="eastAsia"/>
          <w:b w:val="0"/>
          <w:bCs/>
          <w:color w:val="auto"/>
          <w:vertAlign w:val="superscript"/>
          <w:lang w:val="en-US" w:eastAsia="zh-CN"/>
        </w:rPr>
        <w:t>3-2</w:t>
      </w:r>
      <w:r>
        <w:rPr>
          <w:rFonts w:hint="eastAsia"/>
          <w:b w:val="0"/>
          <w:bCs/>
          <w:color w:val="auto"/>
          <w:lang w:val="en-US" w:eastAsia="zh-CN"/>
        </w:rPr>
        <w:t>）的南西翼；屏马古陆的南部，马关-都龙断裂北西部，马关落雀向斜北西翼。由于多期次构造运动的演化，导致区内北东、北西向构造十分发育，主要表现为褶皱-断裂复合构造。</w:t>
      </w:r>
    </w:p>
    <w:p w14:paraId="3F1C3B92">
      <w:pPr>
        <w:bidi w:val="0"/>
        <w:rPr>
          <w:rFonts w:hint="eastAsia"/>
          <w:b w:val="0"/>
          <w:bCs/>
          <w:color w:val="auto"/>
          <w:lang w:val="en-US" w:eastAsia="zh-CN"/>
        </w:rPr>
      </w:pPr>
      <w:r>
        <w:rPr>
          <w:rFonts w:hint="eastAsia"/>
          <w:b w:val="0"/>
          <w:bCs/>
          <w:color w:val="auto"/>
          <w:lang w:val="en-US" w:eastAsia="zh-CN"/>
        </w:rPr>
        <w:t>褶皱以都龙老君山花岗岩体为核心组成的复式背斜（穹隆）构造为主体，围绕花岗岩体四周，一系列与背斜构造同步，协调一致的次一级褶皱十分发育，局部褶皱强烈，导致地层倒转（如四角田-大三家倒转背斜）。</w:t>
      </w:r>
    </w:p>
    <w:p w14:paraId="612AFEED">
      <w:pPr>
        <w:bidi w:val="0"/>
        <w:rPr>
          <w:rFonts w:hint="eastAsia"/>
          <w:b w:val="0"/>
          <w:bCs/>
          <w:color w:val="auto"/>
          <w:lang w:val="en-US" w:eastAsia="zh-CN"/>
        </w:rPr>
      </w:pPr>
      <w:r>
        <w:rPr>
          <w:rFonts w:hint="eastAsia"/>
          <w:b w:val="0"/>
          <w:bCs/>
          <w:color w:val="auto"/>
          <w:lang w:val="en-US" w:eastAsia="zh-CN"/>
        </w:rPr>
        <w:t>北西向的文山-麻栗坡断裂与马关-都龙断裂为区域性断裂构造，具有继承性活动特点。老君山成矿区挟持于两大断裂之间，两大断裂对本区地质构造的发展和矿产分布具有明显的控制作用。其次北东、东西、南北向断裂及层间断裂较发育。主要断裂叙述如下：</w:t>
      </w:r>
    </w:p>
    <w:p w14:paraId="1F4E2FCC">
      <w:pPr>
        <w:bidi w:val="0"/>
        <w:rPr>
          <w:rFonts w:hint="eastAsia"/>
          <w:b w:val="0"/>
          <w:bCs/>
          <w:color w:val="auto"/>
          <w:lang w:val="en-US" w:eastAsia="zh-CN"/>
        </w:rPr>
      </w:pPr>
      <w:r>
        <w:rPr>
          <w:rFonts w:hint="eastAsia"/>
          <w:b w:val="0"/>
          <w:bCs/>
          <w:color w:val="auto"/>
          <w:lang w:val="en-US" w:eastAsia="zh-CN"/>
        </w:rPr>
        <w:t>文山-麻栗坡断裂：是区域构造单元的分界线，沿断裂可见破碎带、断层崖、断层三角面，新生代线状盆地亦较发育，断裂走向N60°W，倾向SW，倾角60°以上，走向延长180km，属歹字形构造体系的压扭性断裂。该断裂自晚古生代至新生代具有继承性活动，对滇东南石炭系以后地质发展、构造格架的布局，起到了严格的控制作用。</w:t>
      </w:r>
    </w:p>
    <w:p w14:paraId="127F9496">
      <w:pPr>
        <w:bidi w:val="0"/>
        <w:rPr>
          <w:rFonts w:hint="eastAsia"/>
          <w:b w:val="0"/>
          <w:bCs/>
          <w:color w:val="auto"/>
          <w:lang w:val="en-US" w:eastAsia="zh-CN"/>
        </w:rPr>
      </w:pPr>
      <w:r>
        <w:rPr>
          <w:rFonts w:hint="eastAsia"/>
          <w:b w:val="0"/>
          <w:bCs/>
          <w:color w:val="auto"/>
          <w:lang w:val="en-US" w:eastAsia="zh-CN"/>
        </w:rPr>
        <w:t>马关-都龙断裂：位于老君山花岗岩体南西侧，走向N65°W，经马关、达号至花石头、铜街，走向由北西转为南北，经曼家寨延至田房，走向再次转为北西，延入越南境内。断层倾向南西，倾角40°～55°。断裂带宽5m～20m，该断裂切割较深，与花岗岩体有直接联系，沿断裂带断续充填有花岗斑岩脉及长英岩脉，证实断裂有多期活动。</w:t>
      </w:r>
    </w:p>
    <w:p w14:paraId="10220638">
      <w:pPr>
        <w:bidi w:val="0"/>
        <w:rPr>
          <w:rFonts w:hint="eastAsia"/>
          <w:b w:val="0"/>
          <w:bCs/>
          <w:color w:val="auto"/>
          <w:lang w:val="en-US" w:eastAsia="zh-CN"/>
        </w:rPr>
      </w:pPr>
      <w:r>
        <w:rPr>
          <w:rFonts w:hint="eastAsia"/>
          <w:b w:val="0"/>
          <w:bCs/>
          <w:color w:val="auto"/>
          <w:lang w:val="en-US" w:eastAsia="zh-CN"/>
        </w:rPr>
        <w:t>以上的八寨-底泥断裂、杨柳井-大倮者断裂、文山-麻栗坡断裂、马关-都龙断裂，都属非全新世活动断裂，勘察场地周边10km范围内无全新世活动断裂分布，拟建项目结构设计时地震参数可不计入近场影响。</w:t>
      </w:r>
    </w:p>
    <w:p w14:paraId="598578CD">
      <w:pPr>
        <w:bidi w:val="0"/>
        <w:rPr>
          <w:rFonts w:hint="eastAsia"/>
          <w:b w:val="0"/>
          <w:bCs/>
          <w:color w:val="auto"/>
          <w:lang w:val="en-US" w:eastAsia="zh-CN"/>
        </w:rPr>
      </w:pPr>
    </w:p>
    <w:p w14:paraId="404782F7">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81" w:name="_Toc10283"/>
      <w:bookmarkStart w:id="181" w:name="_GoBack"/>
      <w:bookmarkEnd w:id="181"/>
      <w:r>
        <w:rPr>
          <w:rFonts w:hint="eastAsia" w:ascii="Times New Roman" w:hAnsi="Times New Roman" w:cs="Times New Roman"/>
          <w:bCs/>
          <w:color w:val="auto"/>
          <w:sz w:val="28"/>
          <w:szCs w:val="28"/>
        </w:rPr>
        <w:t>2.</w:t>
      </w:r>
      <w:r>
        <w:rPr>
          <w:rFonts w:hint="eastAsia" w:ascii="Times New Roman" w:hAnsi="Times New Roman" w:cs="Times New Roman"/>
          <w:bCs/>
          <w:color w:val="auto"/>
          <w:sz w:val="28"/>
          <w:szCs w:val="28"/>
          <w:lang w:val="en-US" w:eastAsia="zh-CN"/>
        </w:rPr>
        <w:t>2.3</w:t>
      </w:r>
      <w:r>
        <w:rPr>
          <w:rFonts w:hint="eastAsia" w:ascii="Times New Roman" w:hAnsi="Times New Roman" w:cs="Times New Roman"/>
          <w:bCs/>
          <w:color w:val="auto"/>
          <w:sz w:val="28"/>
          <w:szCs w:val="28"/>
        </w:rPr>
        <w:t>地震及区域稳定性</w:t>
      </w:r>
      <w:bookmarkEnd w:id="81"/>
    </w:p>
    <w:p w14:paraId="1401A4B4">
      <w:pPr>
        <w:bidi w:val="0"/>
        <w:rPr>
          <w:rFonts w:hint="eastAsia" w:eastAsia="宋体"/>
          <w:b w:val="0"/>
          <w:bCs/>
          <w:color w:val="auto"/>
          <w:lang w:eastAsia="zh-CN"/>
        </w:rPr>
      </w:pPr>
      <w:r>
        <w:rPr>
          <w:rFonts w:hint="eastAsia"/>
          <w:b w:val="0"/>
          <w:bCs/>
          <w:color w:val="auto"/>
        </w:rPr>
        <w:t>根据《</w:t>
      </w:r>
      <w:r>
        <w:rPr>
          <w:rFonts w:hint="eastAsia"/>
          <w:b w:val="0"/>
          <w:bCs/>
          <w:color w:val="auto"/>
          <w:lang w:eastAsia="zh-CN"/>
        </w:rPr>
        <w:t>建筑抗震设计标准</w:t>
      </w:r>
      <w:r>
        <w:rPr>
          <w:rFonts w:hint="eastAsia"/>
          <w:b w:val="0"/>
          <w:bCs/>
          <w:color w:val="auto"/>
        </w:rPr>
        <w:t>》（</w:t>
      </w:r>
      <w:r>
        <w:rPr>
          <w:rFonts w:hint="eastAsia"/>
          <w:b w:val="0"/>
          <w:bCs/>
          <w:color w:val="auto"/>
          <w:lang w:eastAsia="zh-CN"/>
        </w:rPr>
        <w:t>GB/T 50011-2010[2024年版]</w:t>
      </w:r>
      <w:r>
        <w:rPr>
          <w:rFonts w:hint="eastAsia"/>
          <w:b w:val="0"/>
          <w:bCs/>
          <w:color w:val="auto"/>
        </w:rPr>
        <w:t>）附录A.0.25划分，勘察区所在的马关县抗震设防烈度为Ⅵ度，设计基本地震加速度值0.05g，所属设计地震分组为第一组。另据</w:t>
      </w:r>
      <w:r>
        <w:rPr>
          <w:rFonts w:hint="eastAsia"/>
          <w:b w:val="0"/>
          <w:bCs/>
          <w:color w:val="auto"/>
          <w:lang w:eastAsia="zh-CN"/>
        </w:rPr>
        <w:t>《中国地震动参数区划图》（GB18306-2015）</w:t>
      </w:r>
      <w:r>
        <w:rPr>
          <w:rFonts w:hint="eastAsia"/>
          <w:b w:val="0"/>
          <w:bCs/>
          <w:color w:val="auto"/>
        </w:rPr>
        <w:t>，勘察区所在的坡脚镇地震基本烈度为Ⅵ度，基本地震动峰值加速度值0.05g，基本地震动加速度反应谱特征值0.35s，根据中国区域地壳稳定性分区图，区域地壳稳定性分级为稳定区。</w:t>
      </w:r>
    </w:p>
    <w:p w14:paraId="25DA9A35">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lang w:eastAsia="zh-CN"/>
        </w:rPr>
      </w:pPr>
      <w:bookmarkStart w:id="82" w:name="_Toc14599"/>
      <w:r>
        <w:rPr>
          <w:rFonts w:hint="eastAsia" w:ascii="Times New Roman" w:hAnsi="Times New Roman" w:cs="Times New Roman"/>
          <w:bCs/>
          <w:color w:val="auto"/>
          <w:sz w:val="28"/>
          <w:szCs w:val="28"/>
          <w:lang w:val="en-US" w:eastAsia="zh-CN"/>
        </w:rPr>
        <w:t>2.2.4</w:t>
      </w:r>
      <w:r>
        <w:rPr>
          <w:rFonts w:hint="eastAsia" w:ascii="Times New Roman" w:hAnsi="Times New Roman" w:cs="Times New Roman"/>
          <w:bCs/>
          <w:color w:val="auto"/>
          <w:sz w:val="28"/>
          <w:szCs w:val="28"/>
        </w:rPr>
        <w:t>水文</w:t>
      </w:r>
      <w:bookmarkEnd w:id="82"/>
    </w:p>
    <w:p w14:paraId="52294210">
      <w:pPr>
        <w:bidi w:val="0"/>
        <w:rPr>
          <w:rFonts w:hint="eastAsia"/>
          <w:b w:val="0"/>
          <w:bCs/>
          <w:color w:val="auto"/>
        </w:rPr>
      </w:pPr>
      <w:r>
        <w:rPr>
          <w:rFonts w:hint="eastAsia"/>
          <w:b w:val="0"/>
          <w:bCs/>
          <w:color w:val="auto"/>
        </w:rPr>
        <w:t>项目区属红河水系，盘龙江从县境北东山车乡打科村入境，沿马关县和西畴县、麻栗坡县交界处流入麻栗坡境内；那母果河从县境北西沿马关县与边县交界、流入马关和河口交界处叫南溪河；白黑河、清水河、响水河、南浦河、小白河、南加河、那崩河为发源于马关县境内的主要河流，这些河流从北至南</w:t>
      </w:r>
      <w:r>
        <w:rPr>
          <w:rFonts w:hint="eastAsia"/>
          <w:b w:val="0"/>
          <w:bCs/>
          <w:color w:val="auto"/>
          <w:lang w:eastAsia="zh-CN"/>
        </w:rPr>
        <w:t>径流</w:t>
      </w:r>
      <w:r>
        <w:rPr>
          <w:rFonts w:hint="eastAsia"/>
          <w:b w:val="0"/>
          <w:bCs/>
          <w:color w:val="auto"/>
        </w:rPr>
        <w:t>，贯穿了马关县域50%区域，最终流入越南境内汇入斋河。</w:t>
      </w:r>
    </w:p>
    <w:p w14:paraId="647223C1">
      <w:pPr>
        <w:bidi w:val="0"/>
        <w:rPr>
          <w:rFonts w:hint="eastAsia"/>
          <w:b w:val="0"/>
          <w:bCs/>
          <w:color w:val="auto"/>
        </w:rPr>
      </w:pPr>
      <w:r>
        <w:rPr>
          <w:rFonts w:hint="eastAsia"/>
          <w:b w:val="0"/>
          <w:bCs/>
          <w:color w:val="auto"/>
        </w:rPr>
        <w:t>红河：发源于云南省中部，河源海拔2650m，上游称礼社河，接纳东侧支流绿汁江后称元江，流至红河州后称红河，再经河口入越南，到河内分支流入太平洋的北部湾，全长约1200km。中国境内河长692km，流域面积3.81万km</w:t>
      </w:r>
      <w:r>
        <w:rPr>
          <w:rFonts w:hint="eastAsia"/>
          <w:b w:val="0"/>
          <w:bCs/>
          <w:color w:val="auto"/>
          <w:vertAlign w:val="superscript"/>
        </w:rPr>
        <w:t>2</w:t>
      </w:r>
      <w:r>
        <w:rPr>
          <w:rFonts w:hint="eastAsia"/>
          <w:b w:val="0"/>
          <w:bCs/>
          <w:color w:val="auto"/>
        </w:rPr>
        <w:t>。全年径流不稳定，雨季时高达9500m</w:t>
      </w:r>
      <w:r>
        <w:rPr>
          <w:rFonts w:hint="eastAsia"/>
          <w:b w:val="0"/>
          <w:bCs/>
          <w:color w:val="auto"/>
          <w:vertAlign w:val="superscript"/>
        </w:rPr>
        <w:t>3</w:t>
      </w:r>
      <w:r>
        <w:rPr>
          <w:rFonts w:hint="eastAsia"/>
          <w:b w:val="0"/>
          <w:bCs/>
          <w:color w:val="auto"/>
        </w:rPr>
        <w:t>/s，平均流量4688m</w:t>
      </w:r>
      <w:r>
        <w:rPr>
          <w:rFonts w:hint="eastAsia"/>
          <w:b w:val="0"/>
          <w:bCs/>
          <w:color w:val="auto"/>
          <w:vertAlign w:val="superscript"/>
        </w:rPr>
        <w:t>3</w:t>
      </w:r>
      <w:r>
        <w:rPr>
          <w:rFonts w:hint="eastAsia"/>
          <w:b w:val="0"/>
          <w:bCs/>
          <w:color w:val="auto"/>
        </w:rPr>
        <w:t>/s，年输沙量1.3亿t。</w:t>
      </w:r>
    </w:p>
    <w:p w14:paraId="018A1055">
      <w:pPr>
        <w:bidi w:val="0"/>
        <w:rPr>
          <w:rFonts w:hint="eastAsia"/>
          <w:b w:val="0"/>
          <w:bCs/>
          <w:color w:val="auto"/>
        </w:rPr>
      </w:pPr>
      <w:r>
        <w:rPr>
          <w:rFonts w:hint="eastAsia"/>
          <w:b w:val="0"/>
          <w:bCs/>
          <w:color w:val="auto"/>
        </w:rPr>
        <w:t>盘龙江：发源于砚山县平远街西南银子梁山和味喱克东牛鼻子洞，东南流经文山市及西畴、马关、麻栗坡3县，于船头出国境入越南（称泸江），至宣光东南折西南径流，于越池附近汇入红河。国境内长279km，流域面积6123km</w:t>
      </w:r>
      <w:r>
        <w:rPr>
          <w:rFonts w:hint="eastAsia"/>
          <w:b w:val="0"/>
          <w:bCs/>
          <w:color w:val="auto"/>
          <w:vertAlign w:val="superscript"/>
        </w:rPr>
        <w:t>2</w:t>
      </w:r>
      <w:r>
        <w:rPr>
          <w:rFonts w:hint="eastAsia"/>
          <w:b w:val="0"/>
          <w:bCs/>
          <w:color w:val="auto"/>
        </w:rPr>
        <w:t>。河流多年平均流量86.2m</w:t>
      </w:r>
      <w:r>
        <w:rPr>
          <w:rFonts w:hint="eastAsia"/>
          <w:b w:val="0"/>
          <w:bCs/>
          <w:color w:val="auto"/>
          <w:vertAlign w:val="superscript"/>
        </w:rPr>
        <w:t>3</w:t>
      </w:r>
      <w:r>
        <w:rPr>
          <w:rFonts w:hint="eastAsia"/>
          <w:b w:val="0"/>
          <w:bCs/>
          <w:color w:val="auto"/>
        </w:rPr>
        <w:t>/s，年径流量25.2亿m</w:t>
      </w:r>
      <w:r>
        <w:rPr>
          <w:rFonts w:hint="eastAsia"/>
          <w:b w:val="0"/>
          <w:bCs/>
          <w:color w:val="auto"/>
          <w:vertAlign w:val="superscript"/>
        </w:rPr>
        <w:t>3</w:t>
      </w:r>
      <w:r>
        <w:rPr>
          <w:rFonts w:hint="eastAsia"/>
          <w:b w:val="0"/>
          <w:bCs/>
          <w:color w:val="auto"/>
        </w:rPr>
        <w:t>。河平均宽35m，天然落差1353.6m，平均比降5.76‰。</w:t>
      </w:r>
    </w:p>
    <w:p w14:paraId="7FFF446B">
      <w:pPr>
        <w:bidi w:val="0"/>
        <w:rPr>
          <w:rFonts w:hint="eastAsia"/>
          <w:b w:val="0"/>
          <w:bCs/>
          <w:color w:val="auto"/>
        </w:rPr>
      </w:pPr>
      <w:r>
        <w:rPr>
          <w:rFonts w:hint="eastAsia"/>
          <w:b w:val="0"/>
          <w:bCs/>
          <w:color w:val="auto"/>
        </w:rPr>
        <w:t>南溪河：发源于蒙自县芷村镇庄寨水库，由北西向南东径流，于河口县城汇入红河，全长140km。据南溪街站多年水文监测资料，历年最大流量144m</w:t>
      </w:r>
      <w:r>
        <w:rPr>
          <w:rFonts w:hint="eastAsia"/>
          <w:b w:val="0"/>
          <w:bCs/>
          <w:color w:val="auto"/>
          <w:vertAlign w:val="superscript"/>
        </w:rPr>
        <w:t>3</w:t>
      </w:r>
      <w:r>
        <w:rPr>
          <w:rFonts w:hint="eastAsia"/>
          <w:b w:val="0"/>
          <w:bCs/>
          <w:color w:val="auto"/>
        </w:rPr>
        <w:t>/s，最小流量56.5m</w:t>
      </w:r>
      <w:r>
        <w:rPr>
          <w:rFonts w:hint="eastAsia"/>
          <w:b w:val="0"/>
          <w:bCs/>
          <w:color w:val="auto"/>
          <w:vertAlign w:val="superscript"/>
        </w:rPr>
        <w:t>3</w:t>
      </w:r>
      <w:r>
        <w:rPr>
          <w:rFonts w:hint="eastAsia"/>
          <w:b w:val="0"/>
          <w:bCs/>
          <w:color w:val="auto"/>
        </w:rPr>
        <w:t>/s，平均流量92.2m</w:t>
      </w:r>
      <w:r>
        <w:rPr>
          <w:rFonts w:hint="eastAsia"/>
          <w:b w:val="0"/>
          <w:bCs/>
          <w:color w:val="auto"/>
          <w:vertAlign w:val="superscript"/>
        </w:rPr>
        <w:t>3</w:t>
      </w:r>
      <w:r>
        <w:rPr>
          <w:rFonts w:hint="eastAsia"/>
          <w:b w:val="0"/>
          <w:bCs/>
          <w:color w:val="auto"/>
        </w:rPr>
        <w:t>/s，历年最大径流量35.05亿m</w:t>
      </w:r>
      <w:r>
        <w:rPr>
          <w:rFonts w:hint="eastAsia"/>
          <w:b w:val="0"/>
          <w:bCs/>
          <w:color w:val="auto"/>
          <w:vertAlign w:val="superscript"/>
        </w:rPr>
        <w:t>3</w:t>
      </w:r>
      <w:r>
        <w:rPr>
          <w:rFonts w:hint="eastAsia"/>
          <w:b w:val="0"/>
          <w:bCs/>
          <w:color w:val="auto"/>
        </w:rPr>
        <w:t>，最小径流量18.01亿m</w:t>
      </w:r>
      <w:r>
        <w:rPr>
          <w:rFonts w:hint="eastAsia"/>
          <w:b w:val="0"/>
          <w:bCs/>
          <w:color w:val="auto"/>
          <w:vertAlign w:val="superscript"/>
        </w:rPr>
        <w:t>3</w:t>
      </w:r>
      <w:r>
        <w:rPr>
          <w:rFonts w:hint="eastAsia"/>
          <w:b w:val="0"/>
          <w:bCs/>
          <w:color w:val="auto"/>
        </w:rPr>
        <w:t>，平均径流量29.11亿m</w:t>
      </w:r>
      <w:r>
        <w:rPr>
          <w:rFonts w:hint="eastAsia"/>
          <w:b w:val="0"/>
          <w:bCs/>
          <w:color w:val="auto"/>
          <w:vertAlign w:val="superscript"/>
        </w:rPr>
        <w:t>3</w:t>
      </w:r>
      <w:r>
        <w:rPr>
          <w:rFonts w:hint="eastAsia"/>
          <w:b w:val="0"/>
          <w:bCs/>
          <w:color w:val="auto"/>
        </w:rPr>
        <w:t>；历年径流深845.90mm，最大洪峰流量1450m</w:t>
      </w:r>
      <w:r>
        <w:rPr>
          <w:rFonts w:hint="eastAsia"/>
          <w:b w:val="0"/>
          <w:bCs/>
          <w:color w:val="auto"/>
          <w:vertAlign w:val="superscript"/>
        </w:rPr>
        <w:t>3</w:t>
      </w:r>
      <w:r>
        <w:rPr>
          <w:rFonts w:hint="eastAsia"/>
          <w:b w:val="0"/>
          <w:bCs/>
          <w:color w:val="auto"/>
        </w:rPr>
        <w:t>/s，最枯流量11.30m</w:t>
      </w:r>
      <w:r>
        <w:rPr>
          <w:rFonts w:hint="eastAsia"/>
          <w:b w:val="0"/>
          <w:bCs/>
          <w:color w:val="auto"/>
          <w:vertAlign w:val="superscript"/>
        </w:rPr>
        <w:t>3</w:t>
      </w:r>
      <w:r>
        <w:rPr>
          <w:rFonts w:hint="eastAsia"/>
          <w:b w:val="0"/>
          <w:bCs/>
          <w:color w:val="auto"/>
        </w:rPr>
        <w:t>/s，平均河床比降11.0‰。</w:t>
      </w:r>
    </w:p>
    <w:p w14:paraId="65D137FE">
      <w:pPr>
        <w:bidi w:val="0"/>
        <w:rPr>
          <w:rFonts w:hint="eastAsia"/>
          <w:b w:val="0"/>
          <w:bCs/>
          <w:color w:val="auto"/>
        </w:rPr>
      </w:pPr>
      <w:r>
        <w:rPr>
          <w:rFonts w:hint="eastAsia"/>
          <w:b w:val="0"/>
          <w:bCs/>
          <w:color w:val="auto"/>
        </w:rPr>
        <w:t>那母果河（又名新桥河）：属南溪河一级支流，发源于文山州文山市，主体由北向南径流，沿途流经白云乡，于白河乡大水沟村委会汇入南溪河，全长约145km，流域面积约250km</w:t>
      </w:r>
      <w:r>
        <w:rPr>
          <w:rFonts w:hint="eastAsia"/>
          <w:b w:val="0"/>
          <w:bCs/>
          <w:color w:val="auto"/>
          <w:vertAlign w:val="superscript"/>
        </w:rPr>
        <w:t>2</w:t>
      </w:r>
      <w:r>
        <w:rPr>
          <w:rFonts w:hint="eastAsia"/>
          <w:b w:val="0"/>
          <w:bCs/>
          <w:color w:val="auto"/>
        </w:rPr>
        <w:t>，平均河床比降2.5‰，常年流量15.5m</w:t>
      </w:r>
      <w:r>
        <w:rPr>
          <w:rFonts w:hint="eastAsia"/>
          <w:b w:val="0"/>
          <w:bCs/>
          <w:color w:val="auto"/>
          <w:vertAlign w:val="superscript"/>
        </w:rPr>
        <w:t>3</w:t>
      </w:r>
      <w:r>
        <w:rPr>
          <w:rFonts w:hint="eastAsia"/>
          <w:b w:val="0"/>
          <w:bCs/>
          <w:color w:val="auto"/>
        </w:rPr>
        <w:t>/s。</w:t>
      </w:r>
    </w:p>
    <w:p w14:paraId="2B65CC1C">
      <w:pPr>
        <w:bidi w:val="0"/>
        <w:rPr>
          <w:rFonts w:hint="eastAsia"/>
          <w:b w:val="0"/>
          <w:bCs/>
          <w:color w:val="auto"/>
        </w:rPr>
      </w:pPr>
      <w:r>
        <w:rPr>
          <w:rFonts w:hint="eastAsia"/>
          <w:b w:val="0"/>
          <w:bCs/>
          <w:color w:val="auto"/>
        </w:rPr>
        <w:t>斋河：发源于</w:t>
      </w:r>
      <w:r>
        <w:rPr>
          <w:rFonts w:hint="eastAsia"/>
          <w:b w:val="0"/>
          <w:bCs/>
          <w:color w:val="auto"/>
        </w:rPr>
        <w:fldChar w:fldCharType="begin"/>
      </w:r>
      <w:r>
        <w:rPr>
          <w:rFonts w:hint="eastAsia"/>
          <w:b w:val="0"/>
          <w:bCs/>
          <w:color w:val="auto"/>
        </w:rPr>
        <w:instrText xml:space="preserve">HYPERLINK "http://baike.baidu.com/view/4205.htm" \t "_blank"</w:instrText>
      </w:r>
      <w:r>
        <w:rPr>
          <w:rFonts w:hint="eastAsia"/>
          <w:b w:val="0"/>
          <w:bCs/>
          <w:color w:val="auto"/>
        </w:rPr>
        <w:fldChar w:fldCharType="separate"/>
      </w:r>
      <w:r>
        <w:rPr>
          <w:rFonts w:hint="eastAsia"/>
          <w:b w:val="0"/>
          <w:bCs/>
          <w:color w:val="auto"/>
        </w:rPr>
        <w:t>越南</w:t>
      </w:r>
      <w:r>
        <w:rPr>
          <w:rFonts w:hint="eastAsia"/>
          <w:b w:val="0"/>
          <w:bCs/>
          <w:color w:val="auto"/>
        </w:rPr>
        <w:fldChar w:fldCharType="end"/>
      </w:r>
      <w:r>
        <w:rPr>
          <w:rFonts w:hint="eastAsia"/>
          <w:b w:val="0"/>
          <w:bCs/>
          <w:color w:val="auto"/>
        </w:rPr>
        <w:fldChar w:fldCharType="begin"/>
      </w:r>
      <w:r>
        <w:rPr>
          <w:rFonts w:hint="eastAsia"/>
          <w:b w:val="0"/>
          <w:bCs/>
          <w:color w:val="auto"/>
        </w:rPr>
        <w:instrText xml:space="preserve">HYPERLINK "http://baike.baidu.com/view/1201758.htm" \t "_blank"</w:instrText>
      </w:r>
      <w:r>
        <w:rPr>
          <w:rFonts w:hint="eastAsia"/>
          <w:b w:val="0"/>
          <w:bCs/>
          <w:color w:val="auto"/>
        </w:rPr>
        <w:fldChar w:fldCharType="separate"/>
      </w:r>
      <w:r>
        <w:rPr>
          <w:rFonts w:hint="eastAsia"/>
          <w:b w:val="0"/>
          <w:bCs/>
          <w:color w:val="auto"/>
        </w:rPr>
        <w:t>河江省</w:t>
      </w:r>
      <w:r>
        <w:rPr>
          <w:rFonts w:hint="eastAsia"/>
          <w:b w:val="0"/>
          <w:bCs/>
          <w:color w:val="auto"/>
        </w:rPr>
        <w:fldChar w:fldCharType="end"/>
      </w:r>
      <w:r>
        <w:rPr>
          <w:rFonts w:hint="eastAsia"/>
          <w:b w:val="0"/>
          <w:bCs/>
          <w:color w:val="auto"/>
        </w:rPr>
        <w:t>南夸附近，向西流至越南、中国边界处纳右侧支流小白河后，成为两国界河。北岸为云南省</w:t>
      </w:r>
      <w:r>
        <w:rPr>
          <w:rFonts w:hint="eastAsia"/>
          <w:b w:val="0"/>
          <w:bCs/>
          <w:color w:val="auto"/>
        </w:rPr>
        <w:fldChar w:fldCharType="begin"/>
      </w:r>
      <w:r>
        <w:rPr>
          <w:rFonts w:hint="eastAsia"/>
          <w:b w:val="0"/>
          <w:bCs/>
          <w:color w:val="auto"/>
        </w:rPr>
        <w:instrText xml:space="preserve">HYPERLINK "http://baike.baidu.com/view/409117.htm" \t "_blank"</w:instrText>
      </w:r>
      <w:r>
        <w:rPr>
          <w:rFonts w:hint="eastAsia"/>
          <w:b w:val="0"/>
          <w:bCs/>
          <w:color w:val="auto"/>
        </w:rPr>
        <w:fldChar w:fldCharType="separate"/>
      </w:r>
      <w:r>
        <w:rPr>
          <w:rFonts w:hint="eastAsia"/>
          <w:b w:val="0"/>
          <w:bCs/>
          <w:color w:val="auto"/>
        </w:rPr>
        <w:t>文山壮族苗族自治州</w:t>
      </w:r>
      <w:r>
        <w:rPr>
          <w:rFonts w:hint="eastAsia"/>
          <w:b w:val="0"/>
          <w:bCs/>
          <w:color w:val="auto"/>
        </w:rPr>
        <w:fldChar w:fldCharType="end"/>
      </w:r>
      <w:r>
        <w:rPr>
          <w:rFonts w:hint="eastAsia"/>
          <w:b w:val="0"/>
          <w:bCs/>
          <w:color w:val="auto"/>
        </w:rPr>
        <w:fldChar w:fldCharType="begin"/>
      </w:r>
      <w:r>
        <w:rPr>
          <w:rFonts w:hint="eastAsia"/>
          <w:b w:val="0"/>
          <w:bCs/>
          <w:color w:val="auto"/>
        </w:rPr>
        <w:instrText xml:space="preserve">HYPERLINK "http://baike.baidu.com/view/768868.htm" \t "_blank"</w:instrText>
      </w:r>
      <w:r>
        <w:rPr>
          <w:rFonts w:hint="eastAsia"/>
          <w:b w:val="0"/>
          <w:bCs/>
          <w:color w:val="auto"/>
        </w:rPr>
        <w:fldChar w:fldCharType="separate"/>
      </w:r>
      <w:r>
        <w:rPr>
          <w:rFonts w:hint="eastAsia"/>
          <w:b w:val="0"/>
          <w:bCs/>
          <w:color w:val="auto"/>
        </w:rPr>
        <w:t>马关县</w:t>
      </w:r>
      <w:r>
        <w:rPr>
          <w:rFonts w:hint="eastAsia"/>
          <w:b w:val="0"/>
          <w:bCs/>
          <w:color w:val="auto"/>
        </w:rPr>
        <w:fldChar w:fldCharType="end"/>
      </w:r>
      <w:r>
        <w:rPr>
          <w:rFonts w:hint="eastAsia"/>
          <w:b w:val="0"/>
          <w:bCs/>
          <w:color w:val="auto"/>
        </w:rPr>
        <w:t>，南岸为越南</w:t>
      </w:r>
      <w:r>
        <w:rPr>
          <w:rFonts w:hint="eastAsia"/>
          <w:b w:val="0"/>
          <w:bCs/>
          <w:color w:val="auto"/>
        </w:rPr>
        <w:fldChar w:fldCharType="begin"/>
      </w:r>
      <w:r>
        <w:rPr>
          <w:rFonts w:hint="eastAsia"/>
          <w:b w:val="0"/>
          <w:bCs/>
          <w:color w:val="auto"/>
        </w:rPr>
        <w:instrText xml:space="preserve">HYPERLINK "http://baike.baidu.com/view/432772.htm" \t "_blank"</w:instrText>
      </w:r>
      <w:r>
        <w:rPr>
          <w:rFonts w:hint="eastAsia"/>
          <w:b w:val="0"/>
          <w:bCs/>
          <w:color w:val="auto"/>
        </w:rPr>
        <w:fldChar w:fldCharType="separate"/>
      </w:r>
      <w:r>
        <w:rPr>
          <w:rFonts w:hint="eastAsia"/>
          <w:b w:val="0"/>
          <w:bCs/>
          <w:color w:val="auto"/>
        </w:rPr>
        <w:t>老街省</w:t>
      </w:r>
      <w:r>
        <w:rPr>
          <w:rFonts w:hint="eastAsia"/>
          <w:b w:val="0"/>
          <w:bCs/>
          <w:color w:val="auto"/>
        </w:rPr>
        <w:fldChar w:fldCharType="end"/>
      </w:r>
      <w:r>
        <w:rPr>
          <w:rFonts w:hint="eastAsia"/>
          <w:b w:val="0"/>
          <w:bCs/>
          <w:color w:val="auto"/>
        </w:rPr>
        <w:t>。斋河续流至马关县</w:t>
      </w:r>
      <w:r>
        <w:rPr>
          <w:rFonts w:hint="eastAsia"/>
          <w:b w:val="0"/>
          <w:bCs/>
          <w:color w:val="auto"/>
        </w:rPr>
        <w:fldChar w:fldCharType="begin"/>
      </w:r>
      <w:r>
        <w:rPr>
          <w:rFonts w:hint="eastAsia"/>
          <w:b w:val="0"/>
          <w:bCs/>
          <w:color w:val="auto"/>
        </w:rPr>
        <w:instrText xml:space="preserve">HYPERLINK "http://baike.baidu.com/view/2265384.htm" \t "_blank"</w:instrText>
      </w:r>
      <w:r>
        <w:rPr>
          <w:rFonts w:hint="eastAsia"/>
          <w:b w:val="0"/>
          <w:bCs/>
          <w:color w:val="auto"/>
        </w:rPr>
        <w:fldChar w:fldCharType="separate"/>
      </w:r>
      <w:r>
        <w:rPr>
          <w:rFonts w:hint="eastAsia"/>
          <w:b w:val="0"/>
          <w:bCs/>
          <w:color w:val="auto"/>
        </w:rPr>
        <w:t>小坝子镇</w:t>
      </w:r>
      <w:r>
        <w:rPr>
          <w:rFonts w:hint="eastAsia"/>
          <w:b w:val="0"/>
          <w:bCs/>
          <w:color w:val="auto"/>
        </w:rPr>
        <w:fldChar w:fldCharType="end"/>
      </w:r>
      <w:r>
        <w:rPr>
          <w:rFonts w:hint="eastAsia"/>
          <w:b w:val="0"/>
          <w:bCs/>
          <w:color w:val="auto"/>
        </w:rPr>
        <w:t>拉气附近纳右侧支流大梁子河后，流回越南境内。</w:t>
      </w:r>
    </w:p>
    <w:p w14:paraId="33887976">
      <w:pPr>
        <w:bidi w:val="0"/>
        <w:rPr>
          <w:rFonts w:hint="eastAsia"/>
          <w:b w:val="0"/>
          <w:bCs/>
          <w:color w:val="auto"/>
        </w:rPr>
      </w:pPr>
      <w:r>
        <w:rPr>
          <w:rFonts w:hint="eastAsia"/>
          <w:b w:val="0"/>
          <w:bCs/>
          <w:color w:val="auto"/>
        </w:rPr>
        <w:t>马关县境内白黑河年均流量约3.1m</w:t>
      </w:r>
      <w:r>
        <w:rPr>
          <w:rFonts w:hint="eastAsia"/>
          <w:b w:val="0"/>
          <w:bCs/>
          <w:color w:val="auto"/>
          <w:vertAlign w:val="superscript"/>
        </w:rPr>
        <w:t>3</w:t>
      </w:r>
      <w:r>
        <w:rPr>
          <w:rFonts w:hint="eastAsia"/>
          <w:b w:val="0"/>
          <w:bCs/>
          <w:color w:val="auto"/>
        </w:rPr>
        <w:t>/s；清水河年均流量约7.2m</w:t>
      </w:r>
      <w:r>
        <w:rPr>
          <w:rFonts w:hint="eastAsia"/>
          <w:b w:val="0"/>
          <w:bCs/>
          <w:color w:val="auto"/>
          <w:vertAlign w:val="superscript"/>
        </w:rPr>
        <w:t>3</w:t>
      </w:r>
      <w:r>
        <w:rPr>
          <w:rFonts w:hint="eastAsia"/>
          <w:b w:val="0"/>
          <w:bCs/>
          <w:color w:val="auto"/>
        </w:rPr>
        <w:t>/s；响水河年均流量约29.5m</w:t>
      </w:r>
      <w:r>
        <w:rPr>
          <w:rFonts w:hint="eastAsia"/>
          <w:b w:val="0"/>
          <w:bCs/>
          <w:color w:val="auto"/>
          <w:vertAlign w:val="superscript"/>
        </w:rPr>
        <w:t>3</w:t>
      </w:r>
      <w:r>
        <w:rPr>
          <w:rFonts w:hint="eastAsia"/>
          <w:b w:val="0"/>
          <w:bCs/>
          <w:color w:val="auto"/>
        </w:rPr>
        <w:t>/s；南浦河年均流量约1.2m</w:t>
      </w:r>
      <w:r>
        <w:rPr>
          <w:rFonts w:hint="eastAsia"/>
          <w:b w:val="0"/>
          <w:bCs/>
          <w:color w:val="auto"/>
          <w:vertAlign w:val="superscript"/>
        </w:rPr>
        <w:t>3</w:t>
      </w:r>
      <w:r>
        <w:rPr>
          <w:rFonts w:hint="eastAsia"/>
          <w:b w:val="0"/>
          <w:bCs/>
          <w:color w:val="auto"/>
        </w:rPr>
        <w:t>/s；小白河年均流量约6.4m</w:t>
      </w:r>
      <w:r>
        <w:rPr>
          <w:rFonts w:hint="eastAsia"/>
          <w:b w:val="0"/>
          <w:bCs/>
          <w:color w:val="auto"/>
          <w:vertAlign w:val="superscript"/>
        </w:rPr>
        <w:t>3</w:t>
      </w:r>
      <w:r>
        <w:rPr>
          <w:rFonts w:hint="eastAsia"/>
          <w:b w:val="0"/>
          <w:bCs/>
          <w:color w:val="auto"/>
        </w:rPr>
        <w:t>/s；南加河年均流量约4.1m</w:t>
      </w:r>
      <w:r>
        <w:rPr>
          <w:rFonts w:hint="eastAsia"/>
          <w:b w:val="0"/>
          <w:bCs/>
          <w:color w:val="auto"/>
          <w:vertAlign w:val="superscript"/>
        </w:rPr>
        <w:t>3</w:t>
      </w:r>
      <w:r>
        <w:rPr>
          <w:rFonts w:hint="eastAsia"/>
          <w:b w:val="0"/>
          <w:bCs/>
          <w:color w:val="auto"/>
        </w:rPr>
        <w:t>/s；那崩河年均流量约3.7m</w:t>
      </w:r>
      <w:r>
        <w:rPr>
          <w:rFonts w:hint="eastAsia"/>
          <w:b w:val="0"/>
          <w:bCs/>
          <w:color w:val="auto"/>
          <w:vertAlign w:val="superscript"/>
        </w:rPr>
        <w:t>3</w:t>
      </w:r>
      <w:r>
        <w:rPr>
          <w:rFonts w:hint="eastAsia"/>
          <w:b w:val="0"/>
          <w:bCs/>
          <w:color w:val="auto"/>
        </w:rPr>
        <w:t>/s。</w:t>
      </w:r>
    </w:p>
    <w:p w14:paraId="1A40E3BA">
      <w:pPr>
        <w:bidi w:val="0"/>
        <w:rPr>
          <w:b w:val="0"/>
          <w:bCs/>
          <w:color w:val="auto"/>
        </w:rPr>
      </w:pPr>
      <w:r>
        <w:rPr>
          <w:rFonts w:hint="eastAsia"/>
          <w:b w:val="0"/>
          <w:bCs/>
          <w:color w:val="auto"/>
        </w:rPr>
        <w:t>项目区属斋河流域，场地位于斜坡地段，大气降雨等地表水主要通过周边沟谷汇入小白河及其支流，最终汇入斋河</w:t>
      </w:r>
      <w:r>
        <w:rPr>
          <w:rFonts w:hint="eastAsia"/>
          <w:b w:val="0"/>
          <w:bCs/>
          <w:color w:val="auto"/>
          <w:lang w:val="zh-CN"/>
        </w:rPr>
        <w:t>。</w:t>
      </w:r>
    </w:p>
    <w:p w14:paraId="36C7FF7B">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83" w:name="_Toc2384"/>
      <w:r>
        <w:rPr>
          <w:rFonts w:hint="eastAsia" w:ascii="Times New Roman" w:hAnsi="Times New Roman" w:cs="Times New Roman"/>
          <w:bCs/>
          <w:color w:val="auto"/>
          <w:sz w:val="28"/>
          <w:szCs w:val="28"/>
          <w:lang w:val="en-US" w:eastAsia="zh-CN"/>
        </w:rPr>
        <w:t>2.2.5</w:t>
      </w:r>
      <w:r>
        <w:rPr>
          <w:rFonts w:hint="eastAsia" w:ascii="Times New Roman" w:hAnsi="Times New Roman" w:cs="Times New Roman"/>
          <w:bCs/>
          <w:color w:val="auto"/>
          <w:sz w:val="28"/>
          <w:szCs w:val="28"/>
        </w:rPr>
        <w:t>地形地貌</w:t>
      </w:r>
      <w:bookmarkEnd w:id="83"/>
    </w:p>
    <w:p w14:paraId="57D75C89">
      <w:pPr>
        <w:bidi w:val="0"/>
        <w:rPr>
          <w:rFonts w:hint="eastAsia"/>
          <w:b w:val="0"/>
          <w:bCs/>
          <w:color w:val="auto"/>
        </w:rPr>
      </w:pPr>
      <w:r>
        <w:rPr>
          <w:rFonts w:hint="eastAsia"/>
          <w:b w:val="0"/>
          <w:bCs/>
          <w:color w:val="auto"/>
        </w:rPr>
        <w:t>马关县地处滇东南</w:t>
      </w:r>
      <w:r>
        <w:rPr>
          <w:rFonts w:hint="eastAsia"/>
          <w:b w:val="0"/>
          <w:bCs/>
          <w:color w:val="auto"/>
        </w:rPr>
        <w:fldChar w:fldCharType="begin"/>
      </w:r>
      <w:r>
        <w:rPr>
          <w:rFonts w:hint="eastAsia"/>
          <w:b w:val="0"/>
          <w:bCs/>
          <w:color w:val="auto"/>
        </w:rPr>
        <w:instrText xml:space="preserve"> HYPERLINK "http://baike.sogou.com/lemma/ShowInnerLink.htm?lemmaId=587621&amp;ss_c=ssc.citiao.link" \t "_blank" </w:instrText>
      </w:r>
      <w:r>
        <w:rPr>
          <w:rFonts w:hint="eastAsia"/>
          <w:b w:val="0"/>
          <w:bCs/>
          <w:color w:val="auto"/>
        </w:rPr>
        <w:fldChar w:fldCharType="separate"/>
      </w:r>
      <w:r>
        <w:rPr>
          <w:rFonts w:hint="eastAsia"/>
          <w:b w:val="0"/>
          <w:bCs/>
          <w:color w:val="auto"/>
        </w:rPr>
        <w:t>岩溶高原</w:t>
      </w:r>
      <w:r>
        <w:rPr>
          <w:rFonts w:hint="eastAsia"/>
          <w:b w:val="0"/>
          <w:bCs/>
          <w:color w:val="auto"/>
        </w:rPr>
        <w:fldChar w:fldCharType="end"/>
      </w:r>
      <w:r>
        <w:rPr>
          <w:rFonts w:hint="eastAsia"/>
          <w:b w:val="0"/>
          <w:bCs/>
          <w:color w:val="auto"/>
        </w:rPr>
        <w:t>南部边缘，拟建项目场区属构造侵蚀中低山地貌，拟建项目场地原始地貌属斜坡地貌，场地及周边原始地形坡度约10-25°，局部大于30°。</w:t>
      </w:r>
    </w:p>
    <w:p w14:paraId="6CF62C6F">
      <w:pPr>
        <w:bidi w:val="0"/>
        <w:rPr>
          <w:rFonts w:hint="eastAsia"/>
          <w:b w:val="0"/>
          <w:bCs/>
          <w:color w:val="auto"/>
        </w:rPr>
      </w:pPr>
      <w:r>
        <w:rPr>
          <w:rFonts w:hint="eastAsia"/>
          <w:b w:val="0"/>
          <w:bCs/>
          <w:color w:val="auto"/>
        </w:rPr>
        <w:t>由于前期选厂建设，场地</w:t>
      </w:r>
      <w:r>
        <w:rPr>
          <w:rFonts w:hint="eastAsia"/>
          <w:b w:val="0"/>
          <w:bCs/>
          <w:color w:val="auto"/>
          <w:lang w:eastAsia="zh-CN"/>
        </w:rPr>
        <w:t>现状</w:t>
      </w:r>
      <w:r>
        <w:rPr>
          <w:rFonts w:hint="eastAsia"/>
          <w:b w:val="0"/>
          <w:bCs/>
          <w:color w:val="auto"/>
        </w:rPr>
        <w:t>为台阶状，局部为斜坡状，各平台之间陡坎高约1.0-2.5m，现状已采用挡土墙进行支护，现状场地标高整体介于1300-1320m之间，高差约20m。</w:t>
      </w:r>
    </w:p>
    <w:p w14:paraId="37DF70D9">
      <w:pPr>
        <w:bidi w:val="0"/>
        <w:rPr>
          <w:rFonts w:hint="eastAsia"/>
          <w:b w:val="0"/>
          <w:bCs/>
          <w:color w:val="auto"/>
        </w:rPr>
      </w:pPr>
      <w:r>
        <w:rPr>
          <w:rFonts w:hint="eastAsia"/>
          <w:b w:val="0"/>
          <w:bCs/>
          <w:color w:val="auto"/>
        </w:rPr>
        <w:t>场地北侧、西侧现状主要为林地，整体地形坡度约10-25°；场地东侧现状为旱地，地形坡度约15-20°场地南侧为原洪德仙尾矿库（已闭库复垦），现状地势较为平缓。</w:t>
      </w:r>
    </w:p>
    <w:p w14:paraId="3C657794">
      <w:pPr>
        <w:bidi w:val="0"/>
        <w:rPr>
          <w:rFonts w:hint="eastAsia"/>
          <w:b w:val="0"/>
          <w:bCs/>
          <w:color w:val="auto"/>
        </w:rPr>
      </w:pPr>
      <w:r>
        <w:rPr>
          <w:rFonts w:hint="eastAsia"/>
          <w:b w:val="0"/>
          <w:bCs/>
          <w:color w:val="auto"/>
          <w:lang w:eastAsia="zh-CN"/>
        </w:rPr>
        <w:t>综上所述</w:t>
      </w:r>
      <w:r>
        <w:rPr>
          <w:rFonts w:hint="eastAsia"/>
          <w:b w:val="0"/>
          <w:bCs/>
          <w:color w:val="auto"/>
        </w:rPr>
        <w:t>，场地内及周边地形地貌条件中等复杂。</w:t>
      </w:r>
    </w:p>
    <w:p w14:paraId="422502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heme="minorBidi"/>
          <w:b w:val="0"/>
          <w:bCs/>
          <w:color w:val="auto"/>
          <w:kern w:val="2"/>
          <w:sz w:val="21"/>
          <w:szCs w:val="21"/>
          <w:lang w:val="en-US" w:eastAsia="zh-CN" w:bidi="ar-SA"/>
        </w:rPr>
      </w:pPr>
      <w:r>
        <w:rPr>
          <w:rFonts w:hint="eastAsia" w:ascii="Times New Roman" w:hAnsi="Times New Roman" w:eastAsia="宋体" w:cstheme="minorBidi"/>
          <w:b w:val="0"/>
          <w:bCs/>
          <w:color w:val="auto"/>
          <w:kern w:val="2"/>
          <w:sz w:val="21"/>
          <w:szCs w:val="21"/>
          <w:lang w:val="en-US" w:eastAsia="zh-CN" w:bidi="ar-SA"/>
        </w:rPr>
        <w:t>图2.2-3  场地现状地形地貌影像图</w:t>
      </w:r>
    </w:p>
    <w:p w14:paraId="769A8418">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rPr>
      </w:pPr>
      <w:bookmarkStart w:id="84" w:name="_Toc4681"/>
      <w:r>
        <w:rPr>
          <w:rFonts w:hint="eastAsia" w:ascii="Times New Roman" w:hAnsi="Times New Roman" w:cs="Times New Roman"/>
          <w:bCs/>
          <w:color w:val="auto"/>
          <w:sz w:val="28"/>
          <w:szCs w:val="28"/>
        </w:rPr>
        <w:t>2.2.6勘察报告结论</w:t>
      </w:r>
      <w:bookmarkEnd w:id="84"/>
    </w:p>
    <w:p w14:paraId="36ED1B87">
      <w:pPr>
        <w:bidi w:val="0"/>
        <w:rPr>
          <w:rFonts w:hint="eastAsia"/>
          <w:b w:val="0"/>
          <w:bCs/>
          <w:color w:val="auto"/>
          <w:lang w:val="en-US" w:eastAsia="zh-CN"/>
        </w:rPr>
      </w:pPr>
      <w:r>
        <w:rPr>
          <w:rFonts w:hint="eastAsia"/>
          <w:b w:val="0"/>
          <w:bCs/>
          <w:color w:val="auto"/>
          <w:lang w:val="en-US" w:eastAsia="zh-CN"/>
        </w:rPr>
        <w:t>（1）场地区域内未发现活断层、滑移体、泥石流等危害建筑物安全的不良工程地质现象存在，地下无埋藏的墓穴、孤石等对工程不利的埋藏物，地质条件未受破坏，场地基本稳定，拟建工程基本适宜。</w:t>
      </w:r>
    </w:p>
    <w:p w14:paraId="00C008E2">
      <w:pPr>
        <w:bidi w:val="0"/>
        <w:rPr>
          <w:rFonts w:hint="eastAsia"/>
          <w:b w:val="0"/>
          <w:bCs/>
          <w:color w:val="auto"/>
          <w:lang w:val="en-US" w:eastAsia="zh-CN"/>
        </w:rPr>
      </w:pPr>
      <w:r>
        <w:rPr>
          <w:rFonts w:hint="eastAsia"/>
          <w:b w:val="0"/>
          <w:bCs/>
          <w:color w:val="auto"/>
          <w:lang w:val="en-US" w:eastAsia="zh-CN"/>
        </w:rPr>
        <w:t>（2）场地内及周边10km范围内无发震断裂分布。</w:t>
      </w:r>
    </w:p>
    <w:p w14:paraId="5FB41602">
      <w:pPr>
        <w:bidi w:val="0"/>
        <w:rPr>
          <w:rFonts w:hint="eastAsia"/>
          <w:b w:val="0"/>
          <w:bCs/>
          <w:color w:val="auto"/>
          <w:lang w:val="en-US" w:eastAsia="zh-CN"/>
        </w:rPr>
      </w:pPr>
      <w:r>
        <w:rPr>
          <w:rFonts w:hint="eastAsia"/>
          <w:b w:val="0"/>
          <w:bCs/>
          <w:color w:val="auto"/>
          <w:lang w:val="en-US" w:eastAsia="zh-CN"/>
        </w:rPr>
        <w:t>（3）本场地地基土浅表层主要为第四系全新统人工活动层（Q</w:t>
      </w:r>
      <w:r>
        <w:rPr>
          <w:rFonts w:hint="eastAsia"/>
          <w:b w:val="0"/>
          <w:bCs/>
          <w:color w:val="auto"/>
          <w:vertAlign w:val="subscript"/>
          <w:lang w:val="en-US" w:eastAsia="zh-CN"/>
        </w:rPr>
        <w:t>4</w:t>
      </w:r>
      <w:r>
        <w:rPr>
          <w:rFonts w:hint="eastAsia"/>
          <w:b w:val="0"/>
          <w:bCs/>
          <w:color w:val="auto"/>
          <w:vertAlign w:val="superscript"/>
          <w:lang w:val="en-US" w:eastAsia="zh-CN"/>
        </w:rPr>
        <w:t>ml</w:t>
      </w:r>
      <w:r>
        <w:rPr>
          <w:rFonts w:hint="eastAsia"/>
          <w:b w:val="0"/>
          <w:bCs/>
          <w:color w:val="auto"/>
          <w:lang w:val="en-US" w:eastAsia="zh-CN"/>
        </w:rPr>
        <w:t>）杂填土，第四系全新统残坡积层（Q</w:t>
      </w:r>
      <w:r>
        <w:rPr>
          <w:rFonts w:hint="eastAsia"/>
          <w:b w:val="0"/>
          <w:bCs/>
          <w:color w:val="auto"/>
          <w:vertAlign w:val="subscript"/>
          <w:lang w:val="en-US" w:eastAsia="zh-CN"/>
        </w:rPr>
        <w:t>4</w:t>
      </w:r>
      <w:r>
        <w:rPr>
          <w:rFonts w:hint="eastAsia"/>
          <w:b w:val="0"/>
          <w:bCs/>
          <w:color w:val="auto"/>
          <w:vertAlign w:val="superscript"/>
          <w:lang w:val="en-US" w:eastAsia="zh-CN"/>
        </w:rPr>
        <w:t>el+dl</w:t>
      </w:r>
      <w:r>
        <w:rPr>
          <w:rFonts w:hint="eastAsia"/>
          <w:b w:val="0"/>
          <w:bCs/>
          <w:color w:val="auto"/>
          <w:lang w:val="en-US" w:eastAsia="zh-CN"/>
        </w:rPr>
        <w:t>）红黏土；下伏基岩为寒武系中统田蓬组（∈</w:t>
      </w:r>
      <w:r>
        <w:rPr>
          <w:rFonts w:hint="eastAsia"/>
          <w:b w:val="0"/>
          <w:bCs/>
          <w:color w:val="auto"/>
          <w:vertAlign w:val="subscript"/>
          <w:lang w:val="en-US" w:eastAsia="zh-CN"/>
        </w:rPr>
        <w:t>2</w:t>
      </w:r>
      <w:r>
        <w:rPr>
          <w:rFonts w:hint="eastAsia"/>
          <w:b w:val="0"/>
          <w:bCs/>
          <w:color w:val="auto"/>
          <w:lang w:val="en-US" w:eastAsia="zh-CN"/>
        </w:rPr>
        <w:t>t）中风化角砾状灰岩。</w:t>
      </w:r>
    </w:p>
    <w:p w14:paraId="5254AAE1">
      <w:pPr>
        <w:bidi w:val="0"/>
        <w:rPr>
          <w:rFonts w:hint="eastAsia"/>
          <w:b w:val="0"/>
          <w:bCs/>
          <w:color w:val="auto"/>
          <w:lang w:val="en-US" w:eastAsia="zh-CN"/>
        </w:rPr>
      </w:pPr>
      <w:r>
        <w:rPr>
          <w:rFonts w:hint="eastAsia"/>
          <w:b w:val="0"/>
          <w:bCs/>
          <w:color w:val="auto"/>
          <w:lang w:val="en-US" w:eastAsia="zh-CN"/>
        </w:rPr>
        <w:t>（4）拟建项目场地土类型属中软土，拟建场地属Ⅱ类建筑场地。</w:t>
      </w:r>
    </w:p>
    <w:p w14:paraId="080293A4">
      <w:pPr>
        <w:bidi w:val="0"/>
        <w:rPr>
          <w:rFonts w:hint="eastAsia"/>
          <w:b w:val="0"/>
          <w:bCs/>
          <w:color w:val="auto"/>
          <w:lang w:val="en-US" w:eastAsia="zh-CN"/>
        </w:rPr>
      </w:pPr>
      <w:r>
        <w:rPr>
          <w:rFonts w:hint="eastAsia"/>
          <w:b w:val="0"/>
          <w:bCs/>
          <w:color w:val="auto"/>
          <w:lang w:val="en-US" w:eastAsia="zh-CN"/>
        </w:rPr>
        <w:t>（5）勘察期间为当地雨季，拟建的综合楼场地内31个勘察钻孔完成后48小时测量稳定水位，有9个钻孔揭露稳定地下水位，揭露的地下水位埋深介于1284.73-1287.85m之间，场地地下水位埋深较深。</w:t>
      </w:r>
    </w:p>
    <w:p w14:paraId="7BE33995">
      <w:pPr>
        <w:bidi w:val="0"/>
        <w:rPr>
          <w:rFonts w:hint="eastAsia"/>
          <w:b w:val="0"/>
          <w:bCs/>
          <w:color w:val="auto"/>
          <w:lang w:val="en-US" w:eastAsia="zh-CN"/>
        </w:rPr>
      </w:pPr>
      <w:r>
        <w:rPr>
          <w:rFonts w:hint="eastAsia"/>
          <w:b w:val="0"/>
          <w:bCs/>
          <w:color w:val="auto"/>
          <w:lang w:val="en-US" w:eastAsia="zh-CN"/>
        </w:rPr>
        <w:t>（6）场地地下水及地基土对混凝土结构及混凝土结构中的钢筋具微蚀性，地基土对钢结构具微腐蚀性。</w:t>
      </w:r>
    </w:p>
    <w:p w14:paraId="4FF3CD51">
      <w:pPr>
        <w:bidi w:val="0"/>
        <w:rPr>
          <w:rFonts w:hint="eastAsia"/>
          <w:b w:val="0"/>
          <w:bCs/>
          <w:color w:val="auto"/>
          <w:lang w:val="en-US" w:eastAsia="zh-CN"/>
        </w:rPr>
      </w:pPr>
      <w:r>
        <w:rPr>
          <w:rFonts w:hint="eastAsia"/>
          <w:b w:val="0"/>
          <w:bCs/>
          <w:color w:val="auto"/>
          <w:lang w:val="en-US" w:eastAsia="zh-CN"/>
        </w:rPr>
        <w:t>（7）根据《建筑抗震设计规范》（GB50011-2010、2016版）附录A.0.25划分，勘察区所在的马关县抗震设防烈度为Ⅵ度，设计基本地震加速度值0.05g，所属设计地震分组为第一组。另据《中国地震动参数区划图（GB18306-2015）》，都龙镇地震基本烈度为Ⅵ度，基本地震动峰值加速度值0.05g，抗震设防烈度为Ⅵ度，基本地震动加速度反应谱特征值0.35s。</w:t>
      </w:r>
    </w:p>
    <w:p w14:paraId="7DD8B45A">
      <w:pPr>
        <w:bidi w:val="0"/>
        <w:rPr>
          <w:rFonts w:hint="eastAsia"/>
          <w:b w:val="0"/>
          <w:bCs/>
          <w:color w:val="auto"/>
          <w:lang w:val="en-US" w:eastAsia="zh-CN"/>
        </w:rPr>
      </w:pPr>
      <w:r>
        <w:rPr>
          <w:rFonts w:hint="eastAsia"/>
          <w:b w:val="0"/>
          <w:bCs/>
          <w:color w:val="auto"/>
          <w:lang w:val="en-US" w:eastAsia="zh-CN"/>
        </w:rPr>
        <w:t>（8）拟建工程建筑设计时可不考虑砂土液化影响。</w:t>
      </w:r>
    </w:p>
    <w:p w14:paraId="032FB28F">
      <w:pPr>
        <w:bidi w:val="0"/>
        <w:rPr>
          <w:rFonts w:hint="eastAsia" w:eastAsia="宋体"/>
          <w:b w:val="0"/>
          <w:bCs/>
          <w:color w:val="auto"/>
          <w:lang w:val="en-US" w:eastAsia="zh-CN"/>
        </w:rPr>
      </w:pPr>
      <w:r>
        <w:rPr>
          <w:rFonts w:hint="eastAsia"/>
          <w:b w:val="0"/>
          <w:bCs/>
          <w:color w:val="auto"/>
          <w:lang w:val="en-US" w:eastAsia="zh-CN"/>
        </w:rPr>
        <w:t>（9）本工程建筑可不考虑软土震陷影响。</w:t>
      </w:r>
    </w:p>
    <w:p w14:paraId="7B011A50">
      <w:pPr>
        <w:pStyle w:val="3"/>
        <w:keepNext w:val="0"/>
        <w:keepLines w:val="0"/>
        <w:spacing w:before="0" w:beforeLines="-2147483648" w:beforeAutospacing="0" w:after="0" w:afterLines="-2147483648" w:afterAutospacing="0" w:line="360" w:lineRule="auto"/>
        <w:ind w:firstLine="0" w:firstLineChars="0"/>
        <w:jc w:val="center"/>
        <w:rPr>
          <w:rFonts w:hint="default" w:ascii="Times New Roman" w:hAnsi="Times New Roman" w:eastAsia="黑体" w:cs="Times New Roman"/>
          <w:b/>
          <w:bCs/>
          <w:color w:val="auto"/>
          <w:sz w:val="30"/>
          <w:szCs w:val="30"/>
        </w:rPr>
      </w:pPr>
      <w:bookmarkStart w:id="85" w:name="_Toc17035"/>
      <w:bookmarkStart w:id="86" w:name="_Toc29538"/>
      <w:r>
        <w:rPr>
          <w:rFonts w:hint="eastAsia" w:ascii="Times New Roman" w:hAnsi="Times New Roman" w:eastAsia="黑体" w:cs="Times New Roman"/>
          <w:b/>
          <w:bCs/>
          <w:color w:val="auto"/>
          <w:sz w:val="30"/>
          <w:szCs w:val="30"/>
        </w:rPr>
        <w:t>2.3项目建设条件</w:t>
      </w:r>
      <w:bookmarkEnd w:id="85"/>
      <w:bookmarkEnd w:id="86"/>
    </w:p>
    <w:p w14:paraId="720F7C43">
      <w:pPr>
        <w:bidi w:val="0"/>
        <w:rPr>
          <w:b w:val="0"/>
          <w:bCs/>
          <w:color w:val="auto"/>
        </w:rPr>
      </w:pPr>
      <w:r>
        <w:rPr>
          <w:rFonts w:hint="eastAsia"/>
          <w:b w:val="0"/>
          <w:bCs/>
          <w:color w:val="auto"/>
        </w:rPr>
        <w:t>。</w:t>
      </w:r>
    </w:p>
    <w:p w14:paraId="2294982F">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lang w:val="en-US" w:eastAsia="zh-CN"/>
        </w:rPr>
      </w:pPr>
      <w:bookmarkStart w:id="87" w:name="_Toc16145"/>
      <w:bookmarkStart w:id="88" w:name="_Toc21160"/>
      <w:r>
        <w:rPr>
          <w:rFonts w:hint="eastAsia" w:ascii="Times New Roman" w:hAnsi="Times New Roman" w:eastAsia="黑体" w:cs="Times New Roman"/>
          <w:b/>
          <w:bCs/>
          <w:color w:val="auto"/>
          <w:sz w:val="30"/>
          <w:szCs w:val="30"/>
          <w:lang w:val="en-US" w:eastAsia="zh-CN"/>
        </w:rPr>
        <w:t>2.4</w:t>
      </w:r>
      <w:r>
        <w:rPr>
          <w:rFonts w:hint="eastAsia" w:ascii="Times New Roman" w:hAnsi="Times New Roman" w:eastAsia="黑体" w:cs="Times New Roman"/>
          <w:b/>
          <w:bCs/>
          <w:color w:val="auto"/>
          <w:sz w:val="30"/>
          <w:szCs w:val="30"/>
        </w:rPr>
        <w:t>建设方案</w:t>
      </w:r>
      <w:bookmarkEnd w:id="87"/>
      <w:r>
        <w:rPr>
          <w:rFonts w:hint="eastAsia" w:cs="Times New Roman"/>
          <w:b/>
          <w:bCs/>
          <w:color w:val="auto"/>
          <w:sz w:val="30"/>
          <w:szCs w:val="30"/>
          <w:lang w:val="en-US" w:eastAsia="zh-CN"/>
        </w:rPr>
        <w:t>概况</w:t>
      </w:r>
      <w:bookmarkEnd w:id="88"/>
    </w:p>
    <w:p w14:paraId="40B312EF">
      <w:pPr>
        <w:bidi w:val="0"/>
        <w:rPr>
          <w:rFonts w:hint="default"/>
          <w:b w:val="0"/>
          <w:bCs/>
          <w:color w:val="auto"/>
          <w:lang w:val="en-US" w:eastAsia="zh-CN"/>
        </w:rPr>
      </w:pPr>
      <w:r>
        <w:rPr>
          <w:rFonts w:hint="eastAsia"/>
          <w:b w:val="0"/>
          <w:bCs/>
          <w:color w:val="auto"/>
          <w:lang w:val="en-US" w:eastAsia="zh-CN"/>
        </w:rPr>
        <w:t>本章节依据《</w:t>
      </w:r>
      <w:r>
        <w:rPr>
          <w:rFonts w:hint="default"/>
          <w:b w:val="0"/>
          <w:bCs/>
          <w:color w:val="auto"/>
          <w:lang w:val="en-US" w:eastAsia="zh-CN"/>
        </w:rPr>
        <w:t>合德再生资源科技马关有限公司野猫坟300t/d多金属选厂提质增效改造项目</w:t>
      </w:r>
      <w:r>
        <w:rPr>
          <w:rFonts w:hint="eastAsia"/>
          <w:b w:val="0"/>
          <w:bCs/>
          <w:color w:val="auto"/>
          <w:lang w:val="en-US" w:eastAsia="zh-CN"/>
        </w:rPr>
        <w:t>初步设计（代可研）》进行编制。</w:t>
      </w:r>
    </w:p>
    <w:p w14:paraId="7467D28A">
      <w:pPr>
        <w:bidi w:val="0"/>
        <w:rPr>
          <w:b w:val="0"/>
          <w:bCs/>
          <w:color w:val="auto"/>
        </w:rPr>
      </w:pPr>
      <w:r>
        <w:rPr>
          <w:rFonts w:hint="eastAsia"/>
          <w:b w:val="0"/>
          <w:bCs/>
          <w:color w:val="auto"/>
        </w:rPr>
        <w:t>。</w:t>
      </w:r>
      <w:r>
        <w:rPr>
          <w:b w:val="0"/>
          <w:bCs/>
          <w:color w:val="auto"/>
        </w:rPr>
        <w:br w:type="page"/>
      </w:r>
    </w:p>
    <w:p w14:paraId="3E553412">
      <w:pPr>
        <w:pStyle w:val="2"/>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2"/>
          <w:szCs w:val="44"/>
        </w:rPr>
      </w:pPr>
      <w:bookmarkStart w:id="89" w:name="_Toc32559"/>
      <w:bookmarkStart w:id="90" w:name="_Toc32615"/>
      <w:r>
        <w:rPr>
          <w:rFonts w:hint="eastAsia" w:ascii="Times New Roman" w:hAnsi="Times New Roman" w:eastAsia="黑体" w:cs="Times New Roman"/>
          <w:b/>
          <w:bCs/>
          <w:color w:val="auto"/>
          <w:sz w:val="32"/>
          <w:szCs w:val="44"/>
        </w:rPr>
        <w:t>3</w:t>
      </w:r>
      <w:r>
        <w:rPr>
          <w:rFonts w:hint="eastAsia" w:ascii="Times New Roman" w:hAnsi="Times New Roman" w:cs="Times New Roman"/>
          <w:b/>
          <w:bCs/>
          <w:color w:val="auto"/>
          <w:sz w:val="32"/>
          <w:szCs w:val="44"/>
          <w:lang w:val="en-US" w:eastAsia="zh-CN"/>
        </w:rPr>
        <w:t>.</w:t>
      </w:r>
      <w:r>
        <w:rPr>
          <w:rFonts w:hint="eastAsia" w:ascii="Times New Roman" w:hAnsi="Times New Roman" w:eastAsia="黑体" w:cs="Times New Roman"/>
          <w:b/>
          <w:bCs/>
          <w:color w:val="auto"/>
          <w:sz w:val="32"/>
          <w:szCs w:val="44"/>
        </w:rPr>
        <w:t>危险、有害因素辨识及分析</w:t>
      </w:r>
      <w:bookmarkEnd w:id="89"/>
      <w:bookmarkEnd w:id="90"/>
    </w:p>
    <w:p w14:paraId="22E7BE26">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91" w:name="_Toc13644"/>
      <w:bookmarkStart w:id="92" w:name="_Toc2213"/>
      <w:r>
        <w:rPr>
          <w:rFonts w:hint="eastAsia" w:ascii="Times New Roman" w:hAnsi="Times New Roman" w:eastAsia="黑体" w:cs="Times New Roman"/>
          <w:b/>
          <w:bCs/>
          <w:color w:val="auto"/>
          <w:sz w:val="30"/>
          <w:szCs w:val="30"/>
        </w:rPr>
        <w:t>3.1主要危险、有害因素辨识与分析</w:t>
      </w:r>
      <w:bookmarkEnd w:id="91"/>
      <w:bookmarkEnd w:id="92"/>
    </w:p>
    <w:p w14:paraId="2E311410">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93" w:name="_Toc4618"/>
      <w:r>
        <w:rPr>
          <w:rFonts w:hint="eastAsia" w:ascii="Times New Roman" w:hAnsi="Times New Roman" w:cs="Times New Roman"/>
          <w:bCs/>
          <w:color w:val="auto"/>
          <w:sz w:val="28"/>
          <w:szCs w:val="28"/>
        </w:rPr>
        <w:t>3.1.1辨识与分析的目的</w:t>
      </w:r>
      <w:bookmarkEnd w:id="93"/>
    </w:p>
    <w:p w14:paraId="6DAFABBF">
      <w:pPr>
        <w:bidi w:val="0"/>
        <w:rPr>
          <w:rFonts w:hint="eastAsia"/>
          <w:b w:val="0"/>
          <w:bCs/>
          <w:color w:val="auto"/>
        </w:rPr>
      </w:pPr>
      <w:r>
        <w:rPr>
          <w:rFonts w:hint="eastAsia"/>
          <w:b w:val="0"/>
          <w:bCs/>
          <w:color w:val="auto"/>
        </w:rPr>
        <w:t>危险因素分析的目的是对系统中的潜在危险进行辨识，并根据其危险等级确定防止这些潜在危险发展成事故的对策措施。</w:t>
      </w:r>
    </w:p>
    <w:p w14:paraId="60F40A92">
      <w:pPr>
        <w:bidi w:val="0"/>
        <w:rPr>
          <w:rFonts w:hint="eastAsia"/>
          <w:b w:val="0"/>
          <w:bCs/>
          <w:color w:val="auto"/>
        </w:rPr>
      </w:pPr>
      <w:r>
        <w:rPr>
          <w:rFonts w:hint="eastAsia"/>
          <w:b w:val="0"/>
          <w:bCs/>
          <w:color w:val="auto"/>
        </w:rPr>
        <w:t>有害因素分析的目的是找出生产活动中对作业人员可能产生的各种有害因素，并评估其等级，提出改善劳动条件和防护措施的要求。通过贯彻实施，以控制和减少职业危害，保证作业人员的职业健康。</w:t>
      </w:r>
    </w:p>
    <w:p w14:paraId="12BA493A">
      <w:pPr>
        <w:bidi w:val="0"/>
        <w:rPr>
          <w:rFonts w:hint="eastAsia"/>
          <w:b w:val="0"/>
          <w:bCs/>
          <w:color w:val="auto"/>
        </w:rPr>
      </w:pPr>
      <w:r>
        <w:rPr>
          <w:rFonts w:hint="eastAsia"/>
          <w:b w:val="0"/>
          <w:bCs/>
          <w:color w:val="auto"/>
        </w:rPr>
        <w:t>危险、有害因素分析是安全评价的基础。通过对尾矿处理工艺及系统中可能存在的危险、有害因素进行辨识和分析，确定主要危险、有害因素的种类、存在部位及可能产生的后果，选用适当的评价方法并针对性地提出防治、控制措施。</w:t>
      </w:r>
    </w:p>
    <w:p w14:paraId="6213BF09">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94" w:name="_Toc31490"/>
      <w:r>
        <w:rPr>
          <w:rFonts w:hint="eastAsia" w:ascii="Times New Roman" w:hAnsi="Times New Roman" w:cs="Times New Roman"/>
          <w:bCs/>
          <w:color w:val="auto"/>
          <w:sz w:val="28"/>
          <w:szCs w:val="28"/>
        </w:rPr>
        <w:t>3.1.2辨识与分析的方法</w:t>
      </w:r>
      <w:bookmarkEnd w:id="94"/>
    </w:p>
    <w:p w14:paraId="10CAC9B5">
      <w:pPr>
        <w:bidi w:val="0"/>
        <w:rPr>
          <w:rFonts w:hint="eastAsia"/>
          <w:b w:val="0"/>
          <w:bCs/>
          <w:color w:val="auto"/>
        </w:rPr>
      </w:pPr>
      <w:r>
        <w:rPr>
          <w:rFonts w:hint="eastAsia"/>
          <w:b w:val="0"/>
          <w:bCs/>
          <w:color w:val="auto"/>
        </w:rPr>
        <w:t>《企业</w:t>
      </w:r>
      <w:r>
        <w:rPr>
          <w:rFonts w:hint="eastAsia"/>
          <w:b w:val="0"/>
          <w:bCs/>
          <w:color w:val="auto"/>
          <w:lang w:val="en-US" w:eastAsia="zh-CN"/>
        </w:rPr>
        <w:t>职</w:t>
      </w:r>
      <w:r>
        <w:rPr>
          <w:rFonts w:hint="eastAsia"/>
          <w:b w:val="0"/>
          <w:bCs/>
          <w:color w:val="auto"/>
        </w:rPr>
        <w:t>工伤亡事故分类》（GB6441-1986）把事故分为20类，综合考虑起因物、引起事故的诱导性原因、致害物、伤害方式等，本项目可能发生物体打击、车辆伤害、机械伤害、触电、淹溺、高处坠落、坍塌、灼烫、火灾、其他爆炸、中毒和窒息及其他伤害等事故。</w:t>
      </w:r>
    </w:p>
    <w:p w14:paraId="41E5B741">
      <w:pPr>
        <w:bidi w:val="0"/>
        <w:rPr>
          <w:rFonts w:hint="eastAsia"/>
          <w:b w:val="0"/>
          <w:bCs/>
          <w:color w:val="auto"/>
        </w:rPr>
      </w:pPr>
      <w:r>
        <w:rPr>
          <w:rFonts w:hint="eastAsia"/>
          <w:b w:val="0"/>
          <w:bCs/>
          <w:color w:val="auto"/>
        </w:rPr>
        <w:t>按照《生产过程危险和有害因素分类与代码》（GB/T 13861-2022）的规定，将生产及检维修过程中的危险、有害因素分为以下4类：</w:t>
      </w:r>
    </w:p>
    <w:p w14:paraId="5464F1A3">
      <w:pPr>
        <w:bidi w:val="0"/>
        <w:rPr>
          <w:rFonts w:hint="eastAsia"/>
          <w:b w:val="0"/>
          <w:bCs/>
          <w:color w:val="auto"/>
        </w:rPr>
      </w:pPr>
      <w:r>
        <w:rPr>
          <w:rFonts w:hint="eastAsia"/>
          <w:b w:val="0"/>
          <w:bCs/>
          <w:color w:val="auto"/>
        </w:rPr>
        <w:t>（1）人的因素</w:t>
      </w:r>
    </w:p>
    <w:p w14:paraId="40DDAA03">
      <w:pPr>
        <w:bidi w:val="0"/>
        <w:rPr>
          <w:rFonts w:hint="eastAsia"/>
          <w:b w:val="0"/>
          <w:bCs/>
          <w:color w:val="auto"/>
        </w:rPr>
      </w:pPr>
      <w:r>
        <w:rPr>
          <w:rFonts w:hint="eastAsia"/>
          <w:b w:val="0"/>
          <w:bCs/>
          <w:color w:val="auto"/>
        </w:rPr>
        <w:t>1）心理、生理性危险和有害因素；</w:t>
      </w:r>
    </w:p>
    <w:p w14:paraId="740C485C">
      <w:pPr>
        <w:bidi w:val="0"/>
        <w:rPr>
          <w:rFonts w:hint="eastAsia"/>
          <w:b w:val="0"/>
          <w:bCs/>
          <w:color w:val="auto"/>
        </w:rPr>
      </w:pPr>
      <w:r>
        <w:rPr>
          <w:rFonts w:hint="eastAsia"/>
          <w:b w:val="0"/>
          <w:bCs/>
          <w:color w:val="auto"/>
        </w:rPr>
        <w:t>2）行为性危险和有害因素。</w:t>
      </w:r>
    </w:p>
    <w:p w14:paraId="1231CC69">
      <w:pPr>
        <w:bidi w:val="0"/>
        <w:rPr>
          <w:rFonts w:hint="eastAsia"/>
          <w:b w:val="0"/>
          <w:bCs/>
          <w:color w:val="auto"/>
        </w:rPr>
      </w:pPr>
      <w:r>
        <w:rPr>
          <w:rFonts w:hint="eastAsia"/>
          <w:b w:val="0"/>
          <w:bCs/>
          <w:color w:val="auto"/>
        </w:rPr>
        <w:t>（2）物的因素</w:t>
      </w:r>
    </w:p>
    <w:p w14:paraId="4CAC3416">
      <w:pPr>
        <w:bidi w:val="0"/>
        <w:rPr>
          <w:rFonts w:hint="eastAsia"/>
          <w:b w:val="0"/>
          <w:bCs/>
          <w:color w:val="auto"/>
        </w:rPr>
      </w:pPr>
      <w:r>
        <w:rPr>
          <w:rFonts w:hint="eastAsia"/>
          <w:b w:val="0"/>
          <w:bCs/>
          <w:color w:val="auto"/>
        </w:rPr>
        <w:t>1）物理性危险和有害因素；</w:t>
      </w:r>
    </w:p>
    <w:p w14:paraId="4356FA5B">
      <w:pPr>
        <w:bidi w:val="0"/>
        <w:rPr>
          <w:rFonts w:hint="eastAsia"/>
          <w:b w:val="0"/>
          <w:bCs/>
          <w:color w:val="auto"/>
        </w:rPr>
      </w:pPr>
      <w:r>
        <w:rPr>
          <w:rFonts w:hint="eastAsia"/>
          <w:b w:val="0"/>
          <w:bCs/>
          <w:color w:val="auto"/>
        </w:rPr>
        <w:t>2）生物性危险和有害因素。</w:t>
      </w:r>
    </w:p>
    <w:p w14:paraId="547CA4C3">
      <w:pPr>
        <w:bidi w:val="0"/>
        <w:rPr>
          <w:rFonts w:hint="eastAsia"/>
          <w:b w:val="0"/>
          <w:bCs/>
          <w:color w:val="auto"/>
        </w:rPr>
      </w:pPr>
      <w:r>
        <w:rPr>
          <w:rFonts w:hint="eastAsia"/>
          <w:b w:val="0"/>
          <w:bCs/>
          <w:color w:val="auto"/>
        </w:rPr>
        <w:t>（3）环境因素</w:t>
      </w:r>
    </w:p>
    <w:p w14:paraId="34519FCB">
      <w:pPr>
        <w:bidi w:val="0"/>
        <w:rPr>
          <w:rFonts w:hint="eastAsia"/>
          <w:b w:val="0"/>
          <w:bCs/>
          <w:color w:val="auto"/>
        </w:rPr>
      </w:pPr>
      <w:r>
        <w:rPr>
          <w:rFonts w:hint="eastAsia"/>
          <w:b w:val="0"/>
          <w:bCs/>
          <w:color w:val="auto"/>
        </w:rPr>
        <w:t>1）室内作业场所环境不良；</w:t>
      </w:r>
    </w:p>
    <w:p w14:paraId="009490F5">
      <w:pPr>
        <w:bidi w:val="0"/>
        <w:rPr>
          <w:rFonts w:hint="eastAsia"/>
          <w:b w:val="0"/>
          <w:bCs/>
          <w:color w:val="auto"/>
        </w:rPr>
      </w:pPr>
      <w:r>
        <w:rPr>
          <w:rFonts w:hint="eastAsia"/>
          <w:b w:val="0"/>
          <w:bCs/>
          <w:color w:val="auto"/>
        </w:rPr>
        <w:t>2）室外作业场地环境不良；</w:t>
      </w:r>
    </w:p>
    <w:p w14:paraId="116C71C1">
      <w:pPr>
        <w:bidi w:val="0"/>
        <w:rPr>
          <w:rFonts w:hint="eastAsia"/>
          <w:b w:val="0"/>
          <w:bCs/>
          <w:color w:val="auto"/>
        </w:rPr>
      </w:pPr>
      <w:r>
        <w:rPr>
          <w:rFonts w:hint="eastAsia"/>
          <w:b w:val="0"/>
          <w:bCs/>
          <w:color w:val="auto"/>
        </w:rPr>
        <w:t>3）地下（含水下）作业环境不良；</w:t>
      </w:r>
    </w:p>
    <w:p w14:paraId="53A7A741">
      <w:pPr>
        <w:bidi w:val="0"/>
        <w:rPr>
          <w:rFonts w:hint="eastAsia"/>
          <w:b w:val="0"/>
          <w:bCs/>
          <w:color w:val="auto"/>
        </w:rPr>
      </w:pPr>
      <w:r>
        <w:rPr>
          <w:rFonts w:hint="eastAsia"/>
          <w:b w:val="0"/>
          <w:bCs/>
          <w:color w:val="auto"/>
        </w:rPr>
        <w:t>4）其他作业环境不良。</w:t>
      </w:r>
    </w:p>
    <w:p w14:paraId="06E698F6">
      <w:pPr>
        <w:bidi w:val="0"/>
        <w:rPr>
          <w:rFonts w:hint="eastAsia"/>
          <w:b w:val="0"/>
          <w:bCs/>
          <w:color w:val="auto"/>
        </w:rPr>
      </w:pPr>
      <w:r>
        <w:rPr>
          <w:rFonts w:hint="eastAsia"/>
          <w:b w:val="0"/>
          <w:bCs/>
          <w:color w:val="auto"/>
        </w:rPr>
        <w:t>（4）管理因素</w:t>
      </w:r>
    </w:p>
    <w:p w14:paraId="106E8320">
      <w:pPr>
        <w:bidi w:val="0"/>
        <w:rPr>
          <w:rFonts w:hint="eastAsia"/>
          <w:b w:val="0"/>
          <w:bCs/>
          <w:color w:val="auto"/>
        </w:rPr>
      </w:pPr>
      <w:r>
        <w:rPr>
          <w:rFonts w:hint="eastAsia"/>
          <w:b w:val="0"/>
          <w:bCs/>
          <w:color w:val="auto"/>
        </w:rPr>
        <w:t>1）职业安全卫生组织机构不健全；</w:t>
      </w:r>
    </w:p>
    <w:p w14:paraId="7019B97F">
      <w:pPr>
        <w:bidi w:val="0"/>
        <w:rPr>
          <w:rFonts w:hint="eastAsia"/>
          <w:b w:val="0"/>
          <w:bCs/>
          <w:color w:val="auto"/>
        </w:rPr>
      </w:pPr>
      <w:r>
        <w:rPr>
          <w:rFonts w:hint="eastAsia"/>
          <w:b w:val="0"/>
          <w:bCs/>
          <w:color w:val="auto"/>
        </w:rPr>
        <w:t>2）职业安全卫生责任制未落实；</w:t>
      </w:r>
    </w:p>
    <w:p w14:paraId="0903D046">
      <w:pPr>
        <w:bidi w:val="0"/>
        <w:rPr>
          <w:rFonts w:hint="eastAsia"/>
          <w:b w:val="0"/>
          <w:bCs/>
          <w:color w:val="auto"/>
        </w:rPr>
      </w:pPr>
      <w:r>
        <w:rPr>
          <w:rFonts w:hint="eastAsia"/>
          <w:b w:val="0"/>
          <w:bCs/>
          <w:color w:val="auto"/>
        </w:rPr>
        <w:t>3）职业安全卫生管理规章制度不完善；</w:t>
      </w:r>
    </w:p>
    <w:p w14:paraId="49973217">
      <w:pPr>
        <w:bidi w:val="0"/>
        <w:rPr>
          <w:rFonts w:hint="eastAsia"/>
          <w:b w:val="0"/>
          <w:bCs/>
          <w:color w:val="auto"/>
        </w:rPr>
      </w:pPr>
      <w:r>
        <w:rPr>
          <w:rFonts w:hint="eastAsia"/>
          <w:b w:val="0"/>
          <w:bCs/>
          <w:color w:val="auto"/>
        </w:rPr>
        <w:t>4）职业安全卫生投入不足；</w:t>
      </w:r>
    </w:p>
    <w:p w14:paraId="5CF97F42">
      <w:pPr>
        <w:bidi w:val="0"/>
        <w:rPr>
          <w:rFonts w:hint="eastAsia"/>
          <w:b w:val="0"/>
          <w:bCs/>
          <w:color w:val="auto"/>
        </w:rPr>
      </w:pPr>
      <w:r>
        <w:rPr>
          <w:rFonts w:hint="eastAsia"/>
          <w:b w:val="0"/>
          <w:bCs/>
          <w:color w:val="auto"/>
        </w:rPr>
        <w:t>5）职业健康管理不完善；</w:t>
      </w:r>
    </w:p>
    <w:p w14:paraId="26589331">
      <w:pPr>
        <w:bidi w:val="0"/>
        <w:rPr>
          <w:rFonts w:hint="eastAsia"/>
          <w:b w:val="0"/>
          <w:bCs/>
          <w:color w:val="auto"/>
        </w:rPr>
      </w:pPr>
      <w:r>
        <w:rPr>
          <w:rFonts w:hint="eastAsia"/>
          <w:b w:val="0"/>
          <w:bCs/>
          <w:color w:val="auto"/>
        </w:rPr>
        <w:t>6）其他管理因素缺陷。</w:t>
      </w:r>
    </w:p>
    <w:p w14:paraId="5A22F194">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95" w:name="_Toc3378"/>
      <w:r>
        <w:rPr>
          <w:rFonts w:hint="eastAsia" w:ascii="Times New Roman" w:hAnsi="Times New Roman" w:cs="Times New Roman"/>
          <w:bCs/>
          <w:color w:val="auto"/>
          <w:sz w:val="28"/>
          <w:szCs w:val="28"/>
        </w:rPr>
        <w:t>3.1.3危险、有害因素辨识依据</w:t>
      </w:r>
      <w:bookmarkEnd w:id="95"/>
    </w:p>
    <w:p w14:paraId="512D304E">
      <w:pPr>
        <w:bidi w:val="0"/>
        <w:rPr>
          <w:rFonts w:hint="eastAsia"/>
          <w:b w:val="0"/>
          <w:bCs/>
          <w:color w:val="auto"/>
        </w:rPr>
      </w:pPr>
      <w:r>
        <w:rPr>
          <w:rFonts w:hint="eastAsia"/>
          <w:b w:val="0"/>
          <w:bCs/>
          <w:color w:val="auto"/>
        </w:rPr>
        <w:t>本报告主要依据《企业职工伤亡事故分类》（GB6441-1986）、《生产过程危险和有害因素分类与代码》（GB/T 13861-2022）、《关于公布建设项目职业病危害风险分类管理目录的通知》（国卫办职健发〔2021〕5号）、《危险化学品目录》（2022年调整版）等对该项目可能存在的危险、有害因进行辨识分析。</w:t>
      </w:r>
    </w:p>
    <w:p w14:paraId="4469D957">
      <w:pPr>
        <w:bidi w:val="0"/>
        <w:rPr>
          <w:rFonts w:hint="eastAsia"/>
          <w:b w:val="0"/>
          <w:bCs/>
          <w:color w:val="auto"/>
        </w:rPr>
      </w:pPr>
      <w:r>
        <w:rPr>
          <w:rFonts w:hint="eastAsia"/>
          <w:b w:val="0"/>
          <w:bCs/>
          <w:color w:val="auto"/>
        </w:rPr>
        <w:t>参照《关于公布建设项目职业病危害风险分类管理目录的通知》（国卫办职健发〔2021〕5号），将有害因素分为生产性粉尘、毒物、噪声与振动、高温、低温、辐射（电离辐射、非电离辐射）及其它有害因素等13类。</w:t>
      </w:r>
    </w:p>
    <w:p w14:paraId="786B72A7">
      <w:pPr>
        <w:bidi w:val="0"/>
        <w:rPr>
          <w:rFonts w:hint="eastAsia"/>
          <w:b w:val="0"/>
          <w:bCs/>
          <w:color w:val="auto"/>
        </w:rPr>
      </w:pPr>
    </w:p>
    <w:p w14:paraId="237C82B4">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96" w:name="_Toc12524"/>
      <w:bookmarkStart w:id="97" w:name="_Toc20299"/>
      <w:r>
        <w:rPr>
          <w:rFonts w:hint="eastAsia" w:ascii="Times New Roman" w:hAnsi="Times New Roman" w:eastAsia="黑体" w:cs="Times New Roman"/>
          <w:b/>
          <w:bCs/>
          <w:color w:val="auto"/>
          <w:sz w:val="30"/>
          <w:szCs w:val="30"/>
        </w:rPr>
        <w:t>3.2主要危险、有害物质辨识与分析</w:t>
      </w:r>
      <w:bookmarkEnd w:id="96"/>
      <w:bookmarkEnd w:id="97"/>
    </w:p>
    <w:p w14:paraId="7BC5C10E">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98" w:name="_Toc16179"/>
      <w:r>
        <w:rPr>
          <w:rFonts w:hint="eastAsia" w:ascii="Times New Roman" w:hAnsi="Times New Roman" w:cs="Times New Roman"/>
          <w:bCs/>
          <w:color w:val="auto"/>
          <w:sz w:val="28"/>
          <w:szCs w:val="28"/>
        </w:rPr>
        <w:t>3.2.1危险化学品辨识</w:t>
      </w:r>
      <w:bookmarkEnd w:id="98"/>
    </w:p>
    <w:p w14:paraId="5BC7838B">
      <w:pPr>
        <w:bidi w:val="0"/>
        <w:rPr>
          <w:rFonts w:hint="eastAsia"/>
          <w:b w:val="0"/>
          <w:bCs/>
          <w:color w:val="auto"/>
        </w:rPr>
      </w:pPr>
      <w:r>
        <w:rPr>
          <w:rFonts w:hint="eastAsia"/>
          <w:b w:val="0"/>
          <w:bCs/>
          <w:color w:val="auto"/>
        </w:rPr>
        <w:t>通过对该选矿厂的生产工艺、原料、辅助材料、产品进行分析后，得出该项目在生产过程中涉及的主要危险、有害物质有：</w:t>
      </w:r>
      <w:r>
        <w:rPr>
          <w:rFonts w:hint="eastAsia"/>
          <w:b w:val="0"/>
          <w:bCs/>
          <w:color w:val="auto"/>
          <w:lang w:val="en-US" w:eastAsia="zh-CN"/>
        </w:rPr>
        <w:t>柴油、</w:t>
      </w:r>
      <w:r>
        <w:rPr>
          <w:rFonts w:hint="eastAsia"/>
          <w:b w:val="0"/>
          <w:bCs/>
          <w:color w:val="auto"/>
        </w:rPr>
        <w:t>润滑油</w:t>
      </w:r>
      <w:r>
        <w:rPr>
          <w:rFonts w:hint="eastAsia"/>
          <w:b w:val="0"/>
          <w:bCs/>
          <w:color w:val="auto"/>
          <w:lang w:eastAsia="zh-CN"/>
        </w:rPr>
        <w:t>、</w:t>
      </w:r>
      <w:r>
        <w:rPr>
          <w:rFonts w:hint="eastAsia"/>
          <w:b w:val="0"/>
          <w:bCs/>
          <w:color w:val="auto"/>
        </w:rPr>
        <w:t>乙炔[溶解的]</w:t>
      </w:r>
      <w:r>
        <w:rPr>
          <w:rFonts w:hint="eastAsia"/>
          <w:b w:val="0"/>
          <w:bCs/>
          <w:color w:val="auto"/>
          <w:lang w:eastAsia="zh-CN"/>
        </w:rPr>
        <w:t>、</w:t>
      </w:r>
      <w:r>
        <w:rPr>
          <w:rFonts w:hint="eastAsia"/>
          <w:b w:val="0"/>
          <w:bCs/>
          <w:color w:val="auto"/>
        </w:rPr>
        <w:t>氧气[压缩的]</w:t>
      </w:r>
      <w:r>
        <w:rPr>
          <w:rFonts w:hint="eastAsia"/>
          <w:b w:val="0"/>
          <w:bCs/>
          <w:color w:val="auto"/>
          <w:lang w:eastAsia="zh-CN"/>
        </w:rPr>
        <w:t>、</w:t>
      </w:r>
      <w:r>
        <w:rPr>
          <w:rFonts w:hint="eastAsia"/>
          <w:b w:val="0"/>
          <w:bCs/>
          <w:color w:val="auto"/>
        </w:rPr>
        <w:t>氧化钙</w:t>
      </w:r>
      <w:r>
        <w:rPr>
          <w:rFonts w:hint="eastAsia"/>
          <w:b w:val="0"/>
          <w:bCs/>
          <w:color w:val="auto"/>
          <w:lang w:eastAsia="zh-CN"/>
        </w:rPr>
        <w:t>（不在《危险化学品目录（2022年版）》内，但它具有强腐蚀性，与水反应会释放大量热量）、</w:t>
      </w:r>
      <w:r>
        <w:rPr>
          <w:rFonts w:hint="eastAsia"/>
          <w:b w:val="0"/>
          <w:bCs/>
          <w:color w:val="auto"/>
        </w:rPr>
        <w:t>松醇油（浮选起泡剂，不在《危险化学品目录（20</w:t>
      </w:r>
      <w:r>
        <w:rPr>
          <w:rFonts w:hint="eastAsia"/>
          <w:b w:val="0"/>
          <w:bCs/>
          <w:color w:val="auto"/>
          <w:lang w:val="en-US" w:eastAsia="zh-CN"/>
        </w:rPr>
        <w:t>22</w:t>
      </w:r>
      <w:r>
        <w:rPr>
          <w:rFonts w:hint="eastAsia"/>
          <w:b w:val="0"/>
          <w:bCs/>
          <w:color w:val="auto"/>
        </w:rPr>
        <w:t>年版）》内）</w:t>
      </w:r>
      <w:r>
        <w:rPr>
          <w:rFonts w:hint="eastAsia"/>
          <w:b w:val="0"/>
          <w:bCs/>
          <w:color w:val="auto"/>
          <w:lang w:eastAsia="zh-CN"/>
        </w:rPr>
        <w:t>、</w:t>
      </w:r>
      <w:r>
        <w:rPr>
          <w:rFonts w:hint="eastAsia"/>
          <w:b w:val="0"/>
          <w:bCs/>
          <w:color w:val="auto"/>
        </w:rPr>
        <w:t>丁基黄药（不在《危险化学品目录（20</w:t>
      </w:r>
      <w:r>
        <w:rPr>
          <w:rFonts w:hint="eastAsia"/>
          <w:b w:val="0"/>
          <w:bCs/>
          <w:color w:val="auto"/>
          <w:lang w:val="en-US" w:eastAsia="zh-CN"/>
        </w:rPr>
        <w:t>22</w:t>
      </w:r>
      <w:r>
        <w:rPr>
          <w:rFonts w:hint="eastAsia"/>
          <w:b w:val="0"/>
          <w:bCs/>
          <w:color w:val="auto"/>
        </w:rPr>
        <w:t>年版）》内）</w:t>
      </w:r>
      <w:r>
        <w:rPr>
          <w:rFonts w:hint="eastAsia"/>
          <w:b w:val="0"/>
          <w:bCs/>
          <w:color w:val="auto"/>
          <w:lang w:eastAsia="zh-CN"/>
        </w:rPr>
        <w:t>、硫酸铜（</w:t>
      </w:r>
      <w:r>
        <w:rPr>
          <w:rFonts w:hint="eastAsia"/>
          <w:b w:val="0"/>
          <w:bCs/>
          <w:color w:val="auto"/>
        </w:rPr>
        <w:t>不在《危险化学品目录（20</w:t>
      </w:r>
      <w:r>
        <w:rPr>
          <w:rFonts w:hint="eastAsia"/>
          <w:b w:val="0"/>
          <w:bCs/>
          <w:color w:val="auto"/>
          <w:lang w:val="en-US" w:eastAsia="zh-CN"/>
        </w:rPr>
        <w:t>22</w:t>
      </w:r>
      <w:r>
        <w:rPr>
          <w:rFonts w:hint="eastAsia"/>
          <w:b w:val="0"/>
          <w:bCs/>
          <w:color w:val="auto"/>
        </w:rPr>
        <w:t>年版）》内</w:t>
      </w:r>
      <w:r>
        <w:rPr>
          <w:rFonts w:hint="eastAsia"/>
          <w:b w:val="0"/>
          <w:bCs/>
          <w:color w:val="auto"/>
          <w:lang w:eastAsia="zh-CN"/>
        </w:rPr>
        <w:t>，具有一定的毒性和腐蚀性）、</w:t>
      </w:r>
      <w:r>
        <w:rPr>
          <w:rFonts w:hint="eastAsia"/>
          <w:b w:val="0"/>
          <w:bCs/>
          <w:color w:val="auto"/>
          <w:lang w:val="en-US" w:eastAsia="zh-CN"/>
        </w:rPr>
        <w:t>纯碱（不在《危险化学品目录（2022年版）》内，具有急性毒性经口类别5，皮肤刺激类别3和严重眼损伤/眼刺激类别2A）、水玻璃（不在《危险化学品目录（2022年版）》内，具有皮肤腐蚀/刺激类别1B和严重眼损伤/眼刺激类别1）、乙硫氨酯</w:t>
      </w:r>
      <w:r>
        <w:rPr>
          <w:rFonts w:hint="eastAsia"/>
          <w:b w:val="0"/>
          <w:bCs/>
          <w:color w:val="auto"/>
          <w:lang w:eastAsia="zh-CN"/>
        </w:rPr>
        <w:t>（</w:t>
      </w:r>
      <w:r>
        <w:rPr>
          <w:rFonts w:hint="eastAsia"/>
          <w:b w:val="0"/>
          <w:bCs/>
          <w:color w:val="auto"/>
        </w:rPr>
        <w:t>不在《危险化学品目录（20</w:t>
      </w:r>
      <w:r>
        <w:rPr>
          <w:rFonts w:hint="eastAsia"/>
          <w:b w:val="0"/>
          <w:bCs/>
          <w:color w:val="auto"/>
          <w:lang w:val="en-US" w:eastAsia="zh-CN"/>
        </w:rPr>
        <w:t>22</w:t>
      </w:r>
      <w:r>
        <w:rPr>
          <w:rFonts w:hint="eastAsia"/>
          <w:b w:val="0"/>
          <w:bCs/>
          <w:color w:val="auto"/>
        </w:rPr>
        <w:t>年版）》内</w:t>
      </w:r>
      <w:r>
        <w:rPr>
          <w:rFonts w:hint="eastAsia"/>
          <w:b w:val="0"/>
          <w:bCs/>
          <w:color w:val="auto"/>
          <w:lang w:eastAsia="zh-CN"/>
        </w:rPr>
        <w:t>，具有急性毒性类别4，皮肤刺激类别2，严重眼损伤/眼刺激类别2A和环境危害类别4）</w:t>
      </w:r>
      <w:r>
        <w:rPr>
          <w:rFonts w:hint="eastAsia"/>
          <w:b w:val="0"/>
          <w:bCs/>
          <w:color w:val="auto"/>
        </w:rPr>
        <w:t>等。</w:t>
      </w:r>
    </w:p>
    <w:p w14:paraId="3DB39984">
      <w:pPr>
        <w:bidi w:val="0"/>
        <w:rPr>
          <w:rFonts w:hint="eastAsia"/>
          <w:b w:val="0"/>
          <w:bCs/>
          <w:color w:val="auto"/>
        </w:rPr>
      </w:pPr>
      <w:r>
        <w:rPr>
          <w:rFonts w:hint="eastAsia" w:ascii="Times New Roman" w:hAnsi="Times New Roman" w:eastAsia="宋体"/>
          <w:b w:val="0"/>
          <w:bCs/>
          <w:color w:val="auto"/>
        </w:rPr>
        <w:t>此外，由于硫化钠等硫酸盐在酸性环境下可能产生硫化氢气体、厌氧条件下硫酸盐还原菌SRB还原SO</w:t>
      </w:r>
      <w:r>
        <w:rPr>
          <w:rFonts w:hint="eastAsia" w:ascii="Times New Roman" w:hAnsi="Times New Roman" w:eastAsia="宋体"/>
          <w:b w:val="0"/>
          <w:bCs/>
          <w:color w:val="auto"/>
          <w:vertAlign w:val="subscript"/>
        </w:rPr>
        <w:t>4</w:t>
      </w:r>
      <w:r>
        <w:rPr>
          <w:rFonts w:hint="eastAsia" w:ascii="Times New Roman" w:hAnsi="Times New Roman" w:eastAsia="宋体"/>
          <w:b w:val="0"/>
          <w:bCs/>
          <w:color w:val="auto"/>
          <w:vertAlign w:val="superscript"/>
        </w:rPr>
        <w:t>2-</w:t>
      </w:r>
      <w:r>
        <w:rPr>
          <w:rFonts w:hint="eastAsia" w:ascii="Times New Roman" w:hAnsi="Times New Roman" w:eastAsia="宋体"/>
          <w:b w:val="0"/>
          <w:bCs/>
          <w:color w:val="auto"/>
        </w:rPr>
        <w:t>产生H</w:t>
      </w:r>
      <w:r>
        <w:rPr>
          <w:rFonts w:hint="eastAsia" w:ascii="Times New Roman" w:hAnsi="Times New Roman" w:eastAsia="宋体"/>
          <w:b w:val="0"/>
          <w:bCs/>
          <w:color w:val="auto"/>
          <w:vertAlign w:val="subscript"/>
        </w:rPr>
        <w:t>2</w:t>
      </w:r>
      <w:r>
        <w:rPr>
          <w:rFonts w:hint="eastAsia" w:ascii="Times New Roman" w:hAnsi="Times New Roman" w:eastAsia="宋体"/>
          <w:b w:val="0"/>
          <w:bCs/>
          <w:color w:val="auto"/>
        </w:rPr>
        <w:t>S气体、含硫的有机物在微生物的作用下产生H</w:t>
      </w:r>
      <w:r>
        <w:rPr>
          <w:rFonts w:hint="eastAsia" w:ascii="Times New Roman" w:hAnsi="Times New Roman" w:eastAsia="宋体"/>
          <w:b w:val="0"/>
          <w:bCs/>
          <w:color w:val="auto"/>
          <w:vertAlign w:val="subscript"/>
        </w:rPr>
        <w:t>2</w:t>
      </w:r>
      <w:r>
        <w:rPr>
          <w:rFonts w:hint="eastAsia" w:ascii="Times New Roman" w:hAnsi="Times New Roman" w:eastAsia="宋体"/>
          <w:b w:val="0"/>
          <w:bCs/>
          <w:color w:val="auto"/>
        </w:rPr>
        <w:t>S气体，故在浮选过程中，药剂搅拌桶、回水池等有限空间可能产生硫化氢气体（危险化学品，危险特性为易燃气体，类别1；加压气体；急性毒性-吸入，类别2*；危害水生环境-急性危害，类别1）。</w:t>
      </w:r>
    </w:p>
    <w:p w14:paraId="01962649">
      <w:pPr>
        <w:bidi w:val="0"/>
        <w:rPr>
          <w:rFonts w:hint="eastAsia"/>
          <w:b w:val="0"/>
          <w:bCs/>
          <w:color w:val="auto"/>
        </w:rPr>
      </w:pPr>
      <w:r>
        <w:rPr>
          <w:rFonts w:hint="eastAsia"/>
          <w:b w:val="0"/>
          <w:bCs/>
          <w:color w:val="auto"/>
        </w:rPr>
        <w:t>（1）根据《危险化学品目录（2015年版）》（国家安全生产监督管理总局等十部门公告〔2015〕第5号，应急管理部等十部门公告〔2022〕第8号修正）判别：乙炔、氧气[压缩的]、硫化钠属于危险化学品。</w:t>
      </w:r>
    </w:p>
    <w:p w14:paraId="142524A2">
      <w:pPr>
        <w:bidi w:val="0"/>
        <w:rPr>
          <w:rFonts w:hint="eastAsia"/>
          <w:b w:val="0"/>
          <w:bCs/>
          <w:color w:val="auto"/>
        </w:rPr>
      </w:pPr>
      <w:r>
        <w:rPr>
          <w:rFonts w:hint="eastAsia"/>
          <w:b w:val="0"/>
          <w:bCs/>
          <w:color w:val="auto"/>
        </w:rPr>
        <w:t>（2）根据《国家安全监管总局关于公布首批重点监管的危险化学品名录的通知》（安监总管三（2011）95号）和《国家安全监管总局关于公布第二批重点监管危险化学品名录的通知》（安监总管三〔2013〕12号），该项目涉及的主要危险、有害物质中乙炔属于首批重点监管的危险化学品，其它不属于重点监管的危险化学品。</w:t>
      </w:r>
    </w:p>
    <w:p w14:paraId="1E726605">
      <w:pPr>
        <w:bidi w:val="0"/>
        <w:rPr>
          <w:rFonts w:hint="eastAsia"/>
          <w:b w:val="0"/>
          <w:bCs/>
          <w:color w:val="auto"/>
        </w:rPr>
      </w:pPr>
      <w:r>
        <w:rPr>
          <w:rFonts w:hint="eastAsia"/>
          <w:b w:val="0"/>
          <w:bCs/>
          <w:color w:val="auto"/>
        </w:rPr>
        <w:t>（</w:t>
      </w:r>
      <w:r>
        <w:rPr>
          <w:rFonts w:hint="eastAsia"/>
          <w:b w:val="0"/>
          <w:bCs/>
          <w:color w:val="auto"/>
          <w:lang w:val="en-US" w:eastAsia="zh-CN"/>
        </w:rPr>
        <w:t>3</w:t>
      </w:r>
      <w:r>
        <w:rPr>
          <w:rFonts w:hint="eastAsia"/>
          <w:b w:val="0"/>
          <w:bCs/>
          <w:color w:val="auto"/>
        </w:rPr>
        <w:t>）</w:t>
      </w:r>
      <w:r>
        <w:rPr>
          <w:rFonts w:hint="eastAsia"/>
          <w:b w:val="0"/>
          <w:bCs/>
          <w:color w:val="auto"/>
          <w:lang w:val="en-US" w:eastAsia="zh-CN"/>
        </w:rPr>
        <w:t>根据《危险化学品目录（2015版）》（应急管理部等9部门公告2015年第5号，经应急管理部等10部门2022年第8号公告调整、2026年第3号公告补充）、《易制毒化学品管理条例》（国务院令第445号，经2014年、2016年、2018年三次修订）、《非药品类易制毒化学品生产、经营许可办法》（原国家安全生产监督管理总局令第5号，2006年4月15日起施行）进行辨识，该项目不涉及剧毒化学品。</w:t>
      </w:r>
    </w:p>
    <w:p w14:paraId="69BAC1D5">
      <w:pPr>
        <w:bidi w:val="0"/>
        <w:rPr>
          <w:rFonts w:hint="eastAsia"/>
          <w:b w:val="0"/>
          <w:bCs/>
          <w:color w:val="auto"/>
        </w:rPr>
      </w:pPr>
      <w:r>
        <w:rPr>
          <w:rFonts w:hint="eastAsia"/>
          <w:b w:val="0"/>
          <w:bCs/>
          <w:color w:val="auto"/>
        </w:rPr>
        <w:t>（</w:t>
      </w:r>
      <w:r>
        <w:rPr>
          <w:rFonts w:hint="eastAsia"/>
          <w:b w:val="0"/>
          <w:bCs/>
          <w:color w:val="auto"/>
          <w:lang w:val="en-US" w:eastAsia="zh-CN"/>
        </w:rPr>
        <w:t>4</w:t>
      </w:r>
      <w:r>
        <w:rPr>
          <w:rFonts w:hint="eastAsia"/>
          <w:b w:val="0"/>
          <w:bCs/>
          <w:color w:val="auto"/>
        </w:rPr>
        <w:t>）根据《易制毒化学品管理条例》（国务院令第445号）和《非药品类易制毒化学品生产、经营许可办法》（国家安全生产监督管理总局令第5号），该项目不涉及易制毒化学品。</w:t>
      </w:r>
    </w:p>
    <w:p w14:paraId="16D5C68D">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99" w:name="_Toc11351"/>
      <w:r>
        <w:rPr>
          <w:rFonts w:hint="eastAsia" w:ascii="Times New Roman" w:hAnsi="Times New Roman" w:cs="Times New Roman"/>
          <w:bCs/>
          <w:color w:val="auto"/>
          <w:sz w:val="28"/>
          <w:szCs w:val="28"/>
        </w:rPr>
        <w:t>3.2.2危险、有害物质的主要危险特性</w:t>
      </w:r>
      <w:bookmarkEnd w:id="99"/>
    </w:p>
    <w:p w14:paraId="5B9E481D">
      <w:pPr>
        <w:keepNext w:val="0"/>
        <w:keepLines w:val="0"/>
        <w:pageBreakBefore w:val="0"/>
        <w:widowControl w:val="0"/>
        <w:kinsoku/>
        <w:wordWrap/>
        <w:overflowPunct/>
        <w:topLinePunct w:val="0"/>
        <w:autoSpaceDE/>
        <w:autoSpaceDN/>
        <w:bidi w:val="0"/>
        <w:adjustRightInd/>
        <w:snapToGrid/>
        <w:textAlignment w:val="auto"/>
        <w:outlineLvl w:val="9"/>
        <w:rPr>
          <w:rFonts w:hint="eastAsia"/>
          <w:b w:val="0"/>
          <w:bCs/>
          <w:color w:val="auto"/>
        </w:rPr>
      </w:pPr>
      <w:r>
        <w:rPr>
          <w:rFonts w:hint="eastAsia"/>
          <w:b w:val="0"/>
          <w:bCs/>
          <w:color w:val="auto"/>
        </w:rPr>
        <w:t>1、柴油</w:t>
      </w:r>
    </w:p>
    <w:p w14:paraId="48D3F667">
      <w:pPr>
        <w:bidi w:val="0"/>
        <w:rPr>
          <w:rFonts w:hint="eastAsia"/>
          <w:b w:val="0"/>
          <w:bCs/>
          <w:color w:val="auto"/>
        </w:rPr>
      </w:pPr>
      <w:r>
        <w:rPr>
          <w:rFonts w:hint="eastAsia"/>
          <w:b w:val="0"/>
          <w:bCs/>
          <w:color w:val="auto"/>
        </w:rPr>
        <w:t>项目中所使用的柴油主要为供给装载机使用的桶装柴油（随用随拉，不储存），加油时油桶存在火灾爆炸的危险。</w:t>
      </w:r>
    </w:p>
    <w:p w14:paraId="3A36FC7B">
      <w:pPr>
        <w:pStyle w:val="24"/>
        <w:bidi w:val="0"/>
        <w:rPr>
          <w:b w:val="0"/>
          <w:bCs/>
          <w:color w:val="auto"/>
        </w:rPr>
      </w:pPr>
      <w:r>
        <w:rPr>
          <w:rFonts w:hint="eastAsia"/>
          <w:b w:val="0"/>
          <w:bCs/>
          <w:color w:val="auto"/>
        </w:rPr>
        <w:t>表3.2-1  柴油理化特性表</w:t>
      </w:r>
    </w:p>
    <w:tbl>
      <w:tblPr>
        <w:tblStyle w:val="18"/>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7457"/>
      </w:tblGrid>
      <w:tr w14:paraId="4F7A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3" w:type="dxa"/>
            <w:gridSpan w:val="2"/>
            <w:noWrap w:val="0"/>
            <w:vAlign w:val="center"/>
          </w:tcPr>
          <w:p w14:paraId="181F2EE2">
            <w:pPr>
              <w:pStyle w:val="25"/>
              <w:bidi w:val="0"/>
              <w:jc w:val="center"/>
              <w:rPr>
                <w:rFonts w:hint="default"/>
                <w:b w:val="0"/>
                <w:bCs/>
                <w:color w:val="auto"/>
              </w:rPr>
            </w:pPr>
            <w:r>
              <w:rPr>
                <w:rFonts w:hint="default"/>
                <w:b w:val="0"/>
                <w:bCs/>
                <w:color w:val="auto"/>
              </w:rPr>
              <w:t>1.标识</w:t>
            </w:r>
          </w:p>
        </w:tc>
      </w:tr>
      <w:tr w14:paraId="3042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14B2A40">
            <w:pPr>
              <w:pStyle w:val="25"/>
              <w:bidi w:val="0"/>
              <w:jc w:val="center"/>
              <w:rPr>
                <w:rFonts w:hint="default"/>
                <w:b w:val="0"/>
                <w:bCs/>
                <w:color w:val="auto"/>
              </w:rPr>
            </w:pPr>
            <w:r>
              <w:rPr>
                <w:rFonts w:hint="default"/>
                <w:b w:val="0"/>
                <w:bCs/>
                <w:color w:val="auto"/>
              </w:rPr>
              <w:t>中文名</w:t>
            </w:r>
          </w:p>
        </w:tc>
        <w:tc>
          <w:tcPr>
            <w:tcW w:w="7457" w:type="dxa"/>
            <w:noWrap w:val="0"/>
            <w:vAlign w:val="center"/>
          </w:tcPr>
          <w:p w14:paraId="072510E7">
            <w:pPr>
              <w:pStyle w:val="25"/>
              <w:bidi w:val="0"/>
              <w:jc w:val="left"/>
              <w:rPr>
                <w:rFonts w:hint="default"/>
                <w:b w:val="0"/>
                <w:bCs/>
                <w:color w:val="auto"/>
              </w:rPr>
            </w:pPr>
            <w:r>
              <w:rPr>
                <w:rFonts w:hint="default"/>
                <w:b w:val="0"/>
                <w:bCs/>
                <w:color w:val="auto"/>
              </w:rPr>
              <w:t>柴油</w:t>
            </w:r>
          </w:p>
        </w:tc>
      </w:tr>
      <w:tr w14:paraId="5CFD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FE22268">
            <w:pPr>
              <w:pStyle w:val="25"/>
              <w:bidi w:val="0"/>
              <w:jc w:val="center"/>
              <w:rPr>
                <w:rFonts w:hint="default"/>
                <w:b w:val="0"/>
                <w:bCs/>
                <w:color w:val="auto"/>
              </w:rPr>
            </w:pPr>
            <w:r>
              <w:rPr>
                <w:rFonts w:hint="default"/>
                <w:b w:val="0"/>
                <w:bCs/>
                <w:color w:val="auto"/>
              </w:rPr>
              <w:t>英文名</w:t>
            </w:r>
          </w:p>
        </w:tc>
        <w:tc>
          <w:tcPr>
            <w:tcW w:w="7457" w:type="dxa"/>
            <w:noWrap w:val="0"/>
            <w:vAlign w:val="center"/>
          </w:tcPr>
          <w:p w14:paraId="655A5D2A">
            <w:pPr>
              <w:pStyle w:val="25"/>
              <w:bidi w:val="0"/>
              <w:jc w:val="left"/>
              <w:rPr>
                <w:rFonts w:hint="default"/>
                <w:b w:val="0"/>
                <w:bCs/>
                <w:color w:val="auto"/>
              </w:rPr>
            </w:pPr>
            <w:r>
              <w:rPr>
                <w:rFonts w:hint="default"/>
                <w:b w:val="0"/>
                <w:bCs/>
                <w:color w:val="auto"/>
              </w:rPr>
              <w:t>Diesel Oil；diesel fuel；</w:t>
            </w:r>
          </w:p>
        </w:tc>
      </w:tr>
      <w:tr w14:paraId="3B19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1C36D4C">
            <w:pPr>
              <w:pStyle w:val="25"/>
              <w:bidi w:val="0"/>
              <w:jc w:val="center"/>
              <w:rPr>
                <w:rFonts w:hint="default"/>
                <w:b w:val="0"/>
                <w:bCs/>
                <w:color w:val="auto"/>
              </w:rPr>
            </w:pPr>
            <w:r>
              <w:rPr>
                <w:rFonts w:hint="default"/>
                <w:b w:val="0"/>
                <w:bCs/>
                <w:color w:val="auto"/>
              </w:rPr>
              <w:t>CAS号：</w:t>
            </w:r>
          </w:p>
        </w:tc>
        <w:tc>
          <w:tcPr>
            <w:tcW w:w="7457" w:type="dxa"/>
            <w:noWrap w:val="0"/>
            <w:vAlign w:val="center"/>
          </w:tcPr>
          <w:p w14:paraId="2F2F3AA4">
            <w:pPr>
              <w:pStyle w:val="25"/>
              <w:bidi w:val="0"/>
              <w:jc w:val="left"/>
              <w:rPr>
                <w:rFonts w:hint="default"/>
                <w:b w:val="0"/>
                <w:bCs/>
                <w:color w:val="auto"/>
              </w:rPr>
            </w:pPr>
            <w:r>
              <w:rPr>
                <w:rFonts w:hint="default"/>
                <w:b w:val="0"/>
                <w:bCs/>
                <w:color w:val="auto"/>
              </w:rPr>
              <w:t>68334-30-5</w:t>
            </w:r>
          </w:p>
        </w:tc>
      </w:tr>
      <w:tr w14:paraId="4EAE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3" w:type="dxa"/>
            <w:gridSpan w:val="2"/>
            <w:noWrap w:val="0"/>
            <w:vAlign w:val="center"/>
          </w:tcPr>
          <w:p w14:paraId="43C977C5">
            <w:pPr>
              <w:pStyle w:val="25"/>
              <w:bidi w:val="0"/>
              <w:jc w:val="center"/>
              <w:rPr>
                <w:rFonts w:hint="default"/>
                <w:b w:val="0"/>
                <w:bCs/>
                <w:color w:val="auto"/>
              </w:rPr>
            </w:pPr>
            <w:r>
              <w:rPr>
                <w:rFonts w:hint="default"/>
                <w:b w:val="0"/>
                <w:bCs/>
                <w:color w:val="auto"/>
              </w:rPr>
              <w:t>2.理化性质</w:t>
            </w:r>
          </w:p>
        </w:tc>
      </w:tr>
      <w:tr w14:paraId="2B7A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E4173E1">
            <w:pPr>
              <w:pStyle w:val="25"/>
              <w:bidi w:val="0"/>
              <w:jc w:val="center"/>
              <w:rPr>
                <w:rFonts w:hint="default"/>
                <w:b w:val="0"/>
                <w:bCs/>
                <w:color w:val="auto"/>
              </w:rPr>
            </w:pPr>
            <w:r>
              <w:rPr>
                <w:rFonts w:hint="default"/>
                <w:b w:val="0"/>
                <w:bCs/>
                <w:color w:val="auto"/>
              </w:rPr>
              <w:t>主要成分：</w:t>
            </w:r>
          </w:p>
        </w:tc>
        <w:tc>
          <w:tcPr>
            <w:tcW w:w="7457" w:type="dxa"/>
            <w:noWrap w:val="0"/>
            <w:vAlign w:val="center"/>
          </w:tcPr>
          <w:p w14:paraId="09B9802B">
            <w:pPr>
              <w:pStyle w:val="25"/>
              <w:bidi w:val="0"/>
              <w:jc w:val="left"/>
              <w:rPr>
                <w:rFonts w:hint="default"/>
                <w:b w:val="0"/>
                <w:bCs/>
                <w:color w:val="auto"/>
              </w:rPr>
            </w:pPr>
            <w:r>
              <w:rPr>
                <w:rFonts w:hint="default"/>
                <w:b w:val="0"/>
                <w:bCs/>
                <w:color w:val="auto"/>
              </w:rPr>
              <w:t>烷烃、烯烃、环烷烃、芳香烃、多环芳烃与少量硫</w:t>
            </w:r>
            <w:r>
              <w:rPr>
                <w:rFonts w:hint="default"/>
                <w:b w:val="0"/>
                <w:bCs/>
                <w:color w:val="auto"/>
                <w:lang w:eastAsia="zh-CN"/>
              </w:rPr>
              <w:t>（</w:t>
            </w:r>
            <w:r>
              <w:rPr>
                <w:rFonts w:hint="default"/>
                <w:b w:val="0"/>
                <w:bCs/>
                <w:color w:val="auto"/>
              </w:rPr>
              <w:t>2g/kg～60g/kg</w:t>
            </w:r>
            <w:r>
              <w:rPr>
                <w:rFonts w:hint="eastAsia"/>
                <w:b w:val="0"/>
                <w:bCs/>
                <w:color w:val="auto"/>
                <w:lang w:eastAsia="zh-CN"/>
              </w:rPr>
              <w:t>）</w:t>
            </w:r>
            <w:r>
              <w:rPr>
                <w:rFonts w:hint="default"/>
                <w:b w:val="0"/>
                <w:bCs/>
                <w:color w:val="auto"/>
              </w:rPr>
              <w:t>、氮</w:t>
            </w:r>
            <w:r>
              <w:rPr>
                <w:rFonts w:hint="default"/>
                <w:b w:val="0"/>
                <w:bCs/>
                <w:color w:val="auto"/>
                <w:lang w:eastAsia="zh-CN"/>
              </w:rPr>
              <w:t>（</w:t>
            </w:r>
            <w:r>
              <w:rPr>
                <w:rFonts w:hint="default"/>
                <w:b w:val="0"/>
                <w:bCs/>
                <w:color w:val="auto"/>
              </w:rPr>
              <w:t>&lt;lg/kg</w:t>
            </w:r>
            <w:r>
              <w:rPr>
                <w:rFonts w:hint="eastAsia"/>
                <w:b w:val="0"/>
                <w:bCs/>
                <w:color w:val="auto"/>
                <w:lang w:eastAsia="zh-CN"/>
              </w:rPr>
              <w:t>）</w:t>
            </w:r>
            <w:r>
              <w:rPr>
                <w:rFonts w:hint="default"/>
                <w:b w:val="0"/>
                <w:bCs/>
                <w:color w:val="auto"/>
              </w:rPr>
              <w:t>及添加剂组成的混合物</w:t>
            </w:r>
          </w:p>
        </w:tc>
      </w:tr>
      <w:tr w14:paraId="2320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422415A0">
            <w:pPr>
              <w:pStyle w:val="25"/>
              <w:bidi w:val="0"/>
              <w:jc w:val="center"/>
              <w:rPr>
                <w:rFonts w:hint="default"/>
                <w:b w:val="0"/>
                <w:bCs/>
                <w:color w:val="auto"/>
              </w:rPr>
            </w:pPr>
            <w:r>
              <w:rPr>
                <w:rFonts w:hint="default"/>
                <w:b w:val="0"/>
                <w:bCs/>
                <w:color w:val="auto"/>
              </w:rPr>
              <w:t>沸点：</w:t>
            </w:r>
          </w:p>
        </w:tc>
        <w:tc>
          <w:tcPr>
            <w:tcW w:w="7457" w:type="dxa"/>
            <w:noWrap w:val="0"/>
            <w:vAlign w:val="center"/>
          </w:tcPr>
          <w:p w14:paraId="44527C55">
            <w:pPr>
              <w:pStyle w:val="25"/>
              <w:bidi w:val="0"/>
              <w:jc w:val="left"/>
              <w:rPr>
                <w:rFonts w:hint="default"/>
                <w:b w:val="0"/>
                <w:bCs/>
                <w:color w:val="auto"/>
              </w:rPr>
            </w:pPr>
            <w:r>
              <w:rPr>
                <w:rFonts w:hint="default"/>
                <w:b w:val="0"/>
                <w:bCs/>
                <w:color w:val="auto"/>
              </w:rPr>
              <w:t>180℃～370℃</w:t>
            </w:r>
          </w:p>
        </w:tc>
      </w:tr>
      <w:tr w14:paraId="4425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2DED51E6">
            <w:pPr>
              <w:pStyle w:val="25"/>
              <w:bidi w:val="0"/>
              <w:jc w:val="center"/>
              <w:rPr>
                <w:rFonts w:hint="default"/>
                <w:b w:val="0"/>
                <w:bCs/>
                <w:color w:val="auto"/>
              </w:rPr>
            </w:pPr>
            <w:r>
              <w:rPr>
                <w:rFonts w:hint="default"/>
                <w:b w:val="0"/>
                <w:bCs/>
                <w:color w:val="auto"/>
              </w:rPr>
              <w:t>溶点</w:t>
            </w:r>
          </w:p>
        </w:tc>
        <w:tc>
          <w:tcPr>
            <w:tcW w:w="7457" w:type="dxa"/>
            <w:noWrap w:val="0"/>
            <w:vAlign w:val="center"/>
          </w:tcPr>
          <w:p w14:paraId="398DFBD7">
            <w:pPr>
              <w:pStyle w:val="25"/>
              <w:bidi w:val="0"/>
              <w:jc w:val="left"/>
              <w:rPr>
                <w:rFonts w:hint="default"/>
                <w:b w:val="0"/>
                <w:bCs/>
                <w:color w:val="auto"/>
              </w:rPr>
            </w:pPr>
            <w:r>
              <w:rPr>
                <w:rFonts w:hint="eastAsia"/>
                <w:b w:val="0"/>
                <w:bCs/>
                <w:color w:val="auto"/>
                <w:lang w:val="en-US" w:eastAsia="zh-CN"/>
              </w:rPr>
              <w:t>-</w:t>
            </w:r>
            <w:r>
              <w:rPr>
                <w:rFonts w:hint="default"/>
                <w:b w:val="0"/>
                <w:bCs/>
                <w:color w:val="auto"/>
              </w:rPr>
              <w:t>29.56℃</w:t>
            </w:r>
          </w:p>
        </w:tc>
      </w:tr>
      <w:tr w14:paraId="7017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46ACE6A6">
            <w:pPr>
              <w:pStyle w:val="25"/>
              <w:bidi w:val="0"/>
              <w:jc w:val="center"/>
              <w:rPr>
                <w:rFonts w:hint="default"/>
                <w:b w:val="0"/>
                <w:bCs/>
                <w:color w:val="auto"/>
              </w:rPr>
            </w:pPr>
            <w:r>
              <w:rPr>
                <w:rFonts w:hint="default"/>
                <w:b w:val="0"/>
                <w:bCs/>
                <w:color w:val="auto"/>
              </w:rPr>
              <w:t>相对密度</w:t>
            </w:r>
            <w:r>
              <w:rPr>
                <w:rFonts w:hint="default"/>
                <w:b w:val="0"/>
                <w:bCs/>
                <w:color w:val="auto"/>
                <w:lang w:eastAsia="zh-CN"/>
              </w:rPr>
              <w:t>（</w:t>
            </w:r>
            <w:r>
              <w:rPr>
                <w:rFonts w:hint="default"/>
                <w:b w:val="0"/>
                <w:bCs/>
                <w:color w:val="auto"/>
              </w:rPr>
              <w:t>水=1</w:t>
            </w:r>
            <w:r>
              <w:rPr>
                <w:rFonts w:hint="eastAsia"/>
                <w:b w:val="0"/>
                <w:bCs/>
                <w:color w:val="auto"/>
                <w:lang w:eastAsia="zh-CN"/>
              </w:rPr>
              <w:t>）</w:t>
            </w:r>
            <w:r>
              <w:rPr>
                <w:rFonts w:hint="default"/>
                <w:b w:val="0"/>
                <w:bCs/>
                <w:color w:val="auto"/>
              </w:rPr>
              <w:t>：</w:t>
            </w:r>
          </w:p>
        </w:tc>
        <w:tc>
          <w:tcPr>
            <w:tcW w:w="7457" w:type="dxa"/>
            <w:noWrap w:val="0"/>
            <w:vAlign w:val="center"/>
          </w:tcPr>
          <w:p w14:paraId="748D16C8">
            <w:pPr>
              <w:pStyle w:val="25"/>
              <w:bidi w:val="0"/>
              <w:jc w:val="left"/>
              <w:rPr>
                <w:rFonts w:hint="default"/>
                <w:b w:val="0"/>
                <w:bCs/>
                <w:color w:val="auto"/>
              </w:rPr>
            </w:pPr>
            <w:r>
              <w:rPr>
                <w:rFonts w:hint="default"/>
                <w:b w:val="0"/>
                <w:bCs/>
                <w:color w:val="auto"/>
              </w:rPr>
              <w:t>0.85～0.9</w:t>
            </w:r>
          </w:p>
        </w:tc>
      </w:tr>
      <w:tr w14:paraId="6E02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838CE40">
            <w:pPr>
              <w:pStyle w:val="25"/>
              <w:bidi w:val="0"/>
              <w:jc w:val="center"/>
              <w:rPr>
                <w:rFonts w:hint="default"/>
                <w:b w:val="0"/>
                <w:bCs/>
                <w:color w:val="auto"/>
              </w:rPr>
            </w:pPr>
            <w:r>
              <w:rPr>
                <w:rFonts w:hint="default"/>
                <w:b w:val="0"/>
                <w:bCs/>
                <w:color w:val="auto"/>
              </w:rPr>
              <w:t>蒸汽密度：</w:t>
            </w:r>
          </w:p>
        </w:tc>
        <w:tc>
          <w:tcPr>
            <w:tcW w:w="7457" w:type="dxa"/>
            <w:noWrap w:val="0"/>
            <w:vAlign w:val="center"/>
          </w:tcPr>
          <w:p w14:paraId="70144C3C">
            <w:pPr>
              <w:pStyle w:val="25"/>
              <w:bidi w:val="0"/>
              <w:jc w:val="left"/>
              <w:rPr>
                <w:rFonts w:hint="default"/>
                <w:b w:val="0"/>
                <w:bCs/>
                <w:color w:val="auto"/>
              </w:rPr>
            </w:pPr>
            <w:r>
              <w:rPr>
                <w:rFonts w:hint="default"/>
                <w:b w:val="0"/>
                <w:bCs/>
                <w:color w:val="auto"/>
              </w:rPr>
              <w:t>4</w:t>
            </w:r>
          </w:p>
        </w:tc>
      </w:tr>
      <w:tr w14:paraId="3EA9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34B677BD">
            <w:pPr>
              <w:pStyle w:val="25"/>
              <w:bidi w:val="0"/>
              <w:jc w:val="center"/>
              <w:rPr>
                <w:rFonts w:hint="default"/>
                <w:b w:val="0"/>
                <w:bCs/>
                <w:color w:val="auto"/>
              </w:rPr>
            </w:pPr>
            <w:r>
              <w:rPr>
                <w:rFonts w:hint="default"/>
                <w:b w:val="0"/>
                <w:bCs/>
                <w:color w:val="auto"/>
              </w:rPr>
              <w:t>蒸气压：</w:t>
            </w:r>
          </w:p>
        </w:tc>
        <w:tc>
          <w:tcPr>
            <w:tcW w:w="7457" w:type="dxa"/>
            <w:noWrap w:val="0"/>
            <w:vAlign w:val="center"/>
          </w:tcPr>
          <w:p w14:paraId="09B7CD98">
            <w:pPr>
              <w:pStyle w:val="25"/>
              <w:bidi w:val="0"/>
              <w:jc w:val="left"/>
              <w:rPr>
                <w:rFonts w:hint="default"/>
                <w:b w:val="0"/>
                <w:bCs/>
                <w:color w:val="auto"/>
              </w:rPr>
            </w:pPr>
            <w:r>
              <w:rPr>
                <w:rFonts w:hint="default"/>
                <w:b w:val="0"/>
                <w:bCs/>
                <w:color w:val="auto"/>
              </w:rPr>
              <w:t>4.0kPa</w:t>
            </w:r>
          </w:p>
        </w:tc>
      </w:tr>
      <w:tr w14:paraId="01E7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5181E7F">
            <w:pPr>
              <w:pStyle w:val="25"/>
              <w:bidi w:val="0"/>
              <w:jc w:val="center"/>
              <w:rPr>
                <w:rFonts w:hint="default"/>
                <w:b w:val="0"/>
                <w:bCs/>
                <w:color w:val="auto"/>
              </w:rPr>
            </w:pPr>
            <w:r>
              <w:rPr>
                <w:rFonts w:hint="default"/>
                <w:b w:val="0"/>
                <w:bCs/>
                <w:color w:val="auto"/>
              </w:rPr>
              <w:t>外观性状：</w:t>
            </w:r>
          </w:p>
        </w:tc>
        <w:tc>
          <w:tcPr>
            <w:tcW w:w="7457" w:type="dxa"/>
            <w:noWrap w:val="0"/>
            <w:vAlign w:val="center"/>
          </w:tcPr>
          <w:p w14:paraId="330F7771">
            <w:pPr>
              <w:pStyle w:val="25"/>
              <w:bidi w:val="0"/>
              <w:jc w:val="left"/>
              <w:rPr>
                <w:rFonts w:hint="default"/>
                <w:b w:val="0"/>
                <w:bCs/>
                <w:color w:val="auto"/>
              </w:rPr>
            </w:pPr>
            <w:r>
              <w:rPr>
                <w:rFonts w:hint="default"/>
                <w:b w:val="0"/>
                <w:bCs/>
                <w:color w:val="auto"/>
                <w:lang w:eastAsia="zh-CN"/>
              </w:rPr>
              <w:t>（</w:t>
            </w:r>
            <w:r>
              <w:rPr>
                <w:rFonts w:hint="default"/>
                <w:b w:val="0"/>
                <w:bCs/>
                <w:color w:val="auto"/>
              </w:rPr>
              <w:t>以燃料油为例</w:t>
            </w:r>
            <w:r>
              <w:rPr>
                <w:rFonts w:hint="eastAsia"/>
                <w:b w:val="0"/>
                <w:bCs/>
                <w:color w:val="auto"/>
                <w:lang w:eastAsia="zh-CN"/>
              </w:rPr>
              <w:t>）</w:t>
            </w:r>
            <w:r>
              <w:rPr>
                <w:rFonts w:hint="default"/>
                <w:b w:val="0"/>
                <w:bCs/>
                <w:color w:val="auto"/>
              </w:rPr>
              <w:t>稍有粘性的浅黄至棕色或淡黄色液体，不溶于水。</w:t>
            </w:r>
          </w:p>
        </w:tc>
      </w:tr>
      <w:tr w14:paraId="7BC7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9F506C5">
            <w:pPr>
              <w:pStyle w:val="25"/>
              <w:bidi w:val="0"/>
              <w:jc w:val="center"/>
              <w:rPr>
                <w:rFonts w:hint="default"/>
                <w:b w:val="0"/>
                <w:bCs/>
                <w:color w:val="auto"/>
              </w:rPr>
            </w:pPr>
            <w:r>
              <w:rPr>
                <w:rFonts w:hint="default"/>
                <w:b w:val="0"/>
                <w:bCs/>
                <w:color w:val="auto"/>
              </w:rPr>
              <w:t>主要用途</w:t>
            </w:r>
          </w:p>
        </w:tc>
        <w:tc>
          <w:tcPr>
            <w:tcW w:w="7457" w:type="dxa"/>
            <w:noWrap w:val="0"/>
            <w:vAlign w:val="center"/>
          </w:tcPr>
          <w:p w14:paraId="3DF7932C">
            <w:pPr>
              <w:pStyle w:val="25"/>
              <w:bidi w:val="0"/>
              <w:jc w:val="left"/>
              <w:rPr>
                <w:rFonts w:hint="default"/>
                <w:b w:val="0"/>
                <w:bCs/>
                <w:color w:val="auto"/>
              </w:rPr>
            </w:pPr>
            <w:r>
              <w:rPr>
                <w:rFonts w:hint="default"/>
                <w:b w:val="0"/>
                <w:bCs/>
                <w:color w:val="auto"/>
              </w:rPr>
              <w:t>主要用于做柴油汽车、拖拉机等柴油发动机的燃料。</w:t>
            </w:r>
          </w:p>
        </w:tc>
      </w:tr>
      <w:tr w14:paraId="0A86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2FA7C2BB">
            <w:pPr>
              <w:pStyle w:val="25"/>
              <w:bidi w:val="0"/>
              <w:jc w:val="center"/>
              <w:rPr>
                <w:rFonts w:hint="default"/>
                <w:b w:val="0"/>
                <w:bCs/>
                <w:color w:val="auto"/>
              </w:rPr>
            </w:pPr>
            <w:r>
              <w:rPr>
                <w:rFonts w:hint="default"/>
                <w:b w:val="0"/>
                <w:bCs/>
                <w:color w:val="auto"/>
              </w:rPr>
              <w:t>危险特性</w:t>
            </w:r>
          </w:p>
        </w:tc>
        <w:tc>
          <w:tcPr>
            <w:tcW w:w="7457" w:type="dxa"/>
            <w:noWrap w:val="0"/>
            <w:vAlign w:val="center"/>
          </w:tcPr>
          <w:p w14:paraId="4A09101C">
            <w:pPr>
              <w:pStyle w:val="25"/>
              <w:bidi w:val="0"/>
              <w:jc w:val="left"/>
              <w:rPr>
                <w:rFonts w:hint="default"/>
                <w:b w:val="0"/>
                <w:bCs/>
                <w:color w:val="auto"/>
              </w:rPr>
            </w:pPr>
            <w:r>
              <w:rPr>
                <w:rFonts w:hint="default"/>
                <w:b w:val="0"/>
                <w:bCs/>
                <w:color w:val="auto"/>
              </w:rPr>
              <w:t>闪点：40℃</w:t>
            </w:r>
          </w:p>
          <w:p w14:paraId="3AE3AD9E">
            <w:pPr>
              <w:pStyle w:val="25"/>
              <w:bidi w:val="0"/>
              <w:jc w:val="left"/>
              <w:rPr>
                <w:rFonts w:hint="default"/>
                <w:b w:val="0"/>
                <w:bCs/>
                <w:color w:val="auto"/>
              </w:rPr>
            </w:pPr>
            <w:r>
              <w:rPr>
                <w:rFonts w:hint="default"/>
                <w:b w:val="0"/>
                <w:bCs/>
                <w:color w:val="auto"/>
              </w:rPr>
              <w:t>爆炸极限：0.6％～6.5％</w:t>
            </w:r>
          </w:p>
          <w:p w14:paraId="7B039CC8">
            <w:pPr>
              <w:pStyle w:val="25"/>
              <w:bidi w:val="0"/>
              <w:jc w:val="left"/>
              <w:rPr>
                <w:rFonts w:hint="default"/>
                <w:b w:val="0"/>
                <w:bCs/>
                <w:color w:val="auto"/>
              </w:rPr>
            </w:pPr>
            <w:r>
              <w:rPr>
                <w:rFonts w:hint="default"/>
                <w:b w:val="0"/>
                <w:bCs/>
                <w:color w:val="auto"/>
              </w:rPr>
              <w:t>引燃温度：257℃</w:t>
            </w:r>
          </w:p>
          <w:p w14:paraId="1E4FD82D">
            <w:pPr>
              <w:pStyle w:val="25"/>
              <w:bidi w:val="0"/>
              <w:jc w:val="left"/>
              <w:rPr>
                <w:rFonts w:hint="default"/>
                <w:b w:val="0"/>
                <w:bCs/>
                <w:color w:val="auto"/>
              </w:rPr>
            </w:pPr>
            <w:r>
              <w:rPr>
                <w:rFonts w:hint="default"/>
                <w:b w:val="0"/>
                <w:bCs/>
                <w:color w:val="auto"/>
              </w:rPr>
              <w:t>自燃点：350℃~380℃</w:t>
            </w:r>
          </w:p>
          <w:p w14:paraId="3B098EC4">
            <w:pPr>
              <w:pStyle w:val="25"/>
              <w:bidi w:val="0"/>
              <w:jc w:val="left"/>
              <w:rPr>
                <w:rFonts w:hint="default"/>
                <w:b w:val="0"/>
                <w:bCs/>
                <w:color w:val="auto"/>
              </w:rPr>
            </w:pPr>
            <w:r>
              <w:rPr>
                <w:rFonts w:hint="default"/>
                <w:b w:val="0"/>
                <w:bCs/>
                <w:color w:val="auto"/>
              </w:rPr>
              <w:t>稳定性：稳定</w:t>
            </w:r>
          </w:p>
          <w:p w14:paraId="72376ACF">
            <w:pPr>
              <w:pStyle w:val="25"/>
              <w:bidi w:val="0"/>
              <w:jc w:val="left"/>
              <w:rPr>
                <w:rFonts w:hint="default"/>
                <w:b w:val="0"/>
                <w:bCs/>
                <w:color w:val="auto"/>
              </w:rPr>
            </w:pPr>
            <w:r>
              <w:rPr>
                <w:rFonts w:hint="default"/>
                <w:b w:val="0"/>
                <w:bCs/>
                <w:color w:val="auto"/>
              </w:rPr>
              <w:t>聚合危害：不能出现</w:t>
            </w:r>
          </w:p>
          <w:p w14:paraId="360933D6">
            <w:pPr>
              <w:pStyle w:val="25"/>
              <w:bidi w:val="0"/>
              <w:jc w:val="left"/>
              <w:rPr>
                <w:rFonts w:hint="default"/>
                <w:b w:val="0"/>
                <w:bCs/>
                <w:color w:val="auto"/>
              </w:rPr>
            </w:pPr>
            <w:r>
              <w:rPr>
                <w:rFonts w:hint="default"/>
                <w:b w:val="0"/>
                <w:bCs/>
                <w:color w:val="auto"/>
              </w:rPr>
              <w:t>禁忌物：强氧化剂、卤素</w:t>
            </w:r>
          </w:p>
          <w:p w14:paraId="5B7FAE2D">
            <w:pPr>
              <w:pStyle w:val="25"/>
              <w:bidi w:val="0"/>
              <w:jc w:val="left"/>
              <w:rPr>
                <w:rFonts w:hint="default"/>
                <w:b w:val="0"/>
                <w:bCs/>
                <w:color w:val="auto"/>
              </w:rPr>
            </w:pPr>
            <w:r>
              <w:rPr>
                <w:rFonts w:hint="default"/>
                <w:b w:val="0"/>
                <w:bCs/>
                <w:color w:val="auto"/>
              </w:rPr>
              <w:t>①蒸气与空气混合成为爆炸性混合物0.7％~5.0％；</w:t>
            </w:r>
          </w:p>
          <w:p w14:paraId="1FE7B0B4">
            <w:pPr>
              <w:pStyle w:val="25"/>
              <w:bidi w:val="0"/>
              <w:jc w:val="left"/>
              <w:rPr>
                <w:rFonts w:hint="default"/>
                <w:b w:val="0"/>
                <w:bCs/>
                <w:color w:val="auto"/>
              </w:rPr>
            </w:pPr>
            <w:r>
              <w:rPr>
                <w:rFonts w:hint="default"/>
                <w:b w:val="0"/>
                <w:bCs/>
                <w:color w:val="auto"/>
              </w:rPr>
              <w:t>②遇热、火花、明火，有引起燃烧爆炸的危险；</w:t>
            </w:r>
          </w:p>
          <w:p w14:paraId="228DD5FF">
            <w:pPr>
              <w:pStyle w:val="25"/>
              <w:bidi w:val="0"/>
              <w:jc w:val="left"/>
              <w:rPr>
                <w:rFonts w:hint="default"/>
                <w:b w:val="0"/>
                <w:bCs/>
                <w:color w:val="auto"/>
              </w:rPr>
            </w:pPr>
            <w:r>
              <w:rPr>
                <w:rFonts w:hint="default"/>
                <w:b w:val="0"/>
                <w:bCs/>
                <w:color w:val="auto"/>
              </w:rPr>
              <w:t>③遇高热，容器内压增大，有开裂和爆炸的危险；</w:t>
            </w:r>
          </w:p>
          <w:p w14:paraId="0262DDA8">
            <w:pPr>
              <w:pStyle w:val="25"/>
              <w:bidi w:val="0"/>
              <w:jc w:val="left"/>
              <w:rPr>
                <w:rFonts w:hint="default"/>
                <w:b w:val="0"/>
                <w:bCs/>
                <w:color w:val="auto"/>
              </w:rPr>
            </w:pPr>
            <w:r>
              <w:rPr>
                <w:rFonts w:hint="default"/>
                <w:b w:val="0"/>
                <w:bCs/>
                <w:color w:val="auto"/>
              </w:rPr>
              <w:t>④可蓄积静电，引起电火花；</w:t>
            </w:r>
          </w:p>
          <w:p w14:paraId="6C18C7E9">
            <w:pPr>
              <w:pStyle w:val="25"/>
              <w:bidi w:val="0"/>
              <w:jc w:val="left"/>
              <w:rPr>
                <w:rFonts w:hint="default"/>
                <w:b w:val="0"/>
                <w:bCs/>
                <w:color w:val="auto"/>
              </w:rPr>
            </w:pPr>
            <w:r>
              <w:rPr>
                <w:rFonts w:hint="default"/>
                <w:b w:val="0"/>
                <w:bCs/>
                <w:color w:val="auto"/>
              </w:rPr>
              <w:t>⑤分解和燃烧产物为一氧化碳、二氧化碳和硫氧化物；</w:t>
            </w:r>
          </w:p>
          <w:p w14:paraId="1C66FF51">
            <w:pPr>
              <w:pStyle w:val="25"/>
              <w:bidi w:val="0"/>
              <w:jc w:val="left"/>
              <w:rPr>
                <w:rFonts w:hint="default"/>
                <w:b w:val="0"/>
                <w:bCs/>
                <w:color w:val="auto"/>
              </w:rPr>
            </w:pPr>
            <w:r>
              <w:rPr>
                <w:rFonts w:hint="default"/>
                <w:b w:val="0"/>
                <w:bCs/>
                <w:color w:val="auto"/>
              </w:rPr>
              <w:t>⑥避免接触氧化剂。</w:t>
            </w:r>
          </w:p>
        </w:tc>
      </w:tr>
      <w:tr w14:paraId="3A71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7646F16">
            <w:pPr>
              <w:pStyle w:val="25"/>
              <w:bidi w:val="0"/>
              <w:jc w:val="center"/>
              <w:rPr>
                <w:rFonts w:hint="default"/>
                <w:b w:val="0"/>
                <w:bCs/>
                <w:color w:val="auto"/>
              </w:rPr>
            </w:pPr>
            <w:r>
              <w:rPr>
                <w:rFonts w:hint="default"/>
                <w:b w:val="0"/>
                <w:bCs/>
                <w:color w:val="auto"/>
              </w:rPr>
              <w:t>灭火方法</w:t>
            </w:r>
          </w:p>
        </w:tc>
        <w:tc>
          <w:tcPr>
            <w:tcW w:w="7457" w:type="dxa"/>
            <w:noWrap w:val="0"/>
            <w:vAlign w:val="center"/>
          </w:tcPr>
          <w:p w14:paraId="3314B111">
            <w:pPr>
              <w:pStyle w:val="25"/>
              <w:bidi w:val="0"/>
              <w:jc w:val="left"/>
              <w:rPr>
                <w:rFonts w:hint="default"/>
                <w:b w:val="0"/>
                <w:bCs/>
                <w:color w:val="auto"/>
              </w:rPr>
            </w:pPr>
            <w:r>
              <w:rPr>
                <w:rFonts w:hint="default"/>
                <w:b w:val="0"/>
                <w:bCs/>
                <w:color w:val="auto"/>
              </w:rPr>
              <w:t>泡沫、二氧化碳、干粉、1211灭火剂、砂土。</w:t>
            </w:r>
          </w:p>
        </w:tc>
      </w:tr>
      <w:tr w14:paraId="586C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3C3F25CE">
            <w:pPr>
              <w:pStyle w:val="25"/>
              <w:bidi w:val="0"/>
              <w:jc w:val="center"/>
              <w:rPr>
                <w:rFonts w:hint="default"/>
                <w:b w:val="0"/>
                <w:bCs/>
                <w:color w:val="auto"/>
              </w:rPr>
            </w:pPr>
            <w:r>
              <w:rPr>
                <w:rFonts w:hint="default"/>
                <w:b w:val="0"/>
                <w:bCs/>
                <w:color w:val="auto"/>
              </w:rPr>
              <w:t>泄漏处理</w:t>
            </w:r>
          </w:p>
        </w:tc>
        <w:tc>
          <w:tcPr>
            <w:tcW w:w="7457" w:type="dxa"/>
            <w:noWrap w:val="0"/>
            <w:vAlign w:val="center"/>
          </w:tcPr>
          <w:p w14:paraId="576A550D">
            <w:pPr>
              <w:pStyle w:val="25"/>
              <w:bidi w:val="0"/>
              <w:jc w:val="left"/>
              <w:rPr>
                <w:rFonts w:hint="default"/>
                <w:b w:val="0"/>
                <w:bCs/>
                <w:color w:val="auto"/>
              </w:rPr>
            </w:pPr>
            <w:r>
              <w:rPr>
                <w:rFonts w:hint="default"/>
                <w:b w:val="0"/>
                <w:bCs/>
                <w:color w:val="auto"/>
              </w:rPr>
              <w:t>疏散泄漏污染区人员至安全区，禁止无关人员进入污染区，切断电源。应急处理人员戴自给式呼吸器，穿一般消防防护服。在确保安全情况下堵漏。喷水雾可减少蒸发。用活性炭或其它惰性材料吸收，然后收集于干燥净洁有盖的容器中，运至废物处理场所。如大量泄漏，利用围堤收容，然后收集、转移、回收或无害处理后废弃。</w:t>
            </w:r>
          </w:p>
        </w:tc>
      </w:tr>
      <w:tr w14:paraId="260E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9B1B53B">
            <w:pPr>
              <w:pStyle w:val="25"/>
              <w:bidi w:val="0"/>
              <w:jc w:val="center"/>
              <w:rPr>
                <w:rFonts w:hint="default"/>
                <w:b w:val="0"/>
                <w:bCs/>
                <w:color w:val="auto"/>
              </w:rPr>
            </w:pPr>
            <w:r>
              <w:rPr>
                <w:rFonts w:hint="default"/>
                <w:b w:val="0"/>
                <w:bCs/>
                <w:color w:val="auto"/>
              </w:rPr>
              <w:t>储运注意事项</w:t>
            </w:r>
          </w:p>
        </w:tc>
        <w:tc>
          <w:tcPr>
            <w:tcW w:w="7457" w:type="dxa"/>
            <w:noWrap w:val="0"/>
            <w:vAlign w:val="center"/>
          </w:tcPr>
          <w:p w14:paraId="02825CCC">
            <w:pPr>
              <w:pStyle w:val="25"/>
              <w:bidi w:val="0"/>
              <w:jc w:val="left"/>
              <w:rPr>
                <w:rFonts w:hint="default"/>
                <w:b w:val="0"/>
                <w:bCs/>
                <w:color w:val="auto"/>
              </w:rPr>
            </w:pPr>
            <w:r>
              <w:rPr>
                <w:rFonts w:hint="default"/>
                <w:b w:val="0"/>
                <w:bCs/>
                <w:color w:val="auto"/>
              </w:rPr>
              <w:t>储存于阴凉、通风仓间内。远离火种、热源。防止阳光直射。保持容器密封。应与氧化剂分开存放。储存间内的照明、通风等设施应采用防爆型。配备相应品种和数量的消防器材。罐储时要有防爆技术措施。禁止使用易产生火花的机械设备和工具。充装时控制流速，注意防止静电积聚。搬运时要轻装轻卸，防止包装及容器损坏。</w:t>
            </w:r>
          </w:p>
        </w:tc>
      </w:tr>
      <w:tr w14:paraId="7C9F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93DE5FA">
            <w:pPr>
              <w:pStyle w:val="25"/>
              <w:bidi w:val="0"/>
              <w:jc w:val="center"/>
              <w:rPr>
                <w:rFonts w:hint="default"/>
                <w:b w:val="0"/>
                <w:bCs/>
                <w:color w:val="auto"/>
              </w:rPr>
            </w:pPr>
            <w:r>
              <w:rPr>
                <w:rFonts w:hint="default"/>
                <w:b w:val="0"/>
                <w:bCs/>
                <w:color w:val="auto"/>
              </w:rPr>
              <w:t>防护措施</w:t>
            </w:r>
          </w:p>
        </w:tc>
        <w:tc>
          <w:tcPr>
            <w:tcW w:w="7457" w:type="dxa"/>
            <w:noWrap w:val="0"/>
            <w:vAlign w:val="center"/>
          </w:tcPr>
          <w:p w14:paraId="7D6B1E51">
            <w:pPr>
              <w:pStyle w:val="25"/>
              <w:bidi w:val="0"/>
              <w:jc w:val="left"/>
              <w:rPr>
                <w:rFonts w:hint="default"/>
                <w:b w:val="0"/>
                <w:bCs/>
                <w:color w:val="auto"/>
              </w:rPr>
            </w:pPr>
            <w:r>
              <w:rPr>
                <w:rFonts w:hint="default"/>
                <w:b w:val="0"/>
                <w:bCs/>
                <w:color w:val="auto"/>
              </w:rPr>
              <w:t>工程控制：密闭操作，注意通风。</w:t>
            </w:r>
          </w:p>
          <w:p w14:paraId="7B5C6904">
            <w:pPr>
              <w:pStyle w:val="25"/>
              <w:bidi w:val="0"/>
              <w:jc w:val="left"/>
              <w:rPr>
                <w:rFonts w:hint="default"/>
                <w:b w:val="0"/>
                <w:bCs/>
                <w:color w:val="auto"/>
              </w:rPr>
            </w:pPr>
            <w:r>
              <w:rPr>
                <w:rFonts w:hint="default"/>
                <w:b w:val="0"/>
                <w:bCs/>
                <w:color w:val="auto"/>
              </w:rPr>
              <w:t>呼吸系统防护：一般不需要特殊防护，但建议特殊情况下，佩戴防毒面具。</w:t>
            </w:r>
          </w:p>
          <w:p w14:paraId="01DE3783">
            <w:pPr>
              <w:pStyle w:val="25"/>
              <w:bidi w:val="0"/>
              <w:jc w:val="left"/>
              <w:rPr>
                <w:rFonts w:hint="default"/>
                <w:b w:val="0"/>
                <w:bCs/>
                <w:color w:val="auto"/>
              </w:rPr>
            </w:pPr>
            <w:r>
              <w:rPr>
                <w:rFonts w:hint="default"/>
                <w:b w:val="0"/>
                <w:bCs/>
                <w:color w:val="auto"/>
              </w:rPr>
              <w:t>眼睛防护：必要时戴安</w:t>
            </w:r>
          </w:p>
          <w:p w14:paraId="4D59039A">
            <w:pPr>
              <w:pStyle w:val="25"/>
              <w:bidi w:val="0"/>
              <w:jc w:val="left"/>
              <w:rPr>
                <w:rFonts w:hint="default"/>
                <w:b w:val="0"/>
                <w:bCs/>
                <w:color w:val="auto"/>
              </w:rPr>
            </w:pPr>
            <w:r>
              <w:rPr>
                <w:rFonts w:hint="default"/>
                <w:b w:val="0"/>
                <w:bCs/>
                <w:color w:val="auto"/>
              </w:rPr>
              <w:t>全防护眼镜。</w:t>
            </w:r>
          </w:p>
          <w:p w14:paraId="03514E91">
            <w:pPr>
              <w:pStyle w:val="25"/>
              <w:bidi w:val="0"/>
              <w:jc w:val="left"/>
              <w:rPr>
                <w:rFonts w:hint="default"/>
                <w:b w:val="0"/>
                <w:bCs/>
                <w:color w:val="auto"/>
              </w:rPr>
            </w:pPr>
            <w:r>
              <w:rPr>
                <w:rFonts w:hint="default"/>
                <w:b w:val="0"/>
                <w:bCs/>
                <w:color w:val="auto"/>
              </w:rPr>
              <w:t>防护服：穿工作服</w:t>
            </w:r>
          </w:p>
          <w:p w14:paraId="7FA47E36">
            <w:pPr>
              <w:pStyle w:val="25"/>
              <w:bidi w:val="0"/>
              <w:jc w:val="left"/>
              <w:rPr>
                <w:rFonts w:hint="default"/>
                <w:b w:val="0"/>
                <w:bCs/>
                <w:color w:val="auto"/>
              </w:rPr>
            </w:pPr>
            <w:r>
              <w:rPr>
                <w:rFonts w:hint="default"/>
                <w:b w:val="0"/>
                <w:bCs/>
                <w:color w:val="auto"/>
              </w:rPr>
              <w:t>手防护：戴防护手套</w:t>
            </w:r>
          </w:p>
          <w:p w14:paraId="720A743A">
            <w:pPr>
              <w:pStyle w:val="25"/>
              <w:bidi w:val="0"/>
              <w:jc w:val="left"/>
              <w:rPr>
                <w:rFonts w:hint="default"/>
                <w:b w:val="0"/>
                <w:bCs/>
                <w:color w:val="auto"/>
              </w:rPr>
            </w:pPr>
            <w:r>
              <w:rPr>
                <w:rFonts w:hint="default"/>
                <w:b w:val="0"/>
                <w:bCs/>
                <w:color w:val="auto"/>
              </w:rPr>
              <w:t>其  它：工作后，淋浴更衣。保持良好的卫生习惯。</w:t>
            </w:r>
          </w:p>
        </w:tc>
      </w:tr>
      <w:tr w14:paraId="07B1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0434F8BD">
            <w:pPr>
              <w:pStyle w:val="25"/>
              <w:bidi w:val="0"/>
              <w:jc w:val="center"/>
              <w:rPr>
                <w:rFonts w:hint="default"/>
                <w:b w:val="0"/>
                <w:bCs/>
                <w:color w:val="auto"/>
              </w:rPr>
            </w:pPr>
            <w:r>
              <w:rPr>
                <w:rFonts w:hint="default"/>
                <w:b w:val="0"/>
                <w:bCs/>
                <w:color w:val="auto"/>
              </w:rPr>
              <w:t>毒理学资料</w:t>
            </w:r>
          </w:p>
        </w:tc>
        <w:tc>
          <w:tcPr>
            <w:tcW w:w="7457" w:type="dxa"/>
            <w:noWrap w:val="0"/>
            <w:vAlign w:val="center"/>
          </w:tcPr>
          <w:p w14:paraId="5FB40813">
            <w:pPr>
              <w:pStyle w:val="25"/>
              <w:bidi w:val="0"/>
              <w:jc w:val="left"/>
              <w:rPr>
                <w:rFonts w:hint="default"/>
                <w:b w:val="0"/>
                <w:bCs/>
                <w:color w:val="auto"/>
              </w:rPr>
            </w:pPr>
            <w:r>
              <w:rPr>
                <w:rFonts w:hint="default"/>
                <w:b w:val="0"/>
                <w:bCs/>
                <w:color w:val="auto"/>
              </w:rPr>
              <w:t>大鼠经口LD50：7500mg/kg。</w:t>
            </w:r>
          </w:p>
          <w:p w14:paraId="3D16FE73">
            <w:pPr>
              <w:pStyle w:val="25"/>
              <w:bidi w:val="0"/>
              <w:jc w:val="left"/>
              <w:rPr>
                <w:rFonts w:hint="default"/>
                <w:b w:val="0"/>
                <w:bCs/>
                <w:color w:val="auto"/>
              </w:rPr>
            </w:pPr>
            <w:r>
              <w:rPr>
                <w:rFonts w:hint="default"/>
                <w:b w:val="0"/>
                <w:bCs/>
                <w:color w:val="auto"/>
              </w:rPr>
              <w:t>兔经皮LD50：&gt;5ml/kg。因杂质及添加剂</w:t>
            </w:r>
            <w:r>
              <w:rPr>
                <w:rFonts w:hint="default"/>
                <w:b w:val="0"/>
                <w:bCs/>
                <w:color w:val="auto"/>
                <w:lang w:eastAsia="zh-CN"/>
              </w:rPr>
              <w:t>（</w:t>
            </w:r>
            <w:r>
              <w:rPr>
                <w:rFonts w:hint="default"/>
                <w:b w:val="0"/>
                <w:bCs/>
                <w:color w:val="auto"/>
              </w:rPr>
              <w:t>如硫化酯类等</w:t>
            </w:r>
            <w:r>
              <w:rPr>
                <w:rFonts w:hint="eastAsia"/>
                <w:b w:val="0"/>
                <w:bCs/>
                <w:color w:val="auto"/>
                <w:lang w:eastAsia="zh-CN"/>
              </w:rPr>
              <w:t>）</w:t>
            </w:r>
            <w:r>
              <w:rPr>
                <w:rFonts w:hint="default"/>
                <w:b w:val="0"/>
                <w:bCs/>
                <w:color w:val="auto"/>
              </w:rPr>
              <w:t>不同而毒性可有差异。</w:t>
            </w:r>
          </w:p>
          <w:p w14:paraId="1F16B759">
            <w:pPr>
              <w:pStyle w:val="25"/>
              <w:bidi w:val="0"/>
              <w:jc w:val="left"/>
              <w:rPr>
                <w:rFonts w:hint="default"/>
                <w:b w:val="0"/>
                <w:bCs/>
                <w:color w:val="auto"/>
              </w:rPr>
            </w:pPr>
            <w:r>
              <w:rPr>
                <w:rFonts w:hint="default"/>
                <w:b w:val="0"/>
                <w:bCs/>
                <w:color w:val="auto"/>
              </w:rPr>
              <w:t>对皮肤和粘膜有刺激作用。也可有轻度麻醉作用。用500mg涂兔皮肤引起中毒皮肤刺激。柴油为高沸点物质，吸入蒸气而毒害的机会较少。</w:t>
            </w:r>
          </w:p>
        </w:tc>
      </w:tr>
      <w:tr w14:paraId="45C1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25742FB">
            <w:pPr>
              <w:pStyle w:val="25"/>
              <w:bidi w:val="0"/>
              <w:jc w:val="center"/>
              <w:rPr>
                <w:rFonts w:hint="default"/>
                <w:b w:val="0"/>
                <w:bCs/>
                <w:color w:val="auto"/>
              </w:rPr>
            </w:pPr>
            <w:r>
              <w:rPr>
                <w:rFonts w:hint="default"/>
                <w:b w:val="0"/>
                <w:bCs/>
                <w:color w:val="auto"/>
              </w:rPr>
              <w:t>急救</w:t>
            </w:r>
          </w:p>
        </w:tc>
        <w:tc>
          <w:tcPr>
            <w:tcW w:w="7457" w:type="dxa"/>
            <w:noWrap w:val="0"/>
            <w:vAlign w:val="center"/>
          </w:tcPr>
          <w:p w14:paraId="7F4D6CC5">
            <w:pPr>
              <w:pStyle w:val="25"/>
              <w:bidi w:val="0"/>
              <w:jc w:val="left"/>
              <w:rPr>
                <w:rFonts w:hint="default"/>
                <w:b w:val="0"/>
                <w:bCs/>
                <w:color w:val="auto"/>
              </w:rPr>
            </w:pPr>
            <w:r>
              <w:rPr>
                <w:rFonts w:hint="default"/>
                <w:b w:val="0"/>
                <w:bCs/>
                <w:color w:val="auto"/>
              </w:rPr>
              <w:t>皮肤接触：脱去污染的衣着，用肥皂及清水彻底冲洗，就医。</w:t>
            </w:r>
          </w:p>
          <w:p w14:paraId="184738F0">
            <w:pPr>
              <w:pStyle w:val="25"/>
              <w:bidi w:val="0"/>
              <w:jc w:val="left"/>
              <w:rPr>
                <w:rFonts w:hint="default"/>
                <w:b w:val="0"/>
                <w:bCs/>
                <w:color w:val="auto"/>
              </w:rPr>
            </w:pPr>
            <w:r>
              <w:rPr>
                <w:rFonts w:hint="default"/>
                <w:b w:val="0"/>
                <w:bCs/>
                <w:color w:val="auto"/>
              </w:rPr>
              <w:t>眼睛接触：立即翻开上下眼睑，用流动清水或生理盐水冲洗至少1min，就医。</w:t>
            </w:r>
          </w:p>
          <w:p w14:paraId="347F3059">
            <w:pPr>
              <w:pStyle w:val="25"/>
              <w:bidi w:val="0"/>
              <w:jc w:val="left"/>
              <w:rPr>
                <w:rFonts w:hint="default"/>
                <w:b w:val="0"/>
                <w:bCs/>
                <w:color w:val="auto"/>
              </w:rPr>
            </w:pPr>
            <w:r>
              <w:rPr>
                <w:rFonts w:hint="default"/>
                <w:b w:val="0"/>
                <w:bCs/>
                <w:color w:val="auto"/>
              </w:rPr>
              <w:t>吸入：迅速脱离现场至空气新鲜处。保持呼吸道通畅。保暖并休息。呼吸困难时给输氧。呼吸停止时，立即进行人工呼吸。就医。</w:t>
            </w:r>
          </w:p>
          <w:p w14:paraId="68D71754">
            <w:pPr>
              <w:pStyle w:val="25"/>
              <w:bidi w:val="0"/>
              <w:jc w:val="left"/>
              <w:rPr>
                <w:rFonts w:hint="default"/>
                <w:b w:val="0"/>
                <w:bCs/>
                <w:color w:val="auto"/>
              </w:rPr>
            </w:pPr>
            <w:r>
              <w:rPr>
                <w:rFonts w:hint="default"/>
                <w:b w:val="0"/>
                <w:bCs/>
                <w:color w:val="auto"/>
              </w:rPr>
              <w:t>食入：误服者立即漱口，饮足量温水，尽快洗胃。就医。</w:t>
            </w:r>
          </w:p>
        </w:tc>
      </w:tr>
      <w:tr w14:paraId="4AE3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C566240">
            <w:pPr>
              <w:pStyle w:val="25"/>
              <w:bidi w:val="0"/>
              <w:jc w:val="center"/>
              <w:rPr>
                <w:rFonts w:hint="default"/>
                <w:b w:val="0"/>
                <w:bCs/>
                <w:color w:val="auto"/>
              </w:rPr>
            </w:pPr>
            <w:r>
              <w:rPr>
                <w:rFonts w:hint="default"/>
                <w:b w:val="0"/>
                <w:bCs/>
                <w:color w:val="auto"/>
              </w:rPr>
              <w:t>临床表现</w:t>
            </w:r>
          </w:p>
        </w:tc>
        <w:tc>
          <w:tcPr>
            <w:tcW w:w="7457" w:type="dxa"/>
            <w:noWrap w:val="0"/>
            <w:vAlign w:val="center"/>
          </w:tcPr>
          <w:p w14:paraId="695AF744">
            <w:pPr>
              <w:pStyle w:val="25"/>
              <w:bidi w:val="0"/>
              <w:jc w:val="left"/>
              <w:rPr>
                <w:rFonts w:hint="default"/>
                <w:b w:val="0"/>
                <w:bCs/>
                <w:color w:val="auto"/>
              </w:rPr>
            </w:pPr>
            <w:r>
              <w:rPr>
                <w:rFonts w:hint="default"/>
                <w:b w:val="0"/>
                <w:bCs/>
                <w:color w:val="auto"/>
              </w:rPr>
              <w:t>有报道拖拉机驾驶台四周空气污染细微雾滴，拖拉机手持续吸入15分钟而引起严重的吸入性肺炎。国外有病例报道，用柴油清洁两手和两臂数周而引发急性肾功能衰竭，肾活检验显示急性肾上管坏死。经治疗后恢复。故需考虑在皮肤大量接触后，个别人可能发生肾脏损害。皮肤接触后可能发生接触性皮炎，表现为红斑、水疱、丘疹。</w:t>
            </w:r>
          </w:p>
        </w:tc>
      </w:tr>
    </w:tbl>
    <w:p w14:paraId="7AB6D2CF">
      <w:pPr>
        <w:keepNext w:val="0"/>
        <w:keepLines w:val="0"/>
        <w:pageBreakBefore w:val="0"/>
        <w:widowControl w:val="0"/>
        <w:kinsoku/>
        <w:wordWrap/>
        <w:overflowPunct/>
        <w:topLinePunct w:val="0"/>
        <w:autoSpaceDE/>
        <w:autoSpaceDN/>
        <w:bidi w:val="0"/>
        <w:adjustRightInd/>
        <w:snapToGrid/>
        <w:textAlignment w:val="auto"/>
        <w:outlineLvl w:val="9"/>
        <w:rPr>
          <w:rFonts w:hint="default"/>
          <w:b w:val="0"/>
          <w:bCs/>
          <w:color w:val="auto"/>
          <w:lang w:val="en-US" w:eastAsia="zh-CN"/>
        </w:rPr>
      </w:pPr>
      <w:r>
        <w:rPr>
          <w:rFonts w:hint="eastAsia"/>
          <w:b w:val="0"/>
          <w:bCs/>
          <w:color w:val="auto"/>
          <w:lang w:val="en-US" w:eastAsia="zh-CN"/>
        </w:rPr>
        <w:t>2</w:t>
      </w:r>
      <w:r>
        <w:rPr>
          <w:rFonts w:hint="default"/>
          <w:b w:val="0"/>
          <w:bCs/>
          <w:color w:val="auto"/>
          <w:lang w:val="en-US" w:eastAsia="zh-CN"/>
        </w:rPr>
        <w:t>、乙炔</w:t>
      </w:r>
    </w:p>
    <w:p w14:paraId="6E730006">
      <w:pPr>
        <w:pStyle w:val="24"/>
        <w:bidi w:val="0"/>
        <w:rPr>
          <w:rFonts w:hint="default"/>
          <w:b w:val="0"/>
          <w:bCs/>
          <w:color w:val="auto"/>
          <w:lang w:val="en-US" w:eastAsia="zh-CN"/>
        </w:rPr>
      </w:pPr>
      <w:r>
        <w:rPr>
          <w:rFonts w:hint="default"/>
          <w:b w:val="0"/>
          <w:bCs/>
          <w:color w:val="auto"/>
          <w:lang w:val="en-US" w:eastAsia="zh-CN"/>
        </w:rPr>
        <w:t>表3.</w:t>
      </w:r>
      <w:r>
        <w:rPr>
          <w:rFonts w:hint="eastAsia"/>
          <w:b w:val="0"/>
          <w:bCs/>
          <w:color w:val="auto"/>
          <w:lang w:val="en-US" w:eastAsia="zh-CN"/>
        </w:rPr>
        <w:t>2</w:t>
      </w:r>
      <w:r>
        <w:rPr>
          <w:rFonts w:hint="default"/>
          <w:b w:val="0"/>
          <w:bCs/>
          <w:color w:val="auto"/>
          <w:lang w:val="en-US" w:eastAsia="zh-CN"/>
        </w:rPr>
        <w:t>-</w:t>
      </w:r>
      <w:r>
        <w:rPr>
          <w:rFonts w:hint="eastAsia"/>
          <w:b w:val="0"/>
          <w:bCs/>
          <w:color w:val="auto"/>
          <w:lang w:val="en-US" w:eastAsia="zh-CN"/>
        </w:rPr>
        <w:t>2</w:t>
      </w:r>
      <w:r>
        <w:rPr>
          <w:rFonts w:hint="default"/>
          <w:b w:val="0"/>
          <w:bCs/>
          <w:color w:val="auto"/>
          <w:lang w:val="en-US" w:eastAsia="zh-CN"/>
        </w:rPr>
        <w:t xml:space="preserve">  乙炔理化特性表</w:t>
      </w:r>
    </w:p>
    <w:tbl>
      <w:tblPr>
        <w:tblStyle w:val="1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8324"/>
      </w:tblGrid>
      <w:tr w14:paraId="3FEB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pct"/>
            <w:tcBorders>
              <w:top w:val="single" w:color="auto" w:sz="4" w:space="0"/>
              <w:left w:val="single" w:color="auto" w:sz="4" w:space="0"/>
              <w:bottom w:val="single" w:color="auto" w:sz="4" w:space="0"/>
              <w:right w:val="single" w:color="auto" w:sz="4" w:space="0"/>
            </w:tcBorders>
            <w:noWrap w:val="0"/>
            <w:vAlign w:val="center"/>
          </w:tcPr>
          <w:p w14:paraId="39BBD7BF">
            <w:pPr>
              <w:pStyle w:val="25"/>
              <w:bidi w:val="0"/>
              <w:rPr>
                <w:rFonts w:hint="eastAsia"/>
                <w:b w:val="0"/>
                <w:bCs/>
                <w:color w:val="auto"/>
              </w:rPr>
            </w:pPr>
            <w:r>
              <w:rPr>
                <w:rFonts w:hint="eastAsia"/>
                <w:b w:val="0"/>
                <w:bCs/>
                <w:color w:val="auto"/>
              </w:rPr>
              <w:t>特别警示</w:t>
            </w:r>
          </w:p>
        </w:tc>
        <w:tc>
          <w:tcPr>
            <w:tcW w:w="4427" w:type="pct"/>
            <w:tcBorders>
              <w:top w:val="single" w:color="auto" w:sz="4" w:space="0"/>
              <w:left w:val="single" w:color="auto" w:sz="4" w:space="0"/>
              <w:bottom w:val="single" w:color="auto" w:sz="4" w:space="0"/>
              <w:right w:val="single" w:color="auto" w:sz="4" w:space="0"/>
            </w:tcBorders>
            <w:noWrap w:val="0"/>
            <w:vAlign w:val="top"/>
          </w:tcPr>
          <w:p w14:paraId="67FB3BF2">
            <w:pPr>
              <w:pStyle w:val="25"/>
              <w:bidi w:val="0"/>
              <w:jc w:val="both"/>
              <w:rPr>
                <w:rFonts w:hint="default"/>
                <w:b w:val="0"/>
                <w:bCs/>
                <w:color w:val="auto"/>
              </w:rPr>
            </w:pPr>
            <w:r>
              <w:rPr>
                <w:rFonts w:hint="eastAsia"/>
                <w:b w:val="0"/>
                <w:bCs/>
                <w:color w:val="auto"/>
              </w:rPr>
              <w:t>极易燃气体；经压缩或加热可造成爆炸；火场温度下易发生危险的聚合反应。</w:t>
            </w:r>
          </w:p>
        </w:tc>
      </w:tr>
      <w:tr w14:paraId="0555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pct"/>
            <w:noWrap w:val="0"/>
            <w:vAlign w:val="center"/>
          </w:tcPr>
          <w:p w14:paraId="4906CEA7">
            <w:pPr>
              <w:pStyle w:val="25"/>
              <w:bidi w:val="0"/>
              <w:rPr>
                <w:rFonts w:hint="eastAsia"/>
                <w:b w:val="0"/>
                <w:bCs/>
                <w:color w:val="auto"/>
              </w:rPr>
            </w:pPr>
            <w:r>
              <w:rPr>
                <w:rFonts w:hint="eastAsia"/>
                <w:b w:val="0"/>
                <w:bCs/>
                <w:color w:val="auto"/>
              </w:rPr>
              <w:t>理化特性</w:t>
            </w:r>
          </w:p>
        </w:tc>
        <w:tc>
          <w:tcPr>
            <w:tcW w:w="4427" w:type="pct"/>
            <w:noWrap w:val="0"/>
            <w:vAlign w:val="top"/>
          </w:tcPr>
          <w:p w14:paraId="1D98BB5E">
            <w:pPr>
              <w:pStyle w:val="25"/>
              <w:bidi w:val="0"/>
              <w:jc w:val="both"/>
              <w:rPr>
                <w:rFonts w:hint="default"/>
                <w:b w:val="0"/>
                <w:bCs/>
                <w:color w:val="auto"/>
              </w:rPr>
            </w:pPr>
            <w:r>
              <w:rPr>
                <w:rFonts w:hint="default"/>
                <w:b w:val="0"/>
                <w:bCs/>
                <w:color w:val="auto"/>
              </w:rPr>
              <w:t>无色无臭气体，工业品有使人不愉快的大蒜气味。微溶于水，溶于乙醇、丙酮、氯仿、苯。分子量26.04，熔点-80.8℃，沸点-83.8℃，气体密度1.17g/L，相对密度（水=1）0.62，相对蒸气密度（空气=1）0.91，临界压力6.19MPa，临界温度35.2℃，饱和蒸气压4460kPa</w:t>
            </w:r>
            <w:r>
              <w:rPr>
                <w:rFonts w:hint="eastAsia"/>
                <w:b w:val="0"/>
                <w:bCs/>
                <w:color w:val="auto"/>
                <w:lang w:eastAsia="zh-CN"/>
              </w:rPr>
              <w:t>（</w:t>
            </w:r>
            <w:r>
              <w:rPr>
                <w:rFonts w:hint="default"/>
                <w:b w:val="0"/>
                <w:bCs/>
                <w:color w:val="auto"/>
              </w:rPr>
              <w:t>20℃</w:t>
            </w:r>
            <w:r>
              <w:rPr>
                <w:rFonts w:hint="eastAsia"/>
                <w:b w:val="0"/>
                <w:bCs/>
                <w:color w:val="auto"/>
                <w:lang w:eastAsia="zh-CN"/>
              </w:rPr>
              <w:t>）</w:t>
            </w:r>
            <w:r>
              <w:rPr>
                <w:rFonts w:hint="default"/>
                <w:b w:val="0"/>
                <w:bCs/>
                <w:color w:val="auto"/>
              </w:rPr>
              <w:t>，爆炸极限2.1%～80%（体积比），自燃温度305℃，最小点火能0.02mJ。</w:t>
            </w:r>
          </w:p>
          <w:p w14:paraId="36DF694E">
            <w:pPr>
              <w:pStyle w:val="25"/>
              <w:bidi w:val="0"/>
              <w:jc w:val="both"/>
              <w:rPr>
                <w:rFonts w:hint="default"/>
                <w:b w:val="0"/>
                <w:bCs/>
                <w:color w:val="auto"/>
              </w:rPr>
            </w:pPr>
            <w:r>
              <w:rPr>
                <w:rFonts w:hint="default"/>
                <w:b w:val="0"/>
                <w:bCs/>
                <w:color w:val="auto"/>
              </w:rPr>
              <w:t>主要用途：主要是有机合成的重要原料之一。亦是合成橡胶、合成纤维和塑料的原料，也用于氧炔焊割。</w:t>
            </w:r>
          </w:p>
        </w:tc>
      </w:tr>
      <w:tr w14:paraId="1197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pct"/>
            <w:noWrap w:val="0"/>
            <w:vAlign w:val="center"/>
          </w:tcPr>
          <w:p w14:paraId="48228A4D">
            <w:pPr>
              <w:pStyle w:val="25"/>
              <w:bidi w:val="0"/>
              <w:rPr>
                <w:rFonts w:hint="eastAsia"/>
                <w:b w:val="0"/>
                <w:bCs/>
                <w:color w:val="auto"/>
              </w:rPr>
            </w:pPr>
            <w:r>
              <w:rPr>
                <w:rFonts w:hint="eastAsia"/>
                <w:b w:val="0"/>
                <w:bCs/>
                <w:color w:val="auto"/>
              </w:rPr>
              <w:t>危害信息</w:t>
            </w:r>
          </w:p>
        </w:tc>
        <w:tc>
          <w:tcPr>
            <w:tcW w:w="4427" w:type="pct"/>
            <w:noWrap w:val="0"/>
            <w:vAlign w:val="top"/>
          </w:tcPr>
          <w:p w14:paraId="04144105">
            <w:pPr>
              <w:pStyle w:val="25"/>
              <w:bidi w:val="0"/>
              <w:jc w:val="both"/>
              <w:rPr>
                <w:rFonts w:hint="eastAsia"/>
                <w:b w:val="0"/>
                <w:bCs/>
                <w:color w:val="auto"/>
              </w:rPr>
            </w:pPr>
            <w:r>
              <w:rPr>
                <w:rFonts w:hint="eastAsia"/>
                <w:b w:val="0"/>
                <w:bCs/>
                <w:color w:val="auto"/>
              </w:rPr>
              <w:t>【燃烧和爆炸危险性】</w:t>
            </w:r>
          </w:p>
          <w:p w14:paraId="3751F891">
            <w:pPr>
              <w:pStyle w:val="25"/>
              <w:bidi w:val="0"/>
              <w:jc w:val="both"/>
              <w:rPr>
                <w:rFonts w:hint="default"/>
                <w:b w:val="0"/>
                <w:bCs/>
                <w:color w:val="auto"/>
              </w:rPr>
            </w:pPr>
            <w:r>
              <w:rPr>
                <w:rFonts w:hint="default"/>
                <w:b w:val="0"/>
                <w:bCs/>
                <w:color w:val="auto"/>
              </w:rPr>
              <w:t>易燃烧爆炸。能与空气形成爆炸性混合物，爆炸范围非常宽，遇明火、高热和氧化剂有燃烧、爆炸危险。</w:t>
            </w:r>
          </w:p>
          <w:p w14:paraId="789E1AAD">
            <w:pPr>
              <w:pStyle w:val="25"/>
              <w:bidi w:val="0"/>
              <w:jc w:val="both"/>
              <w:rPr>
                <w:rFonts w:hint="eastAsia"/>
                <w:b w:val="0"/>
                <w:bCs/>
                <w:color w:val="auto"/>
              </w:rPr>
            </w:pPr>
            <w:r>
              <w:rPr>
                <w:rFonts w:hint="eastAsia"/>
                <w:b w:val="0"/>
                <w:bCs/>
                <w:color w:val="auto"/>
              </w:rPr>
              <w:t>【活性反应】</w:t>
            </w:r>
          </w:p>
          <w:p w14:paraId="326D4C35">
            <w:pPr>
              <w:pStyle w:val="25"/>
              <w:bidi w:val="0"/>
              <w:jc w:val="both"/>
              <w:rPr>
                <w:rFonts w:hint="default"/>
                <w:b w:val="0"/>
                <w:bCs/>
                <w:color w:val="auto"/>
              </w:rPr>
            </w:pPr>
            <w:r>
              <w:rPr>
                <w:rFonts w:hint="default"/>
                <w:b w:val="0"/>
                <w:bCs/>
                <w:color w:val="auto"/>
              </w:rPr>
              <w:t>与氧化剂接触猛烈反应。与氟、氯等接触会发生剧烈的化学反应。能与铜、银、汞等的化合物生成爆炸性物质。</w:t>
            </w:r>
          </w:p>
          <w:p w14:paraId="155D98AE">
            <w:pPr>
              <w:pStyle w:val="25"/>
              <w:bidi w:val="0"/>
              <w:jc w:val="both"/>
              <w:rPr>
                <w:rFonts w:hint="default"/>
                <w:b w:val="0"/>
                <w:bCs/>
                <w:color w:val="auto"/>
              </w:rPr>
            </w:pPr>
            <w:r>
              <w:rPr>
                <w:rFonts w:hint="eastAsia"/>
                <w:b w:val="0"/>
                <w:bCs/>
                <w:color w:val="auto"/>
              </w:rPr>
              <w:t>【健康危害】</w:t>
            </w:r>
          </w:p>
          <w:p w14:paraId="68369492">
            <w:pPr>
              <w:pStyle w:val="25"/>
              <w:bidi w:val="0"/>
              <w:jc w:val="both"/>
              <w:rPr>
                <w:rFonts w:hint="eastAsia"/>
                <w:b w:val="0"/>
                <w:bCs/>
                <w:color w:val="auto"/>
              </w:rPr>
            </w:pPr>
            <w:r>
              <w:rPr>
                <w:rFonts w:hint="default"/>
                <w:b w:val="0"/>
                <w:bCs/>
                <w:color w:val="auto"/>
              </w:rPr>
              <w:t>具有弱麻醉作用，麻醉恢复快，无后作用，高浓度吸入可引起单纯窒息。</w:t>
            </w:r>
          </w:p>
        </w:tc>
      </w:tr>
      <w:tr w14:paraId="2A0C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pct"/>
            <w:noWrap w:val="0"/>
            <w:vAlign w:val="center"/>
          </w:tcPr>
          <w:p w14:paraId="10B00398">
            <w:pPr>
              <w:pStyle w:val="25"/>
              <w:bidi w:val="0"/>
              <w:rPr>
                <w:rFonts w:hint="eastAsia"/>
                <w:b w:val="0"/>
                <w:bCs/>
                <w:color w:val="auto"/>
              </w:rPr>
            </w:pPr>
            <w:r>
              <w:rPr>
                <w:rFonts w:hint="eastAsia"/>
                <w:b w:val="0"/>
                <w:bCs/>
                <w:color w:val="auto"/>
              </w:rPr>
              <w:t>安全措施</w:t>
            </w:r>
          </w:p>
        </w:tc>
        <w:tc>
          <w:tcPr>
            <w:tcW w:w="4427" w:type="pct"/>
            <w:noWrap w:val="0"/>
            <w:vAlign w:val="top"/>
          </w:tcPr>
          <w:p w14:paraId="08F5D30C">
            <w:pPr>
              <w:pStyle w:val="25"/>
              <w:bidi w:val="0"/>
              <w:jc w:val="both"/>
              <w:rPr>
                <w:rFonts w:hint="eastAsia"/>
                <w:b w:val="0"/>
                <w:bCs/>
                <w:color w:val="auto"/>
              </w:rPr>
            </w:pPr>
            <w:r>
              <w:rPr>
                <w:rFonts w:hint="eastAsia"/>
                <w:b w:val="0"/>
                <w:bCs/>
                <w:color w:val="auto"/>
              </w:rPr>
              <w:t>【一般要求】</w:t>
            </w:r>
          </w:p>
          <w:p w14:paraId="6A47A053">
            <w:pPr>
              <w:pStyle w:val="25"/>
              <w:bidi w:val="0"/>
              <w:jc w:val="both"/>
              <w:rPr>
                <w:rFonts w:hint="default"/>
                <w:b w:val="0"/>
                <w:bCs/>
                <w:color w:val="auto"/>
              </w:rPr>
            </w:pPr>
            <w:r>
              <w:rPr>
                <w:rFonts w:hint="default"/>
                <w:b w:val="0"/>
                <w:bCs/>
                <w:color w:val="auto"/>
              </w:rPr>
              <w:t>操作人员必须经过专门培训，应具有防火、防爆、防静电事故和预防职业病的知识和操作能力，严格遵守操作规程。</w:t>
            </w:r>
          </w:p>
          <w:p w14:paraId="690427A0">
            <w:pPr>
              <w:pStyle w:val="25"/>
              <w:bidi w:val="0"/>
              <w:jc w:val="both"/>
              <w:rPr>
                <w:rFonts w:hint="default"/>
                <w:b w:val="0"/>
                <w:bCs/>
                <w:color w:val="auto"/>
              </w:rPr>
            </w:pPr>
            <w:r>
              <w:rPr>
                <w:rFonts w:hint="default"/>
                <w:b w:val="0"/>
                <w:bCs/>
                <w:color w:val="auto"/>
              </w:rPr>
              <w:t>密闭操作，避免泄漏，全面通风，防止乙炔气体泄漏到工作场所空气中。远离火种、热源，工作场所严禁吸烟。</w:t>
            </w:r>
          </w:p>
          <w:p w14:paraId="42E8CED4">
            <w:pPr>
              <w:pStyle w:val="25"/>
              <w:bidi w:val="0"/>
              <w:jc w:val="both"/>
              <w:rPr>
                <w:rFonts w:hint="default"/>
                <w:b w:val="0"/>
                <w:bCs/>
                <w:color w:val="auto"/>
              </w:rPr>
            </w:pPr>
            <w:r>
              <w:rPr>
                <w:rFonts w:hint="default"/>
                <w:b w:val="0"/>
                <w:bCs/>
                <w:color w:val="auto"/>
              </w:rPr>
              <w:t>在发生或合成、使用、储存乙炔的场所，设置可燃气体检测报警仪，并与应急通风联锁，使用防爆型的通风系统和设备。操作人员应穿防静电工作服，禁止穿戴易产生静电衣物和钉鞋。</w:t>
            </w:r>
          </w:p>
          <w:p w14:paraId="67FD067E">
            <w:pPr>
              <w:pStyle w:val="25"/>
              <w:bidi w:val="0"/>
              <w:jc w:val="both"/>
              <w:rPr>
                <w:rFonts w:hint="default"/>
                <w:b w:val="0"/>
                <w:bCs/>
                <w:color w:val="auto"/>
              </w:rPr>
            </w:pPr>
            <w:r>
              <w:rPr>
                <w:rFonts w:hint="default"/>
                <w:b w:val="0"/>
                <w:bCs/>
                <w:color w:val="auto"/>
              </w:rPr>
              <w:t>避免与氧化剂、酸类、卤素接触。</w:t>
            </w:r>
          </w:p>
          <w:p w14:paraId="0B385477">
            <w:pPr>
              <w:pStyle w:val="25"/>
              <w:bidi w:val="0"/>
              <w:jc w:val="both"/>
              <w:rPr>
                <w:rFonts w:hint="default"/>
                <w:b w:val="0"/>
                <w:bCs/>
                <w:color w:val="auto"/>
              </w:rPr>
            </w:pPr>
            <w:r>
              <w:rPr>
                <w:rFonts w:hint="default"/>
                <w:b w:val="0"/>
                <w:bCs/>
                <w:color w:val="auto"/>
              </w:rPr>
              <w:t>生产、储存区域应设置安全警示标志。搬运时轻装轻卸，防止钢瓶及附件破损。配备相应品种和数量的消防器材及泄漏应急处理设备。</w:t>
            </w:r>
          </w:p>
          <w:p w14:paraId="46F68D39">
            <w:pPr>
              <w:pStyle w:val="25"/>
              <w:bidi w:val="0"/>
              <w:jc w:val="both"/>
              <w:rPr>
                <w:rFonts w:hint="eastAsia"/>
                <w:b w:val="0"/>
                <w:bCs/>
                <w:color w:val="auto"/>
              </w:rPr>
            </w:pPr>
            <w:r>
              <w:rPr>
                <w:rFonts w:hint="eastAsia"/>
                <w:b w:val="0"/>
                <w:bCs/>
                <w:color w:val="auto"/>
              </w:rPr>
              <w:t>【特殊要求】</w:t>
            </w:r>
          </w:p>
          <w:p w14:paraId="09ECF67A">
            <w:pPr>
              <w:pStyle w:val="25"/>
              <w:bidi w:val="0"/>
              <w:jc w:val="both"/>
              <w:rPr>
                <w:rFonts w:hint="eastAsia"/>
                <w:b w:val="0"/>
                <w:bCs/>
                <w:color w:val="auto"/>
              </w:rPr>
            </w:pPr>
            <w:r>
              <w:rPr>
                <w:rFonts w:hint="eastAsia"/>
                <w:b w:val="0"/>
                <w:bCs/>
                <w:color w:val="auto"/>
              </w:rPr>
              <w:t>【操作安全】</w:t>
            </w:r>
          </w:p>
          <w:p w14:paraId="4CAA2F28">
            <w:pPr>
              <w:pStyle w:val="25"/>
              <w:bidi w:val="0"/>
              <w:jc w:val="both"/>
              <w:rPr>
                <w:rFonts w:hint="default"/>
                <w:b w:val="0"/>
                <w:bCs/>
                <w:color w:val="auto"/>
              </w:rPr>
            </w:pPr>
            <w:r>
              <w:rPr>
                <w:rFonts w:hint="default"/>
                <w:b w:val="0"/>
                <w:bCs/>
                <w:color w:val="auto"/>
              </w:rPr>
              <w:t>（1）在有乙炔存在或使用乙炔作业的人员，应配备便携式可燃气体检测报警仪。不能接触铜、银和汞。要避免使用含铜66％以上的黄铜、含铜银的焊接材料和含汞的压力表。</w:t>
            </w:r>
          </w:p>
          <w:p w14:paraId="6D124F88">
            <w:pPr>
              <w:pStyle w:val="25"/>
              <w:bidi w:val="0"/>
              <w:jc w:val="both"/>
              <w:rPr>
                <w:rFonts w:hint="default"/>
                <w:b w:val="0"/>
                <w:bCs/>
                <w:color w:val="auto"/>
              </w:rPr>
            </w:pPr>
            <w:r>
              <w:rPr>
                <w:rFonts w:hint="default"/>
                <w:b w:val="0"/>
                <w:bCs/>
                <w:color w:val="auto"/>
              </w:rPr>
              <w:t>（2）进入有乙炔存在或泄漏密闭有限空间前，应首先检测乙炔浓度，强制机械通风10分钟以上，直至乙炔浓度低于爆炸下限20%，作业过程中有人监护，每隔30分钟监测一次，可燃气体含量不得高于爆炸下限的20%。</w:t>
            </w:r>
          </w:p>
          <w:p w14:paraId="70260278">
            <w:pPr>
              <w:pStyle w:val="25"/>
              <w:bidi w:val="0"/>
              <w:jc w:val="both"/>
              <w:rPr>
                <w:rFonts w:hint="default"/>
                <w:b w:val="0"/>
                <w:bCs/>
                <w:color w:val="auto"/>
              </w:rPr>
            </w:pPr>
            <w:r>
              <w:rPr>
                <w:rFonts w:hint="default"/>
                <w:b w:val="0"/>
                <w:bCs/>
                <w:color w:val="auto"/>
              </w:rPr>
              <w:t>（3）凡可能与易燃、易爆物相通的设备，管道等部位的动火均应加堵盲板与系统彻底隔离、切断，必要时应拆掉一段连接管道。</w:t>
            </w:r>
          </w:p>
          <w:p w14:paraId="35A936A9">
            <w:pPr>
              <w:pStyle w:val="25"/>
              <w:bidi w:val="0"/>
              <w:jc w:val="both"/>
              <w:rPr>
                <w:rFonts w:hint="default"/>
                <w:b w:val="0"/>
                <w:bCs/>
                <w:color w:val="auto"/>
              </w:rPr>
            </w:pPr>
            <w:r>
              <w:rPr>
                <w:rFonts w:hint="default"/>
                <w:b w:val="0"/>
                <w:bCs/>
                <w:color w:val="auto"/>
              </w:rPr>
              <w:t>（4）电石库禁止带水入内。</w:t>
            </w:r>
          </w:p>
          <w:p w14:paraId="2572B05D">
            <w:pPr>
              <w:pStyle w:val="25"/>
              <w:bidi w:val="0"/>
              <w:jc w:val="both"/>
              <w:rPr>
                <w:rFonts w:hint="default"/>
                <w:b w:val="0"/>
                <w:bCs/>
                <w:color w:val="auto"/>
              </w:rPr>
            </w:pPr>
            <w:r>
              <w:rPr>
                <w:rFonts w:hint="default"/>
                <w:b w:val="0"/>
                <w:bCs/>
                <w:color w:val="auto"/>
              </w:rPr>
              <w:t>（5）使用乙炔气瓶，应注意：</w:t>
            </w:r>
          </w:p>
          <w:p w14:paraId="12B8492A">
            <w:pPr>
              <w:pStyle w:val="25"/>
              <w:bidi w:val="0"/>
              <w:jc w:val="both"/>
              <w:rPr>
                <w:rFonts w:hint="default"/>
                <w:b w:val="0"/>
                <w:bCs/>
                <w:color w:val="auto"/>
              </w:rPr>
            </w:pPr>
            <w:r>
              <w:rPr>
                <w:rFonts w:hint="default"/>
                <w:b w:val="0"/>
                <w:bCs/>
                <w:color w:val="auto"/>
              </w:rPr>
              <w:t>——注意固定，防止倾倒，严禁卧放使用，对已卧放的乙炔瓶，不准直接开气使用，使用前必须先立牢静止15分钟，再接减压器使用，否则危险。轻装轻卸气瓶，禁止敲击、碰撞等粗暴行为；</w:t>
            </w:r>
          </w:p>
          <w:p w14:paraId="032ECE21">
            <w:pPr>
              <w:pStyle w:val="25"/>
              <w:bidi w:val="0"/>
              <w:jc w:val="both"/>
              <w:rPr>
                <w:rFonts w:hint="default"/>
                <w:b w:val="0"/>
                <w:bCs/>
                <w:color w:val="auto"/>
              </w:rPr>
            </w:pPr>
            <w:r>
              <w:rPr>
                <w:rFonts w:hint="default"/>
                <w:b w:val="0"/>
                <w:bCs/>
                <w:color w:val="auto"/>
              </w:rPr>
              <w:t>——同时使用乙炔瓶和氧气瓶时，两瓶之间的距离应超过10m。不得将瓶内的气体使用干净，必须留有0.05MPa以上的剩余压力气体；</w:t>
            </w:r>
          </w:p>
          <w:p w14:paraId="350FBD43">
            <w:pPr>
              <w:pStyle w:val="25"/>
              <w:bidi w:val="0"/>
              <w:jc w:val="both"/>
              <w:rPr>
                <w:rFonts w:hint="default"/>
                <w:b w:val="0"/>
                <w:bCs/>
                <w:color w:val="auto"/>
              </w:rPr>
            </w:pPr>
            <w:r>
              <w:rPr>
                <w:rFonts w:hint="default"/>
                <w:b w:val="0"/>
                <w:bCs/>
                <w:color w:val="auto"/>
              </w:rPr>
              <w:t>——乙炔气瓶不得靠近热源和电器设备，夏季要有遮阳措施防止暴晒，与明火的距离要大于10m。气瓶的瓶阀冻结时，严禁用火烘烤，可用10℃以下温水解冻；</w:t>
            </w:r>
          </w:p>
          <w:p w14:paraId="55242201">
            <w:pPr>
              <w:pStyle w:val="25"/>
              <w:bidi w:val="0"/>
              <w:jc w:val="both"/>
              <w:rPr>
                <w:rFonts w:hint="default"/>
                <w:b w:val="0"/>
                <w:bCs/>
                <w:color w:val="auto"/>
              </w:rPr>
            </w:pPr>
            <w:r>
              <w:rPr>
                <w:rFonts w:hint="default"/>
                <w:b w:val="0"/>
                <w:bCs/>
                <w:color w:val="auto"/>
              </w:rPr>
              <w:t>——乙炔气瓶在使用时必须设专用减压器。回火防止器，工作前必须检查是否好用，否则禁止使用，开启时，操作者应站在阀门的侧后方，动作要轻缓。</w:t>
            </w:r>
          </w:p>
          <w:p w14:paraId="78B8DAF7">
            <w:pPr>
              <w:pStyle w:val="25"/>
              <w:bidi w:val="0"/>
              <w:jc w:val="both"/>
              <w:rPr>
                <w:rFonts w:hint="default"/>
                <w:b w:val="0"/>
                <w:bCs/>
                <w:color w:val="auto"/>
              </w:rPr>
            </w:pPr>
            <w:r>
              <w:rPr>
                <w:rFonts w:hint="default"/>
                <w:b w:val="0"/>
                <w:bCs/>
                <w:color w:val="auto"/>
              </w:rPr>
              <w:t>（6）在乙炔站内应注意：</w:t>
            </w:r>
          </w:p>
          <w:p w14:paraId="6EC1ABA7">
            <w:pPr>
              <w:pStyle w:val="25"/>
              <w:bidi w:val="0"/>
              <w:jc w:val="both"/>
              <w:rPr>
                <w:rFonts w:hint="default"/>
                <w:b w:val="0"/>
                <w:bCs/>
                <w:color w:val="auto"/>
              </w:rPr>
            </w:pPr>
            <w:r>
              <w:rPr>
                <w:rFonts w:hint="default"/>
                <w:b w:val="0"/>
                <w:bCs/>
                <w:color w:val="auto"/>
              </w:rPr>
              <w:t>——站房内允许冬季取暖时，不得用电热明火，宜采用光管散热器，以免积尘及静电感应，并应离乙炔发生器1m以上，当气温在0℃以下时，可用氯化钠的水溶液代替发生器及回火防止器的用水，以防冰冻的发生。乙炔发生器管道冻结可用热水解冻。移动式乙炔发生器在夏季应遮阳，防高温和热辐射；</w:t>
            </w:r>
          </w:p>
          <w:p w14:paraId="7312E4FE">
            <w:pPr>
              <w:pStyle w:val="25"/>
              <w:bidi w:val="0"/>
              <w:jc w:val="both"/>
              <w:rPr>
                <w:rFonts w:hint="default"/>
                <w:b w:val="0"/>
                <w:bCs/>
                <w:color w:val="auto"/>
              </w:rPr>
            </w:pPr>
            <w:r>
              <w:rPr>
                <w:rFonts w:hint="default"/>
                <w:b w:val="0"/>
                <w:bCs/>
                <w:color w:val="auto"/>
              </w:rPr>
              <w:t>——乙炔发生器设备运行时，操作者应密切注意各部位压力和温度的变化。若发现压力表读数骤升或有气体从安全阀逸出，或者启动数分钟压力表的指针没有上升应停止作业，排除故障。严禁超出规定压力和温度；</w:t>
            </w:r>
          </w:p>
          <w:p w14:paraId="3BB1A73B">
            <w:pPr>
              <w:pStyle w:val="25"/>
              <w:bidi w:val="0"/>
              <w:jc w:val="both"/>
              <w:rPr>
                <w:rFonts w:hint="default"/>
                <w:b w:val="0"/>
                <w:bCs/>
                <w:color w:val="auto"/>
              </w:rPr>
            </w:pPr>
            <w:r>
              <w:rPr>
                <w:rFonts w:hint="default"/>
                <w:b w:val="0"/>
                <w:bCs/>
                <w:color w:val="auto"/>
              </w:rPr>
              <w:t>（7）乙炔设备、容器及管道在动火进行大、小修之前应作充氮吹扫。所用氮气的纯度应大于98%，吹扫口化验乙炔含量低于0.5%时，才能动火作业，并应事先得到有关部门批准，设专人监护和采取必要的防火、防爆措施。</w:t>
            </w:r>
          </w:p>
          <w:p w14:paraId="4D0D1E09">
            <w:pPr>
              <w:pStyle w:val="25"/>
              <w:bidi w:val="0"/>
              <w:jc w:val="both"/>
              <w:rPr>
                <w:rFonts w:hint="eastAsia"/>
                <w:b w:val="0"/>
                <w:bCs/>
                <w:color w:val="auto"/>
              </w:rPr>
            </w:pPr>
            <w:r>
              <w:rPr>
                <w:rFonts w:hint="eastAsia"/>
                <w:b w:val="0"/>
                <w:bCs/>
                <w:color w:val="auto"/>
              </w:rPr>
              <w:t>【储存安全】</w:t>
            </w:r>
          </w:p>
          <w:p w14:paraId="2116DC3B">
            <w:pPr>
              <w:pStyle w:val="25"/>
              <w:bidi w:val="0"/>
              <w:jc w:val="both"/>
              <w:rPr>
                <w:rFonts w:hint="default"/>
                <w:b w:val="0"/>
                <w:bCs/>
                <w:color w:val="auto"/>
              </w:rPr>
            </w:pPr>
            <w:r>
              <w:rPr>
                <w:rFonts w:hint="default"/>
                <w:b w:val="0"/>
                <w:bCs/>
                <w:color w:val="auto"/>
              </w:rPr>
              <w:t>（1）乙炔瓶储存于阴凉、通风的易燃气体专用库房。远离火种、热源。库房温度不宜超过30℃。</w:t>
            </w:r>
          </w:p>
          <w:p w14:paraId="3C4D5AC6">
            <w:pPr>
              <w:pStyle w:val="25"/>
              <w:bidi w:val="0"/>
              <w:jc w:val="both"/>
              <w:rPr>
                <w:rFonts w:hint="default"/>
                <w:b w:val="0"/>
                <w:bCs/>
                <w:color w:val="auto"/>
              </w:rPr>
            </w:pPr>
            <w:r>
              <w:rPr>
                <w:rFonts w:hint="default"/>
                <w:b w:val="0"/>
                <w:bCs/>
                <w:color w:val="auto"/>
              </w:rPr>
              <w:t>（2）应与氧化剂、酸类、卤素分开存放，切忌混储。采用防爆型照明、通风设施。禁止使用易产生火花的机械设备和工具。储存区应备有泄漏应急处理设备。乙炔瓶贮存时要保持直立，并有防倒措施，严禁与氧气、氯气瓶及易燃品同向贮存。乙炔瓶严禁放在通风不良及有放射线的场所，不得放在橡胶等绝缘体上，瓶库或贮存间有专人管理，要有消防器材和醒目的防火标志。</w:t>
            </w:r>
          </w:p>
          <w:p w14:paraId="3464612C">
            <w:pPr>
              <w:pStyle w:val="25"/>
              <w:bidi w:val="0"/>
              <w:jc w:val="both"/>
              <w:rPr>
                <w:rFonts w:hint="default"/>
                <w:b w:val="0"/>
                <w:bCs/>
                <w:color w:val="auto"/>
              </w:rPr>
            </w:pPr>
            <w:r>
              <w:rPr>
                <w:rFonts w:hint="default"/>
                <w:b w:val="0"/>
                <w:bCs/>
                <w:color w:val="auto"/>
              </w:rPr>
              <w:t>（3）储存室内必须通风良好，保证空气中乙炔最高含量不超过1%（体积比）。储存室建筑物顶部或外墙的上部设气窗或排气孔。排气孔应朝向安全地带，室内换气次数每小时不得小于3次，事故通风每小时换气次数不得小于7次。</w:t>
            </w:r>
          </w:p>
          <w:p w14:paraId="5C497D06">
            <w:pPr>
              <w:pStyle w:val="25"/>
              <w:bidi w:val="0"/>
              <w:jc w:val="both"/>
              <w:rPr>
                <w:rFonts w:hint="eastAsia"/>
                <w:b w:val="0"/>
                <w:bCs/>
                <w:color w:val="auto"/>
              </w:rPr>
            </w:pPr>
            <w:r>
              <w:rPr>
                <w:rFonts w:hint="eastAsia"/>
                <w:b w:val="0"/>
                <w:bCs/>
                <w:color w:val="auto"/>
              </w:rPr>
              <w:t>【运输安全】</w:t>
            </w:r>
          </w:p>
          <w:p w14:paraId="075540B6">
            <w:pPr>
              <w:pStyle w:val="25"/>
              <w:bidi w:val="0"/>
              <w:jc w:val="both"/>
              <w:rPr>
                <w:rFonts w:hint="eastAsia"/>
                <w:b w:val="0"/>
                <w:bCs/>
                <w:color w:val="auto"/>
              </w:rPr>
            </w:pPr>
            <w:r>
              <w:rPr>
                <w:rFonts w:hint="eastAsia"/>
                <w:b w:val="0"/>
                <w:bCs/>
                <w:color w:val="auto"/>
              </w:rPr>
              <w:t>（1）</w:t>
            </w:r>
            <w:r>
              <w:rPr>
                <w:rFonts w:hint="default"/>
                <w:b w:val="0"/>
                <w:bCs/>
                <w:color w:val="auto"/>
              </w:rPr>
              <w:t>运输车辆应有危险货物运输标志、安装具有行驶记录功能的卫星定位装置。未经公安机关批准，运输车辆不得进入危险化学品运输车辆限制通行的区域。</w:t>
            </w:r>
          </w:p>
          <w:p w14:paraId="7207663C">
            <w:pPr>
              <w:pStyle w:val="25"/>
              <w:bidi w:val="0"/>
              <w:jc w:val="both"/>
              <w:rPr>
                <w:rFonts w:hint="default"/>
                <w:b w:val="0"/>
                <w:bCs/>
                <w:color w:val="auto"/>
              </w:rPr>
            </w:pPr>
            <w:r>
              <w:rPr>
                <w:rFonts w:hint="default"/>
                <w:b w:val="0"/>
                <w:bCs/>
                <w:color w:val="auto"/>
              </w:rPr>
              <w:t>（2）槽车运输时要用专用槽车。槽车安装的阻火器（火星熄灭器）必须完好。槽车和运输卡车要有导静电拖线；槽车上要备有2只以上干粉或二氧化碳灭火器和防爆工具；要有遮阳措施，防止阳光直射。</w:t>
            </w:r>
          </w:p>
          <w:p w14:paraId="181B9B41">
            <w:pPr>
              <w:pStyle w:val="25"/>
              <w:bidi w:val="0"/>
              <w:jc w:val="both"/>
              <w:rPr>
                <w:rFonts w:hint="default"/>
                <w:b w:val="0"/>
                <w:bCs/>
                <w:color w:val="auto"/>
              </w:rPr>
            </w:pPr>
            <w:r>
              <w:rPr>
                <w:rFonts w:hint="default"/>
                <w:b w:val="0"/>
                <w:bCs/>
                <w:color w:val="auto"/>
              </w:rPr>
              <w:t>（3）车辆运输钢瓶时</w:t>
            </w:r>
            <w:r>
              <w:rPr>
                <w:rFonts w:hint="eastAsia"/>
                <w:b w:val="0"/>
                <w:bCs/>
                <w:color w:val="auto"/>
                <w:lang w:eastAsia="zh-CN"/>
              </w:rPr>
              <w:t>，</w:t>
            </w:r>
            <w:r>
              <w:rPr>
                <w:rFonts w:hint="default"/>
                <w:b w:val="0"/>
                <w:bCs/>
                <w:color w:val="auto"/>
              </w:rPr>
              <w:t>瓶口一律朝向车辆行驶方向的右方，装车高度不得超过车箱高度，直立排放时，车厢高度不得低于瓶高的2/3。不准同车混装有抵触性质的物品和让无关人员搭车。运输途中远离火种，不准在有明火地点或人多地段停车，停车时要有人看管。发生泄漏或火灾要开到安全地方进行灭火或堵漏。</w:t>
            </w:r>
          </w:p>
          <w:p w14:paraId="26EF437E">
            <w:pPr>
              <w:pStyle w:val="25"/>
              <w:bidi w:val="0"/>
              <w:jc w:val="both"/>
              <w:rPr>
                <w:rFonts w:hint="eastAsia"/>
                <w:b w:val="0"/>
                <w:bCs/>
                <w:color w:val="auto"/>
              </w:rPr>
            </w:pPr>
            <w:r>
              <w:rPr>
                <w:rFonts w:hint="default"/>
                <w:b w:val="0"/>
                <w:bCs/>
                <w:color w:val="auto"/>
              </w:rPr>
              <w:t>（4）输送乙炔的管道不应靠近热源敷设；管道采用地上敷设时，应在人员活动较多和易遭车辆、外来物撞击的地段，采取保护措施并设置明显的警示标志；乙炔管道架空敷设时，管道应敷设在非燃烧体的支架或栈桥上。在已敷设的乙炔管道下面，不得修建与乙炔管道无关的建筑物和堆放易燃物品；乙炔管道外壁颜色、标志应执行《安全色和安全标志》（GB 2894-2025）的规定。</w:t>
            </w:r>
          </w:p>
        </w:tc>
      </w:tr>
      <w:tr w14:paraId="4344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pct"/>
            <w:noWrap w:val="0"/>
            <w:vAlign w:val="center"/>
          </w:tcPr>
          <w:p w14:paraId="288B465C">
            <w:pPr>
              <w:pStyle w:val="25"/>
              <w:bidi w:val="0"/>
              <w:rPr>
                <w:rFonts w:hint="eastAsia"/>
                <w:b w:val="0"/>
                <w:bCs/>
                <w:color w:val="auto"/>
              </w:rPr>
            </w:pPr>
            <w:r>
              <w:rPr>
                <w:rFonts w:hint="eastAsia"/>
                <w:b w:val="0"/>
                <w:bCs/>
                <w:color w:val="auto"/>
              </w:rPr>
              <w:t>应急处置原则</w:t>
            </w:r>
          </w:p>
        </w:tc>
        <w:tc>
          <w:tcPr>
            <w:tcW w:w="4427" w:type="pct"/>
            <w:noWrap w:val="0"/>
            <w:vAlign w:val="top"/>
          </w:tcPr>
          <w:p w14:paraId="57D46ACE">
            <w:pPr>
              <w:pStyle w:val="25"/>
              <w:bidi w:val="0"/>
              <w:jc w:val="both"/>
              <w:rPr>
                <w:rFonts w:hint="eastAsia"/>
                <w:b w:val="0"/>
                <w:bCs/>
                <w:color w:val="auto"/>
              </w:rPr>
            </w:pPr>
            <w:r>
              <w:rPr>
                <w:rFonts w:hint="eastAsia"/>
                <w:b w:val="0"/>
                <w:bCs/>
                <w:color w:val="auto"/>
              </w:rPr>
              <w:t>【急救措施】</w:t>
            </w:r>
          </w:p>
          <w:p w14:paraId="58764E1C">
            <w:pPr>
              <w:pStyle w:val="25"/>
              <w:bidi w:val="0"/>
              <w:jc w:val="both"/>
              <w:rPr>
                <w:rFonts w:hint="default"/>
                <w:b w:val="0"/>
                <w:bCs/>
                <w:color w:val="auto"/>
              </w:rPr>
            </w:pPr>
            <w:r>
              <w:rPr>
                <w:rFonts w:hint="default"/>
                <w:b w:val="0"/>
                <w:bCs/>
                <w:color w:val="auto"/>
              </w:rPr>
              <w:t>吸入：迅速脱离现场至空气新鲜处。保持呼吸道通畅。如呼吸困难，给氧。如呼吸停止，立即进行人工呼吸。就医。</w:t>
            </w:r>
          </w:p>
          <w:p w14:paraId="617D4560">
            <w:pPr>
              <w:pStyle w:val="25"/>
              <w:bidi w:val="0"/>
              <w:jc w:val="both"/>
              <w:rPr>
                <w:rFonts w:hint="eastAsia"/>
                <w:b w:val="0"/>
                <w:bCs/>
                <w:color w:val="auto"/>
              </w:rPr>
            </w:pPr>
            <w:r>
              <w:rPr>
                <w:rFonts w:hint="eastAsia"/>
                <w:b w:val="0"/>
                <w:bCs/>
                <w:color w:val="auto"/>
              </w:rPr>
              <w:t>【灭火方法】</w:t>
            </w:r>
          </w:p>
          <w:p w14:paraId="316DDB4A">
            <w:pPr>
              <w:pStyle w:val="25"/>
              <w:bidi w:val="0"/>
              <w:jc w:val="both"/>
              <w:rPr>
                <w:rFonts w:hint="default"/>
                <w:b w:val="0"/>
                <w:bCs/>
                <w:color w:val="auto"/>
              </w:rPr>
            </w:pPr>
            <w:r>
              <w:rPr>
                <w:rFonts w:hint="default"/>
                <w:b w:val="0"/>
                <w:bCs/>
                <w:color w:val="auto"/>
              </w:rPr>
              <w:t>切断气源。若不能切断气源，则不允许熄灭泄漏处的火焰。喷水冷却容器，尽可能将容器从火场移至空旷处。</w:t>
            </w:r>
          </w:p>
          <w:p w14:paraId="7B89EDE6">
            <w:pPr>
              <w:pStyle w:val="25"/>
              <w:bidi w:val="0"/>
              <w:jc w:val="both"/>
              <w:rPr>
                <w:rFonts w:hint="default"/>
                <w:b w:val="0"/>
                <w:bCs/>
                <w:color w:val="auto"/>
              </w:rPr>
            </w:pPr>
            <w:r>
              <w:rPr>
                <w:rFonts w:hint="default"/>
                <w:b w:val="0"/>
                <w:bCs/>
                <w:color w:val="auto"/>
              </w:rPr>
              <w:t>灭火剂：雾状水、泡沫、二氧化碳、干粉。</w:t>
            </w:r>
          </w:p>
          <w:p w14:paraId="764B2966">
            <w:pPr>
              <w:pStyle w:val="25"/>
              <w:bidi w:val="0"/>
              <w:jc w:val="both"/>
              <w:rPr>
                <w:rFonts w:hint="eastAsia"/>
                <w:b w:val="0"/>
                <w:bCs/>
                <w:color w:val="auto"/>
              </w:rPr>
            </w:pPr>
            <w:r>
              <w:rPr>
                <w:rFonts w:hint="eastAsia"/>
                <w:b w:val="0"/>
                <w:bCs/>
                <w:color w:val="auto"/>
              </w:rPr>
              <w:t>【泄漏应急处置】</w:t>
            </w:r>
          </w:p>
          <w:p w14:paraId="53CB5530">
            <w:pPr>
              <w:pStyle w:val="25"/>
              <w:bidi w:val="0"/>
              <w:jc w:val="both"/>
              <w:rPr>
                <w:rFonts w:hint="default"/>
                <w:b w:val="0"/>
                <w:bCs/>
                <w:color w:val="auto"/>
              </w:rPr>
            </w:pPr>
            <w:r>
              <w:rPr>
                <w:rFonts w:hint="default"/>
                <w:b w:val="0"/>
                <w:bCs/>
                <w:color w:val="auto"/>
              </w:rPr>
              <w:t>消除所有点火源。根据气体的影响区域划定警戒区，无关人员从侧风、上风向撤离至安全区。建议应急处理人员戴正压自给式空气呼吸器，穿防静电服。作业时使用的所有设备应接地。禁止接触或跨越泄漏物。尽可能切断泄漏源。若可能翻转容器，使之逸出气体而非液体。喷雾状水抑制蒸气或改变蒸气云流向，避免水流接触泄漏物。如有可能，将残余气或漏出气用排风机送至水洗塔或与塔相连的通风橱内。禁止用水直接冲击泄漏物或泄漏源。防止气体通过下水道、通风系统和密闭性空间扩散。隔离泄漏区直至气体散尽。</w:t>
            </w:r>
          </w:p>
          <w:p w14:paraId="29C2B674">
            <w:pPr>
              <w:pStyle w:val="25"/>
              <w:bidi w:val="0"/>
              <w:jc w:val="both"/>
              <w:rPr>
                <w:rFonts w:hint="eastAsia"/>
                <w:b w:val="0"/>
                <w:bCs/>
                <w:color w:val="auto"/>
              </w:rPr>
            </w:pPr>
            <w:r>
              <w:rPr>
                <w:rFonts w:hint="default"/>
                <w:b w:val="0"/>
                <w:bCs/>
                <w:color w:val="auto"/>
              </w:rPr>
              <w:t>作为一项紧急预防措施，泄漏隔离距离至少为100m。如果为大量泄漏，下风向的初始疏散距离应至少为800m。</w:t>
            </w:r>
          </w:p>
        </w:tc>
      </w:tr>
    </w:tbl>
    <w:p w14:paraId="284A9470">
      <w:pPr>
        <w:keepNext w:val="0"/>
        <w:keepLines w:val="0"/>
        <w:pageBreakBefore w:val="0"/>
        <w:widowControl w:val="0"/>
        <w:kinsoku/>
        <w:wordWrap/>
        <w:overflowPunct/>
        <w:topLinePunct w:val="0"/>
        <w:autoSpaceDE/>
        <w:autoSpaceDN/>
        <w:bidi w:val="0"/>
        <w:adjustRightInd/>
        <w:snapToGrid/>
        <w:textAlignment w:val="auto"/>
        <w:outlineLvl w:val="9"/>
        <w:rPr>
          <w:rFonts w:hint="default"/>
          <w:b w:val="0"/>
          <w:bCs/>
          <w:color w:val="auto"/>
          <w:lang w:val="en-US" w:eastAsia="zh-CN"/>
        </w:rPr>
      </w:pPr>
      <w:r>
        <w:rPr>
          <w:rFonts w:hint="eastAsia"/>
          <w:b w:val="0"/>
          <w:bCs/>
          <w:color w:val="auto"/>
          <w:lang w:val="en-US" w:eastAsia="zh-CN"/>
        </w:rPr>
        <w:t>3</w:t>
      </w:r>
      <w:r>
        <w:rPr>
          <w:rFonts w:hint="default"/>
          <w:b w:val="0"/>
          <w:bCs/>
          <w:color w:val="auto"/>
          <w:lang w:val="en-US" w:eastAsia="zh-CN"/>
        </w:rPr>
        <w:t>、</w:t>
      </w:r>
      <w:r>
        <w:rPr>
          <w:rFonts w:hint="default" w:ascii="Times New Roman" w:hAnsi="Times New Roman" w:eastAsia="宋体"/>
          <w:b w:val="0"/>
          <w:bCs/>
          <w:color w:val="auto"/>
          <w:lang w:val="en-US" w:eastAsia="zh-CN"/>
        </w:rPr>
        <w:t>氧气</w:t>
      </w:r>
    </w:p>
    <w:p w14:paraId="245B2A3C">
      <w:pPr>
        <w:pStyle w:val="24"/>
        <w:bidi w:val="0"/>
        <w:rPr>
          <w:rFonts w:hint="default"/>
          <w:b w:val="0"/>
          <w:bCs/>
          <w:color w:val="auto"/>
          <w:lang w:val="en-US" w:eastAsia="zh-CN"/>
        </w:rPr>
      </w:pPr>
      <w:r>
        <w:rPr>
          <w:rFonts w:hint="default"/>
          <w:b w:val="0"/>
          <w:bCs/>
          <w:color w:val="auto"/>
          <w:lang w:val="en-US" w:eastAsia="zh-CN"/>
        </w:rPr>
        <w:t>表3.</w:t>
      </w:r>
      <w:r>
        <w:rPr>
          <w:rFonts w:hint="eastAsia"/>
          <w:b w:val="0"/>
          <w:bCs/>
          <w:color w:val="auto"/>
          <w:lang w:val="en-US" w:eastAsia="zh-CN"/>
        </w:rPr>
        <w:t>2</w:t>
      </w:r>
      <w:r>
        <w:rPr>
          <w:rFonts w:hint="default"/>
          <w:b w:val="0"/>
          <w:bCs/>
          <w:color w:val="auto"/>
          <w:lang w:val="en-US" w:eastAsia="zh-CN"/>
        </w:rPr>
        <w:t>-</w:t>
      </w:r>
      <w:r>
        <w:rPr>
          <w:rFonts w:hint="eastAsia"/>
          <w:b w:val="0"/>
          <w:bCs/>
          <w:color w:val="auto"/>
          <w:lang w:val="en-US" w:eastAsia="zh-CN"/>
        </w:rPr>
        <w:t>3</w:t>
      </w:r>
      <w:r>
        <w:rPr>
          <w:rFonts w:hint="default"/>
          <w:b w:val="0"/>
          <w:bCs/>
          <w:color w:val="auto"/>
          <w:lang w:val="en-US" w:eastAsia="zh-CN"/>
        </w:rPr>
        <w:t xml:space="preserve">  氧气理化特性表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7468"/>
      </w:tblGrid>
      <w:tr w14:paraId="2F21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1B02E14">
            <w:pPr>
              <w:pStyle w:val="25"/>
              <w:bidi w:val="0"/>
              <w:rPr>
                <w:rFonts w:hint="default"/>
                <w:b w:val="0"/>
                <w:bCs/>
                <w:color w:val="auto"/>
              </w:rPr>
            </w:pPr>
            <w:r>
              <w:rPr>
                <w:rFonts w:hint="default"/>
                <w:b w:val="0"/>
                <w:bCs/>
                <w:color w:val="auto"/>
              </w:rPr>
              <w:t>中文名称：</w:t>
            </w:r>
          </w:p>
        </w:tc>
        <w:tc>
          <w:tcPr>
            <w:tcW w:w="7468" w:type="dxa"/>
            <w:noWrap w:val="0"/>
            <w:vAlign w:val="center"/>
          </w:tcPr>
          <w:p w14:paraId="4803ECCE">
            <w:pPr>
              <w:pStyle w:val="25"/>
              <w:bidi w:val="0"/>
              <w:jc w:val="left"/>
              <w:rPr>
                <w:rFonts w:hint="default"/>
                <w:b w:val="0"/>
                <w:bCs/>
                <w:color w:val="auto"/>
              </w:rPr>
            </w:pPr>
            <w:r>
              <w:rPr>
                <w:rFonts w:hint="default"/>
                <w:b w:val="0"/>
                <w:bCs/>
                <w:color w:val="auto"/>
              </w:rPr>
              <w:t>氧；氧气</w:t>
            </w:r>
          </w:p>
        </w:tc>
      </w:tr>
      <w:tr w14:paraId="6443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0971C81F">
            <w:pPr>
              <w:pStyle w:val="25"/>
              <w:bidi w:val="0"/>
              <w:rPr>
                <w:rFonts w:hint="default"/>
                <w:b w:val="0"/>
                <w:bCs/>
                <w:color w:val="auto"/>
              </w:rPr>
            </w:pPr>
            <w:r>
              <w:rPr>
                <w:rFonts w:hint="default"/>
                <w:b w:val="0"/>
                <w:bCs/>
                <w:color w:val="auto"/>
              </w:rPr>
              <w:t>英文名称：</w:t>
            </w:r>
          </w:p>
        </w:tc>
        <w:tc>
          <w:tcPr>
            <w:tcW w:w="7468" w:type="dxa"/>
            <w:noWrap w:val="0"/>
            <w:vAlign w:val="center"/>
          </w:tcPr>
          <w:p w14:paraId="782AFE90">
            <w:pPr>
              <w:pStyle w:val="25"/>
              <w:bidi w:val="0"/>
              <w:jc w:val="left"/>
              <w:rPr>
                <w:rFonts w:hint="default"/>
                <w:b w:val="0"/>
                <w:bCs/>
                <w:color w:val="auto"/>
              </w:rPr>
            </w:pPr>
            <w:r>
              <w:rPr>
                <w:rFonts w:hint="default"/>
                <w:b w:val="0"/>
                <w:bCs/>
                <w:color w:val="auto"/>
              </w:rPr>
              <w:t>oxygen</w:t>
            </w:r>
          </w:p>
        </w:tc>
      </w:tr>
      <w:tr w14:paraId="3AD7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7D9B90D">
            <w:pPr>
              <w:pStyle w:val="25"/>
              <w:bidi w:val="0"/>
              <w:rPr>
                <w:rFonts w:hint="default"/>
                <w:b w:val="0"/>
                <w:bCs/>
                <w:color w:val="auto"/>
              </w:rPr>
            </w:pPr>
            <w:r>
              <w:rPr>
                <w:rFonts w:hint="default"/>
                <w:b w:val="0"/>
                <w:bCs/>
                <w:color w:val="auto"/>
              </w:rPr>
              <w:t>分子式：</w:t>
            </w:r>
          </w:p>
        </w:tc>
        <w:tc>
          <w:tcPr>
            <w:tcW w:w="7468" w:type="dxa"/>
            <w:noWrap w:val="0"/>
            <w:vAlign w:val="center"/>
          </w:tcPr>
          <w:p w14:paraId="51D3E8CD">
            <w:pPr>
              <w:pStyle w:val="25"/>
              <w:bidi w:val="0"/>
              <w:jc w:val="left"/>
              <w:rPr>
                <w:rFonts w:hint="default"/>
                <w:b w:val="0"/>
                <w:bCs/>
                <w:color w:val="auto"/>
              </w:rPr>
            </w:pPr>
            <w:r>
              <w:rPr>
                <w:rFonts w:hint="default"/>
                <w:b w:val="0"/>
                <w:bCs/>
                <w:color w:val="auto"/>
              </w:rPr>
              <w:t>O</w:t>
            </w:r>
            <w:r>
              <w:rPr>
                <w:rFonts w:hint="default"/>
                <w:b w:val="0"/>
                <w:bCs/>
                <w:color w:val="auto"/>
                <w:vertAlign w:val="subscript"/>
              </w:rPr>
              <w:t>2</w:t>
            </w:r>
          </w:p>
        </w:tc>
      </w:tr>
      <w:tr w14:paraId="1445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3E76999F">
            <w:pPr>
              <w:pStyle w:val="25"/>
              <w:bidi w:val="0"/>
              <w:rPr>
                <w:rFonts w:hint="default"/>
                <w:b w:val="0"/>
                <w:bCs/>
                <w:color w:val="auto"/>
              </w:rPr>
            </w:pPr>
            <w:r>
              <w:rPr>
                <w:rFonts w:hint="default"/>
                <w:b w:val="0"/>
                <w:bCs/>
                <w:color w:val="auto"/>
              </w:rPr>
              <w:t>相对分子质量：</w:t>
            </w:r>
          </w:p>
        </w:tc>
        <w:tc>
          <w:tcPr>
            <w:tcW w:w="7468" w:type="dxa"/>
            <w:noWrap w:val="0"/>
            <w:vAlign w:val="center"/>
          </w:tcPr>
          <w:p w14:paraId="1CA3BE24">
            <w:pPr>
              <w:pStyle w:val="25"/>
              <w:bidi w:val="0"/>
              <w:jc w:val="left"/>
              <w:rPr>
                <w:rFonts w:hint="default"/>
                <w:b w:val="0"/>
                <w:bCs/>
                <w:color w:val="auto"/>
              </w:rPr>
            </w:pPr>
            <w:r>
              <w:rPr>
                <w:rFonts w:hint="default"/>
                <w:b w:val="0"/>
                <w:bCs/>
                <w:color w:val="auto"/>
              </w:rPr>
              <w:t>32.00</w:t>
            </w:r>
          </w:p>
        </w:tc>
      </w:tr>
      <w:tr w14:paraId="7991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935" w:type="dxa"/>
            <w:noWrap w:val="0"/>
            <w:vAlign w:val="center"/>
          </w:tcPr>
          <w:p w14:paraId="70DCE01E">
            <w:pPr>
              <w:pStyle w:val="25"/>
              <w:bidi w:val="0"/>
              <w:rPr>
                <w:rFonts w:hint="default"/>
                <w:b w:val="0"/>
                <w:bCs/>
                <w:color w:val="auto"/>
              </w:rPr>
            </w:pPr>
            <w:r>
              <w:rPr>
                <w:rFonts w:hint="default"/>
                <w:b w:val="0"/>
                <w:bCs/>
                <w:color w:val="auto"/>
              </w:rPr>
              <w:t>CAS号：</w:t>
            </w:r>
          </w:p>
        </w:tc>
        <w:tc>
          <w:tcPr>
            <w:tcW w:w="7468" w:type="dxa"/>
            <w:noWrap w:val="0"/>
            <w:vAlign w:val="center"/>
          </w:tcPr>
          <w:p w14:paraId="3E92B194">
            <w:pPr>
              <w:pStyle w:val="25"/>
              <w:bidi w:val="0"/>
              <w:jc w:val="left"/>
              <w:rPr>
                <w:rFonts w:hint="default"/>
                <w:b w:val="0"/>
                <w:bCs/>
                <w:color w:val="auto"/>
              </w:rPr>
            </w:pPr>
            <w:r>
              <w:rPr>
                <w:rFonts w:hint="default"/>
                <w:b w:val="0"/>
                <w:bCs/>
                <w:color w:val="auto"/>
              </w:rPr>
              <w:t>7782-44-7</w:t>
            </w:r>
          </w:p>
        </w:tc>
      </w:tr>
      <w:tr w14:paraId="265D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C2B302D">
            <w:pPr>
              <w:pStyle w:val="25"/>
              <w:bidi w:val="0"/>
              <w:rPr>
                <w:rFonts w:hint="default"/>
                <w:b w:val="0"/>
                <w:bCs/>
                <w:color w:val="auto"/>
              </w:rPr>
            </w:pPr>
            <w:r>
              <w:rPr>
                <w:rFonts w:hint="default"/>
                <w:b w:val="0"/>
                <w:bCs/>
                <w:color w:val="auto"/>
              </w:rPr>
              <w:t>危规号：</w:t>
            </w:r>
          </w:p>
        </w:tc>
        <w:tc>
          <w:tcPr>
            <w:tcW w:w="7468" w:type="dxa"/>
            <w:noWrap w:val="0"/>
            <w:vAlign w:val="center"/>
          </w:tcPr>
          <w:p w14:paraId="36C59157">
            <w:pPr>
              <w:pStyle w:val="25"/>
              <w:bidi w:val="0"/>
              <w:jc w:val="left"/>
              <w:rPr>
                <w:rFonts w:hint="default"/>
                <w:b w:val="0"/>
                <w:bCs/>
                <w:color w:val="auto"/>
              </w:rPr>
            </w:pPr>
            <w:r>
              <w:rPr>
                <w:rFonts w:hint="default"/>
                <w:b w:val="0"/>
                <w:bCs/>
                <w:color w:val="auto"/>
              </w:rPr>
              <w:t>22001</w:t>
            </w:r>
          </w:p>
        </w:tc>
      </w:tr>
      <w:tr w14:paraId="60C6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5FD23F22">
            <w:pPr>
              <w:pStyle w:val="25"/>
              <w:bidi w:val="0"/>
              <w:rPr>
                <w:rFonts w:hint="default"/>
                <w:b w:val="0"/>
                <w:bCs/>
                <w:color w:val="auto"/>
              </w:rPr>
            </w:pPr>
            <w:r>
              <w:rPr>
                <w:rFonts w:hint="default"/>
                <w:b w:val="0"/>
                <w:bCs/>
                <w:color w:val="auto"/>
              </w:rPr>
              <w:t>UN编号：</w:t>
            </w:r>
          </w:p>
        </w:tc>
        <w:tc>
          <w:tcPr>
            <w:tcW w:w="7468" w:type="dxa"/>
            <w:noWrap w:val="0"/>
            <w:vAlign w:val="center"/>
          </w:tcPr>
          <w:p w14:paraId="3441DEA6">
            <w:pPr>
              <w:pStyle w:val="25"/>
              <w:bidi w:val="0"/>
              <w:jc w:val="left"/>
              <w:rPr>
                <w:rFonts w:hint="default"/>
                <w:b w:val="0"/>
                <w:bCs/>
                <w:color w:val="auto"/>
              </w:rPr>
            </w:pPr>
            <w:r>
              <w:rPr>
                <w:rFonts w:hint="default"/>
                <w:b w:val="0"/>
                <w:bCs/>
                <w:color w:val="auto"/>
              </w:rPr>
              <w:t>1072</w:t>
            </w:r>
          </w:p>
        </w:tc>
      </w:tr>
      <w:tr w14:paraId="6C4B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C2B540C">
            <w:pPr>
              <w:pStyle w:val="25"/>
              <w:bidi w:val="0"/>
              <w:rPr>
                <w:rFonts w:hint="default"/>
                <w:b w:val="0"/>
                <w:bCs/>
                <w:color w:val="auto"/>
              </w:rPr>
            </w:pPr>
            <w:r>
              <w:rPr>
                <w:rFonts w:hint="default"/>
                <w:b w:val="0"/>
                <w:bCs/>
                <w:color w:val="auto"/>
              </w:rPr>
              <w:t>主要成分：</w:t>
            </w:r>
          </w:p>
        </w:tc>
        <w:tc>
          <w:tcPr>
            <w:tcW w:w="7468" w:type="dxa"/>
            <w:noWrap w:val="0"/>
            <w:vAlign w:val="center"/>
          </w:tcPr>
          <w:p w14:paraId="29C0E9C8">
            <w:pPr>
              <w:pStyle w:val="25"/>
              <w:bidi w:val="0"/>
              <w:jc w:val="left"/>
              <w:rPr>
                <w:rFonts w:hint="default"/>
                <w:b w:val="0"/>
                <w:bCs/>
                <w:color w:val="auto"/>
              </w:rPr>
            </w:pPr>
            <w:r>
              <w:rPr>
                <w:rFonts w:hint="default"/>
                <w:b w:val="0"/>
                <w:bCs/>
                <w:color w:val="auto"/>
              </w:rPr>
              <w:t>含量：高纯氧</w:t>
            </w:r>
            <w:r>
              <w:rPr>
                <w:rFonts w:hint="eastAsia"/>
                <w:b w:val="0"/>
                <w:bCs/>
                <w:color w:val="auto"/>
                <w:lang w:eastAsia="zh-CN"/>
              </w:rPr>
              <w:t>（</w:t>
            </w:r>
            <w:r>
              <w:rPr>
                <w:rFonts w:hint="default"/>
                <w:b w:val="0"/>
                <w:bCs/>
                <w:color w:val="auto"/>
              </w:rPr>
              <w:t>体积</w:t>
            </w:r>
            <w:r>
              <w:rPr>
                <w:rFonts w:hint="eastAsia"/>
                <w:b w:val="0"/>
                <w:bCs/>
                <w:color w:val="auto"/>
                <w:lang w:eastAsia="zh-CN"/>
              </w:rPr>
              <w:t>）</w:t>
            </w:r>
            <w:r>
              <w:rPr>
                <w:rFonts w:hint="default"/>
                <w:b w:val="0"/>
                <w:bCs/>
                <w:color w:val="auto"/>
              </w:rPr>
              <w:t>≥99.99％。</w:t>
            </w:r>
          </w:p>
        </w:tc>
      </w:tr>
      <w:tr w14:paraId="098A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4FC1BB4D">
            <w:pPr>
              <w:pStyle w:val="25"/>
              <w:bidi w:val="0"/>
              <w:rPr>
                <w:rFonts w:hint="default"/>
                <w:b w:val="0"/>
                <w:bCs/>
                <w:color w:val="auto"/>
              </w:rPr>
            </w:pPr>
            <w:r>
              <w:rPr>
                <w:rFonts w:hint="default"/>
                <w:b w:val="0"/>
                <w:bCs/>
                <w:color w:val="auto"/>
              </w:rPr>
              <w:t>外观与性状：</w:t>
            </w:r>
          </w:p>
        </w:tc>
        <w:tc>
          <w:tcPr>
            <w:tcW w:w="7468" w:type="dxa"/>
            <w:noWrap w:val="0"/>
            <w:vAlign w:val="center"/>
          </w:tcPr>
          <w:p w14:paraId="210F6BC5">
            <w:pPr>
              <w:pStyle w:val="25"/>
              <w:bidi w:val="0"/>
              <w:jc w:val="left"/>
              <w:rPr>
                <w:rFonts w:hint="default"/>
                <w:b w:val="0"/>
                <w:bCs/>
                <w:color w:val="auto"/>
              </w:rPr>
            </w:pPr>
            <w:r>
              <w:rPr>
                <w:rFonts w:hint="default"/>
                <w:b w:val="0"/>
                <w:bCs/>
                <w:color w:val="auto"/>
              </w:rPr>
              <w:t>无色无臭气体。</w:t>
            </w:r>
          </w:p>
        </w:tc>
      </w:tr>
      <w:tr w14:paraId="31E4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3854C6EC">
            <w:pPr>
              <w:pStyle w:val="25"/>
              <w:bidi w:val="0"/>
              <w:rPr>
                <w:rFonts w:hint="default"/>
                <w:b w:val="0"/>
                <w:bCs/>
                <w:color w:val="auto"/>
              </w:rPr>
            </w:pPr>
            <w:r>
              <w:rPr>
                <w:rFonts w:hint="default"/>
                <w:b w:val="0"/>
                <w:bCs/>
                <w:color w:val="auto"/>
              </w:rPr>
              <w:t>主要用途：</w:t>
            </w:r>
          </w:p>
        </w:tc>
        <w:tc>
          <w:tcPr>
            <w:tcW w:w="7468" w:type="dxa"/>
            <w:noWrap w:val="0"/>
            <w:vAlign w:val="center"/>
          </w:tcPr>
          <w:p w14:paraId="3840979C">
            <w:pPr>
              <w:pStyle w:val="25"/>
              <w:bidi w:val="0"/>
              <w:jc w:val="left"/>
              <w:rPr>
                <w:rFonts w:hint="default"/>
                <w:b w:val="0"/>
                <w:bCs/>
                <w:color w:val="auto"/>
              </w:rPr>
            </w:pPr>
            <w:r>
              <w:rPr>
                <w:rFonts w:hint="default"/>
                <w:b w:val="0"/>
                <w:bCs/>
                <w:color w:val="auto"/>
              </w:rPr>
              <w:t>用于切割、焊接金属，制造医药、染料、炸药等。</w:t>
            </w:r>
          </w:p>
        </w:tc>
      </w:tr>
      <w:tr w14:paraId="676A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403" w:type="dxa"/>
            <w:gridSpan w:val="2"/>
            <w:noWrap w:val="0"/>
            <w:vAlign w:val="center"/>
          </w:tcPr>
          <w:p w14:paraId="3E6CDA79">
            <w:pPr>
              <w:pStyle w:val="25"/>
              <w:bidi w:val="0"/>
              <w:jc w:val="center"/>
              <w:rPr>
                <w:rFonts w:hint="default"/>
                <w:b w:val="0"/>
                <w:bCs/>
                <w:color w:val="auto"/>
              </w:rPr>
            </w:pPr>
            <w:r>
              <w:rPr>
                <w:rFonts w:hint="default"/>
                <w:b w:val="0"/>
                <w:bCs/>
                <w:color w:val="auto"/>
              </w:rPr>
              <w:t>健康危害</w:t>
            </w:r>
          </w:p>
        </w:tc>
      </w:tr>
      <w:tr w14:paraId="64A4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59A0F5D7">
            <w:pPr>
              <w:pStyle w:val="25"/>
              <w:bidi w:val="0"/>
              <w:rPr>
                <w:rFonts w:hint="default"/>
                <w:b w:val="0"/>
                <w:bCs/>
                <w:color w:val="auto"/>
              </w:rPr>
            </w:pPr>
            <w:r>
              <w:rPr>
                <w:rFonts w:hint="default"/>
                <w:b w:val="0"/>
                <w:bCs/>
                <w:color w:val="auto"/>
              </w:rPr>
              <w:t>侵入途径：</w:t>
            </w:r>
          </w:p>
        </w:tc>
        <w:tc>
          <w:tcPr>
            <w:tcW w:w="7468" w:type="dxa"/>
            <w:noWrap w:val="0"/>
            <w:vAlign w:val="center"/>
          </w:tcPr>
          <w:p w14:paraId="4EFA9300">
            <w:pPr>
              <w:pStyle w:val="25"/>
              <w:bidi w:val="0"/>
              <w:jc w:val="left"/>
              <w:rPr>
                <w:rFonts w:hint="default"/>
                <w:b w:val="0"/>
                <w:bCs/>
                <w:color w:val="auto"/>
              </w:rPr>
            </w:pPr>
            <w:r>
              <w:rPr>
                <w:rFonts w:hint="default"/>
                <w:b w:val="0"/>
                <w:bCs/>
                <w:color w:val="auto"/>
              </w:rPr>
              <w:t>吸入。</w:t>
            </w:r>
          </w:p>
        </w:tc>
      </w:tr>
      <w:tr w14:paraId="4105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2E11AD9C">
            <w:pPr>
              <w:pStyle w:val="25"/>
              <w:bidi w:val="0"/>
              <w:rPr>
                <w:rFonts w:hint="default"/>
                <w:b w:val="0"/>
                <w:bCs/>
                <w:color w:val="auto"/>
              </w:rPr>
            </w:pPr>
            <w:r>
              <w:rPr>
                <w:rFonts w:hint="default"/>
                <w:b w:val="0"/>
                <w:bCs/>
                <w:color w:val="auto"/>
              </w:rPr>
              <w:t>健康危害：</w:t>
            </w:r>
          </w:p>
        </w:tc>
        <w:tc>
          <w:tcPr>
            <w:tcW w:w="7468" w:type="dxa"/>
            <w:noWrap w:val="0"/>
            <w:vAlign w:val="center"/>
          </w:tcPr>
          <w:p w14:paraId="511996D7">
            <w:pPr>
              <w:pStyle w:val="25"/>
              <w:bidi w:val="0"/>
              <w:jc w:val="left"/>
              <w:rPr>
                <w:rFonts w:hint="default"/>
                <w:b w:val="0"/>
                <w:bCs/>
                <w:color w:val="auto"/>
              </w:rPr>
            </w:pPr>
            <w:r>
              <w:rPr>
                <w:rFonts w:hint="default"/>
                <w:b w:val="0"/>
                <w:bCs/>
                <w:color w:val="auto"/>
              </w:rPr>
              <w:t>常压下，当氧的浓度超过40％时，有可能发生氧中毒。吸入40％～60％的氧时，出现胸骨后不适感、轻咳，进而胸闷、胸骨后烧灼感和呼吸困难，咳嗽加剧；严重时可发生肺水肿，甚至出现呼吸窘迫综合征。吸入氧浓度在80％以上时，出现面部肌肉抽动、面色苍白、眩晕、心动过速、虚脱，继而全身强直性抽搐、昏迷、呼吸衰竭而死亡。长期处于氧分压为60～100kPa</w:t>
            </w:r>
            <w:r>
              <w:rPr>
                <w:rFonts w:hint="eastAsia"/>
                <w:b w:val="0"/>
                <w:bCs/>
                <w:color w:val="auto"/>
                <w:lang w:eastAsia="zh-CN"/>
              </w:rPr>
              <w:t>（</w:t>
            </w:r>
            <w:r>
              <w:rPr>
                <w:rFonts w:hint="default"/>
                <w:b w:val="0"/>
                <w:bCs/>
                <w:color w:val="auto"/>
              </w:rPr>
              <w:t>相当于吸入氧浓度40％左右</w:t>
            </w:r>
            <w:r>
              <w:rPr>
                <w:rFonts w:hint="eastAsia"/>
                <w:b w:val="0"/>
                <w:bCs/>
                <w:color w:val="auto"/>
                <w:lang w:eastAsia="zh-CN"/>
              </w:rPr>
              <w:t>）</w:t>
            </w:r>
            <w:r>
              <w:rPr>
                <w:rFonts w:hint="default"/>
                <w:b w:val="0"/>
                <w:bCs/>
                <w:color w:val="auto"/>
              </w:rPr>
              <w:t>的条件下可发生眼损害，严重者可失明。</w:t>
            </w:r>
          </w:p>
        </w:tc>
      </w:tr>
      <w:tr w14:paraId="2BF1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4BE929C3">
            <w:pPr>
              <w:pStyle w:val="25"/>
              <w:bidi w:val="0"/>
              <w:rPr>
                <w:rFonts w:hint="default"/>
                <w:b w:val="0"/>
                <w:bCs/>
                <w:color w:val="auto"/>
              </w:rPr>
            </w:pPr>
            <w:r>
              <w:rPr>
                <w:rFonts w:hint="default"/>
                <w:b w:val="0"/>
                <w:bCs/>
                <w:color w:val="auto"/>
              </w:rPr>
              <w:t>吸入：</w:t>
            </w:r>
          </w:p>
        </w:tc>
        <w:tc>
          <w:tcPr>
            <w:tcW w:w="7468" w:type="dxa"/>
            <w:noWrap w:val="0"/>
            <w:vAlign w:val="center"/>
          </w:tcPr>
          <w:p w14:paraId="6EEBAD04">
            <w:pPr>
              <w:pStyle w:val="25"/>
              <w:bidi w:val="0"/>
              <w:jc w:val="left"/>
              <w:rPr>
                <w:rFonts w:hint="default"/>
                <w:b w:val="0"/>
                <w:bCs/>
                <w:color w:val="auto"/>
              </w:rPr>
            </w:pPr>
            <w:r>
              <w:rPr>
                <w:rFonts w:hint="default"/>
                <w:b w:val="0"/>
                <w:bCs/>
                <w:color w:val="auto"/>
              </w:rPr>
              <w:t>迅速脱离现场至空气新鲜处。保持呼吸道通畅。如呼吸停止，立即进行人工呼吸。就医。</w:t>
            </w:r>
          </w:p>
        </w:tc>
      </w:tr>
      <w:tr w14:paraId="2DDAE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403" w:type="dxa"/>
            <w:gridSpan w:val="2"/>
            <w:noWrap w:val="0"/>
            <w:vAlign w:val="center"/>
          </w:tcPr>
          <w:p w14:paraId="4FCBED77">
            <w:pPr>
              <w:pStyle w:val="25"/>
              <w:bidi w:val="0"/>
              <w:jc w:val="center"/>
              <w:rPr>
                <w:rFonts w:hint="default"/>
                <w:b w:val="0"/>
                <w:bCs/>
                <w:color w:val="auto"/>
              </w:rPr>
            </w:pPr>
            <w:r>
              <w:rPr>
                <w:rFonts w:hint="default"/>
                <w:b w:val="0"/>
                <w:bCs/>
                <w:color w:val="auto"/>
              </w:rPr>
              <w:t>理化特性</w:t>
            </w:r>
          </w:p>
        </w:tc>
      </w:tr>
      <w:tr w14:paraId="36CC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DBCF07F">
            <w:pPr>
              <w:pStyle w:val="25"/>
              <w:bidi w:val="0"/>
              <w:rPr>
                <w:rFonts w:hint="default"/>
                <w:b w:val="0"/>
                <w:bCs/>
                <w:color w:val="auto"/>
              </w:rPr>
            </w:pPr>
            <w:r>
              <w:rPr>
                <w:rFonts w:hint="default"/>
                <w:b w:val="0"/>
                <w:bCs/>
                <w:color w:val="auto"/>
              </w:rPr>
              <w:t>燃烧性：</w:t>
            </w:r>
          </w:p>
        </w:tc>
        <w:tc>
          <w:tcPr>
            <w:tcW w:w="7468" w:type="dxa"/>
            <w:noWrap w:val="0"/>
            <w:vAlign w:val="center"/>
          </w:tcPr>
          <w:p w14:paraId="73563B6A">
            <w:pPr>
              <w:pStyle w:val="25"/>
              <w:bidi w:val="0"/>
              <w:jc w:val="left"/>
              <w:rPr>
                <w:rFonts w:hint="default"/>
                <w:b w:val="0"/>
                <w:bCs/>
                <w:color w:val="auto"/>
              </w:rPr>
            </w:pPr>
            <w:r>
              <w:rPr>
                <w:rFonts w:hint="default"/>
                <w:b w:val="0"/>
                <w:bCs/>
                <w:color w:val="auto"/>
              </w:rPr>
              <w:t>本品助燃。</w:t>
            </w:r>
          </w:p>
        </w:tc>
      </w:tr>
      <w:tr w14:paraId="2928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553D88A2">
            <w:pPr>
              <w:pStyle w:val="25"/>
              <w:bidi w:val="0"/>
              <w:rPr>
                <w:rFonts w:hint="default"/>
                <w:b w:val="0"/>
                <w:bCs/>
                <w:color w:val="auto"/>
              </w:rPr>
            </w:pPr>
            <w:r>
              <w:rPr>
                <w:rFonts w:hint="default"/>
                <w:b w:val="0"/>
                <w:bCs/>
                <w:color w:val="auto"/>
              </w:rPr>
              <w:t>闪点：</w:t>
            </w:r>
          </w:p>
        </w:tc>
        <w:tc>
          <w:tcPr>
            <w:tcW w:w="7468" w:type="dxa"/>
            <w:noWrap w:val="0"/>
            <w:vAlign w:val="center"/>
          </w:tcPr>
          <w:p w14:paraId="7EC3DB33">
            <w:pPr>
              <w:pStyle w:val="25"/>
              <w:bidi w:val="0"/>
              <w:jc w:val="left"/>
              <w:rPr>
                <w:rFonts w:hint="default"/>
                <w:b w:val="0"/>
                <w:bCs/>
                <w:color w:val="auto"/>
              </w:rPr>
            </w:pPr>
            <w:r>
              <w:rPr>
                <w:rFonts w:hint="default"/>
                <w:b w:val="0"/>
                <w:bCs/>
                <w:color w:val="auto"/>
                <w:lang w:eastAsia="zh-CN"/>
              </w:rPr>
              <w:t>（</w:t>
            </w:r>
            <w:r>
              <w:rPr>
                <w:rFonts w:hint="default"/>
                <w:b w:val="0"/>
                <w:bCs/>
                <w:color w:val="auto"/>
              </w:rPr>
              <w:t>℃</w:t>
            </w:r>
            <w:r>
              <w:rPr>
                <w:rFonts w:hint="eastAsia"/>
                <w:b w:val="0"/>
                <w:bCs/>
                <w:color w:val="auto"/>
                <w:lang w:eastAsia="zh-CN"/>
              </w:rPr>
              <w:t>）</w:t>
            </w:r>
            <w:r>
              <w:rPr>
                <w:rFonts w:hint="default"/>
                <w:b w:val="0"/>
                <w:bCs/>
                <w:color w:val="auto"/>
              </w:rPr>
              <w:t>无意义</w:t>
            </w:r>
          </w:p>
        </w:tc>
      </w:tr>
      <w:tr w14:paraId="6D6A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F0CCEEC">
            <w:pPr>
              <w:pStyle w:val="25"/>
              <w:bidi w:val="0"/>
              <w:rPr>
                <w:rFonts w:hint="default"/>
                <w:b w:val="0"/>
                <w:bCs/>
                <w:color w:val="auto"/>
              </w:rPr>
            </w:pPr>
            <w:r>
              <w:rPr>
                <w:rFonts w:hint="default"/>
                <w:b w:val="0"/>
                <w:bCs/>
                <w:color w:val="auto"/>
              </w:rPr>
              <w:t>爆炸下限：</w:t>
            </w:r>
          </w:p>
        </w:tc>
        <w:tc>
          <w:tcPr>
            <w:tcW w:w="7468" w:type="dxa"/>
            <w:noWrap w:val="0"/>
            <w:vAlign w:val="center"/>
          </w:tcPr>
          <w:p w14:paraId="4AD93C07">
            <w:pPr>
              <w:pStyle w:val="25"/>
              <w:bidi w:val="0"/>
              <w:jc w:val="left"/>
              <w:rPr>
                <w:rFonts w:hint="default"/>
                <w:b w:val="0"/>
                <w:bCs/>
                <w:color w:val="auto"/>
              </w:rPr>
            </w:pPr>
            <w:r>
              <w:rPr>
                <w:rFonts w:hint="default"/>
                <w:b w:val="0"/>
                <w:bCs/>
                <w:color w:val="auto"/>
                <w:lang w:eastAsia="zh-CN"/>
              </w:rPr>
              <w:t>（</w:t>
            </w:r>
            <w:r>
              <w:rPr>
                <w:rFonts w:hint="default"/>
                <w:b w:val="0"/>
                <w:bCs/>
                <w:color w:val="auto"/>
              </w:rPr>
              <w:t>％</w:t>
            </w:r>
            <w:r>
              <w:rPr>
                <w:rFonts w:hint="eastAsia"/>
                <w:b w:val="0"/>
                <w:bCs/>
                <w:color w:val="auto"/>
                <w:lang w:eastAsia="zh-CN"/>
              </w:rPr>
              <w:t>）</w:t>
            </w:r>
            <w:r>
              <w:rPr>
                <w:rFonts w:hint="default"/>
                <w:b w:val="0"/>
                <w:bCs/>
                <w:color w:val="auto"/>
              </w:rPr>
              <w:t>无意义</w:t>
            </w:r>
          </w:p>
        </w:tc>
      </w:tr>
      <w:tr w14:paraId="30B8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3F479A9">
            <w:pPr>
              <w:pStyle w:val="25"/>
              <w:bidi w:val="0"/>
              <w:rPr>
                <w:rFonts w:hint="default"/>
                <w:b w:val="0"/>
                <w:bCs/>
                <w:color w:val="auto"/>
              </w:rPr>
            </w:pPr>
            <w:r>
              <w:rPr>
                <w:rFonts w:hint="default"/>
                <w:b w:val="0"/>
                <w:bCs/>
                <w:color w:val="auto"/>
              </w:rPr>
              <w:t>引燃温度：</w:t>
            </w:r>
          </w:p>
        </w:tc>
        <w:tc>
          <w:tcPr>
            <w:tcW w:w="7468" w:type="dxa"/>
            <w:noWrap w:val="0"/>
            <w:vAlign w:val="center"/>
          </w:tcPr>
          <w:p w14:paraId="6DE17EC9">
            <w:pPr>
              <w:pStyle w:val="25"/>
              <w:bidi w:val="0"/>
              <w:jc w:val="left"/>
              <w:rPr>
                <w:rFonts w:hint="default"/>
                <w:b w:val="0"/>
                <w:bCs/>
                <w:color w:val="auto"/>
              </w:rPr>
            </w:pPr>
            <w:r>
              <w:rPr>
                <w:rFonts w:hint="default"/>
                <w:b w:val="0"/>
                <w:bCs/>
                <w:color w:val="auto"/>
                <w:lang w:eastAsia="zh-CN"/>
              </w:rPr>
              <w:t>（</w:t>
            </w:r>
            <w:r>
              <w:rPr>
                <w:rFonts w:hint="default"/>
                <w:b w:val="0"/>
                <w:bCs/>
                <w:color w:val="auto"/>
              </w:rPr>
              <w:t>℃</w:t>
            </w:r>
            <w:r>
              <w:rPr>
                <w:rFonts w:hint="eastAsia"/>
                <w:b w:val="0"/>
                <w:bCs/>
                <w:color w:val="auto"/>
                <w:lang w:eastAsia="zh-CN"/>
              </w:rPr>
              <w:t>）</w:t>
            </w:r>
            <w:r>
              <w:rPr>
                <w:rFonts w:hint="default"/>
                <w:b w:val="0"/>
                <w:bCs/>
                <w:color w:val="auto"/>
              </w:rPr>
              <w:t>无意义</w:t>
            </w:r>
          </w:p>
        </w:tc>
      </w:tr>
      <w:tr w14:paraId="0542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26B0A2C">
            <w:pPr>
              <w:pStyle w:val="25"/>
              <w:bidi w:val="0"/>
              <w:rPr>
                <w:rFonts w:hint="default"/>
                <w:b w:val="0"/>
                <w:bCs/>
                <w:color w:val="auto"/>
              </w:rPr>
            </w:pPr>
            <w:r>
              <w:rPr>
                <w:rFonts w:hint="default"/>
                <w:b w:val="0"/>
                <w:bCs/>
                <w:color w:val="auto"/>
              </w:rPr>
              <w:t>爆炸上限：</w:t>
            </w:r>
          </w:p>
        </w:tc>
        <w:tc>
          <w:tcPr>
            <w:tcW w:w="7468" w:type="dxa"/>
            <w:noWrap w:val="0"/>
            <w:vAlign w:val="center"/>
          </w:tcPr>
          <w:p w14:paraId="27B3F9A9">
            <w:pPr>
              <w:pStyle w:val="25"/>
              <w:bidi w:val="0"/>
              <w:jc w:val="left"/>
              <w:rPr>
                <w:rFonts w:hint="default"/>
                <w:b w:val="0"/>
                <w:bCs/>
                <w:color w:val="auto"/>
              </w:rPr>
            </w:pPr>
            <w:r>
              <w:rPr>
                <w:rFonts w:hint="default"/>
                <w:b w:val="0"/>
                <w:bCs/>
                <w:color w:val="auto"/>
                <w:lang w:eastAsia="zh-CN"/>
              </w:rPr>
              <w:t>（</w:t>
            </w:r>
            <w:r>
              <w:rPr>
                <w:rFonts w:hint="default"/>
                <w:b w:val="0"/>
                <w:bCs/>
                <w:color w:val="auto"/>
              </w:rPr>
              <w:t>％</w:t>
            </w:r>
            <w:r>
              <w:rPr>
                <w:rFonts w:hint="eastAsia"/>
                <w:b w:val="0"/>
                <w:bCs/>
                <w:color w:val="auto"/>
                <w:lang w:eastAsia="zh-CN"/>
              </w:rPr>
              <w:t>）</w:t>
            </w:r>
            <w:r>
              <w:rPr>
                <w:rFonts w:hint="default"/>
                <w:b w:val="0"/>
                <w:bCs/>
                <w:color w:val="auto"/>
              </w:rPr>
              <w:t>无意义</w:t>
            </w:r>
          </w:p>
        </w:tc>
      </w:tr>
      <w:tr w14:paraId="0F46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1A0088B">
            <w:pPr>
              <w:pStyle w:val="25"/>
              <w:bidi w:val="0"/>
              <w:rPr>
                <w:rFonts w:hint="default"/>
                <w:b w:val="0"/>
                <w:bCs/>
                <w:color w:val="auto"/>
              </w:rPr>
            </w:pPr>
            <w:r>
              <w:rPr>
                <w:rFonts w:hint="default"/>
                <w:b w:val="0"/>
                <w:bCs/>
                <w:color w:val="auto"/>
              </w:rPr>
              <w:t>危险特性：</w:t>
            </w:r>
          </w:p>
        </w:tc>
        <w:tc>
          <w:tcPr>
            <w:tcW w:w="7468" w:type="dxa"/>
            <w:noWrap w:val="0"/>
            <w:vAlign w:val="center"/>
          </w:tcPr>
          <w:p w14:paraId="3DD1E4C5">
            <w:pPr>
              <w:pStyle w:val="25"/>
              <w:bidi w:val="0"/>
              <w:jc w:val="left"/>
              <w:rPr>
                <w:rFonts w:hint="default"/>
                <w:b w:val="0"/>
                <w:bCs/>
                <w:color w:val="auto"/>
              </w:rPr>
            </w:pPr>
            <w:r>
              <w:rPr>
                <w:rFonts w:hint="default"/>
                <w:b w:val="0"/>
                <w:bCs/>
                <w:color w:val="auto"/>
              </w:rPr>
              <w:t>是易燃物、可燃物燃烧爆炸的基本要素之一</w:t>
            </w:r>
            <w:r>
              <w:rPr>
                <w:rFonts w:hint="eastAsia"/>
                <w:b w:val="0"/>
                <w:bCs/>
                <w:color w:val="auto"/>
                <w:lang w:eastAsia="zh-CN"/>
              </w:rPr>
              <w:t>，</w:t>
            </w:r>
            <w:r>
              <w:rPr>
                <w:rFonts w:hint="default"/>
                <w:b w:val="0"/>
                <w:bCs/>
                <w:color w:val="auto"/>
              </w:rPr>
              <w:t>能氧化大多数活性物质。与易燃物</w:t>
            </w:r>
            <w:r>
              <w:rPr>
                <w:rFonts w:hint="default"/>
                <w:b w:val="0"/>
                <w:bCs/>
                <w:color w:val="auto"/>
                <w:lang w:eastAsia="zh-CN"/>
              </w:rPr>
              <w:t>（</w:t>
            </w:r>
            <w:r>
              <w:rPr>
                <w:rFonts w:hint="default"/>
                <w:b w:val="0"/>
                <w:bCs/>
                <w:color w:val="auto"/>
              </w:rPr>
              <w:t>如乙炔、甲烷等</w:t>
            </w:r>
            <w:r>
              <w:rPr>
                <w:rFonts w:hint="eastAsia"/>
                <w:b w:val="0"/>
                <w:bCs/>
                <w:color w:val="auto"/>
                <w:lang w:eastAsia="zh-CN"/>
              </w:rPr>
              <w:t>）</w:t>
            </w:r>
            <w:r>
              <w:rPr>
                <w:rFonts w:hint="default"/>
                <w:b w:val="0"/>
                <w:bCs/>
                <w:color w:val="auto"/>
              </w:rPr>
              <w:t>形成有爆炸性的混合物。</w:t>
            </w:r>
          </w:p>
        </w:tc>
      </w:tr>
      <w:tr w14:paraId="04FA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04D8B458">
            <w:pPr>
              <w:pStyle w:val="25"/>
              <w:bidi w:val="0"/>
              <w:rPr>
                <w:rFonts w:hint="default"/>
                <w:b w:val="0"/>
                <w:bCs/>
                <w:color w:val="auto"/>
              </w:rPr>
            </w:pPr>
            <w:r>
              <w:rPr>
                <w:rFonts w:hint="default"/>
                <w:b w:val="0"/>
                <w:bCs/>
                <w:color w:val="auto"/>
              </w:rPr>
              <w:t>灭火方法：</w:t>
            </w:r>
          </w:p>
        </w:tc>
        <w:tc>
          <w:tcPr>
            <w:tcW w:w="7468" w:type="dxa"/>
            <w:noWrap w:val="0"/>
            <w:vAlign w:val="center"/>
          </w:tcPr>
          <w:p w14:paraId="1E1FF944">
            <w:pPr>
              <w:pStyle w:val="25"/>
              <w:bidi w:val="0"/>
              <w:jc w:val="left"/>
              <w:rPr>
                <w:rFonts w:hint="default"/>
                <w:b w:val="0"/>
                <w:bCs/>
                <w:color w:val="auto"/>
              </w:rPr>
            </w:pPr>
            <w:r>
              <w:rPr>
                <w:rFonts w:hint="default"/>
                <w:b w:val="0"/>
                <w:bCs/>
                <w:color w:val="auto"/>
              </w:rPr>
              <w:t>用水保持容器冷却，以防受热爆炸，急剧助长火势。迅速切断气源，用水喷淋保护切断气源的人员，然后根据着火原因选择适当灭火剂灭火。</w:t>
            </w:r>
          </w:p>
        </w:tc>
      </w:tr>
      <w:tr w14:paraId="230C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E02F6D0">
            <w:pPr>
              <w:pStyle w:val="25"/>
              <w:bidi w:val="0"/>
              <w:rPr>
                <w:rFonts w:hint="default"/>
                <w:b w:val="0"/>
                <w:bCs/>
                <w:color w:val="auto"/>
              </w:rPr>
            </w:pPr>
            <w:r>
              <w:rPr>
                <w:rFonts w:hint="default"/>
                <w:b w:val="0"/>
                <w:bCs/>
                <w:color w:val="auto"/>
              </w:rPr>
              <w:t>泄漏应急处理：</w:t>
            </w:r>
          </w:p>
        </w:tc>
        <w:tc>
          <w:tcPr>
            <w:tcW w:w="7468" w:type="dxa"/>
            <w:noWrap w:val="0"/>
            <w:vAlign w:val="center"/>
          </w:tcPr>
          <w:p w14:paraId="42E4E7C9">
            <w:pPr>
              <w:pStyle w:val="25"/>
              <w:bidi w:val="0"/>
              <w:jc w:val="left"/>
              <w:rPr>
                <w:rFonts w:hint="default"/>
                <w:b w:val="0"/>
                <w:bCs/>
                <w:color w:val="auto"/>
              </w:rPr>
            </w:pPr>
            <w:r>
              <w:rPr>
                <w:rFonts w:hint="default"/>
                <w:b w:val="0"/>
                <w:bCs/>
                <w:color w:val="auto"/>
              </w:rPr>
              <w:t>迅速撤离泄漏污染区人员至上风处，并进行隔离，严格限制出入。切断火源。建议应急处理人员戴自给正压式呼吸器，穿一般作业工作服。避免与可燃物或易燃物接触。尽可能切断泄漏源。合理通风，加速扩散。漏气容器要妥善处理，修复、检验后再用。</w:t>
            </w:r>
          </w:p>
        </w:tc>
      </w:tr>
      <w:tr w14:paraId="48E2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C32A54F">
            <w:pPr>
              <w:pStyle w:val="25"/>
              <w:bidi w:val="0"/>
              <w:rPr>
                <w:rFonts w:hint="default"/>
                <w:b w:val="0"/>
                <w:bCs/>
                <w:color w:val="auto"/>
              </w:rPr>
            </w:pPr>
            <w:r>
              <w:rPr>
                <w:rFonts w:hint="default"/>
                <w:b w:val="0"/>
                <w:bCs/>
                <w:color w:val="auto"/>
              </w:rPr>
              <w:t>操作注意事项：</w:t>
            </w:r>
          </w:p>
        </w:tc>
        <w:tc>
          <w:tcPr>
            <w:tcW w:w="7468" w:type="dxa"/>
            <w:noWrap w:val="0"/>
            <w:vAlign w:val="center"/>
          </w:tcPr>
          <w:p w14:paraId="707110F1">
            <w:pPr>
              <w:pStyle w:val="25"/>
              <w:bidi w:val="0"/>
              <w:jc w:val="left"/>
              <w:rPr>
                <w:rFonts w:hint="default"/>
                <w:b w:val="0"/>
                <w:bCs/>
                <w:color w:val="auto"/>
              </w:rPr>
            </w:pPr>
            <w:r>
              <w:rPr>
                <w:rFonts w:hint="default"/>
                <w:b w:val="0"/>
                <w:bCs/>
                <w:color w:val="auto"/>
              </w:rPr>
              <w:t>密闭操作。密闭操作，提供良好的自然通风条件。操作人员必须经过专门培训，严格遵守操作规程。远离火种、热源，工作场所严禁吸烟。远离易燃、可燃物。防止气体泄漏到工作场所空气中。避免与活性金属粉末接触。搬运时轻装轻卸，防止钢瓶及附件破损。配备相应品种和数量的消防器材及泄漏应急处理设备。</w:t>
            </w:r>
          </w:p>
        </w:tc>
      </w:tr>
      <w:tr w14:paraId="28CB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4B87790F">
            <w:pPr>
              <w:pStyle w:val="25"/>
              <w:bidi w:val="0"/>
              <w:rPr>
                <w:rFonts w:hint="default"/>
                <w:b w:val="0"/>
                <w:bCs/>
                <w:color w:val="auto"/>
              </w:rPr>
            </w:pPr>
            <w:r>
              <w:rPr>
                <w:rFonts w:hint="default"/>
                <w:b w:val="0"/>
                <w:bCs/>
                <w:color w:val="auto"/>
              </w:rPr>
              <w:t>贮运注意事项：</w:t>
            </w:r>
          </w:p>
        </w:tc>
        <w:tc>
          <w:tcPr>
            <w:tcW w:w="7468" w:type="dxa"/>
            <w:noWrap w:val="0"/>
            <w:vAlign w:val="center"/>
          </w:tcPr>
          <w:p w14:paraId="507823AA">
            <w:pPr>
              <w:pStyle w:val="25"/>
              <w:bidi w:val="0"/>
              <w:jc w:val="left"/>
              <w:rPr>
                <w:rFonts w:hint="default"/>
                <w:b w:val="0"/>
                <w:bCs/>
                <w:color w:val="auto"/>
              </w:rPr>
            </w:pPr>
            <w:r>
              <w:rPr>
                <w:rFonts w:hint="default"/>
                <w:b w:val="0"/>
                <w:bCs/>
                <w:color w:val="auto"/>
              </w:rPr>
              <w:t>储存于阴凉、通风的库房。远离火种、热源。库温不宜超过30℃。应与易</w:t>
            </w:r>
            <w:r>
              <w:rPr>
                <w:rFonts w:hint="default"/>
                <w:b w:val="0"/>
                <w:bCs/>
                <w:color w:val="auto"/>
                <w:lang w:eastAsia="zh-CN"/>
              </w:rPr>
              <w:t>（</w:t>
            </w:r>
            <w:r>
              <w:rPr>
                <w:rFonts w:hint="default"/>
                <w:b w:val="0"/>
                <w:bCs/>
                <w:color w:val="auto"/>
              </w:rPr>
              <w:t>可</w:t>
            </w:r>
            <w:r>
              <w:rPr>
                <w:rFonts w:hint="eastAsia"/>
                <w:b w:val="0"/>
                <w:bCs/>
                <w:color w:val="auto"/>
                <w:lang w:eastAsia="zh-CN"/>
              </w:rPr>
              <w:t>）</w:t>
            </w:r>
            <w:r>
              <w:rPr>
                <w:rFonts w:hint="default"/>
                <w:b w:val="0"/>
                <w:bCs/>
                <w:color w:val="auto"/>
              </w:rPr>
              <w:t>燃物、活性金属粉末等分开存放，切忌混储。储区应备有泄漏应急处理设备。氧气钢瓶不得沾污油脂。采用钢瓶运输时必须戴好钢瓶上的安全帽。钢瓶一般平放，并应将瓶口朝同一方向，不可交叉；高度不得超过车辆的防护栏板，并用三角木垫卡牢，防止滚动。严禁与易燃物或可燃物、活性金属粉末等混装混运。夏季应早晚运输，防止日光曝晒。铁路运输时要禁止溜放。</w:t>
            </w:r>
          </w:p>
        </w:tc>
      </w:tr>
      <w:tr w14:paraId="1254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1935" w:type="dxa"/>
            <w:noWrap w:val="0"/>
            <w:vAlign w:val="center"/>
          </w:tcPr>
          <w:p w14:paraId="6566630E">
            <w:pPr>
              <w:pStyle w:val="25"/>
              <w:bidi w:val="0"/>
              <w:rPr>
                <w:rFonts w:hint="default"/>
                <w:b w:val="0"/>
                <w:bCs/>
                <w:color w:val="auto"/>
              </w:rPr>
            </w:pPr>
            <w:r>
              <w:rPr>
                <w:rFonts w:hint="default"/>
                <w:b w:val="0"/>
                <w:bCs/>
                <w:color w:val="auto"/>
              </w:rPr>
              <w:t>防护措施：</w:t>
            </w:r>
          </w:p>
        </w:tc>
        <w:tc>
          <w:tcPr>
            <w:tcW w:w="7468" w:type="dxa"/>
            <w:noWrap w:val="0"/>
            <w:vAlign w:val="center"/>
          </w:tcPr>
          <w:p w14:paraId="48863F90">
            <w:pPr>
              <w:pStyle w:val="25"/>
              <w:bidi w:val="0"/>
              <w:jc w:val="left"/>
              <w:rPr>
                <w:rFonts w:hint="default"/>
                <w:b w:val="0"/>
                <w:bCs/>
                <w:color w:val="auto"/>
              </w:rPr>
            </w:pPr>
            <w:r>
              <w:rPr>
                <w:rFonts w:hint="default"/>
                <w:b w:val="0"/>
                <w:bCs/>
                <w:color w:val="auto"/>
              </w:rPr>
              <w:t>职业接触限值</w:t>
            </w:r>
          </w:p>
          <w:p w14:paraId="42D433EF">
            <w:pPr>
              <w:pStyle w:val="25"/>
              <w:bidi w:val="0"/>
              <w:jc w:val="left"/>
              <w:rPr>
                <w:rFonts w:hint="default"/>
                <w:b w:val="0"/>
                <w:bCs/>
                <w:color w:val="auto"/>
              </w:rPr>
            </w:pPr>
            <w:r>
              <w:rPr>
                <w:rFonts w:hint="default"/>
                <w:b w:val="0"/>
                <w:bCs/>
                <w:color w:val="auto"/>
              </w:rPr>
              <w:t>中国MAC</w:t>
            </w:r>
            <w:r>
              <w:rPr>
                <w:rFonts w:hint="eastAsia"/>
                <w:b w:val="0"/>
                <w:bCs/>
                <w:color w:val="auto"/>
                <w:lang w:eastAsia="zh-CN"/>
              </w:rPr>
              <w:t>（</w:t>
            </w:r>
            <w:r>
              <w:rPr>
                <w:rFonts w:hint="default"/>
                <w:b w:val="0"/>
                <w:bCs/>
                <w:color w:val="auto"/>
              </w:rPr>
              <w:t>mg/m</w:t>
            </w:r>
            <w:r>
              <w:rPr>
                <w:rFonts w:hint="default"/>
                <w:b w:val="0"/>
                <w:bCs/>
                <w:color w:val="auto"/>
                <w:vertAlign w:val="superscript"/>
              </w:rPr>
              <w:t>3</w:t>
            </w:r>
            <w:r>
              <w:rPr>
                <w:rFonts w:hint="eastAsia"/>
                <w:b w:val="0"/>
                <w:bCs/>
                <w:color w:val="auto"/>
                <w:lang w:eastAsia="zh-CN"/>
              </w:rPr>
              <w:t>）</w:t>
            </w:r>
            <w:r>
              <w:rPr>
                <w:rFonts w:hint="default"/>
                <w:b w:val="0"/>
                <w:bCs/>
                <w:color w:val="auto"/>
              </w:rPr>
              <w:t>：未制定标准</w:t>
            </w:r>
          </w:p>
          <w:p w14:paraId="31062DC1">
            <w:pPr>
              <w:pStyle w:val="25"/>
              <w:bidi w:val="0"/>
              <w:jc w:val="left"/>
              <w:rPr>
                <w:rFonts w:hint="default"/>
                <w:b w:val="0"/>
                <w:bCs/>
                <w:color w:val="auto"/>
              </w:rPr>
            </w:pPr>
            <w:r>
              <w:rPr>
                <w:rFonts w:hint="default"/>
                <w:b w:val="0"/>
                <w:bCs/>
                <w:color w:val="auto"/>
              </w:rPr>
              <w:t>前苏联MAC</w:t>
            </w:r>
            <w:r>
              <w:rPr>
                <w:rFonts w:hint="eastAsia"/>
                <w:b w:val="0"/>
                <w:bCs/>
                <w:color w:val="auto"/>
                <w:lang w:eastAsia="zh-CN"/>
              </w:rPr>
              <w:t>（</w:t>
            </w:r>
            <w:r>
              <w:rPr>
                <w:rFonts w:hint="default"/>
                <w:b w:val="0"/>
                <w:bCs/>
                <w:color w:val="auto"/>
              </w:rPr>
              <w:t>mg/m</w:t>
            </w:r>
            <w:r>
              <w:rPr>
                <w:rFonts w:hint="default"/>
                <w:b w:val="0"/>
                <w:bCs/>
                <w:color w:val="auto"/>
                <w:vertAlign w:val="superscript"/>
              </w:rPr>
              <w:t>3</w:t>
            </w:r>
            <w:r>
              <w:rPr>
                <w:rFonts w:hint="eastAsia"/>
                <w:b w:val="0"/>
                <w:bCs/>
                <w:color w:val="auto"/>
                <w:lang w:eastAsia="zh-CN"/>
              </w:rPr>
              <w:t>）</w:t>
            </w:r>
            <w:r>
              <w:rPr>
                <w:rFonts w:hint="default"/>
                <w:b w:val="0"/>
                <w:bCs/>
                <w:color w:val="auto"/>
              </w:rPr>
              <w:t>：未制定标准</w:t>
            </w:r>
          </w:p>
          <w:p w14:paraId="74BD6381">
            <w:pPr>
              <w:pStyle w:val="25"/>
              <w:bidi w:val="0"/>
              <w:jc w:val="left"/>
              <w:rPr>
                <w:rFonts w:hint="default"/>
                <w:b w:val="0"/>
                <w:bCs/>
                <w:color w:val="auto"/>
              </w:rPr>
            </w:pPr>
            <w:r>
              <w:rPr>
                <w:rFonts w:hint="default"/>
                <w:b w:val="0"/>
                <w:bCs/>
                <w:color w:val="auto"/>
              </w:rPr>
              <w:t>TLVTN：未制定标准</w:t>
            </w:r>
          </w:p>
          <w:p w14:paraId="78B0EEED">
            <w:pPr>
              <w:pStyle w:val="25"/>
              <w:bidi w:val="0"/>
              <w:jc w:val="left"/>
              <w:rPr>
                <w:rFonts w:hint="default"/>
                <w:b w:val="0"/>
                <w:bCs/>
                <w:color w:val="auto"/>
              </w:rPr>
            </w:pPr>
            <w:r>
              <w:rPr>
                <w:rFonts w:hint="default"/>
                <w:b w:val="0"/>
                <w:bCs/>
                <w:color w:val="auto"/>
              </w:rPr>
              <w:t>TLVWN：未制定标准</w:t>
            </w:r>
          </w:p>
          <w:p w14:paraId="52858AC0">
            <w:pPr>
              <w:pStyle w:val="25"/>
              <w:bidi w:val="0"/>
              <w:jc w:val="left"/>
              <w:rPr>
                <w:rFonts w:hint="default"/>
                <w:b w:val="0"/>
                <w:bCs/>
                <w:color w:val="auto"/>
              </w:rPr>
            </w:pPr>
            <w:r>
              <w:rPr>
                <w:rFonts w:hint="default"/>
                <w:b w:val="0"/>
                <w:bCs/>
                <w:color w:val="auto"/>
              </w:rPr>
              <w:t>工程控制：密闭操作。提供良好的自然通风条件。</w:t>
            </w:r>
          </w:p>
          <w:p w14:paraId="15AE78D1">
            <w:pPr>
              <w:pStyle w:val="25"/>
              <w:bidi w:val="0"/>
              <w:jc w:val="left"/>
              <w:rPr>
                <w:rFonts w:hint="default"/>
                <w:b w:val="0"/>
                <w:bCs/>
                <w:color w:val="auto"/>
              </w:rPr>
            </w:pPr>
            <w:r>
              <w:rPr>
                <w:rFonts w:hint="default"/>
                <w:b w:val="0"/>
                <w:bCs/>
                <w:color w:val="auto"/>
              </w:rPr>
              <w:t>呼吸系统防护：一般不需特殊防护。</w:t>
            </w:r>
          </w:p>
          <w:p w14:paraId="0555D837">
            <w:pPr>
              <w:pStyle w:val="25"/>
              <w:bidi w:val="0"/>
              <w:jc w:val="left"/>
              <w:rPr>
                <w:rFonts w:hint="default"/>
                <w:b w:val="0"/>
                <w:bCs/>
                <w:color w:val="auto"/>
              </w:rPr>
            </w:pPr>
            <w:r>
              <w:rPr>
                <w:rFonts w:hint="default"/>
                <w:b w:val="0"/>
                <w:bCs/>
                <w:color w:val="auto"/>
              </w:rPr>
              <w:t>眼睛防护：一般不需特殊防护。</w:t>
            </w:r>
          </w:p>
          <w:p w14:paraId="6B46BFE6">
            <w:pPr>
              <w:pStyle w:val="25"/>
              <w:bidi w:val="0"/>
              <w:jc w:val="left"/>
              <w:rPr>
                <w:rFonts w:hint="default"/>
                <w:b w:val="0"/>
                <w:bCs/>
                <w:color w:val="auto"/>
              </w:rPr>
            </w:pPr>
            <w:r>
              <w:rPr>
                <w:rFonts w:hint="default"/>
                <w:b w:val="0"/>
                <w:bCs/>
                <w:color w:val="auto"/>
              </w:rPr>
              <w:t>身体防护：穿一般作业工作服。</w:t>
            </w:r>
          </w:p>
          <w:p w14:paraId="5C2334AC">
            <w:pPr>
              <w:pStyle w:val="25"/>
              <w:bidi w:val="0"/>
              <w:jc w:val="left"/>
              <w:rPr>
                <w:rFonts w:hint="default"/>
                <w:b w:val="0"/>
                <w:bCs/>
                <w:color w:val="auto"/>
              </w:rPr>
            </w:pPr>
            <w:r>
              <w:rPr>
                <w:rFonts w:hint="default"/>
                <w:b w:val="0"/>
                <w:bCs/>
                <w:color w:val="auto"/>
              </w:rPr>
              <w:t>手防护：戴一般作业防护手套。</w:t>
            </w:r>
          </w:p>
          <w:p w14:paraId="4C487E3D">
            <w:pPr>
              <w:pStyle w:val="25"/>
              <w:bidi w:val="0"/>
              <w:jc w:val="left"/>
              <w:rPr>
                <w:rFonts w:hint="default"/>
                <w:b w:val="0"/>
                <w:bCs/>
                <w:color w:val="auto"/>
              </w:rPr>
            </w:pPr>
            <w:r>
              <w:rPr>
                <w:rFonts w:hint="default"/>
                <w:b w:val="0"/>
                <w:bCs/>
                <w:color w:val="auto"/>
              </w:rPr>
              <w:t>其他防护：避免高浓度吸入。</w:t>
            </w:r>
          </w:p>
        </w:tc>
      </w:tr>
      <w:tr w14:paraId="4B8F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7" w:hRule="atLeast"/>
          <w:jc w:val="center"/>
        </w:trPr>
        <w:tc>
          <w:tcPr>
            <w:tcW w:w="1935" w:type="dxa"/>
            <w:noWrap w:val="0"/>
            <w:vAlign w:val="center"/>
          </w:tcPr>
          <w:p w14:paraId="17D8251E">
            <w:pPr>
              <w:pStyle w:val="25"/>
              <w:bidi w:val="0"/>
              <w:rPr>
                <w:rFonts w:hint="default"/>
                <w:b w:val="0"/>
                <w:bCs/>
                <w:color w:val="auto"/>
              </w:rPr>
            </w:pPr>
            <w:r>
              <w:rPr>
                <w:rFonts w:hint="default"/>
                <w:b w:val="0"/>
                <w:bCs/>
                <w:color w:val="auto"/>
              </w:rPr>
              <w:t>理化性质：</w:t>
            </w:r>
          </w:p>
        </w:tc>
        <w:tc>
          <w:tcPr>
            <w:tcW w:w="7468" w:type="dxa"/>
            <w:noWrap w:val="0"/>
            <w:vAlign w:val="center"/>
          </w:tcPr>
          <w:p w14:paraId="3E18D4CB">
            <w:pPr>
              <w:pStyle w:val="25"/>
              <w:bidi w:val="0"/>
              <w:jc w:val="left"/>
              <w:rPr>
                <w:rFonts w:hint="default"/>
                <w:b w:val="0"/>
                <w:bCs/>
                <w:color w:val="auto"/>
              </w:rPr>
            </w:pPr>
            <w:r>
              <w:rPr>
                <w:rFonts w:hint="default"/>
                <w:b w:val="0"/>
                <w:bCs/>
                <w:color w:val="auto"/>
              </w:rPr>
              <w:t>熔点</w:t>
            </w:r>
            <w:r>
              <w:rPr>
                <w:rFonts w:hint="eastAsia"/>
                <w:b w:val="0"/>
                <w:bCs/>
                <w:color w:val="auto"/>
                <w:lang w:eastAsia="zh-CN"/>
              </w:rPr>
              <w:t>（</w:t>
            </w:r>
            <w:r>
              <w:rPr>
                <w:rFonts w:hint="default"/>
                <w:b w:val="0"/>
                <w:bCs/>
                <w:color w:val="auto"/>
              </w:rPr>
              <w:t>℃</w:t>
            </w:r>
            <w:r>
              <w:rPr>
                <w:rFonts w:hint="eastAsia"/>
                <w:b w:val="0"/>
                <w:bCs/>
                <w:color w:val="auto"/>
                <w:lang w:eastAsia="zh-CN"/>
              </w:rPr>
              <w:t>）</w:t>
            </w:r>
            <w:r>
              <w:rPr>
                <w:rFonts w:hint="default"/>
                <w:b w:val="0"/>
                <w:bCs/>
                <w:color w:val="auto"/>
              </w:rPr>
              <w:t>：-218.8</w:t>
            </w:r>
          </w:p>
          <w:p w14:paraId="36185997">
            <w:pPr>
              <w:pStyle w:val="25"/>
              <w:bidi w:val="0"/>
              <w:jc w:val="left"/>
              <w:rPr>
                <w:rFonts w:hint="default"/>
                <w:b w:val="0"/>
                <w:bCs/>
                <w:color w:val="auto"/>
              </w:rPr>
            </w:pPr>
            <w:r>
              <w:rPr>
                <w:rFonts w:hint="default"/>
                <w:b w:val="0"/>
                <w:bCs/>
                <w:color w:val="auto"/>
              </w:rPr>
              <w:t>沸点</w:t>
            </w:r>
            <w:r>
              <w:rPr>
                <w:rFonts w:hint="eastAsia"/>
                <w:b w:val="0"/>
                <w:bCs/>
                <w:color w:val="auto"/>
                <w:lang w:eastAsia="zh-CN"/>
              </w:rPr>
              <w:t>（</w:t>
            </w:r>
            <w:r>
              <w:rPr>
                <w:rFonts w:hint="default"/>
                <w:b w:val="0"/>
                <w:bCs/>
                <w:color w:val="auto"/>
              </w:rPr>
              <w:t>℃</w:t>
            </w:r>
            <w:r>
              <w:rPr>
                <w:rFonts w:hint="eastAsia"/>
                <w:b w:val="0"/>
                <w:bCs/>
                <w:color w:val="auto"/>
                <w:lang w:eastAsia="zh-CN"/>
              </w:rPr>
              <w:t>）</w:t>
            </w:r>
            <w:r>
              <w:rPr>
                <w:rFonts w:hint="default"/>
                <w:b w:val="0"/>
                <w:bCs/>
                <w:color w:val="auto"/>
              </w:rPr>
              <w:t>：-183.1</w:t>
            </w:r>
          </w:p>
          <w:p w14:paraId="65AD9F88">
            <w:pPr>
              <w:pStyle w:val="25"/>
              <w:bidi w:val="0"/>
              <w:jc w:val="left"/>
              <w:rPr>
                <w:rFonts w:hint="default"/>
                <w:b w:val="0"/>
                <w:bCs/>
                <w:color w:val="auto"/>
                <w:lang w:eastAsia="zh-CN"/>
              </w:rPr>
            </w:pPr>
            <w:r>
              <w:rPr>
                <w:rFonts w:hint="default"/>
                <w:b w:val="0"/>
                <w:bCs/>
                <w:color w:val="auto"/>
              </w:rPr>
              <w:t>相对密度</w:t>
            </w:r>
            <w:r>
              <w:rPr>
                <w:rFonts w:hint="eastAsia"/>
                <w:b w:val="0"/>
                <w:bCs/>
                <w:color w:val="auto"/>
                <w:lang w:eastAsia="zh-CN"/>
              </w:rPr>
              <w:t>（</w:t>
            </w:r>
            <w:r>
              <w:rPr>
                <w:rFonts w:hint="default"/>
                <w:b w:val="0"/>
                <w:bCs/>
                <w:color w:val="auto"/>
              </w:rPr>
              <w:t>水=1</w:t>
            </w:r>
            <w:r>
              <w:rPr>
                <w:rFonts w:hint="eastAsia"/>
                <w:b w:val="0"/>
                <w:bCs/>
                <w:color w:val="auto"/>
                <w:lang w:eastAsia="zh-CN"/>
              </w:rPr>
              <w:t>）</w:t>
            </w:r>
            <w:r>
              <w:rPr>
                <w:rFonts w:hint="default"/>
                <w:b w:val="0"/>
                <w:bCs/>
                <w:color w:val="auto"/>
              </w:rPr>
              <w:t>：1.14</w:t>
            </w:r>
            <w:r>
              <w:rPr>
                <w:rFonts w:hint="eastAsia"/>
                <w:b w:val="0"/>
                <w:bCs/>
                <w:color w:val="auto"/>
                <w:lang w:eastAsia="zh-CN"/>
              </w:rPr>
              <w:t>（</w:t>
            </w:r>
            <w:r>
              <w:rPr>
                <w:rFonts w:hint="default"/>
                <w:b w:val="0"/>
                <w:bCs/>
                <w:color w:val="auto"/>
              </w:rPr>
              <w:t>-183℃</w:t>
            </w:r>
            <w:r>
              <w:rPr>
                <w:rFonts w:hint="eastAsia"/>
                <w:b w:val="0"/>
                <w:bCs/>
                <w:color w:val="auto"/>
                <w:lang w:eastAsia="zh-CN"/>
              </w:rPr>
              <w:t>）</w:t>
            </w:r>
          </w:p>
          <w:p w14:paraId="7DA4D2FA">
            <w:pPr>
              <w:pStyle w:val="25"/>
              <w:bidi w:val="0"/>
              <w:jc w:val="left"/>
              <w:rPr>
                <w:rFonts w:hint="default"/>
                <w:b w:val="0"/>
                <w:bCs/>
                <w:color w:val="auto"/>
              </w:rPr>
            </w:pPr>
            <w:r>
              <w:rPr>
                <w:rFonts w:hint="default"/>
                <w:b w:val="0"/>
                <w:bCs/>
                <w:color w:val="auto"/>
              </w:rPr>
              <w:t>相对蒸气密度</w:t>
            </w:r>
            <w:r>
              <w:rPr>
                <w:rFonts w:hint="eastAsia"/>
                <w:b w:val="0"/>
                <w:bCs/>
                <w:color w:val="auto"/>
                <w:lang w:eastAsia="zh-CN"/>
              </w:rPr>
              <w:t>（</w:t>
            </w:r>
            <w:r>
              <w:rPr>
                <w:rFonts w:hint="default"/>
                <w:b w:val="0"/>
                <w:bCs/>
                <w:color w:val="auto"/>
              </w:rPr>
              <w:t>空气=1</w:t>
            </w:r>
            <w:r>
              <w:rPr>
                <w:rFonts w:hint="eastAsia"/>
                <w:b w:val="0"/>
                <w:bCs/>
                <w:color w:val="auto"/>
                <w:lang w:eastAsia="zh-CN"/>
              </w:rPr>
              <w:t>）</w:t>
            </w:r>
            <w:r>
              <w:rPr>
                <w:rFonts w:hint="default"/>
                <w:b w:val="0"/>
                <w:bCs/>
                <w:color w:val="auto"/>
              </w:rPr>
              <w:t>：1.43</w:t>
            </w:r>
          </w:p>
          <w:p w14:paraId="7567E72D">
            <w:pPr>
              <w:pStyle w:val="25"/>
              <w:bidi w:val="0"/>
              <w:jc w:val="left"/>
              <w:rPr>
                <w:rFonts w:hint="default"/>
                <w:b w:val="0"/>
                <w:bCs/>
                <w:color w:val="auto"/>
                <w:lang w:eastAsia="zh-CN"/>
              </w:rPr>
            </w:pPr>
            <w:r>
              <w:rPr>
                <w:rFonts w:hint="default"/>
                <w:b w:val="0"/>
                <w:bCs/>
                <w:color w:val="auto"/>
              </w:rPr>
              <w:t>饱和蒸气压</w:t>
            </w:r>
            <w:r>
              <w:rPr>
                <w:rFonts w:hint="eastAsia"/>
                <w:b w:val="0"/>
                <w:bCs/>
                <w:color w:val="auto"/>
                <w:lang w:eastAsia="zh-CN"/>
              </w:rPr>
              <w:t>（</w:t>
            </w:r>
            <w:r>
              <w:rPr>
                <w:rFonts w:hint="default"/>
                <w:b w:val="0"/>
                <w:bCs/>
                <w:color w:val="auto"/>
              </w:rPr>
              <w:t>kPa</w:t>
            </w:r>
            <w:r>
              <w:rPr>
                <w:rFonts w:hint="eastAsia"/>
                <w:b w:val="0"/>
                <w:bCs/>
                <w:color w:val="auto"/>
                <w:lang w:eastAsia="zh-CN"/>
              </w:rPr>
              <w:t>）</w:t>
            </w:r>
            <w:r>
              <w:rPr>
                <w:rFonts w:hint="default"/>
                <w:b w:val="0"/>
                <w:bCs/>
                <w:color w:val="auto"/>
              </w:rPr>
              <w:t>：506.62</w:t>
            </w:r>
            <w:r>
              <w:rPr>
                <w:rFonts w:hint="eastAsia"/>
                <w:b w:val="0"/>
                <w:bCs/>
                <w:color w:val="auto"/>
                <w:lang w:eastAsia="zh-CN"/>
              </w:rPr>
              <w:t>（</w:t>
            </w:r>
            <w:r>
              <w:rPr>
                <w:rFonts w:hint="default"/>
                <w:b w:val="0"/>
                <w:bCs/>
                <w:color w:val="auto"/>
              </w:rPr>
              <w:t>-164℃</w:t>
            </w:r>
            <w:r>
              <w:rPr>
                <w:rFonts w:hint="eastAsia"/>
                <w:b w:val="0"/>
                <w:bCs/>
                <w:color w:val="auto"/>
                <w:lang w:eastAsia="zh-CN"/>
              </w:rPr>
              <w:t>）</w:t>
            </w:r>
          </w:p>
          <w:p w14:paraId="0CB70545">
            <w:pPr>
              <w:pStyle w:val="25"/>
              <w:bidi w:val="0"/>
              <w:jc w:val="left"/>
              <w:rPr>
                <w:rFonts w:hint="default"/>
                <w:b w:val="0"/>
                <w:bCs/>
                <w:color w:val="auto"/>
              </w:rPr>
            </w:pPr>
            <w:r>
              <w:rPr>
                <w:rFonts w:hint="default"/>
                <w:b w:val="0"/>
                <w:bCs/>
                <w:color w:val="auto"/>
              </w:rPr>
              <w:t>燃烧热</w:t>
            </w:r>
            <w:r>
              <w:rPr>
                <w:rFonts w:hint="eastAsia"/>
                <w:b w:val="0"/>
                <w:bCs/>
                <w:color w:val="auto"/>
                <w:lang w:eastAsia="zh-CN"/>
              </w:rPr>
              <w:t>（</w:t>
            </w:r>
            <w:r>
              <w:rPr>
                <w:rFonts w:hint="default"/>
                <w:b w:val="0"/>
                <w:bCs/>
                <w:color w:val="auto"/>
              </w:rPr>
              <w:t>kJ/mol</w:t>
            </w:r>
            <w:r>
              <w:rPr>
                <w:rFonts w:hint="eastAsia"/>
                <w:b w:val="0"/>
                <w:bCs/>
                <w:color w:val="auto"/>
                <w:lang w:eastAsia="zh-CN"/>
              </w:rPr>
              <w:t>）</w:t>
            </w:r>
            <w:r>
              <w:rPr>
                <w:rFonts w:hint="default"/>
                <w:b w:val="0"/>
                <w:bCs/>
                <w:color w:val="auto"/>
              </w:rPr>
              <w:t>：无意义</w:t>
            </w:r>
          </w:p>
          <w:p w14:paraId="73888C3D">
            <w:pPr>
              <w:pStyle w:val="25"/>
              <w:bidi w:val="0"/>
              <w:jc w:val="left"/>
              <w:rPr>
                <w:rFonts w:hint="default"/>
                <w:b w:val="0"/>
                <w:bCs/>
                <w:color w:val="auto"/>
              </w:rPr>
            </w:pPr>
            <w:r>
              <w:rPr>
                <w:rFonts w:hint="default"/>
                <w:b w:val="0"/>
                <w:bCs/>
                <w:color w:val="auto"/>
              </w:rPr>
              <w:t>临界温度</w:t>
            </w:r>
            <w:r>
              <w:rPr>
                <w:rFonts w:hint="eastAsia"/>
                <w:b w:val="0"/>
                <w:bCs/>
                <w:color w:val="auto"/>
                <w:lang w:eastAsia="zh-CN"/>
              </w:rPr>
              <w:t>（</w:t>
            </w:r>
            <w:r>
              <w:rPr>
                <w:rFonts w:hint="default"/>
                <w:b w:val="0"/>
                <w:bCs/>
                <w:color w:val="auto"/>
              </w:rPr>
              <w:t>℃</w:t>
            </w:r>
            <w:r>
              <w:rPr>
                <w:rFonts w:hint="eastAsia"/>
                <w:b w:val="0"/>
                <w:bCs/>
                <w:color w:val="auto"/>
                <w:lang w:eastAsia="zh-CN"/>
              </w:rPr>
              <w:t>）</w:t>
            </w:r>
            <w:r>
              <w:rPr>
                <w:rFonts w:hint="default"/>
                <w:b w:val="0"/>
                <w:bCs/>
                <w:color w:val="auto"/>
              </w:rPr>
              <w:t>：-118.4</w:t>
            </w:r>
          </w:p>
          <w:p w14:paraId="3ED9EAB4">
            <w:pPr>
              <w:pStyle w:val="25"/>
              <w:bidi w:val="0"/>
              <w:jc w:val="left"/>
              <w:rPr>
                <w:rFonts w:hint="default"/>
                <w:b w:val="0"/>
                <w:bCs/>
                <w:color w:val="auto"/>
              </w:rPr>
            </w:pPr>
            <w:r>
              <w:rPr>
                <w:rFonts w:hint="default"/>
                <w:b w:val="0"/>
                <w:bCs/>
                <w:color w:val="auto"/>
              </w:rPr>
              <w:t>临界压力</w:t>
            </w:r>
            <w:r>
              <w:rPr>
                <w:rFonts w:hint="eastAsia"/>
                <w:b w:val="0"/>
                <w:bCs/>
                <w:color w:val="auto"/>
                <w:lang w:eastAsia="zh-CN"/>
              </w:rPr>
              <w:t>（</w:t>
            </w:r>
            <w:r>
              <w:rPr>
                <w:rFonts w:hint="default"/>
                <w:b w:val="0"/>
                <w:bCs/>
                <w:color w:val="auto"/>
              </w:rPr>
              <w:t>MPa</w:t>
            </w:r>
            <w:r>
              <w:rPr>
                <w:rFonts w:hint="eastAsia"/>
                <w:b w:val="0"/>
                <w:bCs/>
                <w:color w:val="auto"/>
                <w:lang w:eastAsia="zh-CN"/>
              </w:rPr>
              <w:t>）</w:t>
            </w:r>
            <w:r>
              <w:rPr>
                <w:rFonts w:hint="default"/>
                <w:b w:val="0"/>
                <w:bCs/>
                <w:color w:val="auto"/>
              </w:rPr>
              <w:t>：5.08</w:t>
            </w:r>
          </w:p>
          <w:p w14:paraId="670A99B0">
            <w:pPr>
              <w:pStyle w:val="25"/>
              <w:bidi w:val="0"/>
              <w:jc w:val="left"/>
              <w:rPr>
                <w:rFonts w:hint="default"/>
                <w:b w:val="0"/>
                <w:bCs/>
                <w:color w:val="auto"/>
              </w:rPr>
            </w:pPr>
            <w:r>
              <w:rPr>
                <w:rFonts w:hint="default"/>
                <w:b w:val="0"/>
                <w:bCs/>
                <w:color w:val="auto"/>
              </w:rPr>
              <w:t>辛醇/水分配系数的对数值：无资料</w:t>
            </w:r>
          </w:p>
          <w:p w14:paraId="7A318A53">
            <w:pPr>
              <w:pStyle w:val="25"/>
              <w:bidi w:val="0"/>
              <w:jc w:val="left"/>
              <w:rPr>
                <w:rFonts w:hint="default"/>
                <w:b w:val="0"/>
                <w:bCs/>
                <w:color w:val="auto"/>
              </w:rPr>
            </w:pPr>
            <w:r>
              <w:rPr>
                <w:rFonts w:hint="default"/>
                <w:b w:val="0"/>
                <w:bCs/>
                <w:color w:val="auto"/>
              </w:rPr>
              <w:t>溶解性：溶于水、乙醇。</w:t>
            </w:r>
          </w:p>
        </w:tc>
      </w:tr>
      <w:tr w14:paraId="1195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935" w:type="dxa"/>
            <w:noWrap w:val="0"/>
            <w:vAlign w:val="center"/>
          </w:tcPr>
          <w:p w14:paraId="56D9CE6F">
            <w:pPr>
              <w:pStyle w:val="25"/>
              <w:bidi w:val="0"/>
              <w:rPr>
                <w:rFonts w:hint="default"/>
                <w:b w:val="0"/>
                <w:bCs/>
                <w:color w:val="auto"/>
              </w:rPr>
            </w:pPr>
            <w:r>
              <w:rPr>
                <w:rFonts w:hint="default"/>
                <w:b w:val="0"/>
                <w:bCs/>
                <w:color w:val="auto"/>
              </w:rPr>
              <w:t>稳定性和反应活性：</w:t>
            </w:r>
          </w:p>
        </w:tc>
        <w:tc>
          <w:tcPr>
            <w:tcW w:w="7468" w:type="dxa"/>
            <w:noWrap w:val="0"/>
            <w:vAlign w:val="center"/>
          </w:tcPr>
          <w:p w14:paraId="5B8A4008">
            <w:pPr>
              <w:pStyle w:val="25"/>
              <w:bidi w:val="0"/>
              <w:jc w:val="left"/>
              <w:rPr>
                <w:rFonts w:hint="default"/>
                <w:b w:val="0"/>
                <w:bCs/>
                <w:color w:val="auto"/>
              </w:rPr>
            </w:pPr>
            <w:r>
              <w:rPr>
                <w:rFonts w:hint="default"/>
                <w:b w:val="0"/>
                <w:bCs/>
                <w:color w:val="auto"/>
              </w:rPr>
              <w:t>禁忌物：易燃或可燃物、活性金属粉末、乙炔。</w:t>
            </w:r>
          </w:p>
        </w:tc>
      </w:tr>
      <w:tr w14:paraId="4C27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935" w:type="dxa"/>
            <w:noWrap w:val="0"/>
            <w:vAlign w:val="center"/>
          </w:tcPr>
          <w:p w14:paraId="48316236">
            <w:pPr>
              <w:pStyle w:val="25"/>
              <w:bidi w:val="0"/>
              <w:rPr>
                <w:rFonts w:hint="default"/>
                <w:b w:val="0"/>
                <w:bCs/>
                <w:color w:val="auto"/>
              </w:rPr>
            </w:pPr>
            <w:r>
              <w:rPr>
                <w:rFonts w:hint="default"/>
                <w:b w:val="0"/>
                <w:bCs/>
                <w:color w:val="auto"/>
              </w:rPr>
              <w:t>毒理学资料：</w:t>
            </w:r>
          </w:p>
        </w:tc>
        <w:tc>
          <w:tcPr>
            <w:tcW w:w="7468" w:type="dxa"/>
            <w:noWrap w:val="0"/>
            <w:vAlign w:val="center"/>
          </w:tcPr>
          <w:p w14:paraId="442340A3">
            <w:pPr>
              <w:pStyle w:val="25"/>
              <w:bidi w:val="0"/>
              <w:jc w:val="left"/>
              <w:rPr>
                <w:rFonts w:hint="default"/>
                <w:b w:val="0"/>
                <w:bCs/>
                <w:color w:val="auto"/>
              </w:rPr>
            </w:pPr>
            <w:r>
              <w:rPr>
                <w:rFonts w:hint="default"/>
                <w:b w:val="0"/>
                <w:bCs/>
                <w:color w:val="auto"/>
              </w:rPr>
              <w:t>急性毒性</w:t>
            </w:r>
          </w:p>
          <w:p w14:paraId="2452A48D">
            <w:pPr>
              <w:pStyle w:val="25"/>
              <w:bidi w:val="0"/>
              <w:jc w:val="left"/>
              <w:rPr>
                <w:rFonts w:hint="default"/>
                <w:b w:val="0"/>
                <w:bCs/>
                <w:color w:val="auto"/>
              </w:rPr>
            </w:pPr>
            <w:r>
              <w:rPr>
                <w:rFonts w:hint="default"/>
                <w:b w:val="0"/>
                <w:bCs/>
                <w:color w:val="auto"/>
              </w:rPr>
              <w:t>LD50：无资料</w:t>
            </w:r>
          </w:p>
          <w:p w14:paraId="3293475C">
            <w:pPr>
              <w:pStyle w:val="25"/>
              <w:bidi w:val="0"/>
              <w:jc w:val="left"/>
              <w:rPr>
                <w:rFonts w:hint="default"/>
                <w:b w:val="0"/>
                <w:bCs/>
                <w:color w:val="auto"/>
              </w:rPr>
            </w:pPr>
            <w:r>
              <w:rPr>
                <w:rFonts w:hint="default"/>
                <w:b w:val="0"/>
                <w:bCs/>
                <w:color w:val="auto"/>
              </w:rPr>
              <w:t>LC50：无资料</w:t>
            </w:r>
          </w:p>
        </w:tc>
      </w:tr>
      <w:tr w14:paraId="4378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5" w:type="dxa"/>
            <w:noWrap w:val="0"/>
            <w:vAlign w:val="center"/>
          </w:tcPr>
          <w:p w14:paraId="3F7A20C3">
            <w:pPr>
              <w:pStyle w:val="25"/>
              <w:bidi w:val="0"/>
              <w:rPr>
                <w:rFonts w:hint="default"/>
                <w:b w:val="0"/>
                <w:bCs/>
                <w:color w:val="auto"/>
              </w:rPr>
            </w:pPr>
            <w:r>
              <w:rPr>
                <w:rFonts w:hint="default"/>
                <w:b w:val="0"/>
                <w:bCs/>
                <w:color w:val="auto"/>
              </w:rPr>
              <w:t>环境影响：</w:t>
            </w:r>
          </w:p>
        </w:tc>
        <w:tc>
          <w:tcPr>
            <w:tcW w:w="7468" w:type="dxa"/>
            <w:noWrap w:val="0"/>
            <w:vAlign w:val="center"/>
          </w:tcPr>
          <w:p w14:paraId="6575BDAF">
            <w:pPr>
              <w:pStyle w:val="25"/>
              <w:bidi w:val="0"/>
              <w:jc w:val="left"/>
              <w:rPr>
                <w:rFonts w:hint="default"/>
                <w:b w:val="0"/>
                <w:bCs/>
                <w:color w:val="auto"/>
              </w:rPr>
            </w:pPr>
            <w:r>
              <w:rPr>
                <w:rFonts w:hint="default"/>
                <w:b w:val="0"/>
                <w:bCs/>
                <w:color w:val="auto"/>
              </w:rPr>
              <w:t>对环境无害。</w:t>
            </w:r>
          </w:p>
        </w:tc>
      </w:tr>
      <w:tr w14:paraId="62A0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935" w:type="dxa"/>
            <w:noWrap w:val="0"/>
            <w:vAlign w:val="center"/>
          </w:tcPr>
          <w:p w14:paraId="2F858429">
            <w:pPr>
              <w:pStyle w:val="25"/>
              <w:bidi w:val="0"/>
              <w:rPr>
                <w:rFonts w:hint="default"/>
                <w:b w:val="0"/>
                <w:bCs/>
                <w:color w:val="auto"/>
              </w:rPr>
            </w:pPr>
            <w:r>
              <w:rPr>
                <w:rFonts w:hint="default"/>
                <w:b w:val="0"/>
                <w:bCs/>
                <w:color w:val="auto"/>
              </w:rPr>
              <w:t>废弃：</w:t>
            </w:r>
          </w:p>
        </w:tc>
        <w:tc>
          <w:tcPr>
            <w:tcW w:w="7468" w:type="dxa"/>
            <w:noWrap w:val="0"/>
            <w:vAlign w:val="center"/>
          </w:tcPr>
          <w:p w14:paraId="3046A727">
            <w:pPr>
              <w:pStyle w:val="25"/>
              <w:bidi w:val="0"/>
              <w:jc w:val="left"/>
              <w:rPr>
                <w:rFonts w:hint="default"/>
                <w:b w:val="0"/>
                <w:bCs/>
                <w:color w:val="auto"/>
              </w:rPr>
            </w:pPr>
            <w:r>
              <w:rPr>
                <w:rFonts w:hint="default"/>
                <w:b w:val="0"/>
                <w:bCs/>
                <w:color w:val="auto"/>
              </w:rPr>
              <w:t>处置前应参阅国家和地方有关法规。废气直接排入大气。</w:t>
            </w:r>
          </w:p>
        </w:tc>
      </w:tr>
      <w:tr w14:paraId="2CF8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403" w:type="dxa"/>
            <w:gridSpan w:val="2"/>
            <w:noWrap w:val="0"/>
            <w:vAlign w:val="center"/>
          </w:tcPr>
          <w:p w14:paraId="49015DB5">
            <w:pPr>
              <w:pStyle w:val="25"/>
              <w:bidi w:val="0"/>
              <w:jc w:val="center"/>
              <w:rPr>
                <w:rFonts w:hint="default"/>
                <w:b w:val="0"/>
                <w:bCs/>
                <w:color w:val="auto"/>
              </w:rPr>
            </w:pPr>
            <w:r>
              <w:rPr>
                <w:rFonts w:hint="default"/>
                <w:b w:val="0"/>
                <w:bCs/>
                <w:color w:val="auto"/>
              </w:rPr>
              <w:t>其他信息</w:t>
            </w:r>
          </w:p>
        </w:tc>
      </w:tr>
      <w:tr w14:paraId="01EC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935" w:type="dxa"/>
            <w:noWrap w:val="0"/>
            <w:vAlign w:val="center"/>
          </w:tcPr>
          <w:p w14:paraId="1D9BB17C">
            <w:pPr>
              <w:pStyle w:val="25"/>
              <w:bidi w:val="0"/>
              <w:rPr>
                <w:rFonts w:hint="default"/>
                <w:b w:val="0"/>
                <w:bCs/>
                <w:color w:val="auto"/>
              </w:rPr>
            </w:pPr>
            <w:r>
              <w:rPr>
                <w:rFonts w:hint="default"/>
                <w:b w:val="0"/>
                <w:bCs/>
                <w:color w:val="auto"/>
              </w:rPr>
              <w:t>包装分类：</w:t>
            </w:r>
          </w:p>
        </w:tc>
        <w:tc>
          <w:tcPr>
            <w:tcW w:w="7468" w:type="dxa"/>
            <w:noWrap w:val="0"/>
            <w:vAlign w:val="center"/>
          </w:tcPr>
          <w:p w14:paraId="5B09BC2D">
            <w:pPr>
              <w:pStyle w:val="25"/>
              <w:bidi w:val="0"/>
              <w:jc w:val="left"/>
              <w:rPr>
                <w:rFonts w:hint="default"/>
                <w:b w:val="0"/>
                <w:bCs/>
                <w:color w:val="auto"/>
              </w:rPr>
            </w:pPr>
            <w:r>
              <w:rPr>
                <w:rFonts w:hint="default"/>
                <w:b w:val="0"/>
                <w:bCs/>
                <w:color w:val="auto"/>
              </w:rPr>
              <w:t>053</w:t>
            </w:r>
          </w:p>
        </w:tc>
      </w:tr>
      <w:tr w14:paraId="50B4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935" w:type="dxa"/>
            <w:noWrap w:val="0"/>
            <w:vAlign w:val="center"/>
          </w:tcPr>
          <w:p w14:paraId="711B6FFB">
            <w:pPr>
              <w:pStyle w:val="25"/>
              <w:bidi w:val="0"/>
              <w:rPr>
                <w:rFonts w:hint="default"/>
                <w:b w:val="0"/>
                <w:bCs/>
                <w:color w:val="auto"/>
              </w:rPr>
            </w:pPr>
            <w:r>
              <w:rPr>
                <w:rFonts w:hint="default"/>
                <w:b w:val="0"/>
                <w:bCs/>
                <w:color w:val="auto"/>
              </w:rPr>
              <w:t>包装方法：</w:t>
            </w:r>
          </w:p>
        </w:tc>
        <w:tc>
          <w:tcPr>
            <w:tcW w:w="7468" w:type="dxa"/>
            <w:noWrap w:val="0"/>
            <w:vAlign w:val="center"/>
          </w:tcPr>
          <w:p w14:paraId="6865F72E">
            <w:pPr>
              <w:pStyle w:val="25"/>
              <w:bidi w:val="0"/>
              <w:jc w:val="left"/>
              <w:rPr>
                <w:rFonts w:hint="default"/>
                <w:b w:val="0"/>
                <w:bCs/>
                <w:color w:val="auto"/>
              </w:rPr>
            </w:pPr>
            <w:r>
              <w:rPr>
                <w:rFonts w:hint="default"/>
                <w:b w:val="0"/>
                <w:bCs/>
                <w:color w:val="auto"/>
              </w:rPr>
              <w:t>钢质气瓶。</w:t>
            </w:r>
          </w:p>
        </w:tc>
      </w:tr>
    </w:tbl>
    <w:p w14:paraId="7F0777AA">
      <w:pPr>
        <w:keepNext w:val="0"/>
        <w:keepLines w:val="0"/>
        <w:pageBreakBefore w:val="0"/>
        <w:widowControl w:val="0"/>
        <w:kinsoku/>
        <w:wordWrap/>
        <w:overflowPunct/>
        <w:topLinePunct w:val="0"/>
        <w:autoSpaceDE/>
        <w:autoSpaceDN/>
        <w:bidi w:val="0"/>
        <w:adjustRightInd/>
        <w:snapToGrid/>
        <w:textAlignment w:val="auto"/>
        <w:outlineLvl w:val="9"/>
        <w:rPr>
          <w:rFonts w:hint="default" w:eastAsia="宋体"/>
          <w:b w:val="0"/>
          <w:bCs/>
          <w:color w:val="auto"/>
          <w:lang w:val="en-US" w:eastAsia="zh-CN"/>
        </w:rPr>
      </w:pPr>
      <w:r>
        <w:rPr>
          <w:rFonts w:hint="eastAsia"/>
          <w:b w:val="0"/>
          <w:bCs/>
          <w:color w:val="auto"/>
          <w:lang w:val="en-US" w:eastAsia="zh-CN"/>
        </w:rPr>
        <w:t>4、</w:t>
      </w:r>
      <w:r>
        <w:rPr>
          <w:rFonts w:hint="eastAsia" w:ascii="Times New Roman" w:hAnsi="Times New Roman" w:eastAsia="宋体"/>
          <w:b w:val="0"/>
          <w:bCs/>
          <w:color w:val="auto"/>
          <w:lang w:val="en-US" w:eastAsia="zh-CN"/>
        </w:rPr>
        <w:t>润滑油</w:t>
      </w:r>
    </w:p>
    <w:p w14:paraId="25C96977">
      <w:pPr>
        <w:pStyle w:val="24"/>
        <w:bidi w:val="0"/>
        <w:rPr>
          <w:rFonts w:hint="eastAsia"/>
          <w:b w:val="0"/>
          <w:bCs/>
          <w:color w:val="auto"/>
        </w:rPr>
      </w:pPr>
      <w:r>
        <w:rPr>
          <w:rFonts w:hint="eastAsia"/>
          <w:b w:val="0"/>
          <w:bCs/>
          <w:color w:val="auto"/>
        </w:rPr>
        <w:t>表3.</w:t>
      </w:r>
      <w:r>
        <w:rPr>
          <w:rFonts w:hint="eastAsia"/>
          <w:b w:val="0"/>
          <w:bCs/>
          <w:color w:val="auto"/>
          <w:lang w:val="en-US" w:eastAsia="zh-CN"/>
        </w:rPr>
        <w:t>2</w:t>
      </w:r>
      <w:r>
        <w:rPr>
          <w:rFonts w:hint="eastAsia"/>
          <w:b w:val="0"/>
          <w:bCs/>
          <w:color w:val="auto"/>
        </w:rPr>
        <w:t>-</w:t>
      </w:r>
      <w:r>
        <w:rPr>
          <w:rFonts w:hint="eastAsia"/>
          <w:b w:val="0"/>
          <w:bCs/>
          <w:color w:val="auto"/>
          <w:lang w:val="en-US" w:eastAsia="zh-CN"/>
        </w:rPr>
        <w:t>4</w:t>
      </w:r>
      <w:r>
        <w:rPr>
          <w:rFonts w:hint="eastAsia"/>
          <w:b w:val="0"/>
          <w:bCs/>
          <w:color w:val="auto"/>
        </w:rPr>
        <w:t xml:space="preserve">  润滑油理化特性表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8"/>
        <w:gridCol w:w="342"/>
        <w:gridCol w:w="683"/>
        <w:gridCol w:w="6408"/>
      </w:tblGrid>
      <w:tr w14:paraId="356ED470">
        <w:tblPrEx>
          <w:tblCellMar>
            <w:top w:w="0" w:type="dxa"/>
            <w:left w:w="108" w:type="dxa"/>
            <w:bottom w:w="0" w:type="dxa"/>
            <w:right w:w="108" w:type="dxa"/>
          </w:tblCellMar>
        </w:tblPrEx>
        <w:trPr>
          <w:trHeight w:val="144" w:hRule="atLeast"/>
          <w:jc w:val="center"/>
        </w:trPr>
        <w:tc>
          <w:tcPr>
            <w:tcW w:w="5000" w:type="pct"/>
            <w:gridSpan w:val="4"/>
            <w:noWrap w:val="0"/>
            <w:vAlign w:val="center"/>
          </w:tcPr>
          <w:p w14:paraId="0FBB4162">
            <w:pPr>
              <w:pStyle w:val="25"/>
              <w:bidi w:val="0"/>
              <w:rPr>
                <w:b w:val="0"/>
                <w:bCs/>
                <w:color w:val="auto"/>
                <w:highlight w:val="none"/>
              </w:rPr>
            </w:pPr>
            <w:r>
              <w:rPr>
                <w:b w:val="0"/>
                <w:bCs/>
                <w:color w:val="auto"/>
                <w:highlight w:val="none"/>
              </w:rPr>
              <w:t>化学名称</w:t>
            </w:r>
          </w:p>
        </w:tc>
      </w:tr>
      <w:tr w14:paraId="368E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3B2504D6">
            <w:pPr>
              <w:pStyle w:val="25"/>
              <w:bidi w:val="0"/>
              <w:rPr>
                <w:b w:val="0"/>
                <w:bCs/>
                <w:color w:val="auto"/>
                <w:highlight w:val="none"/>
              </w:rPr>
            </w:pPr>
            <w:r>
              <w:rPr>
                <w:b w:val="0"/>
                <w:bCs/>
                <w:color w:val="auto"/>
                <w:highlight w:val="none"/>
              </w:rPr>
              <w:t>中文名称：</w:t>
            </w:r>
          </w:p>
        </w:tc>
        <w:tc>
          <w:tcPr>
            <w:tcW w:w="3952" w:type="pct"/>
            <w:gridSpan w:val="3"/>
            <w:noWrap w:val="0"/>
            <w:vAlign w:val="center"/>
          </w:tcPr>
          <w:p w14:paraId="02759EB2">
            <w:pPr>
              <w:pStyle w:val="25"/>
              <w:bidi w:val="0"/>
              <w:jc w:val="both"/>
              <w:rPr>
                <w:b w:val="0"/>
                <w:bCs/>
                <w:color w:val="auto"/>
                <w:highlight w:val="none"/>
              </w:rPr>
            </w:pPr>
            <w:r>
              <w:rPr>
                <w:b w:val="0"/>
                <w:bCs/>
                <w:color w:val="auto"/>
                <w:highlight w:val="none"/>
              </w:rPr>
              <w:t>润滑油；机油</w:t>
            </w:r>
          </w:p>
        </w:tc>
      </w:tr>
      <w:tr w14:paraId="5615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096450BA">
            <w:pPr>
              <w:pStyle w:val="25"/>
              <w:bidi w:val="0"/>
              <w:rPr>
                <w:b w:val="0"/>
                <w:bCs/>
                <w:color w:val="auto"/>
                <w:highlight w:val="none"/>
              </w:rPr>
            </w:pPr>
            <w:r>
              <w:rPr>
                <w:b w:val="0"/>
                <w:bCs/>
                <w:color w:val="auto"/>
                <w:highlight w:val="none"/>
              </w:rPr>
              <w:t>英文名称：</w:t>
            </w:r>
          </w:p>
        </w:tc>
        <w:tc>
          <w:tcPr>
            <w:tcW w:w="3952" w:type="pct"/>
            <w:gridSpan w:val="3"/>
            <w:noWrap w:val="0"/>
            <w:vAlign w:val="center"/>
          </w:tcPr>
          <w:p w14:paraId="62541E96">
            <w:pPr>
              <w:pStyle w:val="25"/>
              <w:bidi w:val="0"/>
              <w:jc w:val="both"/>
              <w:rPr>
                <w:b w:val="0"/>
                <w:bCs/>
                <w:color w:val="auto"/>
                <w:highlight w:val="none"/>
              </w:rPr>
            </w:pPr>
            <w:r>
              <w:rPr>
                <w:b w:val="0"/>
                <w:bCs/>
                <w:color w:val="auto"/>
                <w:highlight w:val="none"/>
              </w:rPr>
              <w:t>lubricating oil；Lube oil</w:t>
            </w:r>
          </w:p>
        </w:tc>
      </w:tr>
      <w:tr w14:paraId="4248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301A594D">
            <w:pPr>
              <w:pStyle w:val="25"/>
              <w:bidi w:val="0"/>
              <w:rPr>
                <w:b w:val="0"/>
                <w:bCs/>
                <w:color w:val="auto"/>
                <w:highlight w:val="none"/>
              </w:rPr>
            </w:pPr>
            <w:r>
              <w:rPr>
                <w:b w:val="0"/>
                <w:bCs/>
                <w:color w:val="auto"/>
                <w:highlight w:val="none"/>
              </w:rPr>
              <w:t>分子量：</w:t>
            </w:r>
          </w:p>
        </w:tc>
        <w:tc>
          <w:tcPr>
            <w:tcW w:w="3952" w:type="pct"/>
            <w:gridSpan w:val="3"/>
            <w:noWrap w:val="0"/>
            <w:vAlign w:val="center"/>
          </w:tcPr>
          <w:p w14:paraId="5B837296">
            <w:pPr>
              <w:pStyle w:val="25"/>
              <w:bidi w:val="0"/>
              <w:jc w:val="both"/>
              <w:rPr>
                <w:b w:val="0"/>
                <w:bCs/>
                <w:color w:val="auto"/>
                <w:highlight w:val="none"/>
              </w:rPr>
            </w:pPr>
            <w:r>
              <w:rPr>
                <w:b w:val="0"/>
                <w:bCs/>
                <w:color w:val="auto"/>
                <w:highlight w:val="none"/>
              </w:rPr>
              <w:t>230～500</w:t>
            </w:r>
          </w:p>
        </w:tc>
      </w:tr>
      <w:tr w14:paraId="7322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000" w:type="pct"/>
            <w:gridSpan w:val="4"/>
            <w:noWrap w:val="0"/>
            <w:vAlign w:val="center"/>
          </w:tcPr>
          <w:p w14:paraId="00A171B5">
            <w:pPr>
              <w:pStyle w:val="25"/>
              <w:bidi w:val="0"/>
              <w:rPr>
                <w:b w:val="0"/>
                <w:bCs/>
                <w:color w:val="auto"/>
                <w:highlight w:val="none"/>
              </w:rPr>
            </w:pPr>
            <w:r>
              <w:rPr>
                <w:b w:val="0"/>
                <w:bCs/>
                <w:color w:val="auto"/>
                <w:highlight w:val="none"/>
              </w:rPr>
              <w:t>危险性描述</w:t>
            </w:r>
          </w:p>
        </w:tc>
      </w:tr>
      <w:tr w14:paraId="71DE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2173F739">
            <w:pPr>
              <w:pStyle w:val="25"/>
              <w:bidi w:val="0"/>
              <w:rPr>
                <w:b w:val="0"/>
                <w:bCs/>
                <w:color w:val="auto"/>
                <w:highlight w:val="none"/>
              </w:rPr>
            </w:pPr>
            <w:r>
              <w:rPr>
                <w:b w:val="0"/>
                <w:bCs/>
                <w:color w:val="auto"/>
                <w:highlight w:val="none"/>
              </w:rPr>
              <w:t>健康危害：</w:t>
            </w:r>
          </w:p>
        </w:tc>
        <w:tc>
          <w:tcPr>
            <w:tcW w:w="3952" w:type="pct"/>
            <w:gridSpan w:val="3"/>
            <w:noWrap w:val="0"/>
            <w:vAlign w:val="center"/>
          </w:tcPr>
          <w:p w14:paraId="7C10EEB6">
            <w:pPr>
              <w:pStyle w:val="25"/>
              <w:bidi w:val="0"/>
              <w:jc w:val="both"/>
              <w:rPr>
                <w:b w:val="0"/>
                <w:bCs/>
                <w:color w:val="auto"/>
                <w:highlight w:val="none"/>
              </w:rPr>
            </w:pPr>
            <w:r>
              <w:rPr>
                <w:b w:val="0"/>
                <w:bCs/>
                <w:color w:val="auto"/>
                <w:highlight w:val="none"/>
              </w:rPr>
              <w:t>急性吸入，可出现乏力、头晕、头痛、恶心，严重者可引起油脂性肺炎。慢性接触者，暴露部位可发生油性痤疮和接触性皮炎。可引起神经衰弱综合征，呼吸道和眼刺激症状及慢性油脂性肺炎。有资料报道，接触石油润滑油类的工人，有致癌的病例报告。 </w:t>
            </w:r>
          </w:p>
        </w:tc>
      </w:tr>
      <w:tr w14:paraId="5251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38F08849">
            <w:pPr>
              <w:pStyle w:val="25"/>
              <w:bidi w:val="0"/>
              <w:rPr>
                <w:b w:val="0"/>
                <w:bCs/>
                <w:color w:val="auto"/>
                <w:highlight w:val="none"/>
              </w:rPr>
            </w:pPr>
            <w:r>
              <w:rPr>
                <w:b w:val="0"/>
                <w:bCs/>
                <w:color w:val="auto"/>
                <w:highlight w:val="none"/>
              </w:rPr>
              <w:t>燃爆危险：</w:t>
            </w:r>
          </w:p>
        </w:tc>
        <w:tc>
          <w:tcPr>
            <w:tcW w:w="3952" w:type="pct"/>
            <w:gridSpan w:val="3"/>
            <w:noWrap w:val="0"/>
            <w:vAlign w:val="center"/>
          </w:tcPr>
          <w:p w14:paraId="402CB8EA">
            <w:pPr>
              <w:pStyle w:val="25"/>
              <w:bidi w:val="0"/>
              <w:jc w:val="both"/>
              <w:rPr>
                <w:b w:val="0"/>
                <w:bCs/>
                <w:color w:val="auto"/>
                <w:highlight w:val="none"/>
              </w:rPr>
            </w:pPr>
            <w:r>
              <w:rPr>
                <w:b w:val="0"/>
                <w:bCs/>
                <w:color w:val="auto"/>
                <w:highlight w:val="none"/>
              </w:rPr>
              <w:t>本品可燃，具刺激性。</w:t>
            </w:r>
          </w:p>
        </w:tc>
      </w:tr>
      <w:tr w14:paraId="5C5D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000" w:type="pct"/>
            <w:gridSpan w:val="4"/>
            <w:noWrap w:val="0"/>
            <w:vAlign w:val="center"/>
          </w:tcPr>
          <w:p w14:paraId="5E640D89">
            <w:pPr>
              <w:pStyle w:val="25"/>
              <w:bidi w:val="0"/>
              <w:rPr>
                <w:b w:val="0"/>
                <w:bCs/>
                <w:color w:val="auto"/>
                <w:highlight w:val="none"/>
              </w:rPr>
            </w:pPr>
            <w:r>
              <w:rPr>
                <w:b w:val="0"/>
                <w:bCs/>
                <w:color w:val="auto"/>
                <w:highlight w:val="none"/>
              </w:rPr>
              <w:t>急救措施</w:t>
            </w:r>
          </w:p>
        </w:tc>
      </w:tr>
      <w:tr w14:paraId="3142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351DBCDA">
            <w:pPr>
              <w:pStyle w:val="25"/>
              <w:bidi w:val="0"/>
              <w:rPr>
                <w:b w:val="0"/>
                <w:bCs/>
                <w:color w:val="auto"/>
                <w:highlight w:val="none"/>
              </w:rPr>
            </w:pPr>
            <w:r>
              <w:rPr>
                <w:b w:val="0"/>
                <w:bCs/>
                <w:color w:val="auto"/>
                <w:highlight w:val="none"/>
              </w:rPr>
              <w:t>皮肤接触：</w:t>
            </w:r>
          </w:p>
        </w:tc>
        <w:tc>
          <w:tcPr>
            <w:tcW w:w="3952" w:type="pct"/>
            <w:gridSpan w:val="3"/>
            <w:noWrap w:val="0"/>
            <w:vAlign w:val="center"/>
          </w:tcPr>
          <w:p w14:paraId="705DFB36">
            <w:pPr>
              <w:pStyle w:val="25"/>
              <w:bidi w:val="0"/>
              <w:jc w:val="both"/>
              <w:rPr>
                <w:b w:val="0"/>
                <w:bCs/>
                <w:color w:val="auto"/>
                <w:highlight w:val="none"/>
              </w:rPr>
            </w:pPr>
            <w:r>
              <w:rPr>
                <w:b w:val="0"/>
                <w:bCs/>
                <w:color w:val="auto"/>
                <w:highlight w:val="none"/>
              </w:rPr>
              <w:t>脱去污染的衣着，用大量流动清水冲洗。就医。</w:t>
            </w:r>
          </w:p>
        </w:tc>
      </w:tr>
      <w:tr w14:paraId="4D12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22533186">
            <w:pPr>
              <w:pStyle w:val="25"/>
              <w:bidi w:val="0"/>
              <w:rPr>
                <w:b w:val="0"/>
                <w:bCs/>
                <w:color w:val="auto"/>
                <w:highlight w:val="none"/>
              </w:rPr>
            </w:pPr>
            <w:r>
              <w:rPr>
                <w:b w:val="0"/>
                <w:bCs/>
                <w:color w:val="auto"/>
                <w:highlight w:val="none"/>
              </w:rPr>
              <w:t>眼接触：</w:t>
            </w:r>
          </w:p>
        </w:tc>
        <w:tc>
          <w:tcPr>
            <w:tcW w:w="3952" w:type="pct"/>
            <w:gridSpan w:val="3"/>
            <w:noWrap w:val="0"/>
            <w:vAlign w:val="center"/>
          </w:tcPr>
          <w:p w14:paraId="3C62A28B">
            <w:pPr>
              <w:pStyle w:val="25"/>
              <w:bidi w:val="0"/>
              <w:jc w:val="both"/>
              <w:rPr>
                <w:b w:val="0"/>
                <w:bCs/>
                <w:color w:val="auto"/>
                <w:highlight w:val="none"/>
              </w:rPr>
            </w:pPr>
            <w:r>
              <w:rPr>
                <w:b w:val="0"/>
                <w:bCs/>
                <w:color w:val="auto"/>
                <w:highlight w:val="none"/>
              </w:rPr>
              <w:t>提起眼睑，用流动清水或生理盐水冲洗。就医。</w:t>
            </w:r>
          </w:p>
        </w:tc>
      </w:tr>
      <w:tr w14:paraId="0394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4A62A6BE">
            <w:pPr>
              <w:pStyle w:val="25"/>
              <w:bidi w:val="0"/>
              <w:rPr>
                <w:b w:val="0"/>
                <w:bCs/>
                <w:color w:val="auto"/>
                <w:highlight w:val="none"/>
              </w:rPr>
            </w:pPr>
            <w:r>
              <w:rPr>
                <w:b w:val="0"/>
                <w:bCs/>
                <w:color w:val="auto"/>
                <w:highlight w:val="none"/>
              </w:rPr>
              <w:t>吸入：</w:t>
            </w:r>
          </w:p>
        </w:tc>
        <w:tc>
          <w:tcPr>
            <w:tcW w:w="3952" w:type="pct"/>
            <w:gridSpan w:val="3"/>
            <w:noWrap w:val="0"/>
            <w:vAlign w:val="center"/>
          </w:tcPr>
          <w:p w14:paraId="12AFB860">
            <w:pPr>
              <w:pStyle w:val="25"/>
              <w:bidi w:val="0"/>
              <w:jc w:val="both"/>
              <w:rPr>
                <w:b w:val="0"/>
                <w:bCs/>
                <w:color w:val="auto"/>
                <w:highlight w:val="none"/>
              </w:rPr>
            </w:pPr>
            <w:r>
              <w:rPr>
                <w:b w:val="0"/>
                <w:bCs/>
                <w:color w:val="auto"/>
                <w:highlight w:val="none"/>
              </w:rPr>
              <w:t>迅速脱离现场至空气新鲜处。保持呼吸道通畅。如呼吸困难，给输氧。如呼吸停止，立即进行人工呼吸。就医。</w:t>
            </w:r>
          </w:p>
        </w:tc>
      </w:tr>
      <w:tr w14:paraId="78D2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4A74D3B9">
            <w:pPr>
              <w:pStyle w:val="25"/>
              <w:bidi w:val="0"/>
              <w:rPr>
                <w:b w:val="0"/>
                <w:bCs/>
                <w:color w:val="auto"/>
                <w:highlight w:val="none"/>
              </w:rPr>
            </w:pPr>
            <w:r>
              <w:rPr>
                <w:b w:val="0"/>
                <w:bCs/>
                <w:color w:val="auto"/>
                <w:highlight w:val="none"/>
              </w:rPr>
              <w:t>食入：</w:t>
            </w:r>
          </w:p>
        </w:tc>
        <w:tc>
          <w:tcPr>
            <w:tcW w:w="3952" w:type="pct"/>
            <w:gridSpan w:val="3"/>
            <w:noWrap w:val="0"/>
            <w:vAlign w:val="center"/>
          </w:tcPr>
          <w:p w14:paraId="7647E7D8">
            <w:pPr>
              <w:pStyle w:val="25"/>
              <w:bidi w:val="0"/>
              <w:jc w:val="both"/>
              <w:rPr>
                <w:b w:val="0"/>
                <w:bCs/>
                <w:color w:val="auto"/>
                <w:highlight w:val="none"/>
              </w:rPr>
            </w:pPr>
            <w:r>
              <w:rPr>
                <w:b w:val="0"/>
                <w:bCs/>
                <w:color w:val="auto"/>
                <w:highlight w:val="none"/>
              </w:rPr>
              <w:t>饮足量温水，催吐。就医。</w:t>
            </w:r>
          </w:p>
        </w:tc>
      </w:tr>
      <w:tr w14:paraId="7705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000" w:type="pct"/>
            <w:gridSpan w:val="4"/>
            <w:noWrap w:val="0"/>
            <w:vAlign w:val="center"/>
          </w:tcPr>
          <w:p w14:paraId="209E7928">
            <w:pPr>
              <w:pStyle w:val="25"/>
              <w:bidi w:val="0"/>
              <w:rPr>
                <w:b w:val="0"/>
                <w:bCs/>
                <w:color w:val="auto"/>
                <w:highlight w:val="none"/>
              </w:rPr>
            </w:pPr>
            <w:r>
              <w:rPr>
                <w:b w:val="0"/>
                <w:bCs/>
                <w:color w:val="auto"/>
                <w:highlight w:val="none"/>
              </w:rPr>
              <w:t>消防措施</w:t>
            </w:r>
          </w:p>
        </w:tc>
      </w:tr>
      <w:tr w14:paraId="5AC2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4A66DCCC">
            <w:pPr>
              <w:pStyle w:val="25"/>
              <w:bidi w:val="0"/>
              <w:rPr>
                <w:b w:val="0"/>
                <w:bCs/>
                <w:color w:val="auto"/>
                <w:highlight w:val="none"/>
              </w:rPr>
            </w:pPr>
            <w:r>
              <w:rPr>
                <w:b w:val="0"/>
                <w:bCs/>
                <w:color w:val="auto"/>
                <w:highlight w:val="none"/>
              </w:rPr>
              <w:t>危险特性：</w:t>
            </w:r>
          </w:p>
        </w:tc>
        <w:tc>
          <w:tcPr>
            <w:tcW w:w="3952" w:type="pct"/>
            <w:gridSpan w:val="3"/>
            <w:noWrap w:val="0"/>
            <w:vAlign w:val="center"/>
          </w:tcPr>
          <w:p w14:paraId="11FFEA07">
            <w:pPr>
              <w:pStyle w:val="25"/>
              <w:bidi w:val="0"/>
              <w:jc w:val="both"/>
              <w:rPr>
                <w:b w:val="0"/>
                <w:bCs/>
                <w:color w:val="auto"/>
                <w:highlight w:val="none"/>
              </w:rPr>
            </w:pPr>
            <w:r>
              <w:rPr>
                <w:b w:val="0"/>
                <w:bCs/>
                <w:color w:val="auto"/>
                <w:highlight w:val="none"/>
              </w:rPr>
              <w:t>遇明火、高热可燃。</w:t>
            </w:r>
          </w:p>
        </w:tc>
      </w:tr>
      <w:tr w14:paraId="4078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28F513B3">
            <w:pPr>
              <w:pStyle w:val="25"/>
              <w:bidi w:val="0"/>
              <w:rPr>
                <w:b w:val="0"/>
                <w:bCs/>
                <w:color w:val="auto"/>
                <w:highlight w:val="none"/>
              </w:rPr>
            </w:pPr>
            <w:r>
              <w:rPr>
                <w:b w:val="0"/>
                <w:bCs/>
                <w:color w:val="auto"/>
                <w:highlight w:val="none"/>
              </w:rPr>
              <w:t>有害燃烧产物：</w:t>
            </w:r>
          </w:p>
        </w:tc>
        <w:tc>
          <w:tcPr>
            <w:tcW w:w="3952" w:type="pct"/>
            <w:gridSpan w:val="3"/>
            <w:noWrap w:val="0"/>
            <w:vAlign w:val="center"/>
          </w:tcPr>
          <w:p w14:paraId="6E648B73">
            <w:pPr>
              <w:pStyle w:val="25"/>
              <w:bidi w:val="0"/>
              <w:jc w:val="both"/>
              <w:rPr>
                <w:b w:val="0"/>
                <w:bCs/>
                <w:color w:val="auto"/>
                <w:highlight w:val="none"/>
              </w:rPr>
            </w:pPr>
            <w:r>
              <w:rPr>
                <w:b w:val="0"/>
                <w:bCs/>
                <w:color w:val="auto"/>
                <w:highlight w:val="none"/>
              </w:rPr>
              <w:t>一氧化碳、二氧化碳。</w:t>
            </w:r>
          </w:p>
        </w:tc>
      </w:tr>
      <w:tr w14:paraId="43C4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5C071D70">
            <w:pPr>
              <w:pStyle w:val="25"/>
              <w:bidi w:val="0"/>
              <w:rPr>
                <w:b w:val="0"/>
                <w:bCs/>
                <w:color w:val="auto"/>
                <w:highlight w:val="none"/>
              </w:rPr>
            </w:pPr>
            <w:r>
              <w:rPr>
                <w:b w:val="0"/>
                <w:bCs/>
                <w:color w:val="auto"/>
                <w:highlight w:val="none"/>
              </w:rPr>
              <w:t>灭火方法：</w:t>
            </w:r>
          </w:p>
        </w:tc>
        <w:tc>
          <w:tcPr>
            <w:tcW w:w="3952" w:type="pct"/>
            <w:gridSpan w:val="3"/>
            <w:noWrap w:val="0"/>
            <w:vAlign w:val="center"/>
          </w:tcPr>
          <w:p w14:paraId="0BA9FD77">
            <w:pPr>
              <w:pStyle w:val="25"/>
              <w:bidi w:val="0"/>
              <w:jc w:val="both"/>
              <w:rPr>
                <w:b w:val="0"/>
                <w:bCs/>
                <w:color w:val="auto"/>
                <w:highlight w:val="none"/>
              </w:rPr>
            </w:pPr>
            <w:r>
              <w:rPr>
                <w:b w:val="0"/>
                <w:bCs/>
                <w:color w:val="auto"/>
                <w:highlight w:val="none"/>
              </w:rPr>
              <w:t>消防人员须佩戴防毒面具、穿全身消防服，在上风向灭火。尽可能将容器从火场移至空旷处。喷水保持火场容器冷却，直至灭火结束。处在火场中的容器若已变色或从安全泄压装置中产生声音，必须马上撤离。灭火剂：雾状水、泡沫、干粉、二氧化碳、砂土。</w:t>
            </w:r>
          </w:p>
        </w:tc>
      </w:tr>
      <w:tr w14:paraId="39F0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000" w:type="pct"/>
            <w:gridSpan w:val="4"/>
            <w:noWrap w:val="0"/>
            <w:vAlign w:val="center"/>
          </w:tcPr>
          <w:p w14:paraId="067CDD96">
            <w:pPr>
              <w:pStyle w:val="25"/>
              <w:bidi w:val="0"/>
              <w:rPr>
                <w:b w:val="0"/>
                <w:bCs/>
                <w:color w:val="auto"/>
                <w:highlight w:val="none"/>
              </w:rPr>
            </w:pPr>
            <w:r>
              <w:rPr>
                <w:b w:val="0"/>
                <w:bCs/>
                <w:color w:val="auto"/>
                <w:highlight w:val="none"/>
              </w:rPr>
              <w:t>泄露应急处理</w:t>
            </w:r>
          </w:p>
        </w:tc>
      </w:tr>
      <w:tr w14:paraId="08FF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607E048B">
            <w:pPr>
              <w:pStyle w:val="25"/>
              <w:bidi w:val="0"/>
              <w:rPr>
                <w:b w:val="0"/>
                <w:bCs/>
                <w:color w:val="auto"/>
                <w:highlight w:val="none"/>
              </w:rPr>
            </w:pPr>
            <w:r>
              <w:rPr>
                <w:b w:val="0"/>
                <w:bCs/>
                <w:color w:val="auto"/>
                <w:highlight w:val="none"/>
              </w:rPr>
              <w:t>应急处理：</w:t>
            </w:r>
          </w:p>
        </w:tc>
        <w:tc>
          <w:tcPr>
            <w:tcW w:w="3952" w:type="pct"/>
            <w:gridSpan w:val="3"/>
            <w:noWrap w:val="0"/>
            <w:vAlign w:val="center"/>
          </w:tcPr>
          <w:p w14:paraId="6B1680A6">
            <w:pPr>
              <w:pStyle w:val="25"/>
              <w:bidi w:val="0"/>
              <w:jc w:val="both"/>
              <w:rPr>
                <w:b w:val="0"/>
                <w:bCs/>
                <w:color w:val="auto"/>
                <w:highlight w:val="none"/>
              </w:rPr>
            </w:pPr>
            <w:r>
              <w:rPr>
                <w:b w:val="0"/>
                <w:bCs/>
                <w:color w:val="auto"/>
                <w:highlight w:val="none"/>
              </w:rPr>
              <w:t>迅速撤离泄漏污染区人员至安全区，并进行隔离，严格限制出入。切断火源。建议应急处理人员戴自给正压式呼吸器，穿防毒服。尽可能切断泄漏源。防止流入下水道、排洪沟等限制性空间。小量泄漏：用砂土或其它不燃材料吸附或吸收。大量泄漏：构筑围堤或挖坑收容。用泵转移至槽车或专用收集器内，回收或运至废物处理场所处置。</w:t>
            </w:r>
          </w:p>
        </w:tc>
      </w:tr>
      <w:tr w14:paraId="1874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000" w:type="pct"/>
            <w:gridSpan w:val="4"/>
            <w:noWrap w:val="0"/>
            <w:vAlign w:val="center"/>
          </w:tcPr>
          <w:p w14:paraId="29CEB776">
            <w:pPr>
              <w:pStyle w:val="25"/>
              <w:bidi w:val="0"/>
              <w:rPr>
                <w:b w:val="0"/>
                <w:bCs/>
                <w:color w:val="auto"/>
                <w:highlight w:val="none"/>
              </w:rPr>
            </w:pPr>
            <w:r>
              <w:rPr>
                <w:b w:val="0"/>
                <w:bCs/>
                <w:color w:val="auto"/>
                <w:highlight w:val="none"/>
              </w:rPr>
              <w:t>操作处置与储存</w:t>
            </w:r>
          </w:p>
        </w:tc>
      </w:tr>
      <w:tr w14:paraId="0118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0ACADF96">
            <w:pPr>
              <w:pStyle w:val="25"/>
              <w:bidi w:val="0"/>
              <w:rPr>
                <w:b w:val="0"/>
                <w:bCs/>
                <w:color w:val="auto"/>
                <w:highlight w:val="none"/>
              </w:rPr>
            </w:pPr>
            <w:r>
              <w:rPr>
                <w:b w:val="0"/>
                <w:bCs/>
                <w:color w:val="auto"/>
                <w:highlight w:val="none"/>
              </w:rPr>
              <w:t>操作注意事项：</w:t>
            </w:r>
          </w:p>
        </w:tc>
        <w:tc>
          <w:tcPr>
            <w:tcW w:w="3952" w:type="pct"/>
            <w:gridSpan w:val="3"/>
            <w:noWrap w:val="0"/>
            <w:vAlign w:val="center"/>
          </w:tcPr>
          <w:p w14:paraId="3E2D0AF7">
            <w:pPr>
              <w:pStyle w:val="25"/>
              <w:bidi w:val="0"/>
              <w:jc w:val="both"/>
              <w:rPr>
                <w:b w:val="0"/>
                <w:bCs/>
                <w:color w:val="auto"/>
                <w:highlight w:val="none"/>
              </w:rPr>
            </w:pPr>
            <w:r>
              <w:rPr>
                <w:b w:val="0"/>
                <w:bCs/>
                <w:color w:val="auto"/>
                <w:highlight w:val="none"/>
              </w:rPr>
              <w:t>密闭操作，注意通风。操作人员必须经过专门培训，严格遵守操作规程。建议操作人员佩戴自吸过滤式防毒面具（半面罩），戴化学安全防护眼镜，穿防毒物渗透工作服，戴橡胶耐油手套。远离火种、热源，工作场所严禁吸烟。使用防爆型的通风系统和设备。防止蒸气泄漏到工作场所空气中。避免与氧化剂接触。搬运时要轻装轻卸，防止包装及容器损坏。配备相应品种和数量的消防器材及泄漏应急处理设备。倒空的容器可能残留有害物。</w:t>
            </w:r>
          </w:p>
        </w:tc>
      </w:tr>
      <w:tr w14:paraId="7FA8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047" w:type="pct"/>
            <w:noWrap w:val="0"/>
            <w:vAlign w:val="center"/>
          </w:tcPr>
          <w:p w14:paraId="651E1C3E">
            <w:pPr>
              <w:pStyle w:val="25"/>
              <w:bidi w:val="0"/>
              <w:rPr>
                <w:b w:val="0"/>
                <w:bCs/>
                <w:color w:val="auto"/>
                <w:highlight w:val="none"/>
              </w:rPr>
            </w:pPr>
            <w:r>
              <w:rPr>
                <w:b w:val="0"/>
                <w:bCs/>
                <w:color w:val="auto"/>
                <w:highlight w:val="none"/>
              </w:rPr>
              <w:t>储存注意事项：</w:t>
            </w:r>
          </w:p>
        </w:tc>
        <w:tc>
          <w:tcPr>
            <w:tcW w:w="3952" w:type="pct"/>
            <w:gridSpan w:val="3"/>
            <w:noWrap w:val="0"/>
            <w:vAlign w:val="center"/>
          </w:tcPr>
          <w:p w14:paraId="423AAD5C">
            <w:pPr>
              <w:pStyle w:val="25"/>
              <w:bidi w:val="0"/>
              <w:jc w:val="both"/>
              <w:rPr>
                <w:b w:val="0"/>
                <w:bCs/>
                <w:color w:val="auto"/>
                <w:highlight w:val="none"/>
              </w:rPr>
            </w:pPr>
            <w:r>
              <w:rPr>
                <w:b w:val="0"/>
                <w:bCs/>
                <w:color w:val="auto"/>
                <w:highlight w:val="none"/>
              </w:rPr>
              <w:t>储存于阴凉、通风的库房。远离火种、热源。应与氧化剂分开存放，切忌混储。配备相应品种和数量的消防器材。储区应备有泄漏应急处理设备和合适的收容材料。</w:t>
            </w:r>
          </w:p>
        </w:tc>
      </w:tr>
      <w:tr w14:paraId="62D9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000" w:type="pct"/>
            <w:gridSpan w:val="4"/>
            <w:noWrap w:val="0"/>
            <w:vAlign w:val="center"/>
          </w:tcPr>
          <w:p w14:paraId="23D6AC24">
            <w:pPr>
              <w:pStyle w:val="25"/>
              <w:bidi w:val="0"/>
              <w:rPr>
                <w:b w:val="0"/>
                <w:bCs/>
                <w:color w:val="auto"/>
                <w:highlight w:val="none"/>
              </w:rPr>
            </w:pPr>
            <w:r>
              <w:rPr>
                <w:b w:val="0"/>
                <w:bCs/>
                <w:color w:val="auto"/>
                <w:highlight w:val="none"/>
              </w:rPr>
              <w:t>接触控制/个体防护</w:t>
            </w:r>
          </w:p>
        </w:tc>
      </w:tr>
      <w:tr w14:paraId="209D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229" w:type="pct"/>
            <w:gridSpan w:val="2"/>
            <w:noWrap w:val="0"/>
            <w:vAlign w:val="center"/>
          </w:tcPr>
          <w:p w14:paraId="2C4C5F0E">
            <w:pPr>
              <w:pStyle w:val="25"/>
              <w:bidi w:val="0"/>
              <w:rPr>
                <w:b w:val="0"/>
                <w:bCs/>
                <w:color w:val="auto"/>
                <w:highlight w:val="none"/>
              </w:rPr>
            </w:pPr>
            <w:r>
              <w:rPr>
                <w:b w:val="0"/>
                <w:bCs/>
                <w:color w:val="auto"/>
                <w:highlight w:val="none"/>
              </w:rPr>
              <w:t>工程控制：</w:t>
            </w:r>
          </w:p>
        </w:tc>
        <w:tc>
          <w:tcPr>
            <w:tcW w:w="3770" w:type="pct"/>
            <w:gridSpan w:val="2"/>
            <w:noWrap w:val="0"/>
            <w:vAlign w:val="center"/>
          </w:tcPr>
          <w:p w14:paraId="5C62064F">
            <w:pPr>
              <w:pStyle w:val="25"/>
              <w:bidi w:val="0"/>
              <w:jc w:val="both"/>
              <w:rPr>
                <w:b w:val="0"/>
                <w:bCs/>
                <w:color w:val="auto"/>
                <w:highlight w:val="none"/>
              </w:rPr>
            </w:pPr>
            <w:r>
              <w:rPr>
                <w:b w:val="0"/>
                <w:bCs/>
                <w:color w:val="auto"/>
                <w:highlight w:val="none"/>
              </w:rPr>
              <w:t>密闭操作，注意通风。</w:t>
            </w:r>
          </w:p>
        </w:tc>
      </w:tr>
      <w:tr w14:paraId="2A02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229" w:type="pct"/>
            <w:gridSpan w:val="2"/>
            <w:noWrap w:val="0"/>
            <w:vAlign w:val="center"/>
          </w:tcPr>
          <w:p w14:paraId="02F271A7">
            <w:pPr>
              <w:pStyle w:val="25"/>
              <w:bidi w:val="0"/>
              <w:rPr>
                <w:b w:val="0"/>
                <w:bCs/>
                <w:color w:val="auto"/>
                <w:highlight w:val="none"/>
              </w:rPr>
            </w:pPr>
            <w:r>
              <w:rPr>
                <w:b w:val="0"/>
                <w:bCs/>
                <w:color w:val="auto"/>
                <w:highlight w:val="none"/>
              </w:rPr>
              <w:t>呼吸系统防护：</w:t>
            </w:r>
          </w:p>
        </w:tc>
        <w:tc>
          <w:tcPr>
            <w:tcW w:w="3770" w:type="pct"/>
            <w:gridSpan w:val="2"/>
            <w:noWrap w:val="0"/>
            <w:vAlign w:val="center"/>
          </w:tcPr>
          <w:p w14:paraId="6FBC434A">
            <w:pPr>
              <w:pStyle w:val="25"/>
              <w:bidi w:val="0"/>
              <w:jc w:val="both"/>
              <w:rPr>
                <w:b w:val="0"/>
                <w:bCs/>
                <w:color w:val="auto"/>
                <w:highlight w:val="none"/>
              </w:rPr>
            </w:pPr>
            <w:r>
              <w:rPr>
                <w:b w:val="0"/>
                <w:bCs/>
                <w:color w:val="auto"/>
                <w:highlight w:val="none"/>
              </w:rPr>
              <w:t>空气中浓度超标时，必须佩戴自吸过滤式防毒面具（半面罩）。紧急事态抢救或撤离时，应该佩戴空气呼吸器。</w:t>
            </w:r>
          </w:p>
        </w:tc>
      </w:tr>
      <w:tr w14:paraId="01FC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229" w:type="pct"/>
            <w:gridSpan w:val="2"/>
            <w:noWrap w:val="0"/>
            <w:vAlign w:val="center"/>
          </w:tcPr>
          <w:p w14:paraId="6961D30B">
            <w:pPr>
              <w:pStyle w:val="25"/>
              <w:bidi w:val="0"/>
              <w:rPr>
                <w:b w:val="0"/>
                <w:bCs/>
                <w:color w:val="auto"/>
                <w:highlight w:val="none"/>
              </w:rPr>
            </w:pPr>
            <w:r>
              <w:rPr>
                <w:b w:val="0"/>
                <w:bCs/>
                <w:color w:val="auto"/>
                <w:highlight w:val="none"/>
              </w:rPr>
              <w:t>眼睛防护：</w:t>
            </w:r>
          </w:p>
        </w:tc>
        <w:tc>
          <w:tcPr>
            <w:tcW w:w="3770" w:type="pct"/>
            <w:gridSpan w:val="2"/>
            <w:noWrap w:val="0"/>
            <w:vAlign w:val="center"/>
          </w:tcPr>
          <w:p w14:paraId="2F87E463">
            <w:pPr>
              <w:pStyle w:val="25"/>
              <w:bidi w:val="0"/>
              <w:jc w:val="both"/>
              <w:rPr>
                <w:b w:val="0"/>
                <w:bCs/>
                <w:color w:val="auto"/>
                <w:highlight w:val="none"/>
              </w:rPr>
            </w:pPr>
            <w:r>
              <w:rPr>
                <w:b w:val="0"/>
                <w:bCs/>
                <w:color w:val="auto"/>
                <w:highlight w:val="none"/>
              </w:rPr>
              <w:t>戴化学安全防护眼镜。</w:t>
            </w:r>
          </w:p>
        </w:tc>
      </w:tr>
      <w:tr w14:paraId="5C87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229" w:type="pct"/>
            <w:gridSpan w:val="2"/>
            <w:noWrap w:val="0"/>
            <w:vAlign w:val="center"/>
          </w:tcPr>
          <w:p w14:paraId="1422A020">
            <w:pPr>
              <w:pStyle w:val="25"/>
              <w:bidi w:val="0"/>
              <w:rPr>
                <w:b w:val="0"/>
                <w:bCs/>
                <w:color w:val="auto"/>
                <w:highlight w:val="none"/>
              </w:rPr>
            </w:pPr>
            <w:r>
              <w:rPr>
                <w:b w:val="0"/>
                <w:bCs/>
                <w:color w:val="auto"/>
                <w:highlight w:val="none"/>
              </w:rPr>
              <w:t>身体防护：</w:t>
            </w:r>
          </w:p>
        </w:tc>
        <w:tc>
          <w:tcPr>
            <w:tcW w:w="3770" w:type="pct"/>
            <w:gridSpan w:val="2"/>
            <w:noWrap w:val="0"/>
            <w:vAlign w:val="center"/>
          </w:tcPr>
          <w:p w14:paraId="6FD5311A">
            <w:pPr>
              <w:pStyle w:val="25"/>
              <w:bidi w:val="0"/>
              <w:jc w:val="both"/>
              <w:rPr>
                <w:b w:val="0"/>
                <w:bCs/>
                <w:color w:val="auto"/>
                <w:highlight w:val="none"/>
              </w:rPr>
            </w:pPr>
            <w:r>
              <w:rPr>
                <w:b w:val="0"/>
                <w:bCs/>
                <w:color w:val="auto"/>
                <w:highlight w:val="none"/>
              </w:rPr>
              <w:t>穿防毒物渗透工作服。</w:t>
            </w:r>
          </w:p>
        </w:tc>
      </w:tr>
      <w:tr w14:paraId="2BD7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229" w:type="pct"/>
            <w:gridSpan w:val="2"/>
            <w:noWrap w:val="0"/>
            <w:vAlign w:val="center"/>
          </w:tcPr>
          <w:p w14:paraId="41005001">
            <w:pPr>
              <w:pStyle w:val="25"/>
              <w:bidi w:val="0"/>
              <w:rPr>
                <w:b w:val="0"/>
                <w:bCs/>
                <w:color w:val="auto"/>
                <w:highlight w:val="none"/>
              </w:rPr>
            </w:pPr>
            <w:r>
              <w:rPr>
                <w:b w:val="0"/>
                <w:bCs/>
                <w:color w:val="auto"/>
                <w:highlight w:val="none"/>
              </w:rPr>
              <w:t>手防护：</w:t>
            </w:r>
          </w:p>
        </w:tc>
        <w:tc>
          <w:tcPr>
            <w:tcW w:w="3770" w:type="pct"/>
            <w:gridSpan w:val="2"/>
            <w:noWrap w:val="0"/>
            <w:vAlign w:val="center"/>
          </w:tcPr>
          <w:p w14:paraId="6773C411">
            <w:pPr>
              <w:pStyle w:val="25"/>
              <w:bidi w:val="0"/>
              <w:jc w:val="both"/>
              <w:rPr>
                <w:b w:val="0"/>
                <w:bCs/>
                <w:color w:val="auto"/>
                <w:highlight w:val="none"/>
              </w:rPr>
            </w:pPr>
            <w:r>
              <w:rPr>
                <w:b w:val="0"/>
                <w:bCs/>
                <w:color w:val="auto"/>
                <w:highlight w:val="none"/>
              </w:rPr>
              <w:t>戴橡胶耐油手套。</w:t>
            </w:r>
          </w:p>
        </w:tc>
      </w:tr>
      <w:tr w14:paraId="4C94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229" w:type="pct"/>
            <w:gridSpan w:val="2"/>
            <w:noWrap w:val="0"/>
            <w:vAlign w:val="center"/>
          </w:tcPr>
          <w:p w14:paraId="1E99DB18">
            <w:pPr>
              <w:pStyle w:val="25"/>
              <w:bidi w:val="0"/>
              <w:rPr>
                <w:b w:val="0"/>
                <w:bCs/>
                <w:color w:val="auto"/>
                <w:highlight w:val="none"/>
              </w:rPr>
            </w:pPr>
            <w:r>
              <w:rPr>
                <w:b w:val="0"/>
                <w:bCs/>
                <w:color w:val="auto"/>
                <w:highlight w:val="none"/>
              </w:rPr>
              <w:t>其他防护：</w:t>
            </w:r>
          </w:p>
        </w:tc>
        <w:tc>
          <w:tcPr>
            <w:tcW w:w="3770" w:type="pct"/>
            <w:gridSpan w:val="2"/>
            <w:noWrap w:val="0"/>
            <w:vAlign w:val="center"/>
          </w:tcPr>
          <w:p w14:paraId="1E644BBD">
            <w:pPr>
              <w:pStyle w:val="25"/>
              <w:bidi w:val="0"/>
              <w:jc w:val="both"/>
              <w:rPr>
                <w:b w:val="0"/>
                <w:bCs/>
                <w:color w:val="auto"/>
                <w:highlight w:val="none"/>
              </w:rPr>
            </w:pPr>
            <w:r>
              <w:rPr>
                <w:b w:val="0"/>
                <w:bCs/>
                <w:color w:val="auto"/>
                <w:highlight w:val="none"/>
              </w:rPr>
              <w:t>工作现场严禁吸烟。避免长期反复接触。</w:t>
            </w:r>
          </w:p>
        </w:tc>
      </w:tr>
      <w:tr w14:paraId="6046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000" w:type="pct"/>
            <w:gridSpan w:val="4"/>
            <w:noWrap w:val="0"/>
            <w:vAlign w:val="center"/>
          </w:tcPr>
          <w:p w14:paraId="5E5FC0CB">
            <w:pPr>
              <w:pStyle w:val="25"/>
              <w:bidi w:val="0"/>
              <w:rPr>
                <w:b w:val="0"/>
                <w:bCs/>
                <w:color w:val="auto"/>
                <w:highlight w:val="none"/>
              </w:rPr>
            </w:pPr>
            <w:r>
              <w:rPr>
                <w:b w:val="0"/>
                <w:bCs/>
                <w:color w:val="auto"/>
                <w:highlight w:val="none"/>
              </w:rPr>
              <w:t>理化特性</w:t>
            </w:r>
          </w:p>
        </w:tc>
      </w:tr>
      <w:tr w14:paraId="5D2E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92" w:type="pct"/>
            <w:gridSpan w:val="3"/>
            <w:noWrap w:val="0"/>
            <w:vAlign w:val="center"/>
          </w:tcPr>
          <w:p w14:paraId="51B3E9C8">
            <w:pPr>
              <w:pStyle w:val="25"/>
              <w:bidi w:val="0"/>
              <w:rPr>
                <w:b w:val="0"/>
                <w:bCs/>
                <w:color w:val="auto"/>
                <w:highlight w:val="none"/>
              </w:rPr>
            </w:pPr>
            <w:r>
              <w:rPr>
                <w:b w:val="0"/>
                <w:bCs/>
                <w:color w:val="auto"/>
                <w:highlight w:val="none"/>
              </w:rPr>
              <w:t>外观与性状：</w:t>
            </w:r>
          </w:p>
        </w:tc>
        <w:tc>
          <w:tcPr>
            <w:tcW w:w="3407" w:type="pct"/>
            <w:noWrap w:val="0"/>
            <w:vAlign w:val="center"/>
          </w:tcPr>
          <w:p w14:paraId="51CB615B">
            <w:pPr>
              <w:pStyle w:val="25"/>
              <w:bidi w:val="0"/>
              <w:jc w:val="both"/>
              <w:rPr>
                <w:b w:val="0"/>
                <w:bCs/>
                <w:color w:val="auto"/>
                <w:highlight w:val="none"/>
              </w:rPr>
            </w:pPr>
            <w:r>
              <w:rPr>
                <w:b w:val="0"/>
                <w:bCs/>
                <w:color w:val="auto"/>
                <w:highlight w:val="none"/>
              </w:rPr>
              <w:t>油状液体</w:t>
            </w:r>
            <w:r>
              <w:rPr>
                <w:rFonts w:hint="eastAsia"/>
                <w:b w:val="0"/>
                <w:bCs/>
                <w:color w:val="auto"/>
                <w:highlight w:val="none"/>
                <w:lang w:eastAsia="zh-CN"/>
              </w:rPr>
              <w:t>，</w:t>
            </w:r>
            <w:r>
              <w:rPr>
                <w:b w:val="0"/>
                <w:bCs/>
                <w:color w:val="auto"/>
                <w:highlight w:val="none"/>
              </w:rPr>
              <w:t>淡黄色至褐色</w:t>
            </w:r>
            <w:r>
              <w:rPr>
                <w:rFonts w:hint="eastAsia"/>
                <w:b w:val="0"/>
                <w:bCs/>
                <w:color w:val="auto"/>
                <w:highlight w:val="none"/>
                <w:lang w:eastAsia="zh-CN"/>
              </w:rPr>
              <w:t>，</w:t>
            </w:r>
            <w:r>
              <w:rPr>
                <w:b w:val="0"/>
                <w:bCs/>
                <w:color w:val="auto"/>
                <w:highlight w:val="none"/>
              </w:rPr>
              <w:t>无气味或略带异味。</w:t>
            </w:r>
          </w:p>
        </w:tc>
      </w:tr>
      <w:tr w14:paraId="0160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92" w:type="pct"/>
            <w:gridSpan w:val="3"/>
            <w:noWrap w:val="0"/>
            <w:vAlign w:val="center"/>
          </w:tcPr>
          <w:p w14:paraId="44FBACA5">
            <w:pPr>
              <w:pStyle w:val="25"/>
              <w:bidi w:val="0"/>
              <w:rPr>
                <w:b w:val="0"/>
                <w:bCs/>
                <w:color w:val="auto"/>
                <w:highlight w:val="none"/>
              </w:rPr>
            </w:pPr>
            <w:r>
              <w:rPr>
                <w:b w:val="0"/>
                <w:bCs/>
                <w:color w:val="auto"/>
                <w:highlight w:val="none"/>
              </w:rPr>
              <w:t>相对密度</w:t>
            </w:r>
            <w:r>
              <w:rPr>
                <w:rFonts w:hint="eastAsia"/>
                <w:b w:val="0"/>
                <w:bCs/>
                <w:color w:val="auto"/>
                <w:highlight w:val="none"/>
                <w:lang w:eastAsia="zh-CN"/>
              </w:rPr>
              <w:t>（</w:t>
            </w:r>
            <w:r>
              <w:rPr>
                <w:b w:val="0"/>
                <w:bCs/>
                <w:color w:val="auto"/>
                <w:highlight w:val="none"/>
              </w:rPr>
              <w:t>水=1</w:t>
            </w:r>
            <w:r>
              <w:rPr>
                <w:rFonts w:hint="eastAsia"/>
                <w:b w:val="0"/>
                <w:bCs/>
                <w:color w:val="auto"/>
                <w:highlight w:val="none"/>
                <w:lang w:eastAsia="zh-CN"/>
              </w:rPr>
              <w:t>）</w:t>
            </w:r>
            <w:r>
              <w:rPr>
                <w:b w:val="0"/>
                <w:bCs/>
                <w:color w:val="auto"/>
                <w:highlight w:val="none"/>
              </w:rPr>
              <w:t>：</w:t>
            </w:r>
          </w:p>
        </w:tc>
        <w:tc>
          <w:tcPr>
            <w:tcW w:w="3407" w:type="pct"/>
            <w:noWrap w:val="0"/>
            <w:vAlign w:val="center"/>
          </w:tcPr>
          <w:p w14:paraId="3FB3323D">
            <w:pPr>
              <w:pStyle w:val="25"/>
              <w:bidi w:val="0"/>
              <w:jc w:val="both"/>
              <w:rPr>
                <w:b w:val="0"/>
                <w:bCs/>
                <w:color w:val="auto"/>
                <w:highlight w:val="none"/>
              </w:rPr>
            </w:pPr>
            <w:r>
              <w:rPr>
                <w:b w:val="0"/>
                <w:bCs/>
                <w:color w:val="auto"/>
                <w:highlight w:val="none"/>
              </w:rPr>
              <w:t>＜1</w:t>
            </w:r>
          </w:p>
        </w:tc>
      </w:tr>
      <w:tr w14:paraId="5355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92" w:type="pct"/>
            <w:gridSpan w:val="3"/>
            <w:noWrap w:val="0"/>
            <w:vAlign w:val="center"/>
          </w:tcPr>
          <w:p w14:paraId="6250396F">
            <w:pPr>
              <w:pStyle w:val="25"/>
              <w:bidi w:val="0"/>
              <w:rPr>
                <w:b w:val="0"/>
                <w:bCs/>
                <w:color w:val="auto"/>
                <w:highlight w:val="none"/>
              </w:rPr>
            </w:pPr>
            <w:r>
              <w:rPr>
                <w:b w:val="0"/>
                <w:bCs/>
                <w:color w:val="auto"/>
                <w:highlight w:val="none"/>
              </w:rPr>
              <w:t>闪点</w:t>
            </w:r>
            <w:r>
              <w:rPr>
                <w:rFonts w:hint="eastAsia"/>
                <w:b w:val="0"/>
                <w:bCs/>
                <w:color w:val="auto"/>
                <w:highlight w:val="none"/>
                <w:lang w:eastAsia="zh-CN"/>
              </w:rPr>
              <w:t>（</w:t>
            </w:r>
            <w:r>
              <w:rPr>
                <w:rFonts w:hint="eastAsia"/>
                <w:b w:val="0"/>
                <w:bCs/>
                <w:color w:val="auto"/>
                <w:highlight w:val="none"/>
              </w:rPr>
              <w:t>℃</w:t>
            </w:r>
            <w:r>
              <w:rPr>
                <w:rFonts w:hint="eastAsia"/>
                <w:b w:val="0"/>
                <w:bCs/>
                <w:color w:val="auto"/>
                <w:highlight w:val="none"/>
                <w:lang w:eastAsia="zh-CN"/>
              </w:rPr>
              <w:t>）</w:t>
            </w:r>
            <w:r>
              <w:rPr>
                <w:b w:val="0"/>
                <w:bCs/>
                <w:color w:val="auto"/>
                <w:highlight w:val="none"/>
              </w:rPr>
              <w:t>：</w:t>
            </w:r>
          </w:p>
        </w:tc>
        <w:tc>
          <w:tcPr>
            <w:tcW w:w="3407" w:type="pct"/>
            <w:noWrap w:val="0"/>
            <w:vAlign w:val="center"/>
          </w:tcPr>
          <w:p w14:paraId="6DBCA232">
            <w:pPr>
              <w:pStyle w:val="25"/>
              <w:bidi w:val="0"/>
              <w:jc w:val="both"/>
              <w:rPr>
                <w:b w:val="0"/>
                <w:bCs/>
                <w:color w:val="auto"/>
                <w:highlight w:val="none"/>
              </w:rPr>
            </w:pPr>
            <w:r>
              <w:rPr>
                <w:b w:val="0"/>
                <w:bCs/>
                <w:color w:val="auto"/>
                <w:highlight w:val="none"/>
              </w:rPr>
              <w:t>76</w:t>
            </w:r>
          </w:p>
        </w:tc>
      </w:tr>
      <w:tr w14:paraId="1D5B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92" w:type="pct"/>
            <w:gridSpan w:val="3"/>
            <w:noWrap w:val="0"/>
            <w:vAlign w:val="center"/>
          </w:tcPr>
          <w:p w14:paraId="24BFC514">
            <w:pPr>
              <w:pStyle w:val="25"/>
              <w:bidi w:val="0"/>
              <w:rPr>
                <w:b w:val="0"/>
                <w:bCs/>
                <w:color w:val="auto"/>
                <w:highlight w:val="none"/>
              </w:rPr>
            </w:pPr>
            <w:r>
              <w:rPr>
                <w:b w:val="0"/>
                <w:bCs/>
                <w:color w:val="auto"/>
                <w:highlight w:val="none"/>
              </w:rPr>
              <w:t>引燃温度</w:t>
            </w:r>
            <w:r>
              <w:rPr>
                <w:rFonts w:hint="eastAsia"/>
                <w:b w:val="0"/>
                <w:bCs/>
                <w:color w:val="auto"/>
                <w:highlight w:val="none"/>
                <w:lang w:eastAsia="zh-CN"/>
              </w:rPr>
              <w:t>（</w:t>
            </w:r>
            <w:r>
              <w:rPr>
                <w:rFonts w:hint="eastAsia"/>
                <w:b w:val="0"/>
                <w:bCs/>
                <w:color w:val="auto"/>
                <w:highlight w:val="none"/>
              </w:rPr>
              <w:t>℃</w:t>
            </w:r>
            <w:r>
              <w:rPr>
                <w:rFonts w:hint="eastAsia"/>
                <w:b w:val="0"/>
                <w:bCs/>
                <w:color w:val="auto"/>
                <w:highlight w:val="none"/>
                <w:lang w:eastAsia="zh-CN"/>
              </w:rPr>
              <w:t>）</w:t>
            </w:r>
            <w:r>
              <w:rPr>
                <w:b w:val="0"/>
                <w:bCs/>
                <w:color w:val="auto"/>
                <w:highlight w:val="none"/>
              </w:rPr>
              <w:t>：</w:t>
            </w:r>
          </w:p>
        </w:tc>
        <w:tc>
          <w:tcPr>
            <w:tcW w:w="3407" w:type="pct"/>
            <w:noWrap w:val="0"/>
            <w:vAlign w:val="center"/>
          </w:tcPr>
          <w:p w14:paraId="0623B939">
            <w:pPr>
              <w:pStyle w:val="25"/>
              <w:bidi w:val="0"/>
              <w:jc w:val="both"/>
              <w:rPr>
                <w:b w:val="0"/>
                <w:bCs/>
                <w:color w:val="auto"/>
                <w:highlight w:val="none"/>
              </w:rPr>
            </w:pPr>
            <w:r>
              <w:rPr>
                <w:b w:val="0"/>
                <w:bCs/>
                <w:color w:val="auto"/>
                <w:highlight w:val="none"/>
              </w:rPr>
              <w:t>248</w:t>
            </w:r>
          </w:p>
        </w:tc>
      </w:tr>
      <w:tr w14:paraId="2657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92" w:type="pct"/>
            <w:gridSpan w:val="3"/>
            <w:noWrap w:val="0"/>
            <w:vAlign w:val="center"/>
          </w:tcPr>
          <w:p w14:paraId="79D83C5F">
            <w:pPr>
              <w:pStyle w:val="25"/>
              <w:bidi w:val="0"/>
              <w:rPr>
                <w:b w:val="0"/>
                <w:bCs/>
                <w:color w:val="auto"/>
                <w:highlight w:val="none"/>
              </w:rPr>
            </w:pPr>
            <w:r>
              <w:rPr>
                <w:b w:val="0"/>
                <w:bCs/>
                <w:color w:val="auto"/>
                <w:highlight w:val="none"/>
              </w:rPr>
              <w:t>主要用途：</w:t>
            </w:r>
          </w:p>
        </w:tc>
        <w:tc>
          <w:tcPr>
            <w:tcW w:w="3407" w:type="pct"/>
            <w:noWrap w:val="0"/>
            <w:vAlign w:val="center"/>
          </w:tcPr>
          <w:p w14:paraId="12FD47E7">
            <w:pPr>
              <w:pStyle w:val="25"/>
              <w:bidi w:val="0"/>
              <w:jc w:val="both"/>
              <w:rPr>
                <w:b w:val="0"/>
                <w:bCs/>
                <w:color w:val="auto"/>
                <w:highlight w:val="none"/>
              </w:rPr>
            </w:pPr>
            <w:r>
              <w:rPr>
                <w:b w:val="0"/>
                <w:bCs/>
                <w:color w:val="auto"/>
                <w:highlight w:val="none"/>
              </w:rPr>
              <w:t>用于机械的摩擦部分</w:t>
            </w:r>
            <w:r>
              <w:rPr>
                <w:rFonts w:hint="eastAsia"/>
                <w:b w:val="0"/>
                <w:bCs/>
                <w:color w:val="auto"/>
                <w:highlight w:val="none"/>
                <w:lang w:eastAsia="zh-CN"/>
              </w:rPr>
              <w:t>，</w:t>
            </w:r>
            <w:r>
              <w:rPr>
                <w:b w:val="0"/>
                <w:bCs/>
                <w:color w:val="auto"/>
                <w:highlight w:val="none"/>
              </w:rPr>
              <w:t>起润滑、冷却和密封作用。</w:t>
            </w:r>
          </w:p>
        </w:tc>
      </w:tr>
      <w:tr w14:paraId="2B02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4"/>
            <w:noWrap w:val="0"/>
            <w:vAlign w:val="center"/>
          </w:tcPr>
          <w:p w14:paraId="7995FC1E">
            <w:pPr>
              <w:pStyle w:val="25"/>
              <w:bidi w:val="0"/>
              <w:rPr>
                <w:b w:val="0"/>
                <w:bCs/>
                <w:color w:val="auto"/>
                <w:highlight w:val="none"/>
              </w:rPr>
            </w:pPr>
            <w:r>
              <w:rPr>
                <w:b w:val="0"/>
                <w:bCs/>
                <w:color w:val="auto"/>
                <w:highlight w:val="none"/>
              </w:rPr>
              <w:t>稳定性和反应活性</w:t>
            </w:r>
          </w:p>
        </w:tc>
      </w:tr>
      <w:tr w14:paraId="63B4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29" w:type="pct"/>
            <w:gridSpan w:val="2"/>
            <w:noWrap w:val="0"/>
            <w:vAlign w:val="center"/>
          </w:tcPr>
          <w:p w14:paraId="3A79A0B2">
            <w:pPr>
              <w:pStyle w:val="25"/>
              <w:bidi w:val="0"/>
              <w:rPr>
                <w:b w:val="0"/>
                <w:bCs/>
                <w:color w:val="auto"/>
                <w:highlight w:val="none"/>
              </w:rPr>
            </w:pPr>
            <w:r>
              <w:rPr>
                <w:b w:val="0"/>
                <w:bCs/>
                <w:color w:val="auto"/>
                <w:highlight w:val="none"/>
              </w:rPr>
              <w:t>禁配物：</w:t>
            </w:r>
          </w:p>
        </w:tc>
        <w:tc>
          <w:tcPr>
            <w:tcW w:w="3770" w:type="pct"/>
            <w:gridSpan w:val="2"/>
            <w:noWrap w:val="0"/>
            <w:vAlign w:val="center"/>
          </w:tcPr>
          <w:p w14:paraId="56408716">
            <w:pPr>
              <w:pStyle w:val="25"/>
              <w:bidi w:val="0"/>
              <w:jc w:val="both"/>
              <w:rPr>
                <w:b w:val="0"/>
                <w:bCs/>
                <w:color w:val="auto"/>
                <w:highlight w:val="none"/>
              </w:rPr>
            </w:pPr>
            <w:r>
              <w:rPr>
                <w:b w:val="0"/>
                <w:bCs/>
                <w:color w:val="auto"/>
                <w:highlight w:val="none"/>
              </w:rPr>
              <w:t>强氧化剂。</w:t>
            </w:r>
          </w:p>
        </w:tc>
      </w:tr>
      <w:tr w14:paraId="7B3A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4"/>
            <w:noWrap w:val="0"/>
            <w:vAlign w:val="center"/>
          </w:tcPr>
          <w:p w14:paraId="1401B94C">
            <w:pPr>
              <w:pStyle w:val="25"/>
              <w:bidi w:val="0"/>
              <w:rPr>
                <w:b w:val="0"/>
                <w:bCs/>
                <w:color w:val="auto"/>
                <w:highlight w:val="none"/>
              </w:rPr>
            </w:pPr>
            <w:r>
              <w:rPr>
                <w:b w:val="0"/>
                <w:bCs/>
                <w:color w:val="auto"/>
                <w:highlight w:val="none"/>
              </w:rPr>
              <w:t>废弃处理</w:t>
            </w:r>
          </w:p>
        </w:tc>
      </w:tr>
      <w:tr w14:paraId="20AD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29" w:type="pct"/>
            <w:gridSpan w:val="2"/>
            <w:noWrap w:val="0"/>
            <w:vAlign w:val="center"/>
          </w:tcPr>
          <w:p w14:paraId="56D93CCA">
            <w:pPr>
              <w:pStyle w:val="25"/>
              <w:bidi w:val="0"/>
              <w:rPr>
                <w:b w:val="0"/>
                <w:bCs/>
                <w:color w:val="auto"/>
                <w:highlight w:val="none"/>
              </w:rPr>
            </w:pPr>
            <w:r>
              <w:rPr>
                <w:b w:val="0"/>
                <w:bCs/>
                <w:color w:val="auto"/>
                <w:highlight w:val="none"/>
              </w:rPr>
              <w:t>废弃处置方法：</w:t>
            </w:r>
          </w:p>
        </w:tc>
        <w:tc>
          <w:tcPr>
            <w:tcW w:w="3770" w:type="pct"/>
            <w:gridSpan w:val="2"/>
            <w:noWrap w:val="0"/>
            <w:vAlign w:val="center"/>
          </w:tcPr>
          <w:p w14:paraId="75647CDC">
            <w:pPr>
              <w:pStyle w:val="25"/>
              <w:bidi w:val="0"/>
              <w:jc w:val="both"/>
              <w:rPr>
                <w:b w:val="0"/>
                <w:bCs/>
                <w:color w:val="auto"/>
                <w:highlight w:val="none"/>
              </w:rPr>
            </w:pPr>
            <w:r>
              <w:rPr>
                <w:b w:val="0"/>
                <w:bCs/>
                <w:color w:val="auto"/>
                <w:highlight w:val="none"/>
              </w:rPr>
              <w:t>处置前应参阅国家和地方有关法规。建议用焚烧法处置。</w:t>
            </w:r>
          </w:p>
        </w:tc>
      </w:tr>
      <w:tr w14:paraId="00C0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4"/>
            <w:noWrap w:val="0"/>
            <w:vAlign w:val="center"/>
          </w:tcPr>
          <w:p w14:paraId="4C7B399F">
            <w:pPr>
              <w:pStyle w:val="25"/>
              <w:bidi w:val="0"/>
              <w:rPr>
                <w:b w:val="0"/>
                <w:bCs/>
                <w:color w:val="auto"/>
                <w:highlight w:val="none"/>
              </w:rPr>
            </w:pPr>
            <w:r>
              <w:rPr>
                <w:b w:val="0"/>
                <w:bCs/>
                <w:color w:val="auto"/>
                <w:highlight w:val="none"/>
              </w:rPr>
              <w:t>运输信息</w:t>
            </w:r>
          </w:p>
        </w:tc>
      </w:tr>
      <w:tr w14:paraId="1D06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1229" w:type="pct"/>
            <w:gridSpan w:val="2"/>
            <w:noWrap w:val="0"/>
            <w:vAlign w:val="center"/>
          </w:tcPr>
          <w:p w14:paraId="2A95D3CF">
            <w:pPr>
              <w:pStyle w:val="25"/>
              <w:bidi w:val="0"/>
              <w:rPr>
                <w:b w:val="0"/>
                <w:bCs/>
                <w:color w:val="auto"/>
                <w:highlight w:val="none"/>
              </w:rPr>
            </w:pPr>
            <w:r>
              <w:rPr>
                <w:b w:val="0"/>
                <w:bCs/>
                <w:color w:val="auto"/>
                <w:highlight w:val="none"/>
              </w:rPr>
              <w:t>运输注意事项：</w:t>
            </w:r>
          </w:p>
        </w:tc>
        <w:tc>
          <w:tcPr>
            <w:tcW w:w="3770" w:type="pct"/>
            <w:gridSpan w:val="2"/>
            <w:noWrap w:val="0"/>
            <w:vAlign w:val="center"/>
          </w:tcPr>
          <w:p w14:paraId="697AB7C3">
            <w:pPr>
              <w:pStyle w:val="25"/>
              <w:bidi w:val="0"/>
              <w:jc w:val="both"/>
              <w:rPr>
                <w:b w:val="0"/>
                <w:bCs/>
                <w:color w:val="auto"/>
                <w:highlight w:val="none"/>
              </w:rPr>
            </w:pPr>
            <w:r>
              <w:rPr>
                <w:b w:val="0"/>
                <w:bCs/>
                <w:color w:val="auto"/>
                <w:highlight w:val="none"/>
              </w:rPr>
              <w:t>运输前应先检查包装容器是否完整、密封，运输过程中要确保容器不泄漏、不倒塌、不坠落、不损坏。严禁与氧化剂、食用化学品等混装混运。运输车船必须彻底清洗、消毒，否则不得装运其它物品。船运时，配装位置应远离卧室、厨房，并与机舱、电源、火源等部位隔离。公路运输时要按规定路线行驶。</w:t>
            </w:r>
          </w:p>
        </w:tc>
      </w:tr>
    </w:tbl>
    <w:p w14:paraId="365CD2C4">
      <w:pPr>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b w:val="0"/>
          <w:bCs/>
          <w:color w:val="auto"/>
          <w:lang w:val="en-US" w:eastAsia="zh-CN"/>
        </w:rPr>
      </w:pPr>
      <w:r>
        <w:rPr>
          <w:rFonts w:hint="eastAsia" w:ascii="Times New Roman" w:hAnsi="Times New Roman" w:eastAsia="宋体"/>
          <w:b w:val="0"/>
          <w:bCs/>
          <w:color w:val="auto"/>
          <w:lang w:val="en-US" w:eastAsia="zh-CN"/>
        </w:rPr>
        <w:t>5、硫化氢</w:t>
      </w:r>
    </w:p>
    <w:p w14:paraId="479D2FE7">
      <w:pPr>
        <w:widowControl w:val="0"/>
        <w:bidi w:val="0"/>
        <w:spacing w:line="360" w:lineRule="auto"/>
        <w:ind w:firstLine="0" w:firstLineChars="0"/>
        <w:jc w:val="center"/>
        <w:rPr>
          <w:rFonts w:ascii="Times New Roman" w:hAnsi="Times New Roman" w:eastAsia="宋体" w:cstheme="minorBidi"/>
          <w:b w:val="0"/>
          <w:bCs/>
          <w:color w:val="auto"/>
          <w:kern w:val="2"/>
          <w:sz w:val="24"/>
          <w:szCs w:val="28"/>
          <w:lang w:val="en-US" w:eastAsia="zh-CN" w:bidi="ar-SA"/>
        </w:rPr>
      </w:pPr>
      <w:r>
        <w:rPr>
          <w:rFonts w:hint="eastAsia" w:ascii="Times New Roman" w:hAnsi="Times New Roman" w:eastAsia="宋体" w:cstheme="minorBidi"/>
          <w:b w:val="0"/>
          <w:bCs/>
          <w:color w:val="auto"/>
          <w:kern w:val="2"/>
          <w:sz w:val="24"/>
          <w:szCs w:val="28"/>
          <w:lang w:val="en-US" w:eastAsia="zh-CN" w:bidi="ar-SA"/>
        </w:rPr>
        <w:t>表3.2-5  硫化氢理化特性表</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2082"/>
        <w:gridCol w:w="6853"/>
      </w:tblGrid>
      <w:tr w14:paraId="08ED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8" w:type="pct"/>
            <w:vMerge w:val="restart"/>
            <w:noWrap w:val="0"/>
            <w:vAlign w:val="top"/>
          </w:tcPr>
          <w:p w14:paraId="4602441E">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标</w:t>
            </w:r>
          </w:p>
          <w:p w14:paraId="64D7F80F">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识</w:t>
            </w:r>
          </w:p>
        </w:tc>
        <w:tc>
          <w:tcPr>
            <w:tcW w:w="1107" w:type="pct"/>
            <w:noWrap w:val="0"/>
            <w:vAlign w:val="center"/>
          </w:tcPr>
          <w:p w14:paraId="63AA84B4">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中文名：</w:t>
            </w:r>
          </w:p>
        </w:tc>
        <w:tc>
          <w:tcPr>
            <w:tcW w:w="3643" w:type="pct"/>
            <w:noWrap w:val="0"/>
            <w:vAlign w:val="top"/>
          </w:tcPr>
          <w:p w14:paraId="1BB9447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硫化氢</w:t>
            </w:r>
          </w:p>
        </w:tc>
      </w:tr>
      <w:tr w14:paraId="0806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8E3F838">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37CAAD5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英文名：</w:t>
            </w:r>
          </w:p>
        </w:tc>
        <w:tc>
          <w:tcPr>
            <w:tcW w:w="3643" w:type="pct"/>
            <w:noWrap w:val="0"/>
            <w:vAlign w:val="top"/>
          </w:tcPr>
          <w:p w14:paraId="4A7DD5A5">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hydrogen sulfide</w:t>
            </w:r>
          </w:p>
        </w:tc>
      </w:tr>
      <w:tr w14:paraId="1513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79D6B8AD">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11D33154">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分子式：</w:t>
            </w:r>
          </w:p>
        </w:tc>
        <w:tc>
          <w:tcPr>
            <w:tcW w:w="3643" w:type="pct"/>
            <w:noWrap w:val="0"/>
            <w:vAlign w:val="top"/>
          </w:tcPr>
          <w:p w14:paraId="6175E8A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H</w:t>
            </w:r>
            <w:r>
              <w:rPr>
                <w:rFonts w:hint="eastAsia" w:ascii="Times New Roman" w:hAnsi="Times New Roman" w:eastAsia="宋体" w:cstheme="minorBidi"/>
                <w:b w:val="0"/>
                <w:bCs/>
                <w:color w:val="auto"/>
                <w:kern w:val="2"/>
                <w:sz w:val="21"/>
                <w:szCs w:val="28"/>
                <w:highlight w:val="none"/>
                <w:vertAlign w:val="subscript"/>
                <w:lang w:val="en-US" w:eastAsia="zh-CN" w:bidi="ar-SA"/>
              </w:rPr>
              <w:t>2</w:t>
            </w:r>
            <w:r>
              <w:rPr>
                <w:rFonts w:hint="eastAsia" w:ascii="Times New Roman" w:hAnsi="Times New Roman" w:eastAsia="宋体" w:cstheme="minorBidi"/>
                <w:b w:val="0"/>
                <w:bCs/>
                <w:color w:val="auto"/>
                <w:kern w:val="2"/>
                <w:sz w:val="21"/>
                <w:szCs w:val="28"/>
                <w:highlight w:val="none"/>
                <w:lang w:val="en-US" w:eastAsia="zh-CN" w:bidi="ar-SA"/>
              </w:rPr>
              <w:t>S</w:t>
            </w:r>
          </w:p>
        </w:tc>
      </w:tr>
      <w:tr w14:paraId="126D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25E4A9A">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0E05B870">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分子量：</w:t>
            </w:r>
          </w:p>
        </w:tc>
        <w:tc>
          <w:tcPr>
            <w:tcW w:w="3643" w:type="pct"/>
            <w:noWrap w:val="0"/>
            <w:vAlign w:val="top"/>
          </w:tcPr>
          <w:p w14:paraId="10F8EBBD">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34</w:t>
            </w:r>
          </w:p>
        </w:tc>
      </w:tr>
      <w:tr w14:paraId="405B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74C1FF3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5AFC6B2B">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CAS号：</w:t>
            </w:r>
          </w:p>
        </w:tc>
        <w:tc>
          <w:tcPr>
            <w:tcW w:w="3643" w:type="pct"/>
            <w:noWrap w:val="0"/>
            <w:vAlign w:val="top"/>
          </w:tcPr>
          <w:p w14:paraId="4DB1A26A">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7783-06-4</w:t>
            </w:r>
          </w:p>
        </w:tc>
      </w:tr>
      <w:tr w14:paraId="1DB5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7A193FCB">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194CEBB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UN编号：</w:t>
            </w:r>
          </w:p>
        </w:tc>
        <w:tc>
          <w:tcPr>
            <w:tcW w:w="3643" w:type="pct"/>
            <w:noWrap w:val="0"/>
            <w:vAlign w:val="top"/>
          </w:tcPr>
          <w:p w14:paraId="322E805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1053</w:t>
            </w:r>
          </w:p>
        </w:tc>
      </w:tr>
      <w:tr w14:paraId="47A5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57083564">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097A23FD">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危险货物编号：</w:t>
            </w:r>
          </w:p>
        </w:tc>
        <w:tc>
          <w:tcPr>
            <w:tcW w:w="3643" w:type="pct"/>
            <w:noWrap w:val="0"/>
            <w:vAlign w:val="top"/>
          </w:tcPr>
          <w:p w14:paraId="15CBDF6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21006</w:t>
            </w:r>
          </w:p>
        </w:tc>
      </w:tr>
      <w:tr w14:paraId="08C0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restart"/>
            <w:noWrap w:val="0"/>
            <w:vAlign w:val="top"/>
          </w:tcPr>
          <w:p w14:paraId="46ACA64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理</w:t>
            </w:r>
          </w:p>
          <w:p w14:paraId="406293F2">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化</w:t>
            </w:r>
          </w:p>
          <w:p w14:paraId="2089034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性</w:t>
            </w:r>
          </w:p>
          <w:p w14:paraId="1AAB0AF8">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质</w:t>
            </w:r>
          </w:p>
        </w:tc>
        <w:tc>
          <w:tcPr>
            <w:tcW w:w="1107" w:type="pct"/>
            <w:noWrap w:val="0"/>
            <w:vAlign w:val="center"/>
          </w:tcPr>
          <w:p w14:paraId="58A3931D">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外观与性状：</w:t>
            </w:r>
          </w:p>
        </w:tc>
        <w:tc>
          <w:tcPr>
            <w:tcW w:w="3643" w:type="pct"/>
            <w:noWrap w:val="0"/>
            <w:vAlign w:val="top"/>
          </w:tcPr>
          <w:p w14:paraId="488CBB32">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无色、有恶臭的气体。</w:t>
            </w:r>
          </w:p>
        </w:tc>
      </w:tr>
      <w:tr w14:paraId="5839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5ACE3E6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7DEFD87E">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主要用途：</w:t>
            </w:r>
          </w:p>
        </w:tc>
        <w:tc>
          <w:tcPr>
            <w:tcW w:w="3643" w:type="pct"/>
            <w:noWrap w:val="0"/>
            <w:vAlign w:val="top"/>
          </w:tcPr>
          <w:p w14:paraId="1B48A744">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用于化学分析如鉴定金属离子。</w:t>
            </w:r>
          </w:p>
        </w:tc>
      </w:tr>
      <w:tr w14:paraId="78E7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3D64850">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5086210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熔点：</w:t>
            </w:r>
          </w:p>
        </w:tc>
        <w:tc>
          <w:tcPr>
            <w:tcW w:w="3643" w:type="pct"/>
            <w:noWrap w:val="0"/>
            <w:vAlign w:val="top"/>
          </w:tcPr>
          <w:p w14:paraId="33CD9BDE">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-85.5</w:t>
            </w:r>
          </w:p>
        </w:tc>
      </w:tr>
      <w:tr w14:paraId="6FD3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1625F52E">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60D6A4E4">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沸点：</w:t>
            </w:r>
          </w:p>
        </w:tc>
        <w:tc>
          <w:tcPr>
            <w:tcW w:w="3643" w:type="pct"/>
            <w:noWrap w:val="0"/>
            <w:vAlign w:val="top"/>
          </w:tcPr>
          <w:p w14:paraId="45090C1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-60.4</w:t>
            </w:r>
          </w:p>
        </w:tc>
      </w:tr>
      <w:tr w14:paraId="3811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5318A8A0">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24A6F560">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相对密度（水=1）：</w:t>
            </w:r>
          </w:p>
        </w:tc>
        <w:tc>
          <w:tcPr>
            <w:tcW w:w="3643" w:type="pct"/>
            <w:noWrap w:val="0"/>
            <w:vAlign w:val="top"/>
          </w:tcPr>
          <w:p w14:paraId="5DC7D5CD">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无资料</w:t>
            </w:r>
          </w:p>
        </w:tc>
      </w:tr>
      <w:tr w14:paraId="3AF8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32747B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6C9C50D1">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相对密度（空气=1）:</w:t>
            </w:r>
          </w:p>
        </w:tc>
        <w:tc>
          <w:tcPr>
            <w:tcW w:w="3643" w:type="pct"/>
            <w:noWrap w:val="0"/>
            <w:vAlign w:val="top"/>
          </w:tcPr>
          <w:p w14:paraId="77309BDE">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1.19</w:t>
            </w:r>
          </w:p>
        </w:tc>
      </w:tr>
      <w:tr w14:paraId="3D93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02D0CBA">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top"/>
          </w:tcPr>
          <w:p w14:paraId="0CD5FE6A">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饱和蒸汽压（kPa）：</w:t>
            </w:r>
          </w:p>
        </w:tc>
        <w:tc>
          <w:tcPr>
            <w:tcW w:w="3643" w:type="pct"/>
            <w:noWrap w:val="0"/>
            <w:vAlign w:val="top"/>
          </w:tcPr>
          <w:p w14:paraId="3A05DA6F">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2026.5（25.5℃）</w:t>
            </w:r>
          </w:p>
        </w:tc>
      </w:tr>
      <w:tr w14:paraId="01B7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ADC6150">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01E3EA84">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溶解性：</w:t>
            </w:r>
          </w:p>
        </w:tc>
        <w:tc>
          <w:tcPr>
            <w:tcW w:w="3643" w:type="pct"/>
            <w:noWrap w:val="0"/>
            <w:vAlign w:val="top"/>
          </w:tcPr>
          <w:p w14:paraId="493FCC50">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溶于水、乙醇。</w:t>
            </w:r>
          </w:p>
        </w:tc>
      </w:tr>
      <w:tr w14:paraId="5527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7DC0EA94">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69E46245">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临界温度（</w:t>
            </w:r>
            <w:r>
              <w:rPr>
                <w:rFonts w:hint="eastAsia" w:ascii="Times New Roman" w:hAnsi="Times New Roman" w:eastAsia="宋体" w:cstheme="minorBidi"/>
                <w:b w:val="0"/>
                <w:bCs/>
                <w:color w:val="auto"/>
                <w:kern w:val="2"/>
                <w:sz w:val="21"/>
                <w:szCs w:val="28"/>
                <w:highlight w:val="none"/>
                <w:lang w:val="en-US" w:eastAsia="zh-CN" w:bidi="ar-SA"/>
              </w:rPr>
              <w:t>℃</w:t>
            </w:r>
            <w:r>
              <w:rPr>
                <w:rFonts w:ascii="Times New Roman" w:hAnsi="Times New Roman" w:eastAsia="宋体" w:cstheme="minorBidi"/>
                <w:b w:val="0"/>
                <w:bCs/>
                <w:color w:val="auto"/>
                <w:kern w:val="2"/>
                <w:sz w:val="21"/>
                <w:szCs w:val="28"/>
                <w:highlight w:val="none"/>
                <w:lang w:val="en-US" w:eastAsia="zh-CN" w:bidi="ar-SA"/>
              </w:rPr>
              <w:t>）：</w:t>
            </w:r>
          </w:p>
        </w:tc>
        <w:tc>
          <w:tcPr>
            <w:tcW w:w="3643" w:type="pct"/>
            <w:noWrap w:val="0"/>
            <w:vAlign w:val="top"/>
          </w:tcPr>
          <w:p w14:paraId="07364EB1">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100.4</w:t>
            </w:r>
          </w:p>
        </w:tc>
      </w:tr>
      <w:tr w14:paraId="60B4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2F158D7A">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4A64727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临界压力（MPa）：</w:t>
            </w:r>
          </w:p>
        </w:tc>
        <w:tc>
          <w:tcPr>
            <w:tcW w:w="3643" w:type="pct"/>
            <w:noWrap w:val="0"/>
            <w:vAlign w:val="top"/>
          </w:tcPr>
          <w:p w14:paraId="3A1C08B0">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9.01</w:t>
            </w:r>
          </w:p>
        </w:tc>
      </w:tr>
      <w:tr w14:paraId="2EFA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4003BB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5D133E52">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燃烧热（kj/mol）：</w:t>
            </w:r>
          </w:p>
        </w:tc>
        <w:tc>
          <w:tcPr>
            <w:tcW w:w="3643" w:type="pct"/>
            <w:noWrap w:val="0"/>
            <w:vAlign w:val="top"/>
          </w:tcPr>
          <w:p w14:paraId="05C6B5D5">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无资料</w:t>
            </w:r>
          </w:p>
        </w:tc>
      </w:tr>
      <w:tr w14:paraId="5958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560D5E0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372F0215">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闪点（</w:t>
            </w:r>
            <w:r>
              <w:rPr>
                <w:rFonts w:hint="eastAsia" w:ascii="Times New Roman" w:hAnsi="Times New Roman" w:eastAsia="宋体" w:cstheme="minorBidi"/>
                <w:b w:val="0"/>
                <w:bCs/>
                <w:color w:val="auto"/>
                <w:kern w:val="2"/>
                <w:sz w:val="21"/>
                <w:szCs w:val="28"/>
                <w:highlight w:val="none"/>
                <w:lang w:val="en-US" w:eastAsia="zh-CN" w:bidi="ar-SA"/>
              </w:rPr>
              <w:t>℃</w:t>
            </w:r>
            <w:r>
              <w:rPr>
                <w:rFonts w:ascii="Times New Roman" w:hAnsi="Times New Roman" w:eastAsia="宋体" w:cstheme="minorBidi"/>
                <w:b w:val="0"/>
                <w:bCs/>
                <w:color w:val="auto"/>
                <w:kern w:val="2"/>
                <w:sz w:val="21"/>
                <w:szCs w:val="28"/>
                <w:highlight w:val="none"/>
                <w:lang w:val="en-US" w:eastAsia="zh-CN" w:bidi="ar-SA"/>
              </w:rPr>
              <w:t>）：</w:t>
            </w:r>
          </w:p>
        </w:tc>
        <w:tc>
          <w:tcPr>
            <w:tcW w:w="3643" w:type="pct"/>
            <w:noWrap w:val="0"/>
            <w:vAlign w:val="top"/>
          </w:tcPr>
          <w:p w14:paraId="5249DD9A">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无意义</w:t>
            </w:r>
          </w:p>
        </w:tc>
      </w:tr>
      <w:tr w14:paraId="11BF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1370499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4BFD699E">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引燃</w:t>
            </w:r>
            <w:r>
              <w:rPr>
                <w:rFonts w:ascii="Times New Roman" w:hAnsi="Times New Roman" w:eastAsia="宋体" w:cstheme="minorBidi"/>
                <w:b w:val="0"/>
                <w:bCs/>
                <w:color w:val="auto"/>
                <w:kern w:val="2"/>
                <w:sz w:val="21"/>
                <w:szCs w:val="28"/>
                <w:highlight w:val="none"/>
                <w:lang w:val="en-US" w:eastAsia="zh-CN" w:bidi="ar-SA"/>
              </w:rPr>
              <w:t>温度（</w:t>
            </w:r>
            <w:r>
              <w:rPr>
                <w:rFonts w:hint="eastAsia" w:ascii="Times New Roman" w:hAnsi="Times New Roman" w:eastAsia="宋体" w:cstheme="minorBidi"/>
                <w:b w:val="0"/>
                <w:bCs/>
                <w:color w:val="auto"/>
                <w:kern w:val="2"/>
                <w:sz w:val="21"/>
                <w:szCs w:val="28"/>
                <w:highlight w:val="none"/>
                <w:lang w:val="en-US" w:eastAsia="zh-CN" w:bidi="ar-SA"/>
              </w:rPr>
              <w:t>℃</w:t>
            </w:r>
            <w:r>
              <w:rPr>
                <w:rFonts w:ascii="Times New Roman" w:hAnsi="Times New Roman" w:eastAsia="宋体" w:cstheme="minorBidi"/>
                <w:b w:val="0"/>
                <w:bCs/>
                <w:color w:val="auto"/>
                <w:kern w:val="2"/>
                <w:sz w:val="21"/>
                <w:szCs w:val="28"/>
                <w:highlight w:val="none"/>
                <w:lang w:val="en-US" w:eastAsia="zh-CN" w:bidi="ar-SA"/>
              </w:rPr>
              <w:t>）：</w:t>
            </w:r>
          </w:p>
        </w:tc>
        <w:tc>
          <w:tcPr>
            <w:tcW w:w="3643" w:type="pct"/>
            <w:noWrap w:val="0"/>
            <w:vAlign w:val="top"/>
          </w:tcPr>
          <w:p w14:paraId="37D28BED">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260</w:t>
            </w:r>
          </w:p>
        </w:tc>
      </w:tr>
      <w:tr w14:paraId="63A0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5DA6CD07">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1C980B41">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爆炸下限（V%）：</w:t>
            </w:r>
          </w:p>
        </w:tc>
        <w:tc>
          <w:tcPr>
            <w:tcW w:w="3643" w:type="pct"/>
            <w:noWrap w:val="0"/>
            <w:vAlign w:val="top"/>
          </w:tcPr>
          <w:p w14:paraId="5DDC0AA2">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46.0</w:t>
            </w:r>
          </w:p>
        </w:tc>
      </w:tr>
      <w:tr w14:paraId="1313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23AEE1BF">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4265B76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爆炸上限（V%）：</w:t>
            </w:r>
          </w:p>
        </w:tc>
        <w:tc>
          <w:tcPr>
            <w:tcW w:w="3643" w:type="pct"/>
            <w:noWrap w:val="0"/>
            <w:vAlign w:val="top"/>
          </w:tcPr>
          <w:p w14:paraId="3595051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4.0</w:t>
            </w:r>
          </w:p>
        </w:tc>
      </w:tr>
      <w:tr w14:paraId="5FAA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48CE7EF">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1644DD31">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危险特性：</w:t>
            </w:r>
          </w:p>
        </w:tc>
        <w:tc>
          <w:tcPr>
            <w:tcW w:w="3643" w:type="pct"/>
            <w:noWrap w:val="0"/>
            <w:vAlign w:val="top"/>
          </w:tcPr>
          <w:p w14:paraId="01E2C665">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易燃，与空气混合能形成爆炸性混合物，遇明火、高热能引起燃烧爆炸。与浓硝酸、发烟硝酸或其它强氧化剂剧烈反应，发生爆炸。气体比空气重，能在较低处扩散到相当远的地方，遇火源会着火回燃。</w:t>
            </w:r>
          </w:p>
        </w:tc>
      </w:tr>
      <w:tr w14:paraId="301F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72C21C2B">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1E92DEBD">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燃烧（分解）产物：</w:t>
            </w:r>
          </w:p>
        </w:tc>
        <w:tc>
          <w:tcPr>
            <w:tcW w:w="3643" w:type="pct"/>
            <w:noWrap w:val="0"/>
            <w:vAlign w:val="top"/>
          </w:tcPr>
          <w:p w14:paraId="15ABC4B2">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氧化硫。</w:t>
            </w:r>
          </w:p>
        </w:tc>
      </w:tr>
      <w:tr w14:paraId="1AF5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A37790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5DE0B3C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禁忌物：</w:t>
            </w:r>
          </w:p>
        </w:tc>
        <w:tc>
          <w:tcPr>
            <w:tcW w:w="3643" w:type="pct"/>
            <w:noWrap w:val="0"/>
            <w:vAlign w:val="top"/>
          </w:tcPr>
          <w:p w14:paraId="0245C18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强氧化剂、碱类。</w:t>
            </w:r>
          </w:p>
        </w:tc>
      </w:tr>
      <w:tr w14:paraId="06A4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1E352D77">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290A3245">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灭火方法：</w:t>
            </w:r>
          </w:p>
        </w:tc>
        <w:tc>
          <w:tcPr>
            <w:tcW w:w="3643" w:type="pct"/>
            <w:noWrap w:val="0"/>
            <w:vAlign w:val="top"/>
          </w:tcPr>
          <w:p w14:paraId="3009BF6B">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消防人员必须穿全身防火防毒服，在上风向灭火。切断气源。若不能切断气源，则不允许熄灭泄漏处的火焰。喷水冷却容器，可能的话将容器从火场移至空旷处。灭火剂：雾状水、抗溶性泡沫、干粉。</w:t>
            </w:r>
          </w:p>
        </w:tc>
      </w:tr>
      <w:tr w14:paraId="5EBD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restart"/>
            <w:noWrap w:val="0"/>
            <w:vAlign w:val="center"/>
          </w:tcPr>
          <w:p w14:paraId="4E506BB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包装与储运</w:t>
            </w:r>
          </w:p>
        </w:tc>
        <w:tc>
          <w:tcPr>
            <w:tcW w:w="1107" w:type="pct"/>
            <w:noWrap w:val="0"/>
            <w:vAlign w:val="center"/>
          </w:tcPr>
          <w:p w14:paraId="5FC47DDE">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危险性类别：</w:t>
            </w:r>
          </w:p>
        </w:tc>
        <w:tc>
          <w:tcPr>
            <w:tcW w:w="3643" w:type="pct"/>
            <w:noWrap w:val="0"/>
            <w:vAlign w:val="top"/>
          </w:tcPr>
          <w:p w14:paraId="26597951">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有毒</w:t>
            </w:r>
          </w:p>
        </w:tc>
      </w:tr>
      <w:tr w14:paraId="6186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4F1D6C92">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31DDF46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危险货物包装</w:t>
            </w:r>
            <w:r>
              <w:rPr>
                <w:rFonts w:hint="eastAsia" w:ascii="Times New Roman" w:hAnsi="Times New Roman" w:eastAsia="宋体" w:cstheme="minorBidi"/>
                <w:b w:val="0"/>
                <w:bCs/>
                <w:color w:val="auto"/>
                <w:kern w:val="2"/>
                <w:sz w:val="21"/>
                <w:szCs w:val="28"/>
                <w:highlight w:val="none"/>
                <w:lang w:val="en-US" w:eastAsia="zh-CN" w:bidi="ar-SA"/>
              </w:rPr>
              <w:t>编号</w:t>
            </w:r>
            <w:r>
              <w:rPr>
                <w:rFonts w:ascii="Times New Roman" w:hAnsi="Times New Roman" w:eastAsia="宋体" w:cstheme="minorBidi"/>
                <w:b w:val="0"/>
                <w:bCs/>
                <w:color w:val="auto"/>
                <w:kern w:val="2"/>
                <w:sz w:val="21"/>
                <w:szCs w:val="28"/>
                <w:highlight w:val="none"/>
                <w:lang w:val="en-US" w:eastAsia="zh-CN" w:bidi="ar-SA"/>
              </w:rPr>
              <w:t>：</w:t>
            </w:r>
          </w:p>
        </w:tc>
        <w:tc>
          <w:tcPr>
            <w:tcW w:w="3643" w:type="pct"/>
            <w:noWrap w:val="0"/>
            <w:vAlign w:val="top"/>
          </w:tcPr>
          <w:p w14:paraId="29F669C7">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21006</w:t>
            </w:r>
          </w:p>
        </w:tc>
      </w:tr>
      <w:tr w14:paraId="6986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42EC58AB">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1E03AD7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包装类别：</w:t>
            </w:r>
          </w:p>
        </w:tc>
        <w:tc>
          <w:tcPr>
            <w:tcW w:w="3643" w:type="pct"/>
            <w:noWrap w:val="0"/>
            <w:vAlign w:val="top"/>
          </w:tcPr>
          <w:p w14:paraId="0D9D67FE">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O52</w:t>
            </w:r>
          </w:p>
        </w:tc>
      </w:tr>
      <w:tr w14:paraId="63D0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3A26CD8">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3DC884DA">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储运注意事项：</w:t>
            </w:r>
          </w:p>
        </w:tc>
        <w:tc>
          <w:tcPr>
            <w:tcW w:w="3643" w:type="pct"/>
            <w:noWrap w:val="0"/>
            <w:vAlign w:val="top"/>
          </w:tcPr>
          <w:p w14:paraId="32DE8905">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铁路运输时应严格按照铁道部《危险货物运输规则》中的危险货物配装表进行配装。采用刚瓶运输时必须戴好钢瓶上的安全帽。钢瓶一般平放，并应将瓶口朝同一方向，不可交叉；高度不得超过车辆的防护栏板，并用三角木垫卡牢，防止滚动。运输时运输车辆应配备相应品种和数量的消防器材。装运该物品的车辆排气管必须配备阻火装置，禁止使用易产生火花的机械设备和工具装卸。严禁与氧化剂、碱类、食用化学品等混装混运。夏季应早晚运输，防止日光曝晒。中途停留时应远离火种、热源。公路运输时要按规定路线行驶，禁止在居民区和人口稠密区停留。铁路运输时要禁止溜放。</w:t>
            </w:r>
          </w:p>
        </w:tc>
      </w:tr>
      <w:tr w14:paraId="01CE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731D8751">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7A1AAB6A">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健康危害：</w:t>
            </w:r>
          </w:p>
        </w:tc>
        <w:tc>
          <w:tcPr>
            <w:tcW w:w="3643" w:type="pct"/>
            <w:noWrap w:val="0"/>
            <w:vAlign w:val="top"/>
          </w:tcPr>
          <w:p w14:paraId="09541B4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本品是强烈的神经毒物，对粘膜有强烈刺激作用。急性中毒：短期内吸入高浓度硫化氢后出现流泪、眼痛、眼内异物感、畏光、视物模糊、流涕、咽喉部灼热感、咳嗽、胸闷、头痛、头晕、乏力、意识模糊等。部分患者可有心肌损害。重者可出现脑水肿、肺水肿。极高浓度（1000mg/m3 以上）时可在数秒钟内突然昏迷，呼吸和心跳骤停，发生闪电型死亡。高浓度接触眼结膜发生水肿和角膜溃疡。长期低浓度接触，引起神经衰弱综合征和植物神经功能紊乱。</w:t>
            </w:r>
          </w:p>
        </w:tc>
      </w:tr>
      <w:tr w14:paraId="6ABD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restart"/>
            <w:noWrap w:val="0"/>
            <w:vAlign w:val="center"/>
          </w:tcPr>
          <w:p w14:paraId="0342AD4C">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急</w:t>
            </w:r>
          </w:p>
          <w:p w14:paraId="6F27E3B1">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救</w:t>
            </w:r>
          </w:p>
        </w:tc>
        <w:tc>
          <w:tcPr>
            <w:tcW w:w="1107" w:type="pct"/>
            <w:noWrap w:val="0"/>
            <w:vAlign w:val="center"/>
          </w:tcPr>
          <w:p w14:paraId="25904BB8">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皮肤接触：</w:t>
            </w:r>
          </w:p>
        </w:tc>
        <w:tc>
          <w:tcPr>
            <w:tcW w:w="3643" w:type="pct"/>
            <w:noWrap w:val="0"/>
            <w:vAlign w:val="top"/>
          </w:tcPr>
          <w:p w14:paraId="1B11B35C">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r>
      <w:tr w14:paraId="71BA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DE4FB38">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69DEFC9D">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眼睛接触：</w:t>
            </w:r>
          </w:p>
        </w:tc>
        <w:tc>
          <w:tcPr>
            <w:tcW w:w="3643" w:type="pct"/>
            <w:noWrap w:val="0"/>
            <w:vAlign w:val="top"/>
          </w:tcPr>
          <w:p w14:paraId="43B66FF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立即提起眼睑，用大量流动清水或生理盐水彻底冲洗至少15分钟。就医。</w:t>
            </w:r>
          </w:p>
        </w:tc>
      </w:tr>
      <w:tr w14:paraId="435E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73CB15B5">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1341FC51">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吸入：</w:t>
            </w:r>
          </w:p>
        </w:tc>
        <w:tc>
          <w:tcPr>
            <w:tcW w:w="3643" w:type="pct"/>
            <w:noWrap w:val="0"/>
            <w:vAlign w:val="top"/>
          </w:tcPr>
          <w:p w14:paraId="611A68FB">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迅速脱离现场至空气新鲜处。保持呼吸道通畅。如呼吸困难，给输氧。如呼吸停止，立即进行人工呼吸。就医。</w:t>
            </w:r>
          </w:p>
        </w:tc>
      </w:tr>
      <w:tr w14:paraId="0277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restart"/>
            <w:noWrap w:val="0"/>
            <w:vAlign w:val="center"/>
          </w:tcPr>
          <w:p w14:paraId="1B432C9B">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防</w:t>
            </w:r>
          </w:p>
          <w:p w14:paraId="1D61D62F">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护</w:t>
            </w:r>
          </w:p>
          <w:p w14:paraId="432DC70E">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措</w:t>
            </w:r>
          </w:p>
          <w:p w14:paraId="44A0808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施</w:t>
            </w:r>
          </w:p>
        </w:tc>
        <w:tc>
          <w:tcPr>
            <w:tcW w:w="1107" w:type="pct"/>
            <w:noWrap w:val="0"/>
            <w:vAlign w:val="center"/>
          </w:tcPr>
          <w:p w14:paraId="123B1CB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工程控制：</w:t>
            </w:r>
          </w:p>
        </w:tc>
        <w:tc>
          <w:tcPr>
            <w:tcW w:w="3643" w:type="pct"/>
            <w:noWrap w:val="0"/>
            <w:vAlign w:val="top"/>
          </w:tcPr>
          <w:p w14:paraId="32347DCF">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严加密闭，提供充分的局部排风和全面通风。提供安全淋浴和洗眼设备。</w:t>
            </w:r>
          </w:p>
        </w:tc>
      </w:tr>
      <w:tr w14:paraId="3CF9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30CF670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5076BD87">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呼吸系统防护：</w:t>
            </w:r>
          </w:p>
        </w:tc>
        <w:tc>
          <w:tcPr>
            <w:tcW w:w="3643" w:type="pct"/>
            <w:noWrap w:val="0"/>
            <w:vAlign w:val="top"/>
          </w:tcPr>
          <w:p w14:paraId="28A9041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空气中浓度超标时，佩戴过滤式防毒面具（半面罩）。紧急事态抢救或撤离时，建议佩戴氧气呼吸器或空气呼吸器。</w:t>
            </w:r>
          </w:p>
        </w:tc>
      </w:tr>
      <w:tr w14:paraId="1113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53C0CD49">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67CBBC58">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眼睛防护：</w:t>
            </w:r>
          </w:p>
        </w:tc>
        <w:tc>
          <w:tcPr>
            <w:tcW w:w="3643" w:type="pct"/>
            <w:noWrap w:val="0"/>
            <w:vAlign w:val="top"/>
          </w:tcPr>
          <w:p w14:paraId="23422A80">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戴化学安全防护眼镜。</w:t>
            </w:r>
          </w:p>
        </w:tc>
      </w:tr>
      <w:tr w14:paraId="5624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5262B2C">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03B00A86">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防护服：</w:t>
            </w:r>
          </w:p>
        </w:tc>
        <w:tc>
          <w:tcPr>
            <w:tcW w:w="3643" w:type="pct"/>
            <w:noWrap w:val="0"/>
            <w:vAlign w:val="top"/>
          </w:tcPr>
          <w:p w14:paraId="1C95C85F">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穿防静电工作服。</w:t>
            </w:r>
          </w:p>
        </w:tc>
      </w:tr>
      <w:tr w14:paraId="6A52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36341283">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6D9AC1B1">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手防护：</w:t>
            </w:r>
          </w:p>
        </w:tc>
        <w:tc>
          <w:tcPr>
            <w:tcW w:w="3643" w:type="pct"/>
            <w:noWrap w:val="0"/>
            <w:vAlign w:val="top"/>
          </w:tcPr>
          <w:p w14:paraId="54F4D13F">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戴防化学品手套。</w:t>
            </w:r>
          </w:p>
        </w:tc>
      </w:tr>
      <w:tr w14:paraId="5499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D96E64D">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p>
        </w:tc>
        <w:tc>
          <w:tcPr>
            <w:tcW w:w="1107" w:type="pct"/>
            <w:noWrap w:val="0"/>
            <w:vAlign w:val="center"/>
          </w:tcPr>
          <w:p w14:paraId="36EF0B8A">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ascii="Times New Roman" w:hAnsi="Times New Roman" w:eastAsia="宋体" w:cstheme="minorBidi"/>
                <w:b w:val="0"/>
                <w:bCs/>
                <w:color w:val="auto"/>
                <w:kern w:val="2"/>
                <w:sz w:val="21"/>
                <w:szCs w:val="28"/>
                <w:highlight w:val="none"/>
                <w:lang w:val="en-US" w:eastAsia="zh-CN" w:bidi="ar-SA"/>
              </w:rPr>
              <w:t>其他：</w:t>
            </w:r>
          </w:p>
        </w:tc>
        <w:tc>
          <w:tcPr>
            <w:tcW w:w="3643" w:type="pct"/>
            <w:noWrap w:val="0"/>
            <w:vAlign w:val="top"/>
          </w:tcPr>
          <w:p w14:paraId="4088512D">
            <w:pPr>
              <w:widowControl w:val="0"/>
              <w:bidi w:val="0"/>
              <w:spacing w:line="240" w:lineRule="auto"/>
              <w:ind w:firstLine="0" w:firstLineChars="0"/>
              <w:jc w:val="center"/>
              <w:rPr>
                <w:rFonts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工作现场禁止吸烟、进食和饮水。工作完毕，淋浴更衣。及时换洗工作服。作业人员应学会自救互救。进入罐、限制性空间或其它高浓度区作业，须有人监护。</w:t>
            </w:r>
          </w:p>
        </w:tc>
      </w:tr>
    </w:tbl>
    <w:p w14:paraId="171A71D3">
      <w:pPr>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b w:val="0"/>
          <w:bCs/>
          <w:color w:val="auto"/>
          <w:lang w:val="en-US" w:eastAsia="zh-CN"/>
        </w:rPr>
      </w:pPr>
      <w:r>
        <w:rPr>
          <w:rFonts w:hint="eastAsia" w:ascii="Times New Roman" w:hAnsi="Times New Roman" w:eastAsia="宋体"/>
          <w:b w:val="0"/>
          <w:bCs/>
          <w:color w:val="auto"/>
          <w:lang w:val="en-US" w:eastAsia="zh-CN"/>
        </w:rPr>
        <w:t>6、硫化钠</w:t>
      </w:r>
    </w:p>
    <w:p w14:paraId="46CA71A5">
      <w:pPr>
        <w:widowControl w:val="0"/>
        <w:bidi w:val="0"/>
        <w:spacing w:line="360" w:lineRule="auto"/>
        <w:ind w:firstLine="0" w:firstLineChars="0"/>
        <w:jc w:val="center"/>
        <w:rPr>
          <w:rFonts w:ascii="Times New Roman" w:hAnsi="Times New Roman" w:eastAsia="宋体" w:cstheme="minorBidi"/>
          <w:b w:val="0"/>
          <w:bCs/>
          <w:color w:val="auto"/>
          <w:kern w:val="2"/>
          <w:sz w:val="24"/>
          <w:szCs w:val="28"/>
          <w:lang w:val="en-US" w:eastAsia="zh-CN" w:bidi="ar-SA"/>
        </w:rPr>
      </w:pPr>
      <w:r>
        <w:rPr>
          <w:rFonts w:hint="eastAsia" w:ascii="Times New Roman" w:hAnsi="Times New Roman" w:eastAsia="宋体" w:cstheme="minorBidi"/>
          <w:b w:val="0"/>
          <w:bCs/>
          <w:color w:val="auto"/>
          <w:kern w:val="2"/>
          <w:sz w:val="24"/>
          <w:szCs w:val="28"/>
          <w:lang w:val="en-US" w:eastAsia="zh-CN" w:bidi="ar-SA"/>
        </w:rPr>
        <w:t>表3.2-6  硫化钠理化特性表</w:t>
      </w:r>
    </w:p>
    <w:tbl>
      <w:tblPr>
        <w:tblStyle w:val="19"/>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3850"/>
        <w:gridCol w:w="4254"/>
      </w:tblGrid>
      <w:tr w14:paraId="022C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restart"/>
            <w:noWrap w:val="0"/>
            <w:vAlign w:val="center"/>
          </w:tcPr>
          <w:p w14:paraId="2D032C52">
            <w:pPr>
              <w:widowControl w:val="0"/>
              <w:bidi w:val="0"/>
              <w:spacing w:line="240" w:lineRule="auto"/>
              <w:ind w:firstLine="0" w:firstLineChars="0"/>
              <w:jc w:val="center"/>
              <w:rPr>
                <w:rFonts w:hint="default"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标识</w:t>
            </w:r>
          </w:p>
        </w:tc>
        <w:tc>
          <w:tcPr>
            <w:tcW w:w="2049" w:type="pct"/>
            <w:noWrap w:val="0"/>
            <w:vAlign w:val="top"/>
          </w:tcPr>
          <w:p w14:paraId="0F20B533">
            <w:pPr>
              <w:widowControl w:val="0"/>
              <w:bidi w:val="0"/>
              <w:spacing w:line="240" w:lineRule="auto"/>
              <w:ind w:firstLine="0" w:firstLineChars="0"/>
              <w:jc w:val="center"/>
              <w:rPr>
                <w:rFonts w:hint="default"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中文名称</w:t>
            </w:r>
          </w:p>
        </w:tc>
        <w:tc>
          <w:tcPr>
            <w:tcW w:w="2263" w:type="pct"/>
            <w:noWrap w:val="0"/>
            <w:vAlign w:val="top"/>
          </w:tcPr>
          <w:p w14:paraId="6868BCF7">
            <w:pPr>
              <w:widowControl w:val="0"/>
              <w:bidi w:val="0"/>
              <w:spacing w:line="240" w:lineRule="auto"/>
              <w:ind w:firstLine="0" w:firstLineChars="0"/>
              <w:jc w:val="center"/>
              <w:rPr>
                <w:rFonts w:hint="default"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硫化钠、臭碱</w:t>
            </w:r>
          </w:p>
        </w:tc>
      </w:tr>
      <w:tr w14:paraId="599A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03587EF5">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p>
        </w:tc>
        <w:tc>
          <w:tcPr>
            <w:tcW w:w="2049" w:type="pct"/>
            <w:noWrap w:val="0"/>
            <w:vAlign w:val="top"/>
          </w:tcPr>
          <w:p w14:paraId="1DE940A4">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英文名称</w:t>
            </w:r>
          </w:p>
        </w:tc>
        <w:tc>
          <w:tcPr>
            <w:tcW w:w="2263" w:type="pct"/>
            <w:noWrap w:val="0"/>
            <w:vAlign w:val="top"/>
          </w:tcPr>
          <w:p w14:paraId="5F83BF02">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Sodium sulfide</w:t>
            </w:r>
          </w:p>
        </w:tc>
      </w:tr>
      <w:tr w14:paraId="66B1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27E596DC">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p>
        </w:tc>
        <w:tc>
          <w:tcPr>
            <w:tcW w:w="2049" w:type="pct"/>
            <w:noWrap w:val="0"/>
            <w:vAlign w:val="top"/>
          </w:tcPr>
          <w:p w14:paraId="0C179802">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危规号</w:t>
            </w:r>
          </w:p>
        </w:tc>
        <w:tc>
          <w:tcPr>
            <w:tcW w:w="2263" w:type="pct"/>
            <w:noWrap w:val="0"/>
            <w:vAlign w:val="top"/>
          </w:tcPr>
          <w:p w14:paraId="53F8D9CC">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82011</w:t>
            </w:r>
          </w:p>
        </w:tc>
      </w:tr>
      <w:tr w14:paraId="3C2E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02B27816">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p>
        </w:tc>
        <w:tc>
          <w:tcPr>
            <w:tcW w:w="2049" w:type="pct"/>
            <w:noWrap w:val="0"/>
            <w:vAlign w:val="top"/>
          </w:tcPr>
          <w:p w14:paraId="1F4CD3D1">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CAS号</w:t>
            </w:r>
          </w:p>
        </w:tc>
        <w:tc>
          <w:tcPr>
            <w:tcW w:w="2263" w:type="pct"/>
            <w:noWrap w:val="0"/>
            <w:vAlign w:val="top"/>
          </w:tcPr>
          <w:p w14:paraId="3206D73E">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7757-83-7</w:t>
            </w:r>
          </w:p>
        </w:tc>
      </w:tr>
      <w:tr w14:paraId="2230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0ED0CE19">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p>
        </w:tc>
        <w:tc>
          <w:tcPr>
            <w:tcW w:w="2049" w:type="pct"/>
            <w:noWrap w:val="0"/>
            <w:vAlign w:val="top"/>
          </w:tcPr>
          <w:p w14:paraId="694A93DB">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分子式</w:t>
            </w:r>
          </w:p>
        </w:tc>
        <w:tc>
          <w:tcPr>
            <w:tcW w:w="2263" w:type="pct"/>
            <w:noWrap w:val="0"/>
            <w:vAlign w:val="top"/>
          </w:tcPr>
          <w:p w14:paraId="16B462CA">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Na</w:t>
            </w:r>
            <w:r>
              <w:rPr>
                <w:rFonts w:hint="eastAsia" w:ascii="Times New Roman" w:hAnsi="Times New Roman" w:eastAsia="宋体" w:cstheme="minorBidi"/>
                <w:b w:val="0"/>
                <w:bCs/>
                <w:color w:val="auto"/>
                <w:kern w:val="2"/>
                <w:sz w:val="21"/>
                <w:szCs w:val="28"/>
                <w:highlight w:val="none"/>
                <w:vertAlign w:val="subscript"/>
                <w:lang w:val="en-US" w:eastAsia="zh-CN" w:bidi="ar-SA"/>
              </w:rPr>
              <w:t>2</w:t>
            </w:r>
            <w:r>
              <w:rPr>
                <w:rFonts w:hint="eastAsia" w:ascii="Times New Roman" w:hAnsi="Times New Roman" w:eastAsia="宋体" w:cstheme="minorBidi"/>
                <w:b w:val="0"/>
                <w:bCs/>
                <w:color w:val="auto"/>
                <w:kern w:val="2"/>
                <w:sz w:val="21"/>
                <w:szCs w:val="28"/>
                <w:highlight w:val="none"/>
                <w:lang w:val="en-US" w:eastAsia="zh-CN" w:bidi="ar-SA"/>
              </w:rPr>
              <w:t>S</w:t>
            </w:r>
          </w:p>
        </w:tc>
      </w:tr>
      <w:tr w14:paraId="1668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42D721B5">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p>
        </w:tc>
        <w:tc>
          <w:tcPr>
            <w:tcW w:w="2049" w:type="pct"/>
            <w:noWrap w:val="0"/>
            <w:vAlign w:val="top"/>
          </w:tcPr>
          <w:p w14:paraId="49043DA2">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分子量</w:t>
            </w:r>
          </w:p>
        </w:tc>
        <w:tc>
          <w:tcPr>
            <w:tcW w:w="2263" w:type="pct"/>
            <w:noWrap w:val="0"/>
            <w:vAlign w:val="top"/>
          </w:tcPr>
          <w:p w14:paraId="2CBC164D">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78.04</w:t>
            </w:r>
          </w:p>
        </w:tc>
      </w:tr>
      <w:tr w14:paraId="05D8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034D5E03">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p>
        </w:tc>
        <w:tc>
          <w:tcPr>
            <w:tcW w:w="2049" w:type="pct"/>
            <w:noWrap w:val="0"/>
            <w:vAlign w:val="top"/>
          </w:tcPr>
          <w:p w14:paraId="1BC9B001">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危险性类别</w:t>
            </w:r>
          </w:p>
        </w:tc>
        <w:tc>
          <w:tcPr>
            <w:tcW w:w="2263" w:type="pct"/>
            <w:noWrap w:val="0"/>
            <w:vAlign w:val="top"/>
          </w:tcPr>
          <w:p w14:paraId="196F4B78">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第8.2 类碱性腐蚀品。</w:t>
            </w:r>
          </w:p>
        </w:tc>
      </w:tr>
      <w:tr w14:paraId="496C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33ED7ED8">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p>
        </w:tc>
        <w:tc>
          <w:tcPr>
            <w:tcW w:w="2049" w:type="pct"/>
            <w:noWrap w:val="0"/>
            <w:vAlign w:val="top"/>
          </w:tcPr>
          <w:p w14:paraId="15CB76B6">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UN编号</w:t>
            </w:r>
          </w:p>
        </w:tc>
        <w:tc>
          <w:tcPr>
            <w:tcW w:w="2263" w:type="pct"/>
            <w:noWrap w:val="0"/>
            <w:vAlign w:val="top"/>
          </w:tcPr>
          <w:p w14:paraId="19DDA6E2">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1894</w:t>
            </w:r>
          </w:p>
        </w:tc>
      </w:tr>
      <w:tr w14:paraId="0613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5698E374">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危险性概述</w:t>
            </w:r>
          </w:p>
        </w:tc>
        <w:tc>
          <w:tcPr>
            <w:tcW w:w="4313" w:type="pct"/>
            <w:gridSpan w:val="2"/>
            <w:noWrap w:val="0"/>
            <w:vAlign w:val="top"/>
          </w:tcPr>
          <w:p w14:paraId="2F040B4D">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健康危害：本品在胃肠道中能分解出硫化氢，口服后能引起硫化氢中毒。对皮肤和眼睛有腐蚀作用。</w:t>
            </w:r>
          </w:p>
          <w:p w14:paraId="6DA78190">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环境危害：对环境有危害。</w:t>
            </w:r>
          </w:p>
          <w:p w14:paraId="11BBFF96">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燃爆危险：本品易燃，具强腐蚀性、刺激性，可致人体灼伤。</w:t>
            </w:r>
          </w:p>
        </w:tc>
      </w:tr>
      <w:tr w14:paraId="77FF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135A73F6">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急救措施</w:t>
            </w:r>
          </w:p>
        </w:tc>
        <w:tc>
          <w:tcPr>
            <w:tcW w:w="4313" w:type="pct"/>
            <w:gridSpan w:val="2"/>
            <w:noWrap w:val="0"/>
            <w:vAlign w:val="top"/>
          </w:tcPr>
          <w:p w14:paraId="53B01FC1">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皮肤接触：立即脱去污染的衣着，用大量流动清水冲洗至少15分钟。就医。</w:t>
            </w:r>
          </w:p>
          <w:p w14:paraId="110F738B">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眼睛接触：立即提起眼睑，用大量流动清水或生理盐水彻底冲洗至少15分钟。就医。</w:t>
            </w:r>
          </w:p>
          <w:p w14:paraId="12020CFB">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吸入：迅速脱离现场至空气新鲜处。保持呼吸道通畅。如呼吸困难，给输氧。如呼吸停止，立即进行人工呼吸。就医。</w:t>
            </w:r>
          </w:p>
          <w:p w14:paraId="28F0FFD4">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食入：用水漱口，给饮牛奶或蛋清。就医。</w:t>
            </w:r>
          </w:p>
        </w:tc>
      </w:tr>
      <w:tr w14:paraId="0042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165FA695">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消防措施</w:t>
            </w:r>
          </w:p>
        </w:tc>
        <w:tc>
          <w:tcPr>
            <w:tcW w:w="4313" w:type="pct"/>
            <w:gridSpan w:val="2"/>
            <w:noWrap w:val="0"/>
            <w:vAlign w:val="top"/>
          </w:tcPr>
          <w:p w14:paraId="7803912B">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危险特性：无水物为自燃物品，其粉尘易在空气中自燃。遇酸分解， 放出剧毒的易燃气体。粉体与空气可形成爆炸性混合物。其水溶液有腐蚀性和强烈的刺激性。100℃时开始蒸发，蒸气可侵蚀玻璃。</w:t>
            </w:r>
          </w:p>
          <w:p w14:paraId="003B98E7">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有害燃烧产物：硫化氢、氧化硫。</w:t>
            </w:r>
          </w:p>
          <w:p w14:paraId="039F70AF">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灭火方法：采用水、雾状水、砂土灭火。</w:t>
            </w:r>
          </w:p>
        </w:tc>
      </w:tr>
      <w:tr w14:paraId="3CB1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7280FDA8">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泄漏应急处理</w:t>
            </w:r>
          </w:p>
        </w:tc>
        <w:tc>
          <w:tcPr>
            <w:tcW w:w="4313" w:type="pct"/>
            <w:gridSpan w:val="2"/>
            <w:noWrap w:val="0"/>
            <w:vAlign w:val="top"/>
          </w:tcPr>
          <w:p w14:paraId="4E58937E">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隔离泄漏污染区，限制出入。建议应急处理人员戴防尘面具（全面罩），穿防酸碱工作服。从上风处进入现场。小量泄漏：避免扬尘，用洁净的铲子收集于干燥、洁净、有盖的容器中。也可以用大量水冲洗，洗水稀释后放入废水系统。大量泄漏：收集回收或运至废物处理场所处置。</w:t>
            </w:r>
          </w:p>
        </w:tc>
      </w:tr>
      <w:tr w14:paraId="2DF9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1B35F541">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操作处置与储存</w:t>
            </w:r>
          </w:p>
        </w:tc>
        <w:tc>
          <w:tcPr>
            <w:tcW w:w="4313" w:type="pct"/>
            <w:gridSpan w:val="2"/>
            <w:noWrap w:val="0"/>
            <w:vAlign w:val="top"/>
          </w:tcPr>
          <w:p w14:paraId="57029B61">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操作注意事项：密闭操作。操作人员必须经过专门培训，严格遵守操作规程。建议操作人员佩戴自吸过滤式防尘口罩，戴化学安全防护眼镜，穿橡胶耐酸碱服，戴橡胶耐酸碱手套。远离火种、热源，工作场所严禁吸烟。使用防爆型的通风系统和设备。避免产生粉尘。避免与氧化剂、酸类接触。搬运时要轻装轻卸，防止包装及容器损坏。配备相应品种和数量的消防器材及泄漏应急处理设备。倒空的容器可能残留有害物。</w:t>
            </w:r>
          </w:p>
          <w:p w14:paraId="001A872F">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储存注意事项：储存于阴凉、通风的库房。远离火种、热源。库内湿度最好不大于85％。包装密封。应与氧化剂、酸类分开存放，切忌混储。不宜久存，以免变质。配备相应品种和数量的消防器材。储区应备有合适的材料收容泄漏物。</w:t>
            </w:r>
          </w:p>
        </w:tc>
      </w:tr>
      <w:tr w14:paraId="6F40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23387EFC">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接触控制及个体防护</w:t>
            </w:r>
          </w:p>
        </w:tc>
        <w:tc>
          <w:tcPr>
            <w:tcW w:w="4313" w:type="pct"/>
            <w:gridSpan w:val="2"/>
            <w:noWrap w:val="0"/>
            <w:vAlign w:val="top"/>
          </w:tcPr>
          <w:p w14:paraId="34D143E3">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接触限值：中国：未制定标准；前苏联MAC（mg/m</w:t>
            </w:r>
            <w:r>
              <w:rPr>
                <w:rFonts w:hint="eastAsia" w:ascii="Times New Roman" w:hAnsi="Times New Roman" w:eastAsia="宋体" w:cstheme="minorBidi"/>
                <w:b w:val="0"/>
                <w:bCs/>
                <w:color w:val="auto"/>
                <w:kern w:val="2"/>
                <w:sz w:val="21"/>
                <w:szCs w:val="28"/>
                <w:highlight w:val="none"/>
                <w:vertAlign w:val="superscript"/>
                <w:lang w:val="en-US" w:eastAsia="zh-CN" w:bidi="ar-SA"/>
              </w:rPr>
              <w:t>3</w:t>
            </w:r>
            <w:r>
              <w:rPr>
                <w:rFonts w:hint="eastAsia" w:ascii="Times New Roman" w:hAnsi="Times New Roman" w:eastAsia="宋体" w:cstheme="minorBidi"/>
                <w:b w:val="0"/>
                <w:bCs/>
                <w:color w:val="auto"/>
                <w:kern w:val="2"/>
                <w:sz w:val="21"/>
                <w:szCs w:val="28"/>
                <w:highlight w:val="none"/>
                <w:lang w:val="en-US" w:eastAsia="zh-CN" w:bidi="ar-SA"/>
              </w:rPr>
              <w:t>）0.2</w:t>
            </w:r>
          </w:p>
          <w:p w14:paraId="0D3A88BE">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工程控制：密闭操作。提供安全淋浴和洗眼设备。</w:t>
            </w:r>
          </w:p>
          <w:p w14:paraId="2F4C540B">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呼吸系统防护：可能接触其粉尘时，必须佩戴自吸过滤式防尘口罩。必要时，佩戴空气呼吸器。</w:t>
            </w:r>
          </w:p>
          <w:p w14:paraId="27051299">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眼睛防护：戴化学安全防护眼镜。</w:t>
            </w:r>
          </w:p>
          <w:p w14:paraId="1844F5F5">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身体防护：穿橡胶耐酸碱服。</w:t>
            </w:r>
          </w:p>
          <w:p w14:paraId="59C22961">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手防护：戴橡胶耐酸碱手套。</w:t>
            </w:r>
          </w:p>
          <w:p w14:paraId="38EAEA79">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其他防护：工作场所禁止吸烟、进食和饮水，饭前要洗手。工作完毕，淋浴更衣。注意个人清洁卫生。</w:t>
            </w:r>
          </w:p>
        </w:tc>
      </w:tr>
      <w:tr w14:paraId="3BC5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34A17840">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理化特性</w:t>
            </w:r>
          </w:p>
        </w:tc>
        <w:tc>
          <w:tcPr>
            <w:tcW w:w="4313" w:type="pct"/>
            <w:gridSpan w:val="2"/>
            <w:noWrap w:val="0"/>
            <w:vAlign w:val="top"/>
          </w:tcPr>
          <w:p w14:paraId="392FB723">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含量：工业级 一级≥60.0％。外观与性状：无色或米黄色颗粒结晶，工业品为红褐色或砖红色块状。</w:t>
            </w:r>
          </w:p>
          <w:p w14:paraId="200B16C0">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溶解性：易溶于水，不溶于乙醚，微溶于乙醇。</w:t>
            </w:r>
          </w:p>
          <w:p w14:paraId="6A0E81B1">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熔点（℃）：1180　　　沸点（℃）：无资料　　　闪点（℃）：无意义　　　饱和蒸气压（kPa）：无资料</w:t>
            </w:r>
          </w:p>
          <w:p w14:paraId="03581610">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相对密度（水=1）：1.86　　　相对蒸气密度（空气=1）：无资料　　　爆炸极限%（V/V）：无资料</w:t>
            </w:r>
          </w:p>
          <w:p w14:paraId="1387C1DF">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临界温度（℃）：无意义　　　临界压力（MPa）：无意义　　　引燃温度（℃）：无资料</w:t>
            </w:r>
          </w:p>
          <w:p w14:paraId="18EB0FEE">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主要用途：用于制造硫化染料，皮革脱毛剂，金属冶炼，照相，人造丝脱硝等。</w:t>
            </w:r>
          </w:p>
          <w:p w14:paraId="68A86889">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禁配物：酸类、强氧化剂。</w:t>
            </w:r>
          </w:p>
        </w:tc>
      </w:tr>
      <w:tr w14:paraId="6D91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46E41BBA">
            <w:pPr>
              <w:widowControl w:val="0"/>
              <w:bidi w:val="0"/>
              <w:spacing w:line="240" w:lineRule="auto"/>
              <w:ind w:firstLine="0" w:firstLineChars="0"/>
              <w:jc w:val="center"/>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运输信息</w:t>
            </w:r>
          </w:p>
        </w:tc>
        <w:tc>
          <w:tcPr>
            <w:tcW w:w="4313" w:type="pct"/>
            <w:gridSpan w:val="2"/>
            <w:noWrap w:val="0"/>
            <w:vAlign w:val="top"/>
          </w:tcPr>
          <w:p w14:paraId="17E5DEE1">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包装方法：装入0.5mm厚的钢桶中严封，每桶净重不超过100公斤；螺纹口玻璃瓶、铁盖压口玻璃瓶、塑料瓶或金属桶（罐）外普通木箱；螺纹口玻璃瓶、塑料瓶或镀锡薄钢板桶（罐）外满底板花格箱、纤维板箱或胶合板箱；镀锡薄钢板桶（罐）、金属桶（罐）、塑料瓶或金属软管外瓦楞纸箱。</w:t>
            </w:r>
          </w:p>
          <w:p w14:paraId="1811768F">
            <w:pPr>
              <w:widowControl w:val="0"/>
              <w:bidi w:val="0"/>
              <w:spacing w:line="240" w:lineRule="auto"/>
              <w:ind w:firstLine="0" w:firstLineChars="0"/>
              <w:jc w:val="both"/>
              <w:rPr>
                <w:rFonts w:hint="eastAsia" w:ascii="Times New Roman" w:hAnsi="Times New Roman" w:eastAsia="宋体" w:cstheme="minorBidi"/>
                <w:b w:val="0"/>
                <w:bCs/>
                <w:color w:val="auto"/>
                <w:kern w:val="2"/>
                <w:sz w:val="21"/>
                <w:szCs w:val="28"/>
                <w:highlight w:val="none"/>
                <w:lang w:val="en-US" w:eastAsia="zh-CN" w:bidi="ar-SA"/>
              </w:rPr>
            </w:pPr>
            <w:r>
              <w:rPr>
                <w:rFonts w:hint="eastAsia" w:ascii="Times New Roman" w:hAnsi="Times New Roman" w:eastAsia="宋体" w:cstheme="minorBidi"/>
                <w:b w:val="0"/>
                <w:bCs/>
                <w:color w:val="auto"/>
                <w:kern w:val="2"/>
                <w:sz w:val="21"/>
                <w:szCs w:val="28"/>
                <w:highlight w:val="none"/>
                <w:lang w:val="en-US" w:eastAsia="zh-CN" w:bidi="ar-SA"/>
              </w:rPr>
              <w:t>运输注意事项：铁路运输时，钢桶包装的可用敞车运输。铁路运输时应严格按照铁道部《危险货物运输规则》中的危险货物配装表进行配装。起运时包装要完整，装载应稳妥。运输过程中要确保容器不泄漏、不倒塌、不坠落、不损坏。严禁与氧化剂、酸类、食用化学品等混装混运。运输时运输车辆应配备相应品种和数量的消防器材及泄漏应急处理设备。</w:t>
            </w:r>
          </w:p>
        </w:tc>
      </w:tr>
    </w:tbl>
    <w:p w14:paraId="7A88A3D7">
      <w:pPr>
        <w:keepNext w:val="0"/>
        <w:keepLines w:val="0"/>
        <w:pageBreakBefore w:val="0"/>
        <w:widowControl w:val="0"/>
        <w:kinsoku/>
        <w:wordWrap/>
        <w:overflowPunct/>
        <w:topLinePunct w:val="0"/>
        <w:autoSpaceDE/>
        <w:autoSpaceDN/>
        <w:bidi w:val="0"/>
        <w:adjustRightInd/>
        <w:snapToGrid/>
        <w:textAlignment w:val="auto"/>
        <w:outlineLvl w:val="9"/>
        <w:rPr>
          <w:rFonts w:hint="eastAsia"/>
          <w:b w:val="0"/>
          <w:bCs/>
          <w:color w:val="auto"/>
          <w:lang w:val="en-US" w:eastAsia="zh-CN"/>
        </w:rPr>
      </w:pPr>
      <w:r>
        <w:rPr>
          <w:rFonts w:hint="eastAsia"/>
          <w:b w:val="0"/>
          <w:bCs/>
          <w:color w:val="auto"/>
          <w:lang w:val="en-US" w:eastAsia="zh-CN"/>
        </w:rPr>
        <w:t>7、</w:t>
      </w:r>
      <w:r>
        <w:rPr>
          <w:rFonts w:hint="eastAsia"/>
          <w:b w:val="0"/>
          <w:bCs/>
          <w:color w:val="auto"/>
        </w:rPr>
        <w:t>丁基黄药</w:t>
      </w:r>
    </w:p>
    <w:p w14:paraId="6C0F74B2">
      <w:pPr>
        <w:pStyle w:val="24"/>
        <w:bidi w:val="0"/>
        <w:rPr>
          <w:b w:val="0"/>
          <w:bCs/>
          <w:color w:val="auto"/>
        </w:rPr>
      </w:pPr>
      <w:r>
        <w:rPr>
          <w:rFonts w:hint="eastAsia"/>
          <w:b w:val="0"/>
          <w:bCs/>
          <w:color w:val="auto"/>
        </w:rPr>
        <w:t>表3.</w:t>
      </w:r>
      <w:r>
        <w:rPr>
          <w:rFonts w:hint="eastAsia"/>
          <w:b w:val="0"/>
          <w:bCs/>
          <w:color w:val="auto"/>
          <w:lang w:val="en-US" w:eastAsia="zh-CN"/>
        </w:rPr>
        <w:t>2</w:t>
      </w:r>
      <w:r>
        <w:rPr>
          <w:rFonts w:hint="eastAsia"/>
          <w:b w:val="0"/>
          <w:bCs/>
          <w:color w:val="auto"/>
        </w:rPr>
        <w:t>-</w:t>
      </w:r>
      <w:r>
        <w:rPr>
          <w:rFonts w:hint="eastAsia"/>
          <w:b w:val="0"/>
          <w:bCs/>
          <w:color w:val="auto"/>
          <w:lang w:val="en-US" w:eastAsia="zh-CN"/>
        </w:rPr>
        <w:t>7</w:t>
      </w:r>
      <w:r>
        <w:rPr>
          <w:rFonts w:hint="eastAsia"/>
          <w:b w:val="0"/>
          <w:bCs/>
          <w:color w:val="auto"/>
        </w:rPr>
        <w:t xml:space="preserve">  丁基黄药理化特性表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2"/>
        <w:gridCol w:w="7239"/>
      </w:tblGrid>
      <w:tr w14:paraId="3A25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7F5E58B5">
            <w:pPr>
              <w:pStyle w:val="25"/>
              <w:bidi w:val="0"/>
              <w:rPr>
                <w:b w:val="0"/>
                <w:bCs/>
                <w:color w:val="auto"/>
              </w:rPr>
            </w:pPr>
            <w:r>
              <w:rPr>
                <w:b w:val="0"/>
                <w:bCs/>
                <w:color w:val="auto"/>
              </w:rPr>
              <w:t>中文名称：</w:t>
            </w:r>
          </w:p>
        </w:tc>
        <w:tc>
          <w:tcPr>
            <w:tcW w:w="3849" w:type="pct"/>
            <w:vAlign w:val="center"/>
          </w:tcPr>
          <w:p w14:paraId="617E0226">
            <w:pPr>
              <w:pStyle w:val="25"/>
              <w:bidi w:val="0"/>
              <w:rPr>
                <w:b w:val="0"/>
                <w:bCs/>
                <w:color w:val="auto"/>
              </w:rPr>
            </w:pPr>
            <w:r>
              <w:rPr>
                <w:b w:val="0"/>
                <w:bCs/>
                <w:color w:val="auto"/>
              </w:rPr>
              <w:t>丁基黄药</w:t>
            </w:r>
          </w:p>
        </w:tc>
      </w:tr>
      <w:tr w14:paraId="5C34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4845DF0E">
            <w:pPr>
              <w:pStyle w:val="25"/>
              <w:bidi w:val="0"/>
              <w:rPr>
                <w:b w:val="0"/>
                <w:bCs/>
                <w:color w:val="auto"/>
              </w:rPr>
            </w:pPr>
            <w:r>
              <w:rPr>
                <w:b w:val="0"/>
                <w:bCs/>
                <w:color w:val="auto"/>
              </w:rPr>
              <w:t>英文名称：</w:t>
            </w:r>
          </w:p>
        </w:tc>
        <w:tc>
          <w:tcPr>
            <w:tcW w:w="3849" w:type="pct"/>
            <w:vAlign w:val="center"/>
          </w:tcPr>
          <w:p w14:paraId="3B8AF062">
            <w:pPr>
              <w:pStyle w:val="25"/>
              <w:bidi w:val="0"/>
              <w:rPr>
                <w:b w:val="0"/>
                <w:bCs/>
                <w:color w:val="auto"/>
              </w:rPr>
            </w:pPr>
            <w:r>
              <w:rPr>
                <w:b w:val="0"/>
                <w:bCs/>
                <w:color w:val="auto"/>
              </w:rPr>
              <w:t xml:space="preserve">Sodium n-butylxanthate </w:t>
            </w:r>
          </w:p>
        </w:tc>
      </w:tr>
      <w:tr w14:paraId="275B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69F8010B">
            <w:pPr>
              <w:pStyle w:val="25"/>
              <w:bidi w:val="0"/>
              <w:rPr>
                <w:b w:val="0"/>
                <w:bCs/>
                <w:color w:val="auto"/>
              </w:rPr>
            </w:pPr>
            <w:r>
              <w:rPr>
                <w:b w:val="0"/>
                <w:bCs/>
                <w:color w:val="auto"/>
              </w:rPr>
              <w:t>分子式：</w:t>
            </w:r>
          </w:p>
        </w:tc>
        <w:tc>
          <w:tcPr>
            <w:tcW w:w="3849" w:type="pct"/>
            <w:vAlign w:val="center"/>
          </w:tcPr>
          <w:p w14:paraId="6A4D0239">
            <w:pPr>
              <w:pStyle w:val="25"/>
              <w:bidi w:val="0"/>
              <w:rPr>
                <w:b w:val="0"/>
                <w:bCs/>
                <w:color w:val="auto"/>
              </w:rPr>
            </w:pPr>
            <w:r>
              <w:rPr>
                <w:b w:val="0"/>
                <w:bCs/>
                <w:color w:val="auto"/>
              </w:rPr>
              <w:t>C</w:t>
            </w:r>
            <w:r>
              <w:rPr>
                <w:b w:val="0"/>
                <w:bCs/>
                <w:color w:val="auto"/>
                <w:vertAlign w:val="subscript"/>
              </w:rPr>
              <w:t>5</w:t>
            </w:r>
            <w:r>
              <w:rPr>
                <w:b w:val="0"/>
                <w:bCs/>
                <w:color w:val="auto"/>
              </w:rPr>
              <w:t>H</w:t>
            </w:r>
            <w:r>
              <w:rPr>
                <w:b w:val="0"/>
                <w:bCs/>
                <w:color w:val="auto"/>
                <w:vertAlign w:val="subscript"/>
              </w:rPr>
              <w:t>10</w:t>
            </w:r>
            <w:r>
              <w:rPr>
                <w:b w:val="0"/>
                <w:bCs/>
                <w:color w:val="auto"/>
              </w:rPr>
              <w:t>OS</w:t>
            </w:r>
            <w:r>
              <w:rPr>
                <w:b w:val="0"/>
                <w:bCs/>
                <w:color w:val="auto"/>
                <w:vertAlign w:val="subscript"/>
              </w:rPr>
              <w:t>2</w:t>
            </w:r>
          </w:p>
        </w:tc>
      </w:tr>
      <w:tr w14:paraId="5732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70225656">
            <w:pPr>
              <w:pStyle w:val="25"/>
              <w:bidi w:val="0"/>
              <w:rPr>
                <w:b w:val="0"/>
                <w:bCs/>
                <w:color w:val="auto"/>
              </w:rPr>
            </w:pPr>
            <w:r>
              <w:rPr>
                <w:b w:val="0"/>
                <w:bCs/>
                <w:color w:val="auto"/>
              </w:rPr>
              <w:t>相对分子质量：</w:t>
            </w:r>
          </w:p>
        </w:tc>
        <w:tc>
          <w:tcPr>
            <w:tcW w:w="3849" w:type="pct"/>
            <w:vAlign w:val="center"/>
          </w:tcPr>
          <w:p w14:paraId="705710F5">
            <w:pPr>
              <w:pStyle w:val="25"/>
              <w:bidi w:val="0"/>
              <w:rPr>
                <w:b w:val="0"/>
                <w:bCs/>
                <w:color w:val="auto"/>
              </w:rPr>
            </w:pPr>
            <w:r>
              <w:rPr>
                <w:b w:val="0"/>
                <w:bCs/>
                <w:color w:val="auto"/>
              </w:rPr>
              <w:t>150.26</w:t>
            </w:r>
          </w:p>
        </w:tc>
      </w:tr>
      <w:tr w14:paraId="3C85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477CD962">
            <w:pPr>
              <w:pStyle w:val="25"/>
              <w:bidi w:val="0"/>
              <w:rPr>
                <w:b w:val="0"/>
                <w:bCs/>
                <w:color w:val="auto"/>
              </w:rPr>
            </w:pPr>
            <w:r>
              <w:rPr>
                <w:b w:val="0"/>
                <w:bCs/>
                <w:color w:val="auto"/>
              </w:rPr>
              <w:t>CAS号：</w:t>
            </w:r>
          </w:p>
        </w:tc>
        <w:tc>
          <w:tcPr>
            <w:tcW w:w="3849" w:type="pct"/>
            <w:vAlign w:val="center"/>
          </w:tcPr>
          <w:p w14:paraId="1BAC4FFB">
            <w:pPr>
              <w:pStyle w:val="25"/>
              <w:bidi w:val="0"/>
              <w:rPr>
                <w:b w:val="0"/>
                <w:bCs/>
                <w:color w:val="auto"/>
              </w:rPr>
            </w:pPr>
            <w:r>
              <w:rPr>
                <w:b w:val="0"/>
                <w:bCs/>
                <w:color w:val="auto"/>
              </w:rPr>
              <w:t>110-50-9</w:t>
            </w:r>
          </w:p>
        </w:tc>
      </w:tr>
      <w:tr w14:paraId="316A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5A1D4BB2">
            <w:pPr>
              <w:pStyle w:val="25"/>
              <w:bidi w:val="0"/>
              <w:rPr>
                <w:b w:val="0"/>
                <w:bCs/>
                <w:color w:val="auto"/>
              </w:rPr>
            </w:pPr>
            <w:r>
              <w:rPr>
                <w:b w:val="0"/>
                <w:bCs/>
                <w:color w:val="auto"/>
              </w:rPr>
              <w:t>主要用途：</w:t>
            </w:r>
          </w:p>
        </w:tc>
        <w:tc>
          <w:tcPr>
            <w:tcW w:w="3849" w:type="pct"/>
            <w:vAlign w:val="center"/>
          </w:tcPr>
          <w:p w14:paraId="30EDE4AD">
            <w:pPr>
              <w:pStyle w:val="25"/>
              <w:bidi w:val="0"/>
              <w:rPr>
                <w:b w:val="0"/>
                <w:bCs/>
                <w:color w:val="auto"/>
              </w:rPr>
            </w:pPr>
            <w:r>
              <w:rPr>
                <w:b w:val="0"/>
                <w:bCs/>
                <w:color w:val="auto"/>
              </w:rPr>
              <w:t>硫化矿的优良捕收剂，选择性好，捕收能力适中，特别适用于黄铜矿、闪锌矿、黄铁矿等的浮选。还可用于湿法冶金沉淀剂及橡胶硫化促进剂。</w:t>
            </w:r>
          </w:p>
        </w:tc>
      </w:tr>
      <w:tr w14:paraId="3E74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5DFFEEAC">
            <w:pPr>
              <w:pStyle w:val="25"/>
              <w:bidi w:val="0"/>
              <w:rPr>
                <w:b w:val="0"/>
                <w:bCs/>
                <w:color w:val="auto"/>
              </w:rPr>
            </w:pPr>
            <w:r>
              <w:rPr>
                <w:b w:val="0"/>
                <w:bCs/>
                <w:color w:val="auto"/>
              </w:rPr>
              <w:t>危险性概述</w:t>
            </w:r>
          </w:p>
        </w:tc>
      </w:tr>
      <w:tr w14:paraId="0D41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0AE76D85">
            <w:pPr>
              <w:pStyle w:val="25"/>
              <w:bidi w:val="0"/>
              <w:rPr>
                <w:b w:val="0"/>
                <w:bCs/>
                <w:color w:val="auto"/>
              </w:rPr>
            </w:pPr>
            <w:r>
              <w:rPr>
                <w:b w:val="0"/>
                <w:bCs/>
                <w:color w:val="auto"/>
              </w:rPr>
              <w:t>危险性类别：</w:t>
            </w:r>
          </w:p>
        </w:tc>
        <w:tc>
          <w:tcPr>
            <w:tcW w:w="3849" w:type="pct"/>
            <w:vAlign w:val="center"/>
          </w:tcPr>
          <w:p w14:paraId="6B614282">
            <w:pPr>
              <w:pStyle w:val="25"/>
              <w:bidi w:val="0"/>
              <w:rPr>
                <w:b w:val="0"/>
                <w:bCs/>
                <w:color w:val="auto"/>
              </w:rPr>
            </w:pPr>
            <w:r>
              <w:rPr>
                <w:b w:val="0"/>
                <w:bCs/>
                <w:color w:val="auto"/>
              </w:rPr>
              <w:t>刺激、腐蚀、中等毒性。</w:t>
            </w:r>
          </w:p>
        </w:tc>
      </w:tr>
      <w:tr w14:paraId="493A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205D3013">
            <w:pPr>
              <w:pStyle w:val="25"/>
              <w:bidi w:val="0"/>
              <w:rPr>
                <w:b w:val="0"/>
                <w:bCs/>
                <w:color w:val="auto"/>
              </w:rPr>
            </w:pPr>
            <w:r>
              <w:rPr>
                <w:b w:val="0"/>
                <w:bCs/>
                <w:color w:val="auto"/>
              </w:rPr>
              <w:t>侵入途径：</w:t>
            </w:r>
          </w:p>
        </w:tc>
        <w:tc>
          <w:tcPr>
            <w:tcW w:w="3849" w:type="pct"/>
            <w:vAlign w:val="center"/>
          </w:tcPr>
          <w:p w14:paraId="320A1E52">
            <w:pPr>
              <w:pStyle w:val="25"/>
              <w:bidi w:val="0"/>
              <w:rPr>
                <w:b w:val="0"/>
                <w:bCs/>
                <w:color w:val="auto"/>
              </w:rPr>
            </w:pPr>
            <w:r>
              <w:rPr>
                <w:b w:val="0"/>
                <w:bCs/>
                <w:color w:val="auto"/>
              </w:rPr>
              <w:t>吸食、经皮、粘膜吸收。</w:t>
            </w:r>
          </w:p>
        </w:tc>
      </w:tr>
      <w:tr w14:paraId="0E43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52F7B281">
            <w:pPr>
              <w:pStyle w:val="25"/>
              <w:bidi w:val="0"/>
              <w:rPr>
                <w:b w:val="0"/>
                <w:bCs/>
                <w:color w:val="auto"/>
              </w:rPr>
            </w:pPr>
            <w:r>
              <w:rPr>
                <w:b w:val="0"/>
                <w:bCs/>
                <w:color w:val="auto"/>
              </w:rPr>
              <w:t>健康危害：</w:t>
            </w:r>
          </w:p>
        </w:tc>
        <w:tc>
          <w:tcPr>
            <w:tcW w:w="3849" w:type="pct"/>
            <w:vAlign w:val="center"/>
          </w:tcPr>
          <w:p w14:paraId="0387DD5A">
            <w:pPr>
              <w:pStyle w:val="25"/>
              <w:bidi w:val="0"/>
              <w:rPr>
                <w:b w:val="0"/>
                <w:bCs/>
                <w:color w:val="auto"/>
              </w:rPr>
            </w:pPr>
            <w:r>
              <w:rPr>
                <w:b w:val="0"/>
                <w:bCs/>
                <w:color w:val="auto"/>
              </w:rPr>
              <w:t>黄药对动物和人的毒害主要表现在对神经系统和肝脏等器官的损害。对肝脏的损害主要是由于黄药与金属离子的反应产物易在肝脏中积累，长期下去会导致肝脏病变；对神经系统的损害主要是由于进入动物或人体内的黄药在微酸性条件下被分解，所得产物之一二硫化碳属疏水亲脂的非极性物质，可通过血脑屏障进入大脑，使神经系统产生病症。</w:t>
            </w:r>
          </w:p>
        </w:tc>
      </w:tr>
      <w:tr w14:paraId="15E0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4DD43B6C">
            <w:pPr>
              <w:pStyle w:val="25"/>
              <w:bidi w:val="0"/>
              <w:rPr>
                <w:b w:val="0"/>
                <w:bCs/>
                <w:color w:val="auto"/>
              </w:rPr>
            </w:pPr>
            <w:r>
              <w:rPr>
                <w:b w:val="0"/>
                <w:bCs/>
                <w:color w:val="auto"/>
              </w:rPr>
              <w:t>环境危害：</w:t>
            </w:r>
          </w:p>
        </w:tc>
        <w:tc>
          <w:tcPr>
            <w:tcW w:w="3849" w:type="pct"/>
            <w:vAlign w:val="center"/>
          </w:tcPr>
          <w:p w14:paraId="61F883AF">
            <w:pPr>
              <w:pStyle w:val="25"/>
              <w:bidi w:val="0"/>
              <w:rPr>
                <w:b w:val="0"/>
                <w:bCs/>
                <w:color w:val="auto"/>
              </w:rPr>
            </w:pPr>
            <w:r>
              <w:rPr>
                <w:b w:val="0"/>
                <w:bCs/>
                <w:color w:val="auto"/>
              </w:rPr>
              <w:t>黄药具有恶臭，可使水质发臭，导致水域中鱼虾减少，鱼体变形，鱼肉有异味且不宜烹调，并严重影响附近水域的生态平衡。会对周边生态环境产生一定的危害。</w:t>
            </w:r>
          </w:p>
        </w:tc>
      </w:tr>
      <w:tr w14:paraId="6BC0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6C5FF7D8">
            <w:pPr>
              <w:pStyle w:val="25"/>
              <w:bidi w:val="0"/>
              <w:rPr>
                <w:b w:val="0"/>
                <w:bCs/>
                <w:color w:val="auto"/>
              </w:rPr>
            </w:pPr>
            <w:r>
              <w:rPr>
                <w:b w:val="0"/>
                <w:bCs/>
                <w:color w:val="auto"/>
              </w:rPr>
              <w:t>燃爆危险：</w:t>
            </w:r>
          </w:p>
        </w:tc>
        <w:tc>
          <w:tcPr>
            <w:tcW w:w="3849" w:type="pct"/>
            <w:vAlign w:val="center"/>
          </w:tcPr>
          <w:p w14:paraId="38B3FB67">
            <w:pPr>
              <w:pStyle w:val="25"/>
              <w:bidi w:val="0"/>
              <w:rPr>
                <w:b w:val="0"/>
                <w:bCs/>
                <w:color w:val="auto"/>
              </w:rPr>
            </w:pPr>
            <w:r>
              <w:rPr>
                <w:b w:val="0"/>
                <w:bCs/>
                <w:color w:val="auto"/>
              </w:rPr>
              <w:t>本品易燃。</w:t>
            </w:r>
          </w:p>
        </w:tc>
      </w:tr>
      <w:tr w14:paraId="02E0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5FA61E30">
            <w:pPr>
              <w:pStyle w:val="25"/>
              <w:bidi w:val="0"/>
              <w:rPr>
                <w:b w:val="0"/>
                <w:bCs/>
                <w:color w:val="auto"/>
              </w:rPr>
            </w:pPr>
            <w:r>
              <w:rPr>
                <w:b w:val="0"/>
                <w:bCs/>
                <w:color w:val="auto"/>
              </w:rPr>
              <w:t>急救措施</w:t>
            </w:r>
          </w:p>
        </w:tc>
      </w:tr>
      <w:tr w14:paraId="6C58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0A3BE67A">
            <w:pPr>
              <w:pStyle w:val="25"/>
              <w:bidi w:val="0"/>
              <w:rPr>
                <w:b w:val="0"/>
                <w:bCs/>
                <w:color w:val="auto"/>
              </w:rPr>
            </w:pPr>
            <w:r>
              <w:rPr>
                <w:b w:val="0"/>
                <w:bCs/>
                <w:color w:val="auto"/>
              </w:rPr>
              <w:t>皮肤接触：</w:t>
            </w:r>
          </w:p>
        </w:tc>
        <w:tc>
          <w:tcPr>
            <w:tcW w:w="3849" w:type="pct"/>
            <w:vAlign w:val="center"/>
          </w:tcPr>
          <w:p w14:paraId="37059603">
            <w:pPr>
              <w:pStyle w:val="25"/>
              <w:bidi w:val="0"/>
              <w:rPr>
                <w:b w:val="0"/>
                <w:bCs/>
                <w:color w:val="auto"/>
              </w:rPr>
            </w:pPr>
            <w:r>
              <w:rPr>
                <w:b w:val="0"/>
                <w:bCs/>
                <w:color w:val="auto"/>
              </w:rPr>
              <w:t>立即脱去污染的衣着，用大量流动清水冲洗至少15分钟。就医。</w:t>
            </w:r>
          </w:p>
        </w:tc>
      </w:tr>
      <w:tr w14:paraId="38F7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2564E283">
            <w:pPr>
              <w:pStyle w:val="25"/>
              <w:bidi w:val="0"/>
              <w:rPr>
                <w:b w:val="0"/>
                <w:bCs/>
                <w:color w:val="auto"/>
              </w:rPr>
            </w:pPr>
            <w:r>
              <w:rPr>
                <w:b w:val="0"/>
                <w:bCs/>
                <w:color w:val="auto"/>
              </w:rPr>
              <w:t>眼睛接触：</w:t>
            </w:r>
          </w:p>
        </w:tc>
        <w:tc>
          <w:tcPr>
            <w:tcW w:w="3849" w:type="pct"/>
            <w:vAlign w:val="center"/>
          </w:tcPr>
          <w:p w14:paraId="2A5278F5">
            <w:pPr>
              <w:pStyle w:val="25"/>
              <w:bidi w:val="0"/>
              <w:rPr>
                <w:b w:val="0"/>
                <w:bCs/>
                <w:color w:val="auto"/>
              </w:rPr>
            </w:pPr>
            <w:r>
              <w:rPr>
                <w:b w:val="0"/>
                <w:bCs/>
                <w:color w:val="auto"/>
              </w:rPr>
              <w:t>立即提起眼睑，用大量流动清水或生理盐水彻底冲洗至少15分钟。就医。</w:t>
            </w:r>
          </w:p>
        </w:tc>
      </w:tr>
      <w:tr w14:paraId="45DF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7B8AE7C9">
            <w:pPr>
              <w:pStyle w:val="25"/>
              <w:bidi w:val="0"/>
              <w:rPr>
                <w:b w:val="0"/>
                <w:bCs/>
                <w:color w:val="auto"/>
              </w:rPr>
            </w:pPr>
            <w:r>
              <w:rPr>
                <w:b w:val="0"/>
                <w:bCs/>
                <w:color w:val="auto"/>
              </w:rPr>
              <w:t>吸入：</w:t>
            </w:r>
          </w:p>
        </w:tc>
        <w:tc>
          <w:tcPr>
            <w:tcW w:w="3849" w:type="pct"/>
            <w:vAlign w:val="center"/>
          </w:tcPr>
          <w:p w14:paraId="1AEB09B3">
            <w:pPr>
              <w:pStyle w:val="25"/>
              <w:bidi w:val="0"/>
              <w:rPr>
                <w:b w:val="0"/>
                <w:bCs/>
                <w:color w:val="auto"/>
              </w:rPr>
            </w:pPr>
            <w:r>
              <w:rPr>
                <w:b w:val="0"/>
                <w:bCs/>
                <w:color w:val="auto"/>
              </w:rPr>
              <w:t>脱离现场至空气新鲜处。救护人员必须佩戴好防毒口罩，如呼吸困难，给输氧。就医。</w:t>
            </w:r>
          </w:p>
        </w:tc>
      </w:tr>
      <w:tr w14:paraId="388E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3885C365">
            <w:pPr>
              <w:pStyle w:val="25"/>
              <w:bidi w:val="0"/>
              <w:rPr>
                <w:b w:val="0"/>
                <w:bCs/>
                <w:color w:val="auto"/>
              </w:rPr>
            </w:pPr>
            <w:r>
              <w:rPr>
                <w:b w:val="0"/>
                <w:bCs/>
                <w:color w:val="auto"/>
              </w:rPr>
              <w:t>食入：</w:t>
            </w:r>
          </w:p>
        </w:tc>
        <w:tc>
          <w:tcPr>
            <w:tcW w:w="3849" w:type="pct"/>
            <w:vAlign w:val="center"/>
          </w:tcPr>
          <w:p w14:paraId="7EA5C54A">
            <w:pPr>
              <w:pStyle w:val="25"/>
              <w:bidi w:val="0"/>
              <w:rPr>
                <w:b w:val="0"/>
                <w:bCs/>
                <w:color w:val="auto"/>
              </w:rPr>
            </w:pPr>
            <w:r>
              <w:rPr>
                <w:b w:val="0"/>
                <w:bCs/>
                <w:color w:val="auto"/>
              </w:rPr>
              <w:t>用水漱口，给饮牛奶或蛋清。就医。</w:t>
            </w:r>
          </w:p>
        </w:tc>
      </w:tr>
      <w:tr w14:paraId="2321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5568736E">
            <w:pPr>
              <w:pStyle w:val="25"/>
              <w:bidi w:val="0"/>
              <w:rPr>
                <w:b w:val="0"/>
                <w:bCs/>
                <w:color w:val="auto"/>
              </w:rPr>
            </w:pPr>
            <w:r>
              <w:rPr>
                <w:b w:val="0"/>
                <w:bCs/>
                <w:color w:val="auto"/>
              </w:rPr>
              <w:t>接触控制/个体防护</w:t>
            </w:r>
          </w:p>
        </w:tc>
      </w:tr>
      <w:tr w14:paraId="3224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4771E09F">
            <w:pPr>
              <w:pStyle w:val="25"/>
              <w:bidi w:val="0"/>
              <w:rPr>
                <w:b w:val="0"/>
                <w:bCs/>
                <w:color w:val="auto"/>
              </w:rPr>
            </w:pPr>
            <w:r>
              <w:rPr>
                <w:b w:val="0"/>
                <w:bCs/>
                <w:color w:val="auto"/>
              </w:rPr>
              <w:t>中国MAC</w:t>
            </w:r>
            <w:r>
              <w:rPr>
                <w:rFonts w:hint="eastAsia"/>
                <w:b w:val="0"/>
                <w:bCs/>
                <w:color w:val="auto"/>
                <w:lang w:eastAsia="zh-CN"/>
              </w:rPr>
              <w:t>（</w:t>
            </w:r>
            <w:r>
              <w:rPr>
                <w:b w:val="0"/>
                <w:bCs/>
                <w:color w:val="auto"/>
              </w:rPr>
              <w:t>mg/m</w:t>
            </w:r>
            <w:r>
              <w:rPr>
                <w:b w:val="0"/>
                <w:bCs/>
                <w:color w:val="auto"/>
                <w:vertAlign w:val="superscript"/>
              </w:rPr>
              <w:t>3</w:t>
            </w:r>
            <w:r>
              <w:rPr>
                <w:rFonts w:hint="eastAsia"/>
                <w:b w:val="0"/>
                <w:bCs/>
                <w:color w:val="auto"/>
                <w:lang w:eastAsia="zh-CN"/>
              </w:rPr>
              <w:t>）</w:t>
            </w:r>
            <w:r>
              <w:rPr>
                <w:b w:val="0"/>
                <w:bCs/>
                <w:color w:val="auto"/>
              </w:rPr>
              <w:t>：</w:t>
            </w:r>
          </w:p>
        </w:tc>
        <w:tc>
          <w:tcPr>
            <w:tcW w:w="3849" w:type="pct"/>
            <w:vAlign w:val="center"/>
          </w:tcPr>
          <w:p w14:paraId="76C301AF">
            <w:pPr>
              <w:pStyle w:val="25"/>
              <w:bidi w:val="0"/>
              <w:rPr>
                <w:b w:val="0"/>
                <w:bCs/>
                <w:color w:val="auto"/>
              </w:rPr>
            </w:pPr>
            <w:r>
              <w:rPr>
                <w:b w:val="0"/>
                <w:bCs/>
                <w:color w:val="auto"/>
              </w:rPr>
              <w:t>未制定标准</w:t>
            </w:r>
          </w:p>
        </w:tc>
      </w:tr>
      <w:tr w14:paraId="50AC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402F283F">
            <w:pPr>
              <w:pStyle w:val="25"/>
              <w:bidi w:val="0"/>
              <w:rPr>
                <w:b w:val="0"/>
                <w:bCs/>
                <w:color w:val="auto"/>
              </w:rPr>
            </w:pPr>
            <w:r>
              <w:rPr>
                <w:b w:val="0"/>
                <w:bCs/>
                <w:color w:val="auto"/>
              </w:rPr>
              <w:t>前苏联MAC</w:t>
            </w:r>
            <w:r>
              <w:rPr>
                <w:rFonts w:hint="eastAsia"/>
                <w:b w:val="0"/>
                <w:bCs/>
                <w:color w:val="auto"/>
                <w:lang w:eastAsia="zh-CN"/>
              </w:rPr>
              <w:t>（</w:t>
            </w:r>
            <w:r>
              <w:rPr>
                <w:b w:val="0"/>
                <w:bCs/>
                <w:color w:val="auto"/>
              </w:rPr>
              <w:t>mg/m</w:t>
            </w:r>
            <w:r>
              <w:rPr>
                <w:b w:val="0"/>
                <w:bCs/>
                <w:color w:val="auto"/>
                <w:vertAlign w:val="superscript"/>
              </w:rPr>
              <w:t>3</w:t>
            </w:r>
            <w:r>
              <w:rPr>
                <w:rFonts w:hint="eastAsia"/>
                <w:b w:val="0"/>
                <w:bCs/>
                <w:color w:val="auto"/>
                <w:lang w:eastAsia="zh-CN"/>
              </w:rPr>
              <w:t>）</w:t>
            </w:r>
            <w:r>
              <w:rPr>
                <w:b w:val="0"/>
                <w:bCs/>
                <w:color w:val="auto"/>
              </w:rPr>
              <w:t>：</w:t>
            </w:r>
          </w:p>
        </w:tc>
        <w:tc>
          <w:tcPr>
            <w:tcW w:w="3849" w:type="pct"/>
            <w:vAlign w:val="center"/>
          </w:tcPr>
          <w:p w14:paraId="6C27DF3D">
            <w:pPr>
              <w:pStyle w:val="25"/>
              <w:bidi w:val="0"/>
              <w:rPr>
                <w:b w:val="0"/>
                <w:bCs/>
                <w:color w:val="auto"/>
              </w:rPr>
            </w:pPr>
            <w:r>
              <w:rPr>
                <w:b w:val="0"/>
                <w:bCs/>
                <w:color w:val="auto"/>
              </w:rPr>
              <w:t>未制定标准</w:t>
            </w:r>
          </w:p>
        </w:tc>
      </w:tr>
      <w:tr w14:paraId="5813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726166BA">
            <w:pPr>
              <w:pStyle w:val="25"/>
              <w:bidi w:val="0"/>
              <w:rPr>
                <w:b w:val="0"/>
                <w:bCs/>
                <w:color w:val="auto"/>
              </w:rPr>
            </w:pPr>
            <w:r>
              <w:rPr>
                <w:b w:val="0"/>
                <w:bCs/>
                <w:color w:val="auto"/>
              </w:rPr>
              <w:t>TLVTN：</w:t>
            </w:r>
          </w:p>
        </w:tc>
        <w:tc>
          <w:tcPr>
            <w:tcW w:w="3849" w:type="pct"/>
            <w:vAlign w:val="center"/>
          </w:tcPr>
          <w:p w14:paraId="1DAEDAF8">
            <w:pPr>
              <w:pStyle w:val="25"/>
              <w:bidi w:val="0"/>
              <w:rPr>
                <w:b w:val="0"/>
                <w:bCs/>
                <w:color w:val="auto"/>
              </w:rPr>
            </w:pPr>
            <w:r>
              <w:rPr>
                <w:b w:val="0"/>
                <w:bCs/>
                <w:color w:val="auto"/>
              </w:rPr>
              <w:t>未制定标准</w:t>
            </w:r>
          </w:p>
        </w:tc>
      </w:tr>
      <w:tr w14:paraId="69DB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6F6898C7">
            <w:pPr>
              <w:pStyle w:val="25"/>
              <w:bidi w:val="0"/>
              <w:rPr>
                <w:b w:val="0"/>
                <w:bCs/>
                <w:color w:val="auto"/>
              </w:rPr>
            </w:pPr>
            <w:r>
              <w:rPr>
                <w:b w:val="0"/>
                <w:bCs/>
                <w:color w:val="auto"/>
              </w:rPr>
              <w:t>TLVWN：</w:t>
            </w:r>
          </w:p>
        </w:tc>
        <w:tc>
          <w:tcPr>
            <w:tcW w:w="3849" w:type="pct"/>
            <w:vAlign w:val="center"/>
          </w:tcPr>
          <w:p w14:paraId="1AB9ED93">
            <w:pPr>
              <w:pStyle w:val="25"/>
              <w:bidi w:val="0"/>
              <w:rPr>
                <w:b w:val="0"/>
                <w:bCs/>
                <w:color w:val="auto"/>
              </w:rPr>
            </w:pPr>
            <w:r>
              <w:rPr>
                <w:b w:val="0"/>
                <w:bCs/>
                <w:color w:val="auto"/>
              </w:rPr>
              <w:t>未制定标准</w:t>
            </w:r>
          </w:p>
        </w:tc>
      </w:tr>
      <w:tr w14:paraId="4897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353EC3AA">
            <w:pPr>
              <w:pStyle w:val="25"/>
              <w:bidi w:val="0"/>
              <w:rPr>
                <w:b w:val="0"/>
                <w:bCs/>
                <w:color w:val="auto"/>
              </w:rPr>
            </w:pPr>
            <w:r>
              <w:rPr>
                <w:b w:val="0"/>
                <w:bCs/>
                <w:color w:val="auto"/>
              </w:rPr>
              <w:t>监测方法：</w:t>
            </w:r>
          </w:p>
        </w:tc>
        <w:tc>
          <w:tcPr>
            <w:tcW w:w="3849" w:type="pct"/>
            <w:vAlign w:val="center"/>
          </w:tcPr>
          <w:p w14:paraId="43E523B4">
            <w:pPr>
              <w:pStyle w:val="25"/>
              <w:bidi w:val="0"/>
              <w:rPr>
                <w:b w:val="0"/>
                <w:bCs/>
                <w:color w:val="auto"/>
              </w:rPr>
            </w:pPr>
            <w:r>
              <w:rPr>
                <w:b w:val="0"/>
                <w:bCs/>
                <w:color w:val="auto"/>
              </w:rPr>
              <w:t>快速检测管理法</w:t>
            </w:r>
          </w:p>
        </w:tc>
      </w:tr>
      <w:tr w14:paraId="5862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790EE60F">
            <w:pPr>
              <w:pStyle w:val="25"/>
              <w:bidi w:val="0"/>
              <w:rPr>
                <w:b w:val="0"/>
                <w:bCs/>
                <w:color w:val="auto"/>
              </w:rPr>
            </w:pPr>
            <w:r>
              <w:rPr>
                <w:b w:val="0"/>
                <w:bCs/>
                <w:color w:val="auto"/>
              </w:rPr>
              <w:t>工程控制：</w:t>
            </w:r>
          </w:p>
        </w:tc>
        <w:tc>
          <w:tcPr>
            <w:tcW w:w="3849" w:type="pct"/>
            <w:vAlign w:val="center"/>
          </w:tcPr>
          <w:p w14:paraId="4B9CC5EF">
            <w:pPr>
              <w:pStyle w:val="25"/>
              <w:bidi w:val="0"/>
              <w:rPr>
                <w:b w:val="0"/>
                <w:bCs/>
                <w:color w:val="auto"/>
              </w:rPr>
            </w:pPr>
            <w:r>
              <w:rPr>
                <w:b w:val="0"/>
                <w:bCs/>
                <w:color w:val="auto"/>
              </w:rPr>
              <w:t>生产过程密闭，加强通风。</w:t>
            </w:r>
          </w:p>
        </w:tc>
      </w:tr>
      <w:tr w14:paraId="77BF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4C0AB542">
            <w:pPr>
              <w:pStyle w:val="25"/>
              <w:bidi w:val="0"/>
              <w:rPr>
                <w:b w:val="0"/>
                <w:bCs/>
                <w:color w:val="auto"/>
              </w:rPr>
            </w:pPr>
            <w:r>
              <w:rPr>
                <w:b w:val="0"/>
                <w:bCs/>
                <w:color w:val="auto"/>
              </w:rPr>
              <w:t>呼吸系统防护：</w:t>
            </w:r>
          </w:p>
        </w:tc>
        <w:tc>
          <w:tcPr>
            <w:tcW w:w="3849" w:type="pct"/>
            <w:vAlign w:val="center"/>
          </w:tcPr>
          <w:p w14:paraId="51D872FA">
            <w:pPr>
              <w:pStyle w:val="25"/>
              <w:bidi w:val="0"/>
              <w:rPr>
                <w:b w:val="0"/>
                <w:bCs/>
                <w:color w:val="auto"/>
              </w:rPr>
            </w:pPr>
            <w:r>
              <w:rPr>
                <w:b w:val="0"/>
                <w:bCs/>
                <w:color w:val="auto"/>
              </w:rPr>
              <w:t>空气中粉尘浓度超标时，必须佩戴自吸过滤式防尘口罩。紧急事态抢救或撤离时，应该佩戴空气呼吸器。</w:t>
            </w:r>
          </w:p>
        </w:tc>
      </w:tr>
      <w:tr w14:paraId="5077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11EA1140">
            <w:pPr>
              <w:pStyle w:val="25"/>
              <w:bidi w:val="0"/>
              <w:rPr>
                <w:b w:val="0"/>
                <w:bCs/>
                <w:color w:val="auto"/>
              </w:rPr>
            </w:pPr>
            <w:r>
              <w:rPr>
                <w:b w:val="0"/>
                <w:bCs/>
                <w:color w:val="auto"/>
              </w:rPr>
              <w:t>眼睛防护：</w:t>
            </w:r>
          </w:p>
        </w:tc>
        <w:tc>
          <w:tcPr>
            <w:tcW w:w="3849" w:type="pct"/>
            <w:vAlign w:val="center"/>
          </w:tcPr>
          <w:p w14:paraId="5BA47DB8">
            <w:pPr>
              <w:pStyle w:val="25"/>
              <w:bidi w:val="0"/>
              <w:rPr>
                <w:b w:val="0"/>
                <w:bCs/>
                <w:color w:val="auto"/>
              </w:rPr>
            </w:pPr>
            <w:r>
              <w:rPr>
                <w:b w:val="0"/>
                <w:bCs/>
                <w:color w:val="auto"/>
              </w:rPr>
              <w:t>戴化学安全防护眼镜。</w:t>
            </w:r>
          </w:p>
        </w:tc>
      </w:tr>
      <w:tr w14:paraId="7449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2221F72B">
            <w:pPr>
              <w:pStyle w:val="25"/>
              <w:bidi w:val="0"/>
              <w:rPr>
                <w:b w:val="0"/>
                <w:bCs/>
                <w:color w:val="auto"/>
              </w:rPr>
            </w:pPr>
            <w:r>
              <w:rPr>
                <w:b w:val="0"/>
                <w:bCs/>
                <w:color w:val="auto"/>
              </w:rPr>
              <w:t>身体防护：</w:t>
            </w:r>
          </w:p>
        </w:tc>
        <w:tc>
          <w:tcPr>
            <w:tcW w:w="3849" w:type="pct"/>
            <w:vAlign w:val="center"/>
          </w:tcPr>
          <w:p w14:paraId="0C13F275">
            <w:pPr>
              <w:pStyle w:val="25"/>
              <w:bidi w:val="0"/>
              <w:rPr>
                <w:b w:val="0"/>
                <w:bCs/>
                <w:color w:val="auto"/>
              </w:rPr>
            </w:pPr>
            <w:r>
              <w:rPr>
                <w:b w:val="0"/>
                <w:bCs/>
                <w:color w:val="auto"/>
              </w:rPr>
              <w:t>穿防毒物渗透工作服。</w:t>
            </w:r>
          </w:p>
        </w:tc>
      </w:tr>
      <w:tr w14:paraId="3B4C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36EC4CB7">
            <w:pPr>
              <w:pStyle w:val="25"/>
              <w:bidi w:val="0"/>
              <w:rPr>
                <w:b w:val="0"/>
                <w:bCs/>
                <w:color w:val="auto"/>
              </w:rPr>
            </w:pPr>
            <w:r>
              <w:rPr>
                <w:b w:val="0"/>
                <w:bCs/>
                <w:color w:val="auto"/>
              </w:rPr>
              <w:t>手防护：</w:t>
            </w:r>
          </w:p>
        </w:tc>
        <w:tc>
          <w:tcPr>
            <w:tcW w:w="3849" w:type="pct"/>
            <w:vAlign w:val="center"/>
          </w:tcPr>
          <w:p w14:paraId="2247E5EB">
            <w:pPr>
              <w:pStyle w:val="25"/>
              <w:bidi w:val="0"/>
              <w:rPr>
                <w:b w:val="0"/>
                <w:bCs/>
                <w:color w:val="auto"/>
              </w:rPr>
            </w:pPr>
            <w:r>
              <w:rPr>
                <w:b w:val="0"/>
                <w:bCs/>
                <w:color w:val="auto"/>
              </w:rPr>
              <w:t>戴橡胶手套。</w:t>
            </w:r>
          </w:p>
        </w:tc>
      </w:tr>
      <w:tr w14:paraId="6A7B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74BDA401">
            <w:pPr>
              <w:pStyle w:val="25"/>
              <w:bidi w:val="0"/>
              <w:rPr>
                <w:b w:val="0"/>
                <w:bCs/>
                <w:color w:val="auto"/>
              </w:rPr>
            </w:pPr>
            <w:r>
              <w:rPr>
                <w:b w:val="0"/>
                <w:bCs/>
                <w:color w:val="auto"/>
              </w:rPr>
              <w:t>其他防护：</w:t>
            </w:r>
          </w:p>
        </w:tc>
        <w:tc>
          <w:tcPr>
            <w:tcW w:w="3849" w:type="pct"/>
            <w:vAlign w:val="center"/>
          </w:tcPr>
          <w:p w14:paraId="2A49C0F0">
            <w:pPr>
              <w:pStyle w:val="25"/>
              <w:bidi w:val="0"/>
              <w:rPr>
                <w:b w:val="0"/>
                <w:bCs/>
                <w:color w:val="auto"/>
              </w:rPr>
            </w:pPr>
            <w:r>
              <w:rPr>
                <w:b w:val="0"/>
                <w:bCs/>
                <w:color w:val="auto"/>
              </w:rPr>
              <w:t>及时换洗工作服。保持良好的卫生习惯。 </w:t>
            </w:r>
          </w:p>
        </w:tc>
      </w:tr>
      <w:tr w14:paraId="6D38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1D053E6E">
            <w:pPr>
              <w:pStyle w:val="25"/>
              <w:bidi w:val="0"/>
              <w:rPr>
                <w:b w:val="0"/>
                <w:bCs/>
                <w:color w:val="auto"/>
              </w:rPr>
            </w:pPr>
            <w:r>
              <w:rPr>
                <w:b w:val="0"/>
                <w:bCs/>
                <w:color w:val="auto"/>
              </w:rPr>
              <w:t>操作处置与储存</w:t>
            </w:r>
          </w:p>
        </w:tc>
      </w:tr>
      <w:tr w14:paraId="0BD4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369D7871">
            <w:pPr>
              <w:pStyle w:val="25"/>
              <w:bidi w:val="0"/>
              <w:rPr>
                <w:b w:val="0"/>
                <w:bCs/>
                <w:color w:val="auto"/>
              </w:rPr>
            </w:pPr>
            <w:r>
              <w:rPr>
                <w:b w:val="0"/>
                <w:bCs/>
                <w:color w:val="auto"/>
              </w:rPr>
              <w:t>操作注意事项：</w:t>
            </w:r>
          </w:p>
        </w:tc>
        <w:tc>
          <w:tcPr>
            <w:tcW w:w="3849" w:type="pct"/>
            <w:vAlign w:val="center"/>
          </w:tcPr>
          <w:p w14:paraId="5222604A">
            <w:pPr>
              <w:pStyle w:val="25"/>
              <w:bidi w:val="0"/>
              <w:rPr>
                <w:b w:val="0"/>
                <w:bCs/>
                <w:color w:val="auto"/>
              </w:rPr>
            </w:pPr>
            <w:r>
              <w:rPr>
                <w:b w:val="0"/>
                <w:bCs/>
                <w:color w:val="auto"/>
              </w:rPr>
              <w:t>密闭操作，加强通风。操作人员必须经过专门培训，严格遵守操作规程。建议操作人员佩戴自吸过滤式防尘口罩，戴化学安全防护眼镜，穿防毒物渗透工作服，戴橡胶手套。避免产生粉尘。搬运时要轻装轻卸，防止包装及容器损坏。配备泄漏应急处理设备。倒空的容器可能残留有害物。稀释或制备溶液时，避免沸腾和飞溅。</w:t>
            </w:r>
          </w:p>
        </w:tc>
      </w:tr>
      <w:tr w14:paraId="3CDA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0043A4C5">
            <w:pPr>
              <w:pStyle w:val="25"/>
              <w:bidi w:val="0"/>
              <w:rPr>
                <w:b w:val="0"/>
                <w:bCs/>
                <w:color w:val="auto"/>
              </w:rPr>
            </w:pPr>
            <w:r>
              <w:rPr>
                <w:b w:val="0"/>
                <w:bCs/>
                <w:color w:val="auto"/>
              </w:rPr>
              <w:t>储存注意事项：</w:t>
            </w:r>
          </w:p>
        </w:tc>
        <w:tc>
          <w:tcPr>
            <w:tcW w:w="3849" w:type="pct"/>
            <w:vAlign w:val="center"/>
          </w:tcPr>
          <w:p w14:paraId="3E14BE6E">
            <w:pPr>
              <w:pStyle w:val="25"/>
              <w:bidi w:val="0"/>
              <w:rPr>
                <w:b w:val="0"/>
                <w:bCs/>
                <w:color w:val="auto"/>
              </w:rPr>
            </w:pPr>
            <w:r>
              <w:rPr>
                <w:b w:val="0"/>
                <w:bCs/>
                <w:color w:val="auto"/>
              </w:rPr>
              <w:t>产品应放在阴凉、通风处，防潮、防火、防暴晒。</w:t>
            </w:r>
          </w:p>
        </w:tc>
      </w:tr>
      <w:tr w14:paraId="4FDD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221D0F38">
            <w:pPr>
              <w:pStyle w:val="25"/>
              <w:bidi w:val="0"/>
              <w:rPr>
                <w:b w:val="0"/>
                <w:bCs/>
                <w:color w:val="auto"/>
              </w:rPr>
            </w:pPr>
            <w:r>
              <w:rPr>
                <w:b w:val="0"/>
                <w:bCs/>
                <w:color w:val="auto"/>
              </w:rPr>
              <w:t>消防措施</w:t>
            </w:r>
          </w:p>
        </w:tc>
      </w:tr>
      <w:tr w14:paraId="24FE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04FA7FBC">
            <w:pPr>
              <w:pStyle w:val="25"/>
              <w:bidi w:val="0"/>
              <w:rPr>
                <w:b w:val="0"/>
                <w:bCs/>
                <w:color w:val="auto"/>
              </w:rPr>
            </w:pPr>
            <w:r>
              <w:rPr>
                <w:b w:val="0"/>
                <w:bCs/>
                <w:color w:val="auto"/>
              </w:rPr>
              <w:t>危险特性：</w:t>
            </w:r>
          </w:p>
        </w:tc>
        <w:tc>
          <w:tcPr>
            <w:tcW w:w="3849" w:type="pct"/>
            <w:vAlign w:val="center"/>
          </w:tcPr>
          <w:p w14:paraId="19030C5E">
            <w:pPr>
              <w:pStyle w:val="25"/>
              <w:bidi w:val="0"/>
              <w:rPr>
                <w:b w:val="0"/>
                <w:bCs/>
                <w:color w:val="auto"/>
              </w:rPr>
            </w:pPr>
            <w:r>
              <w:rPr>
                <w:b w:val="0"/>
                <w:bCs/>
                <w:color w:val="auto"/>
              </w:rPr>
              <w:t>易燃，具有刺激性臭味。低毒。</w:t>
            </w:r>
          </w:p>
        </w:tc>
      </w:tr>
      <w:tr w14:paraId="5E12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452CDA57">
            <w:pPr>
              <w:pStyle w:val="25"/>
              <w:bidi w:val="0"/>
              <w:rPr>
                <w:b w:val="0"/>
                <w:bCs/>
                <w:color w:val="auto"/>
              </w:rPr>
            </w:pPr>
            <w:r>
              <w:rPr>
                <w:b w:val="0"/>
                <w:bCs/>
                <w:color w:val="auto"/>
              </w:rPr>
              <w:t>有害燃烧产物：</w:t>
            </w:r>
          </w:p>
        </w:tc>
        <w:tc>
          <w:tcPr>
            <w:tcW w:w="3849" w:type="pct"/>
            <w:vAlign w:val="center"/>
          </w:tcPr>
          <w:p w14:paraId="64C1136B">
            <w:pPr>
              <w:pStyle w:val="25"/>
              <w:bidi w:val="0"/>
              <w:rPr>
                <w:b w:val="0"/>
                <w:bCs/>
                <w:color w:val="auto"/>
              </w:rPr>
            </w:pPr>
            <w:r>
              <w:rPr>
                <w:b w:val="0"/>
                <w:bCs/>
                <w:color w:val="auto"/>
              </w:rPr>
              <w:t>有毒硫氧化物气体。</w:t>
            </w:r>
          </w:p>
        </w:tc>
      </w:tr>
      <w:tr w14:paraId="75E0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vAlign w:val="center"/>
          </w:tcPr>
          <w:p w14:paraId="16E46256">
            <w:pPr>
              <w:pStyle w:val="25"/>
              <w:bidi w:val="0"/>
              <w:rPr>
                <w:b w:val="0"/>
                <w:bCs/>
                <w:color w:val="auto"/>
              </w:rPr>
            </w:pPr>
            <w:r>
              <w:rPr>
                <w:b w:val="0"/>
                <w:bCs/>
                <w:color w:val="auto"/>
              </w:rPr>
              <w:t>灭火方法：</w:t>
            </w:r>
          </w:p>
        </w:tc>
        <w:tc>
          <w:tcPr>
            <w:tcW w:w="3849" w:type="pct"/>
            <w:vAlign w:val="center"/>
          </w:tcPr>
          <w:p w14:paraId="529D415A">
            <w:pPr>
              <w:pStyle w:val="25"/>
              <w:bidi w:val="0"/>
              <w:rPr>
                <w:b w:val="0"/>
                <w:bCs/>
                <w:color w:val="auto"/>
              </w:rPr>
            </w:pPr>
            <w:r>
              <w:rPr>
                <w:b w:val="0"/>
                <w:bCs/>
                <w:color w:val="auto"/>
              </w:rPr>
              <w:t>消防人员必须穿全身耐酸碱消防服、防毒口罩。</w:t>
            </w:r>
          </w:p>
        </w:tc>
      </w:tr>
    </w:tbl>
    <w:p w14:paraId="198865E9">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b w:val="0"/>
          <w:bCs/>
          <w:color w:val="auto"/>
          <w:lang w:val="en-US" w:eastAsia="zh-CN"/>
        </w:rPr>
      </w:pPr>
      <w:bookmarkStart w:id="100" w:name="_Toc20486"/>
      <w:r>
        <w:rPr>
          <w:rFonts w:hint="eastAsia" w:ascii="Times New Roman" w:hAnsi="Times New Roman" w:eastAsia="宋体"/>
          <w:b w:val="0"/>
          <w:bCs/>
          <w:color w:val="auto"/>
          <w:lang w:val="en-US" w:eastAsia="zh-CN"/>
        </w:rPr>
        <w:t>8</w:t>
      </w:r>
      <w:r>
        <w:rPr>
          <w:rFonts w:hint="default" w:ascii="Times New Roman" w:hAnsi="Times New Roman" w:eastAsia="宋体"/>
          <w:b w:val="0"/>
          <w:bCs/>
          <w:color w:val="auto"/>
          <w:lang w:val="en-US" w:eastAsia="zh-CN"/>
        </w:rPr>
        <w:t>、乙硫氨酯</w:t>
      </w:r>
    </w:p>
    <w:p w14:paraId="340D3E13">
      <w:pPr>
        <w:widowControl w:val="0"/>
        <w:bidi w:val="0"/>
        <w:spacing w:line="360" w:lineRule="auto"/>
        <w:ind w:firstLine="0" w:firstLineChars="0"/>
        <w:jc w:val="center"/>
        <w:rPr>
          <w:rFonts w:hint="default" w:ascii="Times New Roman" w:hAnsi="Times New Roman" w:eastAsia="宋体" w:cstheme="minorBidi"/>
          <w:b w:val="0"/>
          <w:bCs/>
          <w:color w:val="auto"/>
          <w:kern w:val="2"/>
          <w:sz w:val="24"/>
          <w:szCs w:val="28"/>
          <w:lang w:val="en-US" w:eastAsia="zh-CN" w:bidi="ar-SA"/>
        </w:rPr>
      </w:pPr>
      <w:r>
        <w:rPr>
          <w:rFonts w:hint="default" w:ascii="Times New Roman" w:hAnsi="Times New Roman" w:eastAsia="宋体" w:cstheme="minorBidi"/>
          <w:b w:val="0"/>
          <w:bCs/>
          <w:color w:val="auto"/>
          <w:kern w:val="2"/>
          <w:sz w:val="24"/>
          <w:szCs w:val="28"/>
          <w:lang w:val="en-US" w:eastAsia="zh-CN" w:bidi="ar-SA"/>
        </w:rPr>
        <w:t>表3.</w:t>
      </w:r>
      <w:r>
        <w:rPr>
          <w:rFonts w:hint="eastAsia" w:ascii="Times New Roman" w:hAnsi="Times New Roman" w:eastAsia="宋体" w:cstheme="minorBidi"/>
          <w:b w:val="0"/>
          <w:bCs/>
          <w:color w:val="auto"/>
          <w:kern w:val="2"/>
          <w:sz w:val="24"/>
          <w:szCs w:val="28"/>
          <w:lang w:val="en-US" w:eastAsia="zh-CN" w:bidi="ar-SA"/>
        </w:rPr>
        <w:t>2</w:t>
      </w:r>
      <w:r>
        <w:rPr>
          <w:rFonts w:hint="default" w:ascii="Times New Roman" w:hAnsi="Times New Roman" w:eastAsia="宋体" w:cstheme="minorBidi"/>
          <w:b w:val="0"/>
          <w:bCs/>
          <w:color w:val="auto"/>
          <w:kern w:val="2"/>
          <w:sz w:val="24"/>
          <w:szCs w:val="28"/>
          <w:lang w:val="en-US" w:eastAsia="zh-CN" w:bidi="ar-SA"/>
        </w:rPr>
        <w:t>-</w:t>
      </w:r>
      <w:r>
        <w:rPr>
          <w:rFonts w:hint="eastAsia" w:ascii="Times New Roman" w:hAnsi="Times New Roman" w:eastAsia="宋体" w:cstheme="minorBidi"/>
          <w:b w:val="0"/>
          <w:bCs/>
          <w:color w:val="auto"/>
          <w:kern w:val="2"/>
          <w:sz w:val="24"/>
          <w:szCs w:val="28"/>
          <w:lang w:val="en-US" w:eastAsia="zh-CN" w:bidi="ar-SA"/>
        </w:rPr>
        <w:t>8</w:t>
      </w:r>
      <w:r>
        <w:rPr>
          <w:rFonts w:hint="default" w:ascii="Times New Roman" w:hAnsi="Times New Roman" w:eastAsia="宋体" w:cstheme="minorBidi"/>
          <w:b w:val="0"/>
          <w:bCs/>
          <w:color w:val="auto"/>
          <w:kern w:val="2"/>
          <w:sz w:val="24"/>
          <w:szCs w:val="28"/>
          <w:lang w:val="en-US" w:eastAsia="zh-CN" w:bidi="ar-SA"/>
        </w:rPr>
        <w:t xml:space="preserve">  乙硫氨酯理化特性表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7241"/>
      </w:tblGrid>
      <w:tr w14:paraId="4EB1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5AA0EAD0">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中文名称：</w:t>
            </w:r>
          </w:p>
        </w:tc>
        <w:tc>
          <w:tcPr>
            <w:tcW w:w="3850" w:type="pct"/>
            <w:vAlign w:val="center"/>
          </w:tcPr>
          <w:p w14:paraId="59C403E7">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丁基黄药</w:t>
            </w:r>
          </w:p>
        </w:tc>
      </w:tr>
      <w:tr w14:paraId="6F79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17CC80A9">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英文名称：</w:t>
            </w:r>
          </w:p>
        </w:tc>
        <w:tc>
          <w:tcPr>
            <w:tcW w:w="3850" w:type="pct"/>
            <w:vAlign w:val="center"/>
          </w:tcPr>
          <w:p w14:paraId="6CEAFD4E">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Ethyl thioaminate</w:t>
            </w:r>
          </w:p>
        </w:tc>
      </w:tr>
      <w:tr w14:paraId="0029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35751446">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分子式：</w:t>
            </w:r>
          </w:p>
        </w:tc>
        <w:tc>
          <w:tcPr>
            <w:tcW w:w="3850" w:type="pct"/>
            <w:vAlign w:val="center"/>
          </w:tcPr>
          <w:p w14:paraId="7B5279DE">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C</w:t>
            </w:r>
            <w:r>
              <w:rPr>
                <w:rFonts w:ascii="Times New Roman" w:hAnsi="Times New Roman" w:eastAsia="宋体" w:cstheme="minorBidi"/>
                <w:b w:val="0"/>
                <w:bCs/>
                <w:color w:val="auto"/>
                <w:kern w:val="2"/>
                <w:sz w:val="21"/>
                <w:szCs w:val="28"/>
                <w:vertAlign w:val="subscript"/>
                <w:lang w:val="en-US" w:eastAsia="zh-CN" w:bidi="ar-SA"/>
              </w:rPr>
              <w:t>6</w:t>
            </w:r>
            <w:r>
              <w:rPr>
                <w:rFonts w:ascii="Times New Roman" w:hAnsi="Times New Roman" w:eastAsia="宋体" w:cstheme="minorBidi"/>
                <w:b w:val="0"/>
                <w:bCs/>
                <w:color w:val="auto"/>
                <w:kern w:val="2"/>
                <w:sz w:val="21"/>
                <w:szCs w:val="28"/>
                <w:lang w:val="en-US" w:eastAsia="zh-CN" w:bidi="ar-SA"/>
              </w:rPr>
              <w:t>H</w:t>
            </w:r>
            <w:r>
              <w:rPr>
                <w:rFonts w:ascii="Times New Roman" w:hAnsi="Times New Roman" w:eastAsia="宋体" w:cstheme="minorBidi"/>
                <w:b w:val="0"/>
                <w:bCs/>
                <w:color w:val="auto"/>
                <w:kern w:val="2"/>
                <w:sz w:val="21"/>
                <w:szCs w:val="28"/>
                <w:vertAlign w:val="subscript"/>
                <w:lang w:val="en-US" w:eastAsia="zh-CN" w:bidi="ar-SA"/>
              </w:rPr>
              <w:t>13</w:t>
            </w:r>
            <w:r>
              <w:rPr>
                <w:rFonts w:ascii="Times New Roman" w:hAnsi="Times New Roman" w:eastAsia="宋体" w:cstheme="minorBidi"/>
                <w:b w:val="0"/>
                <w:bCs/>
                <w:color w:val="auto"/>
                <w:kern w:val="2"/>
                <w:sz w:val="21"/>
                <w:szCs w:val="28"/>
                <w:lang w:val="en-US" w:eastAsia="zh-CN" w:bidi="ar-SA"/>
              </w:rPr>
              <w:t>NOS</w:t>
            </w:r>
          </w:p>
        </w:tc>
      </w:tr>
      <w:tr w14:paraId="62D2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2B3DEB0D">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相对分子质量：</w:t>
            </w:r>
          </w:p>
        </w:tc>
        <w:tc>
          <w:tcPr>
            <w:tcW w:w="3850" w:type="pct"/>
            <w:vAlign w:val="center"/>
          </w:tcPr>
          <w:p w14:paraId="14A8A136">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147.24</w:t>
            </w:r>
          </w:p>
        </w:tc>
      </w:tr>
      <w:tr w14:paraId="013B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5D976DD8">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CAS号：</w:t>
            </w:r>
          </w:p>
        </w:tc>
        <w:tc>
          <w:tcPr>
            <w:tcW w:w="3850" w:type="pct"/>
            <w:vAlign w:val="center"/>
          </w:tcPr>
          <w:p w14:paraId="31CCD555">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141-98-0</w:t>
            </w:r>
          </w:p>
        </w:tc>
      </w:tr>
      <w:tr w14:paraId="4EEC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7D733EEF">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主要用途：</w:t>
            </w:r>
          </w:p>
        </w:tc>
        <w:tc>
          <w:tcPr>
            <w:tcW w:w="3850" w:type="pct"/>
            <w:vAlign w:val="center"/>
          </w:tcPr>
          <w:p w14:paraId="65108F1E">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硫化矿浮选：铜、铅、锌、镍等硫化矿的高效捕收剂，选择性好，回收率高</w:t>
            </w:r>
            <w:r>
              <w:rPr>
                <w:rFonts w:hint="eastAsia" w:ascii="Times New Roman" w:hAnsi="Times New Roman" w:eastAsia="宋体" w:cstheme="minorBidi"/>
                <w:b w:val="0"/>
                <w:bCs/>
                <w:color w:val="auto"/>
                <w:kern w:val="2"/>
                <w:sz w:val="21"/>
                <w:szCs w:val="28"/>
                <w:lang w:val="en-US" w:eastAsia="zh-CN" w:bidi="ar-SA"/>
              </w:rPr>
              <w:t>；</w:t>
            </w:r>
            <w:r>
              <w:rPr>
                <w:rFonts w:ascii="Times New Roman" w:hAnsi="Times New Roman" w:eastAsia="宋体" w:cstheme="minorBidi"/>
                <w:b w:val="0"/>
                <w:bCs/>
                <w:color w:val="auto"/>
                <w:kern w:val="2"/>
                <w:sz w:val="21"/>
                <w:szCs w:val="28"/>
                <w:lang w:val="en-US" w:eastAsia="zh-CN" w:bidi="ar-SA"/>
              </w:rPr>
              <w:t>贵金属矿：金、银等贵金属矿的辅助捕收剂</w:t>
            </w:r>
            <w:r>
              <w:rPr>
                <w:rFonts w:hint="eastAsia" w:ascii="Times New Roman" w:hAnsi="Times New Roman" w:eastAsia="宋体" w:cstheme="minorBidi"/>
                <w:b w:val="0"/>
                <w:bCs/>
                <w:color w:val="auto"/>
                <w:kern w:val="2"/>
                <w:sz w:val="21"/>
                <w:szCs w:val="28"/>
                <w:lang w:val="en-US" w:eastAsia="zh-CN" w:bidi="ar-SA"/>
              </w:rPr>
              <w:t>；</w:t>
            </w:r>
            <w:r>
              <w:rPr>
                <w:rFonts w:ascii="Times New Roman" w:hAnsi="Times New Roman" w:eastAsia="宋体" w:cstheme="minorBidi"/>
                <w:b w:val="0"/>
                <w:bCs/>
                <w:color w:val="auto"/>
                <w:kern w:val="2"/>
                <w:sz w:val="21"/>
                <w:szCs w:val="28"/>
                <w:lang w:val="en-US" w:eastAsia="zh-CN" w:bidi="ar-SA"/>
              </w:rPr>
              <w:t>其他：部分金属萃取工艺中的萃取剂</w:t>
            </w:r>
            <w:r>
              <w:rPr>
                <w:rFonts w:hint="eastAsia" w:ascii="Times New Roman" w:hAnsi="Times New Roman" w:eastAsia="宋体" w:cstheme="minorBidi"/>
                <w:b w:val="0"/>
                <w:bCs/>
                <w:color w:val="auto"/>
                <w:kern w:val="2"/>
                <w:sz w:val="21"/>
                <w:szCs w:val="28"/>
                <w:lang w:val="en-US" w:eastAsia="zh-CN" w:bidi="ar-SA"/>
              </w:rPr>
              <w:t>。</w:t>
            </w:r>
          </w:p>
        </w:tc>
      </w:tr>
      <w:tr w14:paraId="6EDC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3E8115E6">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危险性概述</w:t>
            </w:r>
          </w:p>
        </w:tc>
      </w:tr>
      <w:tr w14:paraId="4652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3A8CB280">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危险性类别：</w:t>
            </w:r>
          </w:p>
        </w:tc>
        <w:tc>
          <w:tcPr>
            <w:tcW w:w="3850" w:type="pct"/>
            <w:vAlign w:val="center"/>
          </w:tcPr>
          <w:p w14:paraId="206A1B5B">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可燃液体；吞咽有害；皮肤刺激；严重眼刺激；对水生生物有害</w:t>
            </w:r>
            <w:r>
              <w:rPr>
                <w:rFonts w:hint="eastAsia" w:ascii="Times New Roman" w:hAnsi="Times New Roman" w:eastAsia="宋体" w:cstheme="minorBidi"/>
                <w:b w:val="0"/>
                <w:bCs/>
                <w:color w:val="auto"/>
                <w:kern w:val="2"/>
                <w:sz w:val="21"/>
                <w:szCs w:val="28"/>
                <w:lang w:val="en-US" w:eastAsia="zh-CN" w:bidi="ar-SA"/>
              </w:rPr>
              <w:t>。</w:t>
            </w:r>
          </w:p>
        </w:tc>
      </w:tr>
      <w:tr w14:paraId="46E9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2CC614E6">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侵入途径：</w:t>
            </w:r>
          </w:p>
        </w:tc>
        <w:tc>
          <w:tcPr>
            <w:tcW w:w="3850" w:type="pct"/>
            <w:vAlign w:val="center"/>
          </w:tcPr>
          <w:p w14:paraId="7B6470D5">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吸食、皮肤接触、眼睛接触</w:t>
            </w:r>
            <w:r>
              <w:rPr>
                <w:rFonts w:hint="eastAsia" w:ascii="Times New Roman" w:hAnsi="Times New Roman" w:eastAsia="宋体" w:cstheme="minorBidi"/>
                <w:b w:val="0"/>
                <w:bCs/>
                <w:color w:val="auto"/>
                <w:kern w:val="2"/>
                <w:sz w:val="21"/>
                <w:szCs w:val="28"/>
                <w:lang w:val="en-US" w:eastAsia="zh-CN" w:bidi="ar-SA"/>
              </w:rPr>
              <w:t>、食入</w:t>
            </w:r>
            <w:r>
              <w:rPr>
                <w:rFonts w:ascii="Times New Roman" w:hAnsi="Times New Roman" w:eastAsia="宋体" w:cstheme="minorBidi"/>
                <w:b w:val="0"/>
                <w:bCs/>
                <w:color w:val="auto"/>
                <w:kern w:val="2"/>
                <w:sz w:val="21"/>
                <w:szCs w:val="28"/>
                <w:lang w:val="en-US" w:eastAsia="zh-CN" w:bidi="ar-SA"/>
              </w:rPr>
              <w:t>。</w:t>
            </w:r>
          </w:p>
        </w:tc>
      </w:tr>
      <w:tr w14:paraId="405F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67A69019">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健康危害：</w:t>
            </w:r>
          </w:p>
        </w:tc>
        <w:tc>
          <w:tcPr>
            <w:tcW w:w="3850" w:type="pct"/>
            <w:vAlign w:val="center"/>
          </w:tcPr>
          <w:p w14:paraId="49508B0B">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对皮肤、眼睛和呼吸道有刺激作用，长期接触可能引起皮炎</w:t>
            </w:r>
            <w:r>
              <w:rPr>
                <w:rFonts w:hint="eastAsia" w:ascii="Times New Roman" w:hAnsi="Times New Roman" w:eastAsia="宋体" w:cstheme="minorBidi"/>
                <w:b w:val="0"/>
                <w:bCs/>
                <w:color w:val="auto"/>
                <w:kern w:val="2"/>
                <w:sz w:val="21"/>
                <w:szCs w:val="28"/>
                <w:lang w:val="en-US" w:eastAsia="zh-CN" w:bidi="ar-SA"/>
              </w:rPr>
              <w:t>。</w:t>
            </w:r>
          </w:p>
        </w:tc>
      </w:tr>
      <w:tr w14:paraId="7ED1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10220DF7">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环境危害：</w:t>
            </w:r>
          </w:p>
        </w:tc>
        <w:tc>
          <w:tcPr>
            <w:tcW w:w="3850" w:type="pct"/>
            <w:vAlign w:val="center"/>
          </w:tcPr>
          <w:p w14:paraId="5A1607AA">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对水生生物有毒，可能对水体环境产生长期不良影响</w:t>
            </w:r>
            <w:r>
              <w:rPr>
                <w:rFonts w:hint="eastAsia" w:ascii="Times New Roman" w:hAnsi="Times New Roman" w:eastAsia="宋体" w:cstheme="minorBidi"/>
                <w:b w:val="0"/>
                <w:bCs/>
                <w:color w:val="auto"/>
                <w:kern w:val="2"/>
                <w:sz w:val="21"/>
                <w:szCs w:val="28"/>
                <w:lang w:val="en-US" w:eastAsia="zh-CN" w:bidi="ar-SA"/>
              </w:rPr>
              <w:t>。</w:t>
            </w:r>
          </w:p>
        </w:tc>
      </w:tr>
      <w:tr w14:paraId="31DB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center"/>
          </w:tcPr>
          <w:p w14:paraId="1AB90E36">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燃爆危险：</w:t>
            </w:r>
          </w:p>
        </w:tc>
        <w:tc>
          <w:tcPr>
            <w:tcW w:w="3850" w:type="pct"/>
            <w:vAlign w:val="center"/>
          </w:tcPr>
          <w:p w14:paraId="3026878A">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可燃，其蒸气与空气可形成爆炸性混合物</w:t>
            </w:r>
            <w:r>
              <w:rPr>
                <w:rFonts w:hint="eastAsia" w:ascii="Times New Roman" w:hAnsi="Times New Roman" w:eastAsia="宋体" w:cstheme="minorBidi"/>
                <w:b w:val="0"/>
                <w:bCs/>
                <w:color w:val="auto"/>
                <w:kern w:val="2"/>
                <w:sz w:val="21"/>
                <w:szCs w:val="28"/>
                <w:lang w:val="en-US" w:eastAsia="zh-CN" w:bidi="ar-SA"/>
              </w:rPr>
              <w:t>。</w:t>
            </w:r>
          </w:p>
        </w:tc>
      </w:tr>
      <w:tr w14:paraId="668B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0AB11F3B">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安全信息</w:t>
            </w:r>
          </w:p>
        </w:tc>
      </w:tr>
      <w:tr w14:paraId="3DFE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top"/>
          </w:tcPr>
          <w:p w14:paraId="54A82A15">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储存条件</w:t>
            </w:r>
          </w:p>
        </w:tc>
        <w:tc>
          <w:tcPr>
            <w:tcW w:w="3850" w:type="pct"/>
            <w:shd w:val="clear" w:color="auto" w:fill="auto"/>
            <w:vAlign w:val="top"/>
          </w:tcPr>
          <w:p w14:paraId="2A2DF113">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密封贮存于干燥、通风良好的地方，远离火源和热源</w:t>
            </w:r>
            <w:r>
              <w:rPr>
                <w:rFonts w:hint="eastAsia" w:ascii="Times New Roman" w:hAnsi="Times New Roman" w:eastAsia="宋体" w:cstheme="minorBidi"/>
                <w:b w:val="0"/>
                <w:bCs/>
                <w:color w:val="auto"/>
                <w:kern w:val="2"/>
                <w:sz w:val="21"/>
                <w:szCs w:val="28"/>
                <w:lang w:val="en-US" w:eastAsia="zh-CN" w:bidi="ar-SA"/>
              </w:rPr>
              <w:t>。</w:t>
            </w:r>
          </w:p>
        </w:tc>
      </w:tr>
      <w:tr w14:paraId="7908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top"/>
          </w:tcPr>
          <w:p w14:paraId="11ED5299">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运输要求</w:t>
            </w:r>
          </w:p>
        </w:tc>
        <w:tc>
          <w:tcPr>
            <w:tcW w:w="3850" w:type="pct"/>
            <w:shd w:val="clear" w:color="auto" w:fill="auto"/>
            <w:vAlign w:val="top"/>
          </w:tcPr>
          <w:p w14:paraId="712ACD9B">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防止泄漏和高温曝晒，按易制毒化学品管理要求运输</w:t>
            </w:r>
            <w:r>
              <w:rPr>
                <w:rFonts w:hint="eastAsia" w:ascii="Times New Roman" w:hAnsi="Times New Roman" w:eastAsia="宋体" w:cstheme="minorBidi"/>
                <w:b w:val="0"/>
                <w:bCs/>
                <w:color w:val="auto"/>
                <w:kern w:val="2"/>
                <w:sz w:val="21"/>
                <w:szCs w:val="28"/>
                <w:lang w:val="en-US" w:eastAsia="zh-CN" w:bidi="ar-SA"/>
              </w:rPr>
              <w:t>。</w:t>
            </w:r>
          </w:p>
        </w:tc>
      </w:tr>
      <w:tr w14:paraId="4DBC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top"/>
          </w:tcPr>
          <w:p w14:paraId="290E05F1">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个人防护</w:t>
            </w:r>
          </w:p>
        </w:tc>
        <w:tc>
          <w:tcPr>
            <w:tcW w:w="3850" w:type="pct"/>
            <w:shd w:val="clear" w:color="auto" w:fill="auto"/>
            <w:vAlign w:val="top"/>
          </w:tcPr>
          <w:p w14:paraId="7E54B11E">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操作时佩戴护目镜和防毒口罩，避免与皮肤、眼睛和口腔接触</w:t>
            </w:r>
            <w:r>
              <w:rPr>
                <w:rFonts w:hint="eastAsia" w:ascii="Times New Roman" w:hAnsi="Times New Roman" w:eastAsia="宋体" w:cstheme="minorBidi"/>
                <w:b w:val="0"/>
                <w:bCs/>
                <w:color w:val="auto"/>
                <w:kern w:val="2"/>
                <w:sz w:val="21"/>
                <w:szCs w:val="28"/>
                <w:lang w:val="en-US" w:eastAsia="zh-CN" w:bidi="ar-SA"/>
              </w:rPr>
              <w:t>。</w:t>
            </w:r>
          </w:p>
        </w:tc>
      </w:tr>
      <w:tr w14:paraId="47A9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49" w:type="pct"/>
            <w:vAlign w:val="top"/>
          </w:tcPr>
          <w:p w14:paraId="64E4B721">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应急处理</w:t>
            </w:r>
          </w:p>
        </w:tc>
        <w:tc>
          <w:tcPr>
            <w:tcW w:w="3850" w:type="pct"/>
            <w:shd w:val="clear" w:color="auto" w:fill="auto"/>
            <w:vAlign w:val="top"/>
          </w:tcPr>
          <w:p w14:paraId="3195B843">
            <w:pPr>
              <w:widowControl w:val="0"/>
              <w:bidi w:val="0"/>
              <w:spacing w:line="240" w:lineRule="auto"/>
              <w:ind w:firstLine="0" w:firstLineChars="0"/>
              <w:jc w:val="center"/>
              <w:rPr>
                <w:rFonts w:ascii="Times New Roman" w:hAnsi="Times New Roman" w:eastAsia="宋体" w:cstheme="minorBidi"/>
                <w:b w:val="0"/>
                <w:bCs/>
                <w:color w:val="auto"/>
                <w:kern w:val="2"/>
                <w:sz w:val="21"/>
                <w:szCs w:val="28"/>
                <w:lang w:val="en-US" w:eastAsia="zh-CN" w:bidi="ar-SA"/>
              </w:rPr>
            </w:pPr>
            <w:r>
              <w:rPr>
                <w:rFonts w:ascii="Times New Roman" w:hAnsi="Times New Roman" w:eastAsia="宋体" w:cstheme="minorBidi"/>
                <w:b w:val="0"/>
                <w:bCs/>
                <w:color w:val="auto"/>
                <w:kern w:val="2"/>
                <w:sz w:val="21"/>
                <w:szCs w:val="28"/>
                <w:lang w:val="en-US" w:eastAsia="zh-CN" w:bidi="ar-SA"/>
              </w:rPr>
              <w:t>皮肤接触：立即用大量清水冲洗；眼睛接触：立即用生理盐水冲洗；吸入：移至空气新鲜处；误食：用水漱口并就医</w:t>
            </w:r>
            <w:r>
              <w:rPr>
                <w:rFonts w:hint="eastAsia" w:ascii="Times New Roman" w:hAnsi="Times New Roman" w:eastAsia="宋体" w:cstheme="minorBidi"/>
                <w:b w:val="0"/>
                <w:bCs/>
                <w:color w:val="auto"/>
                <w:kern w:val="2"/>
                <w:sz w:val="21"/>
                <w:szCs w:val="28"/>
                <w:lang w:val="en-US" w:eastAsia="zh-CN" w:bidi="ar-SA"/>
              </w:rPr>
              <w:t>。</w:t>
            </w:r>
          </w:p>
        </w:tc>
      </w:tr>
    </w:tbl>
    <w:p w14:paraId="4AC8EAC7">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01" w:name="_Toc21695"/>
      <w:r>
        <w:rPr>
          <w:rFonts w:hint="eastAsia" w:ascii="Times New Roman" w:hAnsi="Times New Roman" w:eastAsia="黑体" w:cs="Times New Roman"/>
          <w:b/>
          <w:bCs/>
          <w:color w:val="auto"/>
          <w:sz w:val="30"/>
          <w:szCs w:val="30"/>
        </w:rPr>
        <w:t>3.3厂址选择及总平面布置危险和有害因素辨识与分析</w:t>
      </w:r>
      <w:bookmarkEnd w:id="100"/>
      <w:bookmarkEnd w:id="101"/>
    </w:p>
    <w:p w14:paraId="7D69944C">
      <w:pPr>
        <w:bidi w:val="0"/>
        <w:rPr>
          <w:rFonts w:hint="eastAsia"/>
          <w:b w:val="0"/>
          <w:bCs/>
          <w:color w:val="auto"/>
        </w:rPr>
      </w:pPr>
      <w:r>
        <w:rPr>
          <w:rFonts w:hint="eastAsia"/>
          <w:b w:val="0"/>
          <w:bCs/>
          <w:color w:val="auto"/>
        </w:rPr>
        <w:t>厂址选择及总平面布置是选厂建设的重要步骤，对于选厂的长久、安全、可靠运行起着非常重要的作用。厂址选择前的各项准备工作和条件、方案的比选工作应特别认真、仔细、慎重，反复推敲比选，择优选用，只要稍微疏忽，将造成难以纠正的失误。</w:t>
      </w:r>
    </w:p>
    <w:p w14:paraId="4A9AAD30">
      <w:pPr>
        <w:bidi w:val="0"/>
        <w:rPr>
          <w:rFonts w:hint="eastAsia"/>
          <w:b w:val="0"/>
          <w:bCs/>
          <w:color w:val="auto"/>
        </w:rPr>
      </w:pPr>
      <w:r>
        <w:rPr>
          <w:rFonts w:hint="eastAsia"/>
          <w:b w:val="0"/>
          <w:bCs/>
          <w:color w:val="auto"/>
        </w:rPr>
        <w:t>该项目选址可能存在的危险有害因素主要是由于工程地质、地形地貌、水文、气象条件、周围环境、交通运输条件、自然灾害等引起。</w:t>
      </w:r>
    </w:p>
    <w:p w14:paraId="32AF0A4A">
      <w:pPr>
        <w:bidi w:val="0"/>
        <w:rPr>
          <w:rFonts w:hint="eastAsia"/>
          <w:b w:val="0"/>
          <w:bCs/>
          <w:color w:val="auto"/>
        </w:rPr>
      </w:pPr>
      <w:r>
        <w:rPr>
          <w:rFonts w:hint="eastAsia"/>
          <w:b w:val="0"/>
          <w:bCs/>
          <w:color w:val="auto"/>
        </w:rPr>
        <w:t>在总平面布置方面，由于功能区划分、防火间距、危险物质设施、场内道路等方面设计不合理，也可能对项目带来不利影响。</w:t>
      </w:r>
    </w:p>
    <w:p w14:paraId="5A09CFD5">
      <w:pPr>
        <w:bidi w:val="0"/>
        <w:rPr>
          <w:rFonts w:hint="eastAsia"/>
          <w:b w:val="0"/>
          <w:bCs/>
          <w:color w:val="auto"/>
        </w:rPr>
      </w:pPr>
      <w:r>
        <w:rPr>
          <w:rFonts w:hint="eastAsia"/>
          <w:b w:val="0"/>
          <w:bCs/>
          <w:color w:val="auto"/>
        </w:rPr>
        <w:t>经分析，项目选址和总平面布置方面可能发生火灾、</w:t>
      </w:r>
      <w:r>
        <w:rPr>
          <w:rFonts w:hint="eastAsia"/>
          <w:b w:val="0"/>
          <w:bCs/>
          <w:color w:val="auto"/>
          <w:lang w:val="en-US" w:eastAsia="zh-CN"/>
        </w:rPr>
        <w:t>爆炸、</w:t>
      </w:r>
      <w:r>
        <w:rPr>
          <w:rFonts w:hint="eastAsia"/>
          <w:b w:val="0"/>
          <w:bCs/>
          <w:color w:val="auto"/>
        </w:rPr>
        <w:t>坍塌、车辆伤害、中毒与窒息、淹溺、滑坡等生产安全事故。</w:t>
      </w:r>
    </w:p>
    <w:p w14:paraId="7D643022">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02" w:name="_Toc32411"/>
      <w:r>
        <w:rPr>
          <w:rFonts w:hint="eastAsia" w:ascii="Times New Roman" w:hAnsi="Times New Roman" w:cs="Times New Roman"/>
          <w:bCs/>
          <w:color w:val="auto"/>
          <w:sz w:val="28"/>
          <w:szCs w:val="28"/>
        </w:rPr>
        <w:t>3.3.1车辆伤害</w:t>
      </w:r>
      <w:bookmarkEnd w:id="102"/>
    </w:p>
    <w:p w14:paraId="4C22FD9A">
      <w:pPr>
        <w:bidi w:val="0"/>
        <w:rPr>
          <w:rFonts w:hint="eastAsia"/>
          <w:b w:val="0"/>
          <w:bCs/>
          <w:color w:val="auto"/>
        </w:rPr>
      </w:pPr>
      <w:r>
        <w:rPr>
          <w:rFonts w:hint="eastAsia"/>
          <w:b w:val="0"/>
          <w:bCs/>
          <w:color w:val="auto"/>
        </w:rPr>
        <w:t>选厂位于</w:t>
      </w:r>
      <w:r>
        <w:rPr>
          <w:rFonts w:hint="eastAsia"/>
          <w:b w:val="0"/>
          <w:bCs/>
          <w:color w:val="auto"/>
          <w:lang w:val="en-US" w:eastAsia="zh-CN"/>
        </w:rPr>
        <w:t>都龙镇大寨村民委老寨村</w:t>
      </w:r>
      <w:r>
        <w:rPr>
          <w:rFonts w:hint="eastAsia"/>
          <w:b w:val="0"/>
          <w:bCs/>
          <w:color w:val="auto"/>
        </w:rPr>
        <w:t>。由于项目生产过程中矿石运输量较大，车辆在厂区出入频繁，如果道路施工不规范、无交通标志、车辆驾驶人违规驾驶车辆、违章指挥等均可能发生车辆伤害事故。</w:t>
      </w:r>
    </w:p>
    <w:p w14:paraId="371F5BE0">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03" w:name="_Toc21798"/>
      <w:r>
        <w:rPr>
          <w:rFonts w:hint="eastAsia" w:ascii="Times New Roman" w:hAnsi="Times New Roman" w:cs="Times New Roman"/>
          <w:bCs/>
          <w:color w:val="auto"/>
          <w:sz w:val="28"/>
          <w:szCs w:val="28"/>
        </w:rPr>
        <w:t>3.3.2坍塌</w:t>
      </w:r>
      <w:bookmarkEnd w:id="103"/>
    </w:p>
    <w:p w14:paraId="7322376C">
      <w:pPr>
        <w:bidi w:val="0"/>
        <w:rPr>
          <w:rFonts w:hint="eastAsia"/>
          <w:b w:val="0"/>
          <w:bCs/>
          <w:color w:val="auto"/>
        </w:rPr>
      </w:pPr>
      <w:r>
        <w:rPr>
          <w:rFonts w:hint="eastAsia"/>
          <w:b w:val="0"/>
          <w:bCs/>
          <w:color w:val="auto"/>
        </w:rPr>
        <w:t>1、根据《</w:t>
      </w:r>
      <w:r>
        <w:rPr>
          <w:rFonts w:hint="eastAsia"/>
          <w:b w:val="0"/>
          <w:bCs/>
          <w:color w:val="auto"/>
          <w:lang w:eastAsia="zh-CN"/>
        </w:rPr>
        <w:t>建筑抗震设计标准</w:t>
      </w:r>
      <w:r>
        <w:rPr>
          <w:rFonts w:hint="eastAsia"/>
          <w:b w:val="0"/>
          <w:bCs/>
          <w:color w:val="auto"/>
        </w:rPr>
        <w:t>》（</w:t>
      </w:r>
      <w:r>
        <w:rPr>
          <w:rFonts w:hint="eastAsia"/>
          <w:b w:val="0"/>
          <w:bCs/>
          <w:color w:val="auto"/>
          <w:lang w:eastAsia="zh-CN"/>
        </w:rPr>
        <w:t>GB/T 50011-2010[2024年版]</w:t>
      </w:r>
      <w:r>
        <w:rPr>
          <w:rFonts w:hint="eastAsia"/>
          <w:b w:val="0"/>
          <w:bCs/>
          <w:color w:val="auto"/>
        </w:rPr>
        <w:t>）</w:t>
      </w:r>
      <w:r>
        <w:rPr>
          <w:rFonts w:hint="eastAsia"/>
          <w:b w:val="0"/>
          <w:bCs/>
          <w:color w:val="auto"/>
          <w:lang w:eastAsia="zh-CN"/>
        </w:rPr>
        <w:t>，</w:t>
      </w:r>
      <w:r>
        <w:rPr>
          <w:rFonts w:hint="eastAsia"/>
          <w:b w:val="0"/>
          <w:bCs/>
          <w:color w:val="auto"/>
          <w:lang w:val="en-US" w:eastAsia="zh-CN"/>
        </w:rPr>
        <w:t>项目区抗震设防烈度为Ⅵ度，设计地震分组为第一组，基本地震动峰值加速度为0.05g，地震特征周期为0.35s</w:t>
      </w:r>
      <w:r>
        <w:rPr>
          <w:rFonts w:hint="eastAsia"/>
          <w:b w:val="0"/>
          <w:bCs/>
          <w:color w:val="auto"/>
        </w:rPr>
        <w:t>。如果建设项目建构筑物的设计、施工不符合防震要求，在地震时可能造成建构筑物坍塌、人员伤亡。</w:t>
      </w:r>
    </w:p>
    <w:p w14:paraId="4C354CB7">
      <w:pPr>
        <w:bidi w:val="0"/>
        <w:rPr>
          <w:rFonts w:hint="eastAsia"/>
          <w:b w:val="0"/>
          <w:bCs/>
          <w:color w:val="auto"/>
        </w:rPr>
      </w:pPr>
      <w:r>
        <w:rPr>
          <w:rFonts w:hint="eastAsia"/>
          <w:b w:val="0"/>
          <w:bCs/>
          <w:color w:val="auto"/>
        </w:rPr>
        <w:t>2、若整平、挖填及建、构筑物基础型式的选用不当或建构筑物强度不满足要求，施工组织不合理，会导致建构筑物变形甚至发生坍塌事故。</w:t>
      </w:r>
    </w:p>
    <w:p w14:paraId="00EE984A">
      <w:pPr>
        <w:bidi w:val="0"/>
        <w:rPr>
          <w:rFonts w:hint="eastAsia"/>
          <w:b w:val="0"/>
          <w:bCs/>
          <w:color w:val="auto"/>
        </w:rPr>
      </w:pPr>
      <w:r>
        <w:rPr>
          <w:rFonts w:hint="eastAsia"/>
          <w:b w:val="0"/>
          <w:bCs/>
          <w:color w:val="auto"/>
        </w:rPr>
        <w:t>3、拟建场地为厂区，场地位于斜坡地段。在施工过程中，如果边坡参数设计不当、支护方式不合理可能会出现坍塌事故。</w:t>
      </w:r>
    </w:p>
    <w:p w14:paraId="676D127C">
      <w:pPr>
        <w:bidi w:val="0"/>
        <w:rPr>
          <w:rFonts w:hint="eastAsia"/>
          <w:b w:val="0"/>
          <w:bCs/>
          <w:color w:val="auto"/>
        </w:rPr>
      </w:pPr>
      <w:r>
        <w:rPr>
          <w:rFonts w:hint="eastAsia"/>
          <w:b w:val="0"/>
          <w:bCs/>
          <w:color w:val="auto"/>
        </w:rPr>
        <w:t>4、拟建场地土对砼结构中钢结构具微腐蚀性，如基础未采取相应的防腐措施，可能导致坍塌。</w:t>
      </w:r>
    </w:p>
    <w:p w14:paraId="20CF57D8">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04" w:name="_Toc23831"/>
      <w:r>
        <w:rPr>
          <w:rFonts w:hint="eastAsia" w:ascii="Times New Roman" w:hAnsi="Times New Roman" w:cs="Times New Roman"/>
          <w:bCs/>
          <w:color w:val="auto"/>
          <w:sz w:val="28"/>
          <w:szCs w:val="28"/>
        </w:rPr>
        <w:t>3.3.3火灾、爆炸</w:t>
      </w:r>
      <w:bookmarkEnd w:id="104"/>
    </w:p>
    <w:p w14:paraId="39282495">
      <w:pPr>
        <w:bidi w:val="0"/>
        <w:rPr>
          <w:rFonts w:hint="eastAsia"/>
          <w:b w:val="0"/>
          <w:bCs/>
          <w:color w:val="auto"/>
        </w:rPr>
      </w:pPr>
      <w:r>
        <w:rPr>
          <w:rFonts w:hint="eastAsia"/>
          <w:b w:val="0"/>
          <w:bCs/>
          <w:color w:val="auto"/>
        </w:rPr>
        <w:t>项目部分建筑物为钢结构建筑，钢结构耐火等级较低，若发生火灾，危害较大。生产过程中可能因为电路故障发生火灾事故，如果建构筑物防火间距、耐火等级不足，消防通道及消防设施不完善，安全出口等设置不合理，在发生事故后，逃生通道不畅通，容易导致事故后果扩大。发生火灾时，遇到油品（如：柴油等）往往会引发二次事故（爆炸）。</w:t>
      </w:r>
    </w:p>
    <w:p w14:paraId="7BC330C3">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05" w:name="_Toc19260"/>
      <w:r>
        <w:rPr>
          <w:rFonts w:hint="eastAsia" w:ascii="Times New Roman" w:hAnsi="Times New Roman" w:cs="Times New Roman"/>
          <w:bCs/>
          <w:color w:val="auto"/>
          <w:sz w:val="28"/>
          <w:szCs w:val="28"/>
        </w:rPr>
        <w:t>3.3.4中毒与窒息</w:t>
      </w:r>
      <w:bookmarkEnd w:id="105"/>
    </w:p>
    <w:p w14:paraId="3C3BE6BE">
      <w:pPr>
        <w:bidi w:val="0"/>
        <w:rPr>
          <w:rFonts w:hint="eastAsia"/>
          <w:b w:val="0"/>
          <w:bCs/>
          <w:color w:val="auto"/>
        </w:rPr>
      </w:pPr>
      <w:r>
        <w:rPr>
          <w:rFonts w:hint="eastAsia"/>
          <w:b w:val="0"/>
          <w:bCs/>
          <w:color w:val="auto"/>
        </w:rPr>
        <w:t>厂区内涉及料仓、</w:t>
      </w:r>
      <w:r>
        <w:rPr>
          <w:rFonts w:hint="eastAsia"/>
          <w:b w:val="0"/>
          <w:bCs/>
          <w:color w:val="auto"/>
          <w:lang w:val="en-US" w:eastAsia="zh-CN"/>
        </w:rPr>
        <w:t>高位</w:t>
      </w:r>
      <w:r>
        <w:rPr>
          <w:rFonts w:hint="eastAsia"/>
          <w:b w:val="0"/>
          <w:bCs/>
          <w:color w:val="auto"/>
        </w:rPr>
        <w:t>水池、球磨机等有限空间，在检维修作业时若未严格按照有限空间制度操作，会造成作业人员中毒、窒息。</w:t>
      </w:r>
    </w:p>
    <w:p w14:paraId="62451EFF">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06" w:name="_Toc13523"/>
      <w:r>
        <w:rPr>
          <w:rFonts w:hint="eastAsia" w:ascii="Times New Roman" w:hAnsi="Times New Roman" w:cs="Times New Roman"/>
          <w:bCs/>
          <w:color w:val="auto"/>
          <w:sz w:val="28"/>
          <w:szCs w:val="28"/>
        </w:rPr>
        <w:t>3.3.5淹溺</w:t>
      </w:r>
      <w:bookmarkEnd w:id="106"/>
    </w:p>
    <w:p w14:paraId="6C4A17F8">
      <w:pPr>
        <w:bidi w:val="0"/>
        <w:rPr>
          <w:rFonts w:hint="eastAsia"/>
          <w:b w:val="0"/>
          <w:bCs/>
          <w:color w:val="auto"/>
        </w:rPr>
      </w:pPr>
      <w:r>
        <w:rPr>
          <w:rFonts w:hint="eastAsia"/>
          <w:b w:val="0"/>
          <w:bCs/>
          <w:color w:val="auto"/>
        </w:rPr>
        <w:t>该厂设有</w:t>
      </w:r>
      <w:r>
        <w:rPr>
          <w:rFonts w:hint="eastAsia"/>
          <w:b w:val="0"/>
          <w:bCs/>
          <w:color w:val="auto"/>
          <w:lang w:val="en-US" w:eastAsia="zh-CN"/>
        </w:rPr>
        <w:t>高位</w:t>
      </w:r>
      <w:r>
        <w:rPr>
          <w:rFonts w:hint="eastAsia"/>
          <w:b w:val="0"/>
          <w:bCs/>
          <w:color w:val="auto"/>
        </w:rPr>
        <w:t>水池，由于常有蓄水，蓄水能力较大，其四周缺少安全警示标志、护栏或照明不足，人员可能不慎坠入，可能造成淹溺事故。</w:t>
      </w:r>
    </w:p>
    <w:p w14:paraId="19603429">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07" w:name="_Toc18988"/>
      <w:r>
        <w:rPr>
          <w:rFonts w:hint="eastAsia" w:ascii="Times New Roman" w:hAnsi="Times New Roman" w:cs="Times New Roman"/>
          <w:bCs/>
          <w:color w:val="auto"/>
          <w:sz w:val="28"/>
          <w:szCs w:val="28"/>
        </w:rPr>
        <w:t>3.3.6滑坡</w:t>
      </w:r>
      <w:bookmarkEnd w:id="107"/>
    </w:p>
    <w:p w14:paraId="0E6FE33F">
      <w:pPr>
        <w:bidi w:val="0"/>
        <w:rPr>
          <w:rFonts w:hint="eastAsia"/>
          <w:b w:val="0"/>
          <w:bCs/>
          <w:color w:val="auto"/>
        </w:rPr>
      </w:pPr>
      <w:r>
        <w:rPr>
          <w:rFonts w:hint="eastAsia"/>
          <w:b w:val="0"/>
          <w:bCs/>
          <w:color w:val="auto"/>
        </w:rPr>
        <w:t>厂址存在相对高差，雨季可能发生滑坡事故。原矿堆场的原矿堆高过高、尾矿堆场尾矿堆积过高，会造成滑坡事故。</w:t>
      </w:r>
    </w:p>
    <w:p w14:paraId="6AA02D8B">
      <w:pPr>
        <w:bidi w:val="0"/>
        <w:rPr>
          <w:rFonts w:hint="eastAsia"/>
          <w:b w:val="0"/>
          <w:bCs/>
          <w:color w:val="auto"/>
        </w:rPr>
      </w:pPr>
    </w:p>
    <w:p w14:paraId="4C39062B">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08" w:name="_Toc2358"/>
      <w:bookmarkStart w:id="109" w:name="_Toc6460"/>
      <w:r>
        <w:rPr>
          <w:rFonts w:hint="eastAsia" w:ascii="Times New Roman" w:hAnsi="Times New Roman" w:eastAsia="黑体" w:cs="Times New Roman"/>
          <w:b/>
          <w:bCs/>
          <w:color w:val="auto"/>
          <w:sz w:val="30"/>
          <w:szCs w:val="30"/>
        </w:rPr>
        <w:t>3.4基础设施施工建设期主要危险和有害因素辨识与分析</w:t>
      </w:r>
      <w:bookmarkEnd w:id="108"/>
      <w:bookmarkEnd w:id="109"/>
    </w:p>
    <w:p w14:paraId="4A838A56">
      <w:pPr>
        <w:bidi w:val="0"/>
        <w:rPr>
          <w:rFonts w:hint="eastAsia"/>
          <w:b w:val="0"/>
          <w:bCs/>
          <w:color w:val="auto"/>
        </w:rPr>
      </w:pPr>
      <w:r>
        <w:rPr>
          <w:rFonts w:hint="eastAsia"/>
          <w:b w:val="0"/>
          <w:bCs/>
          <w:color w:val="auto"/>
        </w:rPr>
        <w:t>建设项目施工期多属室外、临边、露天和高空作业等，因为设备缺陷、作业人员未经培训不具备安全知识、现场监管不到位等均易发生事故，如坍塌、高处坠落、物体打击、火灾、爆炸、触电、车辆伤害、机械伤害、容器爆炸、起重伤害。</w:t>
      </w:r>
    </w:p>
    <w:p w14:paraId="7427553C">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10" w:name="_Toc11914"/>
      <w:r>
        <w:rPr>
          <w:rFonts w:hint="eastAsia" w:ascii="Times New Roman" w:hAnsi="Times New Roman" w:cs="Times New Roman"/>
          <w:bCs/>
          <w:color w:val="auto"/>
          <w:sz w:val="28"/>
          <w:szCs w:val="28"/>
        </w:rPr>
        <w:t>3.4.1坍塌</w:t>
      </w:r>
      <w:bookmarkEnd w:id="110"/>
    </w:p>
    <w:p w14:paraId="4417EEE3">
      <w:pPr>
        <w:bidi w:val="0"/>
        <w:rPr>
          <w:rFonts w:hint="eastAsia"/>
          <w:b w:val="0"/>
          <w:bCs/>
          <w:color w:val="auto"/>
        </w:rPr>
      </w:pPr>
      <w:r>
        <w:rPr>
          <w:rFonts w:hint="eastAsia"/>
          <w:b w:val="0"/>
          <w:bCs/>
          <w:color w:val="auto"/>
        </w:rPr>
        <w:t>如果项目在施工建设过程中基础开挖、边坡支护、脚手架搭建、拆除不规范等，可能会造成支护、支撑或在建构筑物等失稳坍塌。</w:t>
      </w:r>
    </w:p>
    <w:p w14:paraId="4BD2D324">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11" w:name="_Toc14373"/>
      <w:r>
        <w:rPr>
          <w:rFonts w:hint="eastAsia" w:ascii="Times New Roman" w:hAnsi="Times New Roman" w:cs="Times New Roman"/>
          <w:bCs/>
          <w:color w:val="auto"/>
          <w:sz w:val="28"/>
          <w:szCs w:val="28"/>
        </w:rPr>
        <w:t>3.4.2高处坠落</w:t>
      </w:r>
      <w:bookmarkEnd w:id="111"/>
    </w:p>
    <w:p w14:paraId="003B2A4B">
      <w:pPr>
        <w:bidi w:val="0"/>
        <w:rPr>
          <w:rFonts w:hint="eastAsia"/>
          <w:b w:val="0"/>
          <w:bCs/>
          <w:color w:val="auto"/>
        </w:rPr>
      </w:pPr>
      <w:r>
        <w:rPr>
          <w:rFonts w:hint="eastAsia"/>
          <w:b w:val="0"/>
          <w:bCs/>
          <w:color w:val="auto"/>
        </w:rPr>
        <w:t>在施工过程中，如作业人员违章作业、未系安全带、突发疾病、安全设施不完善、无安全警示标志等或恶劣气候环境下进行高处作业易发生高处坠落。</w:t>
      </w:r>
    </w:p>
    <w:p w14:paraId="53D5DB24">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12" w:name="_Toc3011"/>
      <w:r>
        <w:rPr>
          <w:rFonts w:hint="eastAsia" w:ascii="Times New Roman" w:hAnsi="Times New Roman" w:cs="Times New Roman"/>
          <w:bCs/>
          <w:color w:val="auto"/>
          <w:sz w:val="28"/>
          <w:szCs w:val="28"/>
        </w:rPr>
        <w:t>3.4.3物体打击</w:t>
      </w:r>
      <w:bookmarkEnd w:id="112"/>
    </w:p>
    <w:p w14:paraId="04DA223A">
      <w:pPr>
        <w:bidi w:val="0"/>
        <w:rPr>
          <w:rFonts w:hint="eastAsia"/>
          <w:b w:val="0"/>
          <w:bCs/>
          <w:color w:val="auto"/>
        </w:rPr>
      </w:pPr>
      <w:r>
        <w:rPr>
          <w:rFonts w:hint="eastAsia"/>
          <w:b w:val="0"/>
          <w:bCs/>
          <w:color w:val="auto"/>
        </w:rPr>
        <w:t>人员进入施工现场未佩戴安全帽、高处作业工器具无防坠措施或放置不当、违章作业等易造成物体打击。</w:t>
      </w:r>
    </w:p>
    <w:p w14:paraId="0CA206AA">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13" w:name="_Toc26636"/>
      <w:r>
        <w:rPr>
          <w:rFonts w:hint="eastAsia" w:ascii="Times New Roman" w:hAnsi="Times New Roman" w:cs="Times New Roman"/>
          <w:bCs/>
          <w:color w:val="auto"/>
          <w:sz w:val="28"/>
          <w:szCs w:val="28"/>
        </w:rPr>
        <w:t>3.4.4触电</w:t>
      </w:r>
      <w:bookmarkEnd w:id="113"/>
    </w:p>
    <w:p w14:paraId="7E74A759">
      <w:pPr>
        <w:bidi w:val="0"/>
        <w:rPr>
          <w:rFonts w:hint="eastAsia"/>
          <w:b w:val="0"/>
          <w:bCs/>
          <w:color w:val="auto"/>
        </w:rPr>
      </w:pPr>
      <w:r>
        <w:rPr>
          <w:rFonts w:hint="eastAsia"/>
          <w:b w:val="0"/>
          <w:bCs/>
          <w:color w:val="auto"/>
        </w:rPr>
        <w:t>施工过程中电工无证上岗、检修作业无漏电保护器、电动工具不满足要求、带电设备无防护或者防护距离不足易发生触电。</w:t>
      </w:r>
    </w:p>
    <w:p w14:paraId="43BC897F">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14" w:name="_Toc5243"/>
      <w:r>
        <w:rPr>
          <w:rFonts w:hint="eastAsia" w:ascii="Times New Roman" w:hAnsi="Times New Roman" w:cs="Times New Roman"/>
          <w:bCs/>
          <w:color w:val="auto"/>
          <w:sz w:val="28"/>
          <w:szCs w:val="28"/>
        </w:rPr>
        <w:t>3.4.5机械伤害</w:t>
      </w:r>
      <w:bookmarkEnd w:id="114"/>
    </w:p>
    <w:p w14:paraId="2CB8896E">
      <w:pPr>
        <w:bidi w:val="0"/>
        <w:rPr>
          <w:rFonts w:hint="eastAsia"/>
          <w:b w:val="0"/>
          <w:bCs/>
          <w:color w:val="auto"/>
        </w:rPr>
      </w:pPr>
      <w:r>
        <w:rPr>
          <w:rFonts w:hint="eastAsia"/>
          <w:b w:val="0"/>
          <w:bCs/>
          <w:color w:val="auto"/>
        </w:rPr>
        <w:t>在施工过程中要大量使用工器具及施工机械，若防护不当、安全作业距离不足或违章作业等易发生机械伤害。</w:t>
      </w:r>
    </w:p>
    <w:p w14:paraId="75036250">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15" w:name="_Toc14142"/>
      <w:r>
        <w:rPr>
          <w:rFonts w:hint="eastAsia" w:ascii="Times New Roman" w:hAnsi="Times New Roman" w:cs="Times New Roman"/>
          <w:bCs/>
          <w:color w:val="auto"/>
          <w:sz w:val="28"/>
          <w:szCs w:val="28"/>
        </w:rPr>
        <w:t>3.4.6火灾、爆炸</w:t>
      </w:r>
      <w:bookmarkEnd w:id="115"/>
    </w:p>
    <w:p w14:paraId="1A8CA282">
      <w:pPr>
        <w:bidi w:val="0"/>
        <w:rPr>
          <w:rFonts w:hint="eastAsia"/>
          <w:b w:val="0"/>
          <w:bCs/>
          <w:color w:val="auto"/>
        </w:rPr>
      </w:pPr>
      <w:r>
        <w:rPr>
          <w:rFonts w:hint="eastAsia"/>
          <w:b w:val="0"/>
          <w:bCs/>
          <w:color w:val="auto"/>
        </w:rPr>
        <w:t>作业人员违反安全操作规程，施工过程中私自动火、未清除可燃物等易发生火灾及爆炸。在施工过程中使用的物料及生产、贮存、输送的物料，有可燃物质，在静电、明火、雷击、电气火花以及爆炸事故等诱发下，均有发生火灾的可能。</w:t>
      </w:r>
    </w:p>
    <w:p w14:paraId="428B5A1A">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16" w:name="_Toc21233"/>
      <w:r>
        <w:rPr>
          <w:rFonts w:hint="eastAsia" w:ascii="Times New Roman" w:hAnsi="Times New Roman" w:cs="Times New Roman"/>
          <w:bCs/>
          <w:color w:val="auto"/>
          <w:sz w:val="28"/>
          <w:szCs w:val="28"/>
        </w:rPr>
        <w:t>3.4.7容器爆炸</w:t>
      </w:r>
      <w:bookmarkEnd w:id="116"/>
    </w:p>
    <w:p w14:paraId="6F11F967">
      <w:pPr>
        <w:bidi w:val="0"/>
        <w:rPr>
          <w:rFonts w:hint="eastAsia"/>
          <w:b w:val="0"/>
          <w:bCs/>
          <w:color w:val="auto"/>
        </w:rPr>
      </w:pPr>
      <w:r>
        <w:rPr>
          <w:rFonts w:hint="eastAsia"/>
          <w:b w:val="0"/>
          <w:bCs/>
          <w:color w:val="auto"/>
        </w:rPr>
        <w:t>该企业检维修使用的氧气瓶、乙炔瓶等在外界温度环境变化较大情况下（高温），气瓶内气压变大，会发生物理爆炸，若使用不当时存在压力容器爆炸的可能，尤其是乙炔气瓶，若无防回火装置、软管皴裂等可能造成乙炔泄漏，引起爆炸。</w:t>
      </w:r>
    </w:p>
    <w:p w14:paraId="41547063">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17" w:name="_Toc16213"/>
      <w:r>
        <w:rPr>
          <w:rFonts w:hint="eastAsia" w:ascii="Times New Roman" w:hAnsi="Times New Roman" w:cs="Times New Roman"/>
          <w:bCs/>
          <w:color w:val="auto"/>
          <w:sz w:val="28"/>
          <w:szCs w:val="28"/>
        </w:rPr>
        <w:t>3.4.8车辆伤害</w:t>
      </w:r>
      <w:bookmarkEnd w:id="117"/>
    </w:p>
    <w:p w14:paraId="6C5043E7">
      <w:pPr>
        <w:bidi w:val="0"/>
        <w:rPr>
          <w:rFonts w:hint="eastAsia"/>
          <w:b w:val="0"/>
          <w:bCs/>
          <w:color w:val="auto"/>
        </w:rPr>
      </w:pPr>
      <w:r>
        <w:rPr>
          <w:rFonts w:hint="eastAsia"/>
          <w:b w:val="0"/>
          <w:bCs/>
          <w:color w:val="auto"/>
        </w:rPr>
        <w:t>由于项目施工过程中车辆在厂区出入频繁，如果道路施工不规范、无交通标志、车辆驾驶人违规驾驶车辆、违章指挥等均可能发生车辆伤害事故。</w:t>
      </w:r>
    </w:p>
    <w:p w14:paraId="50807174">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18" w:name="_Toc6501"/>
      <w:r>
        <w:rPr>
          <w:rFonts w:hint="eastAsia" w:ascii="Times New Roman" w:hAnsi="Times New Roman" w:cs="Times New Roman"/>
          <w:bCs/>
          <w:color w:val="auto"/>
          <w:sz w:val="28"/>
          <w:szCs w:val="28"/>
        </w:rPr>
        <w:t>3.4.9起重伤害</w:t>
      </w:r>
      <w:bookmarkEnd w:id="118"/>
    </w:p>
    <w:p w14:paraId="2D9F73BE">
      <w:pPr>
        <w:bidi w:val="0"/>
        <w:rPr>
          <w:rFonts w:hint="eastAsia"/>
          <w:b w:val="0"/>
          <w:bCs/>
          <w:color w:val="auto"/>
        </w:rPr>
      </w:pPr>
      <w:r>
        <w:rPr>
          <w:rFonts w:hint="eastAsia"/>
          <w:b w:val="0"/>
          <w:bCs/>
          <w:color w:val="auto"/>
        </w:rPr>
        <w:t>由于项目施工过程中使用起重设备进行设备安装，如果起重设备使用不规范、违规吊运、违章指挥等均可能发生起重伤害事故。</w:t>
      </w:r>
    </w:p>
    <w:p w14:paraId="3A46D76A">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r>
        <w:rPr>
          <w:rFonts w:hint="eastAsia" w:ascii="Times New Roman" w:hAnsi="Times New Roman" w:cs="Times New Roman"/>
          <w:bCs/>
          <w:color w:val="auto"/>
          <w:sz w:val="28"/>
          <w:szCs w:val="28"/>
        </w:rPr>
        <w:t>3.4.</w:t>
      </w:r>
      <w:r>
        <w:rPr>
          <w:rFonts w:hint="eastAsia" w:cs="Times New Roman"/>
          <w:bCs/>
          <w:color w:val="auto"/>
          <w:sz w:val="28"/>
          <w:szCs w:val="28"/>
          <w:lang w:val="en-US" w:eastAsia="zh-CN"/>
        </w:rPr>
        <w:t>10其他</w:t>
      </w:r>
      <w:r>
        <w:rPr>
          <w:rFonts w:hint="eastAsia" w:ascii="Times New Roman" w:hAnsi="Times New Roman" w:cs="Times New Roman"/>
          <w:bCs/>
          <w:color w:val="auto"/>
          <w:sz w:val="28"/>
          <w:szCs w:val="28"/>
        </w:rPr>
        <w:t>伤害</w:t>
      </w:r>
    </w:p>
    <w:p w14:paraId="14B6E1A3">
      <w:pPr>
        <w:bidi w:val="0"/>
        <w:rPr>
          <w:rFonts w:hint="eastAsia"/>
          <w:b w:val="0"/>
          <w:bCs/>
          <w:color w:val="auto"/>
        </w:rPr>
      </w:pPr>
      <w:r>
        <w:rPr>
          <w:rFonts w:hint="eastAsia"/>
          <w:b w:val="0"/>
          <w:bCs/>
          <w:color w:val="auto"/>
          <w:lang w:val="en-US" w:eastAsia="zh-CN"/>
        </w:rPr>
        <w:t>施工过程中常见的其他伤害主要包含：施工人员滑倒、绊倒、磕碰损伤；尖锐物料、碎石、边角钢材划伤、扎伤；高温露天作业引发的中暑、热痉挛；冬季低温露天施工导致的冻伤；施工现场粉尘、刺激性物料短暂接触引发的躯体不适及轻微损伤；临时施工杂物、废弃建材堆放不当造成的挤压、剐蹭伤害；作业人员误入未公示的临时低洼坑槽、临时围挡间隙造成的磕碰摔伤；多工种交叉施工中无意碰撞、肢体接触引发的轻微伤害等。</w:t>
      </w:r>
    </w:p>
    <w:p w14:paraId="2647D322">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19" w:name="_Toc27157"/>
      <w:bookmarkStart w:id="120" w:name="_Toc21614"/>
      <w:r>
        <w:rPr>
          <w:rFonts w:hint="eastAsia" w:ascii="Times New Roman" w:hAnsi="Times New Roman" w:eastAsia="黑体" w:cs="Times New Roman"/>
          <w:b/>
          <w:bCs/>
          <w:color w:val="auto"/>
          <w:sz w:val="30"/>
          <w:szCs w:val="30"/>
        </w:rPr>
        <w:t>3.5生产过程中的主要危险和有害因素辨识与分析</w:t>
      </w:r>
      <w:bookmarkEnd w:id="119"/>
      <w:bookmarkEnd w:id="120"/>
    </w:p>
    <w:p w14:paraId="23212A7B">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21" w:name="_Toc4824"/>
      <w:r>
        <w:rPr>
          <w:rFonts w:hint="eastAsia" w:ascii="Times New Roman" w:hAnsi="Times New Roman" w:cs="Times New Roman"/>
          <w:bCs/>
          <w:color w:val="auto"/>
          <w:sz w:val="28"/>
          <w:szCs w:val="28"/>
        </w:rPr>
        <w:t>3.5.1坍塌、滑坡</w:t>
      </w:r>
      <w:bookmarkEnd w:id="121"/>
    </w:p>
    <w:p w14:paraId="3D0073AF">
      <w:pPr>
        <w:bidi w:val="0"/>
        <w:rPr>
          <w:rFonts w:hint="eastAsia"/>
          <w:b w:val="0"/>
          <w:bCs/>
          <w:color w:val="auto"/>
        </w:rPr>
      </w:pPr>
      <w:r>
        <w:rPr>
          <w:rFonts w:hint="eastAsia"/>
          <w:b w:val="0"/>
          <w:bCs/>
          <w:color w:val="auto"/>
        </w:rPr>
        <w:t>坍塌是指物体在外力或重力作用下，超过自身的强度极限或因结构稳定性破坏而造成的事故。滑坡是指斜坡上的土体或者岩体，受河流冲刷、地下水活动、雨水浸泡、地震及人工切坡等因素影响，在重力作用下，沿着一定的软弱面或者软弱带，整体地或者分散地顺坡向下滑动的自然现象。拟建场地地基土岩土层均匀性较差，属不均匀地基，建筑物易产生不均匀沉降变形，建、构筑物基础型式的选用不当或建构筑物强度不满足要求，会导致建构筑物变形甚至发生坍塌事故。拟建场地土对砼结构具微腐蚀性，对砼结构中钢结构具微腐蚀性，对钢结构具微腐蚀性，如基础未采取相应的防腐措施，可能导致坍塌。球磨机械振动较大，若不采取适当措施，亦会引起坍塌。</w:t>
      </w:r>
      <w:r>
        <w:rPr>
          <w:rFonts w:hint="eastAsia"/>
          <w:b w:val="0"/>
          <w:bCs/>
          <w:color w:val="auto"/>
          <w:lang w:val="en-US" w:eastAsia="zh-CN"/>
        </w:rPr>
        <w:t>厂区存在边坡，</w:t>
      </w:r>
      <w:r>
        <w:rPr>
          <w:rFonts w:hint="eastAsia"/>
          <w:b w:val="0"/>
          <w:bCs/>
          <w:color w:val="auto"/>
        </w:rPr>
        <w:t>原矿堆场的原矿堆高过高、尾矿堆场尾矿堆积过高，雨季来临，会造成坍塌、滑坡。</w:t>
      </w:r>
    </w:p>
    <w:p w14:paraId="55F657F1">
      <w:pPr>
        <w:bidi w:val="0"/>
        <w:rPr>
          <w:rFonts w:hint="eastAsia"/>
          <w:b w:val="0"/>
          <w:bCs/>
          <w:color w:val="auto"/>
        </w:rPr>
      </w:pPr>
      <w:r>
        <w:rPr>
          <w:rFonts w:hint="eastAsia"/>
          <w:b w:val="0"/>
          <w:bCs/>
          <w:color w:val="auto"/>
        </w:rPr>
        <w:t>可能存在的部位：办公室、配电室、厂房等建筑物，原矿堆场、厂区周边。</w:t>
      </w:r>
    </w:p>
    <w:p w14:paraId="5F1A46C6">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22" w:name="_Toc26492"/>
      <w:r>
        <w:rPr>
          <w:rFonts w:hint="eastAsia" w:ascii="Times New Roman" w:hAnsi="Times New Roman" w:cs="Times New Roman"/>
          <w:bCs/>
          <w:color w:val="auto"/>
          <w:sz w:val="28"/>
          <w:szCs w:val="28"/>
        </w:rPr>
        <w:t>3.5.2机械伤害</w:t>
      </w:r>
      <w:bookmarkEnd w:id="122"/>
    </w:p>
    <w:p w14:paraId="1CB0D214">
      <w:pPr>
        <w:bidi w:val="0"/>
        <w:rPr>
          <w:rFonts w:hint="eastAsia"/>
          <w:b w:val="0"/>
          <w:bCs/>
          <w:color w:val="auto"/>
        </w:rPr>
      </w:pPr>
      <w:r>
        <w:rPr>
          <w:rFonts w:hint="eastAsia"/>
          <w:b w:val="0"/>
          <w:bCs/>
          <w:color w:val="auto"/>
        </w:rPr>
        <w:t>机械伤害的伤害实质是机械能（动能和势能）的非正常做功、流动或转化，导致对人员的接触性伤害，易造成作业人员夹挤、碾压、剪切、切割、缠绕或卷入、戳扎或刺伤、摩擦等。造成机械伤害的主要因素有：</w:t>
      </w:r>
    </w:p>
    <w:p w14:paraId="2B434DE4">
      <w:pPr>
        <w:bidi w:val="0"/>
        <w:rPr>
          <w:rFonts w:hint="eastAsia"/>
          <w:b w:val="0"/>
          <w:bCs/>
          <w:color w:val="auto"/>
        </w:rPr>
      </w:pPr>
      <w:r>
        <w:rPr>
          <w:rFonts w:hint="eastAsia"/>
          <w:b w:val="0"/>
          <w:bCs/>
          <w:color w:val="auto"/>
        </w:rPr>
        <w:t>1、违章作业或操作不当，不停电对机械设备进行检维修；</w:t>
      </w:r>
    </w:p>
    <w:p w14:paraId="3FD901E8">
      <w:pPr>
        <w:bidi w:val="0"/>
        <w:rPr>
          <w:rFonts w:hint="eastAsia"/>
          <w:b w:val="0"/>
          <w:bCs/>
          <w:color w:val="auto"/>
        </w:rPr>
      </w:pPr>
      <w:r>
        <w:rPr>
          <w:rFonts w:hint="eastAsia"/>
          <w:b w:val="0"/>
          <w:bCs/>
          <w:color w:val="auto"/>
        </w:rPr>
        <w:t>2、选用的设备在设计上存在先天不足（如强度不够、刚度不够、稳定性差、操纵器缺陷、制动器缺陷等）；</w:t>
      </w:r>
    </w:p>
    <w:p w14:paraId="2A5D6964">
      <w:pPr>
        <w:bidi w:val="0"/>
        <w:rPr>
          <w:rFonts w:hint="eastAsia"/>
          <w:b w:val="0"/>
          <w:bCs/>
          <w:color w:val="auto"/>
        </w:rPr>
      </w:pPr>
      <w:r>
        <w:rPr>
          <w:rFonts w:hint="eastAsia"/>
          <w:b w:val="0"/>
          <w:bCs/>
          <w:color w:val="auto"/>
        </w:rPr>
        <w:t>3、各车间设备平面布置安全间距不足；</w:t>
      </w:r>
    </w:p>
    <w:p w14:paraId="661AAC86">
      <w:pPr>
        <w:bidi w:val="0"/>
        <w:rPr>
          <w:rFonts w:hint="eastAsia"/>
          <w:b w:val="0"/>
          <w:bCs/>
          <w:color w:val="auto"/>
        </w:rPr>
      </w:pPr>
      <w:r>
        <w:rPr>
          <w:rFonts w:hint="eastAsia"/>
          <w:b w:val="0"/>
          <w:bCs/>
          <w:color w:val="auto"/>
        </w:rPr>
        <w:t>4、机械设备安全防护缺陷（无防护、防护装置和设施缺陷、防护不当等）或损坏或被拆除等，导致事故发生；</w:t>
      </w:r>
    </w:p>
    <w:p w14:paraId="3BE55E3D">
      <w:pPr>
        <w:bidi w:val="0"/>
        <w:rPr>
          <w:rFonts w:hint="eastAsia"/>
          <w:b w:val="0"/>
          <w:bCs/>
          <w:color w:val="auto"/>
        </w:rPr>
      </w:pPr>
      <w:r>
        <w:rPr>
          <w:rFonts w:hint="eastAsia"/>
          <w:b w:val="0"/>
          <w:bCs/>
          <w:color w:val="auto"/>
        </w:rPr>
        <w:t>5、在设备的检修时，机器突然意外启动，导致事故发生；</w:t>
      </w:r>
    </w:p>
    <w:p w14:paraId="17BAB957">
      <w:pPr>
        <w:bidi w:val="0"/>
        <w:rPr>
          <w:rFonts w:hint="eastAsia"/>
          <w:b w:val="0"/>
          <w:bCs/>
          <w:color w:val="auto"/>
        </w:rPr>
      </w:pPr>
      <w:r>
        <w:rPr>
          <w:rFonts w:hint="eastAsia"/>
          <w:b w:val="0"/>
          <w:bCs/>
          <w:color w:val="auto"/>
        </w:rPr>
        <w:t>6、联锁局部操作的胶带输送机长度超过40m时，未设置启动预示信号（信号灯或电铃）；</w:t>
      </w:r>
    </w:p>
    <w:p w14:paraId="5D12D96C">
      <w:pPr>
        <w:bidi w:val="0"/>
        <w:rPr>
          <w:rFonts w:hint="eastAsia"/>
          <w:b w:val="0"/>
          <w:bCs/>
          <w:color w:val="auto"/>
        </w:rPr>
      </w:pPr>
      <w:r>
        <w:rPr>
          <w:rFonts w:hint="eastAsia"/>
          <w:b w:val="0"/>
          <w:bCs/>
          <w:color w:val="auto"/>
        </w:rPr>
        <w:t>7、操作人员疏忽大意，身体进入机械危险部位；</w:t>
      </w:r>
    </w:p>
    <w:p w14:paraId="33762FB0">
      <w:pPr>
        <w:bidi w:val="0"/>
        <w:rPr>
          <w:rFonts w:hint="eastAsia"/>
          <w:b w:val="0"/>
          <w:bCs/>
          <w:color w:val="auto"/>
        </w:rPr>
      </w:pPr>
      <w:r>
        <w:rPr>
          <w:rFonts w:hint="eastAsia"/>
          <w:b w:val="0"/>
          <w:bCs/>
          <w:color w:val="auto"/>
        </w:rPr>
        <w:t>8、在不安全的机械上停留、休息，导致事故发生；</w:t>
      </w:r>
    </w:p>
    <w:p w14:paraId="164B251C">
      <w:pPr>
        <w:bidi w:val="0"/>
        <w:rPr>
          <w:rFonts w:hint="eastAsia"/>
          <w:b w:val="0"/>
          <w:bCs/>
          <w:color w:val="auto"/>
        </w:rPr>
      </w:pPr>
      <w:r>
        <w:rPr>
          <w:rFonts w:hint="eastAsia"/>
          <w:b w:val="0"/>
          <w:bCs/>
          <w:color w:val="auto"/>
        </w:rPr>
        <w:t>9、作业人员违章操作，穿戴不符合安全规定的劳动防护用品进行操作；</w:t>
      </w:r>
    </w:p>
    <w:p w14:paraId="49AE39B9">
      <w:pPr>
        <w:bidi w:val="0"/>
        <w:rPr>
          <w:rFonts w:hint="eastAsia"/>
          <w:b w:val="0"/>
          <w:bCs/>
          <w:color w:val="auto"/>
        </w:rPr>
      </w:pPr>
      <w:r>
        <w:rPr>
          <w:rFonts w:hint="eastAsia"/>
          <w:b w:val="0"/>
          <w:bCs/>
          <w:color w:val="auto"/>
        </w:rPr>
        <w:t>10、安全管理存在疏漏（如：信号缺陷、标志缺陷、安全操作规程不规范等）。</w:t>
      </w:r>
    </w:p>
    <w:p w14:paraId="09F703F9">
      <w:pPr>
        <w:bidi w:val="0"/>
        <w:rPr>
          <w:rFonts w:hint="eastAsia"/>
          <w:b w:val="0"/>
          <w:bCs/>
          <w:color w:val="auto"/>
        </w:rPr>
      </w:pPr>
      <w:r>
        <w:rPr>
          <w:rFonts w:hint="eastAsia"/>
          <w:b w:val="0"/>
          <w:bCs/>
          <w:color w:val="auto"/>
        </w:rPr>
        <w:t>可能存在的部位：该项目在生产及检维修过程中，</w:t>
      </w:r>
      <w:r>
        <w:rPr>
          <w:rFonts w:hint="eastAsia"/>
          <w:b w:val="0"/>
          <w:bCs/>
          <w:color w:val="auto"/>
          <w:lang w:val="en-US" w:eastAsia="zh-CN"/>
        </w:rPr>
        <w:t>振动筛</w:t>
      </w:r>
      <w:r>
        <w:rPr>
          <w:rFonts w:hint="eastAsia"/>
          <w:b w:val="0"/>
          <w:bCs/>
          <w:color w:val="auto"/>
        </w:rPr>
        <w:t>、球磨机等设备机械伤害最容易发生，设备电动机的连轴器、传动部位和皮带轮等旋转运动等处。</w:t>
      </w:r>
    </w:p>
    <w:p w14:paraId="7DDC2791">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23" w:name="_Toc24220"/>
      <w:r>
        <w:rPr>
          <w:rFonts w:hint="eastAsia" w:ascii="Times New Roman" w:hAnsi="Times New Roman" w:cs="Times New Roman"/>
          <w:bCs/>
          <w:color w:val="auto"/>
          <w:sz w:val="28"/>
          <w:szCs w:val="28"/>
        </w:rPr>
        <w:t>3.5.3车辆伤害</w:t>
      </w:r>
      <w:bookmarkEnd w:id="123"/>
    </w:p>
    <w:p w14:paraId="402F7367">
      <w:pPr>
        <w:bidi w:val="0"/>
        <w:rPr>
          <w:rFonts w:hint="eastAsia"/>
          <w:b w:val="0"/>
          <w:bCs/>
          <w:color w:val="auto"/>
        </w:rPr>
      </w:pPr>
      <w:r>
        <w:rPr>
          <w:rFonts w:hint="eastAsia"/>
          <w:b w:val="0"/>
          <w:bCs/>
          <w:color w:val="auto"/>
        </w:rPr>
        <w:t>厂内原矿、精矿等进出场均需采用汽车运输，原矿、精矿需要装载机转运、装车，车辆出入频繁，可能发生撞车、翻车、碾压等车辆伤害事故。引发车辆伤害事故的原因有以下几方面：</w:t>
      </w:r>
    </w:p>
    <w:p w14:paraId="5BC7A13B">
      <w:pPr>
        <w:bidi w:val="0"/>
        <w:rPr>
          <w:rFonts w:hint="eastAsia"/>
          <w:b w:val="0"/>
          <w:bCs/>
          <w:color w:val="auto"/>
        </w:rPr>
      </w:pPr>
      <w:r>
        <w:rPr>
          <w:rFonts w:hint="eastAsia"/>
          <w:b w:val="0"/>
          <w:bCs/>
          <w:color w:val="auto"/>
        </w:rPr>
        <w:t>1、违章驾车：车辆驾驶人不按有关规定行驶，违章驾车，如酒后驾车、疲劳驾车、无证驾车、超速行驶、争道抢行、违章超车、违章装载等；</w:t>
      </w:r>
    </w:p>
    <w:p w14:paraId="7CE4B5B5">
      <w:pPr>
        <w:bidi w:val="0"/>
        <w:rPr>
          <w:rFonts w:hint="eastAsia"/>
          <w:b w:val="0"/>
          <w:bCs/>
          <w:color w:val="auto"/>
        </w:rPr>
      </w:pPr>
      <w:r>
        <w:rPr>
          <w:rFonts w:hint="eastAsia"/>
          <w:b w:val="0"/>
          <w:bCs/>
          <w:color w:val="auto"/>
        </w:rPr>
        <w:t>2、疏忽大意：指当事人由于心理或生理方面的原因，情绪急躁、精神分散、心理烦乱、身体不适等造成注意力下降，反应迟钝，没有及时、正确的观察和判断道路情况，遇到情况采取措施不及时或不当，过高估计自己的经验技术，引起操作失误导致事故；</w:t>
      </w:r>
    </w:p>
    <w:p w14:paraId="6030959D">
      <w:pPr>
        <w:bidi w:val="0"/>
        <w:rPr>
          <w:rFonts w:hint="eastAsia"/>
          <w:b w:val="0"/>
          <w:bCs/>
          <w:color w:val="auto"/>
        </w:rPr>
      </w:pPr>
      <w:r>
        <w:rPr>
          <w:rFonts w:hint="eastAsia"/>
          <w:b w:val="0"/>
          <w:bCs/>
          <w:color w:val="auto"/>
        </w:rPr>
        <w:t>3、车况不良：安全装置不齐全、工作装置不可靠、安全防护装置不可靠、车辆维护修理不及时，带</w:t>
      </w:r>
      <w:r>
        <w:rPr>
          <w:rFonts w:hint="eastAsia"/>
          <w:b w:val="0"/>
          <w:bCs/>
          <w:color w:val="auto"/>
          <w:lang w:eastAsia="zh-CN"/>
        </w:rPr>
        <w:t>“</w:t>
      </w:r>
      <w:r>
        <w:rPr>
          <w:rFonts w:hint="eastAsia"/>
          <w:b w:val="0"/>
          <w:bCs/>
          <w:color w:val="auto"/>
        </w:rPr>
        <w:t>病</w:t>
      </w:r>
      <w:r>
        <w:rPr>
          <w:rFonts w:hint="eastAsia"/>
          <w:b w:val="0"/>
          <w:bCs/>
          <w:color w:val="auto"/>
          <w:lang w:eastAsia="zh-CN"/>
        </w:rPr>
        <w:t>”</w:t>
      </w:r>
      <w:r>
        <w:rPr>
          <w:rFonts w:hint="eastAsia"/>
          <w:b w:val="0"/>
          <w:bCs/>
          <w:color w:val="auto"/>
        </w:rPr>
        <w:t>行驶；</w:t>
      </w:r>
    </w:p>
    <w:p w14:paraId="1C30CF4B">
      <w:pPr>
        <w:bidi w:val="0"/>
        <w:rPr>
          <w:rFonts w:hint="eastAsia"/>
          <w:b w:val="0"/>
          <w:bCs/>
          <w:color w:val="auto"/>
        </w:rPr>
      </w:pPr>
      <w:r>
        <w:rPr>
          <w:rFonts w:hint="eastAsia"/>
          <w:b w:val="0"/>
          <w:bCs/>
          <w:color w:val="auto"/>
        </w:rPr>
        <w:t>4、道路环境：气候条件恶劣，厂区道路狭窄，交叉和弯道较多，坡度大，驾驶员视距、视野受限，盲区较多，不便及时观察掌握来车动态，易发生车辆伤害；</w:t>
      </w:r>
    </w:p>
    <w:p w14:paraId="2BCE37E6">
      <w:pPr>
        <w:bidi w:val="0"/>
        <w:rPr>
          <w:rFonts w:hint="eastAsia"/>
          <w:b w:val="0"/>
          <w:bCs/>
          <w:color w:val="auto"/>
        </w:rPr>
      </w:pPr>
      <w:r>
        <w:rPr>
          <w:rFonts w:hint="eastAsia"/>
          <w:b w:val="0"/>
          <w:bCs/>
          <w:color w:val="auto"/>
        </w:rPr>
        <w:t>5、管理因素：车辆安全驾驶制度不落实，管理规章制度或操作规程不健全等。</w:t>
      </w:r>
    </w:p>
    <w:p w14:paraId="7435D5F2">
      <w:pPr>
        <w:bidi w:val="0"/>
        <w:rPr>
          <w:rFonts w:hint="eastAsia"/>
          <w:b w:val="0"/>
          <w:bCs/>
          <w:color w:val="auto"/>
        </w:rPr>
      </w:pPr>
      <w:r>
        <w:rPr>
          <w:rFonts w:hint="eastAsia"/>
          <w:b w:val="0"/>
          <w:bCs/>
          <w:color w:val="auto"/>
        </w:rPr>
        <w:t>可能存在的部位：本项目可能发生车辆伤害的设施、环节（区域）主要是：原矿堆场、产品堆场、厂区道路、物料运输过程等。</w:t>
      </w:r>
    </w:p>
    <w:p w14:paraId="706E4D60">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24" w:name="_Toc27657"/>
      <w:r>
        <w:rPr>
          <w:rFonts w:hint="eastAsia" w:ascii="Times New Roman" w:hAnsi="Times New Roman" w:cs="Times New Roman"/>
          <w:bCs/>
          <w:color w:val="auto"/>
          <w:sz w:val="28"/>
          <w:szCs w:val="28"/>
        </w:rPr>
        <w:t>3.5.4触电</w:t>
      </w:r>
      <w:bookmarkEnd w:id="124"/>
    </w:p>
    <w:p w14:paraId="2C0E6952">
      <w:pPr>
        <w:bidi w:val="0"/>
        <w:rPr>
          <w:rFonts w:hint="eastAsia"/>
          <w:b w:val="0"/>
          <w:bCs/>
          <w:color w:val="auto"/>
        </w:rPr>
      </w:pPr>
      <w:r>
        <w:rPr>
          <w:rFonts w:hint="eastAsia"/>
          <w:b w:val="0"/>
          <w:bCs/>
          <w:color w:val="auto"/>
        </w:rPr>
        <w:t>触电伤害是电能作用于人体造成的伤害，电气伤害事故以触电伤害最为常见。本项目的生产装置配套的配电柜、电气设备、电器开关、电缆及其敷设，可能因接零、接地及屏护措施不完善、耐腐蚀性能差、耐压强度低等原因造成漏电而发生触电事故。</w:t>
      </w:r>
    </w:p>
    <w:p w14:paraId="6DF207C2">
      <w:pPr>
        <w:bidi w:val="0"/>
        <w:rPr>
          <w:rFonts w:hint="eastAsia"/>
          <w:b w:val="0"/>
          <w:bCs/>
          <w:color w:val="auto"/>
        </w:rPr>
      </w:pPr>
      <w:r>
        <w:rPr>
          <w:rFonts w:hint="eastAsia"/>
          <w:b w:val="0"/>
          <w:bCs/>
          <w:color w:val="auto"/>
        </w:rPr>
        <w:t>造成人员触电原因有：</w:t>
      </w:r>
    </w:p>
    <w:p w14:paraId="56B902E7">
      <w:pPr>
        <w:bidi w:val="0"/>
        <w:rPr>
          <w:rFonts w:hint="eastAsia"/>
          <w:b w:val="0"/>
          <w:bCs/>
          <w:color w:val="auto"/>
        </w:rPr>
      </w:pPr>
      <w:r>
        <w:rPr>
          <w:rFonts w:hint="eastAsia"/>
          <w:b w:val="0"/>
          <w:bCs/>
          <w:color w:val="auto"/>
        </w:rPr>
        <w:t>1、未填写操作票或未执行监护制度，线路或电气设备工作完毕，未办理工作票终结手续，就对停电设备恢复送电，工作人员擅自扩大工作范围；</w:t>
      </w:r>
    </w:p>
    <w:p w14:paraId="472DB36B">
      <w:pPr>
        <w:bidi w:val="0"/>
        <w:rPr>
          <w:rFonts w:hint="eastAsia"/>
          <w:b w:val="0"/>
          <w:bCs/>
          <w:color w:val="auto"/>
        </w:rPr>
      </w:pPr>
      <w:r>
        <w:rPr>
          <w:rFonts w:hint="eastAsia"/>
          <w:b w:val="0"/>
          <w:bCs/>
          <w:color w:val="auto"/>
        </w:rPr>
        <w:t>2、违章带电作业，直接触及带电体，导致触电；</w:t>
      </w:r>
    </w:p>
    <w:p w14:paraId="50DBFA0A">
      <w:pPr>
        <w:bidi w:val="0"/>
        <w:rPr>
          <w:rFonts w:hint="eastAsia"/>
          <w:b w:val="0"/>
          <w:bCs/>
          <w:color w:val="auto"/>
        </w:rPr>
      </w:pPr>
      <w:r>
        <w:rPr>
          <w:rFonts w:hint="eastAsia"/>
          <w:b w:val="0"/>
          <w:bCs/>
          <w:color w:val="auto"/>
        </w:rPr>
        <w:t>3、未使用安全防护用品或使用的绝缘工具和电气工具不合格；</w:t>
      </w:r>
    </w:p>
    <w:p w14:paraId="2851E1F7">
      <w:pPr>
        <w:bidi w:val="0"/>
        <w:rPr>
          <w:rFonts w:hint="eastAsia"/>
          <w:b w:val="0"/>
          <w:bCs/>
          <w:color w:val="auto"/>
        </w:rPr>
      </w:pPr>
      <w:r>
        <w:rPr>
          <w:rFonts w:hint="eastAsia"/>
          <w:b w:val="0"/>
          <w:bCs/>
          <w:color w:val="auto"/>
        </w:rPr>
        <w:t>4、因管理不当、设备老化、绝缘降低而漏电，致使触电；</w:t>
      </w:r>
    </w:p>
    <w:p w14:paraId="06ADC716">
      <w:pPr>
        <w:bidi w:val="0"/>
        <w:rPr>
          <w:rFonts w:hint="eastAsia"/>
          <w:b w:val="0"/>
          <w:bCs/>
          <w:color w:val="auto"/>
        </w:rPr>
      </w:pPr>
      <w:r>
        <w:rPr>
          <w:rFonts w:hint="eastAsia"/>
          <w:b w:val="0"/>
          <w:bCs/>
          <w:color w:val="auto"/>
        </w:rPr>
        <w:t>5、人员不按电气安全工作规定对停电后可能产生感应电压的设备不挂临时地线，对高压电缆、电力变压器、电容开关柜及大电动机等电气设备停电检修前未进行充分放电而造成感电压、剩余电压触电；</w:t>
      </w:r>
    </w:p>
    <w:p w14:paraId="016C4F42">
      <w:pPr>
        <w:bidi w:val="0"/>
        <w:rPr>
          <w:rFonts w:hint="eastAsia"/>
          <w:b w:val="0"/>
          <w:bCs/>
          <w:color w:val="auto"/>
        </w:rPr>
      </w:pPr>
      <w:r>
        <w:rPr>
          <w:rFonts w:hint="eastAsia"/>
          <w:b w:val="0"/>
          <w:bCs/>
          <w:color w:val="auto"/>
        </w:rPr>
        <w:t>6、临时用电管理不规范，乱搭乱接，造成触电；</w:t>
      </w:r>
    </w:p>
    <w:p w14:paraId="3143BE27">
      <w:pPr>
        <w:bidi w:val="0"/>
        <w:rPr>
          <w:rFonts w:hint="eastAsia"/>
          <w:b w:val="0"/>
          <w:bCs/>
          <w:color w:val="auto"/>
        </w:rPr>
      </w:pPr>
      <w:r>
        <w:rPr>
          <w:rFonts w:hint="eastAsia"/>
          <w:b w:val="0"/>
          <w:bCs/>
          <w:color w:val="auto"/>
        </w:rPr>
        <w:t>7、在带电设备附近进行作业，安全距离不符合要求或无监护；</w:t>
      </w:r>
    </w:p>
    <w:p w14:paraId="4AA86D82">
      <w:pPr>
        <w:bidi w:val="0"/>
        <w:rPr>
          <w:rFonts w:hint="eastAsia"/>
          <w:b w:val="0"/>
          <w:bCs/>
          <w:color w:val="auto"/>
        </w:rPr>
      </w:pPr>
      <w:r>
        <w:rPr>
          <w:rFonts w:hint="eastAsia"/>
          <w:b w:val="0"/>
          <w:bCs/>
          <w:color w:val="auto"/>
        </w:rPr>
        <w:t>8、跨越安全围栏或超越安全警戒线，工作人员走错间隔误碰带电设备，以及在带电设备附近使用钢卷尺等进行测量或携带金属在带电设备下行走；</w:t>
      </w:r>
    </w:p>
    <w:p w14:paraId="64324F8A">
      <w:pPr>
        <w:bidi w:val="0"/>
        <w:rPr>
          <w:rFonts w:hint="eastAsia"/>
          <w:b w:val="0"/>
          <w:bCs/>
          <w:color w:val="auto"/>
        </w:rPr>
      </w:pPr>
      <w:r>
        <w:rPr>
          <w:rFonts w:hint="eastAsia"/>
          <w:b w:val="0"/>
          <w:bCs/>
          <w:color w:val="auto"/>
        </w:rPr>
        <w:t>9、线路磨损、绝缘层损坏使外壳带电，设备缺少漏电保护等防护装置；</w:t>
      </w:r>
    </w:p>
    <w:p w14:paraId="6C5A0DBA">
      <w:pPr>
        <w:bidi w:val="0"/>
        <w:rPr>
          <w:rFonts w:hint="eastAsia"/>
          <w:b w:val="0"/>
          <w:bCs/>
          <w:color w:val="auto"/>
        </w:rPr>
      </w:pPr>
      <w:r>
        <w:rPr>
          <w:rFonts w:hint="eastAsia"/>
          <w:b w:val="0"/>
          <w:bCs/>
          <w:color w:val="auto"/>
        </w:rPr>
        <w:t>10、作业人员无证上岗；</w:t>
      </w:r>
    </w:p>
    <w:p w14:paraId="636118BE">
      <w:pPr>
        <w:bidi w:val="0"/>
        <w:rPr>
          <w:rFonts w:hint="eastAsia"/>
          <w:b w:val="0"/>
          <w:bCs/>
          <w:color w:val="auto"/>
        </w:rPr>
      </w:pPr>
      <w:r>
        <w:rPr>
          <w:rFonts w:hint="eastAsia"/>
          <w:b w:val="0"/>
          <w:bCs/>
          <w:color w:val="auto"/>
        </w:rPr>
        <w:t>11、缺少标志或标志不明显；</w:t>
      </w:r>
    </w:p>
    <w:p w14:paraId="2FA728E5">
      <w:pPr>
        <w:bidi w:val="0"/>
        <w:rPr>
          <w:rFonts w:hint="eastAsia"/>
          <w:b w:val="0"/>
          <w:bCs/>
          <w:color w:val="auto"/>
        </w:rPr>
      </w:pPr>
      <w:r>
        <w:rPr>
          <w:rFonts w:hint="eastAsia"/>
          <w:b w:val="0"/>
          <w:bCs/>
          <w:color w:val="auto"/>
        </w:rPr>
        <w:t>12、使用电动工具金属外壳不接地，不戴绝缘手套；</w:t>
      </w:r>
    </w:p>
    <w:p w14:paraId="55F4969F">
      <w:pPr>
        <w:bidi w:val="0"/>
        <w:rPr>
          <w:rFonts w:hint="eastAsia"/>
          <w:b w:val="0"/>
          <w:bCs/>
          <w:color w:val="auto"/>
        </w:rPr>
      </w:pPr>
      <w:r>
        <w:rPr>
          <w:rFonts w:hint="eastAsia"/>
          <w:b w:val="0"/>
          <w:bCs/>
          <w:color w:val="auto"/>
        </w:rPr>
        <w:t>13、在潮湿地区、金属容器内工作不穿绝缘鞋、无绝缘垫、无监护人；</w:t>
      </w:r>
    </w:p>
    <w:p w14:paraId="140045CC">
      <w:pPr>
        <w:bidi w:val="0"/>
        <w:rPr>
          <w:rFonts w:hint="eastAsia"/>
          <w:b w:val="0"/>
          <w:bCs/>
          <w:color w:val="auto"/>
        </w:rPr>
      </w:pPr>
      <w:r>
        <w:rPr>
          <w:rFonts w:hint="eastAsia"/>
          <w:b w:val="0"/>
          <w:bCs/>
          <w:color w:val="auto"/>
        </w:rPr>
        <w:t>14、电气作业的安全管理工作存在漏洞；</w:t>
      </w:r>
    </w:p>
    <w:p w14:paraId="29911E9A">
      <w:pPr>
        <w:bidi w:val="0"/>
        <w:rPr>
          <w:rFonts w:hint="eastAsia"/>
          <w:b w:val="0"/>
          <w:bCs/>
          <w:color w:val="auto"/>
        </w:rPr>
      </w:pPr>
      <w:r>
        <w:rPr>
          <w:rFonts w:hint="eastAsia"/>
          <w:b w:val="0"/>
          <w:bCs/>
          <w:color w:val="auto"/>
        </w:rPr>
        <w:t>15、未按规范装设接地线或地线失效。</w:t>
      </w:r>
    </w:p>
    <w:p w14:paraId="452C14BE">
      <w:pPr>
        <w:bidi w:val="0"/>
        <w:rPr>
          <w:rFonts w:hint="eastAsia"/>
          <w:b w:val="0"/>
          <w:bCs/>
          <w:color w:val="auto"/>
        </w:rPr>
      </w:pPr>
      <w:r>
        <w:rPr>
          <w:rFonts w:hint="eastAsia"/>
          <w:b w:val="0"/>
          <w:bCs/>
          <w:color w:val="auto"/>
        </w:rPr>
        <w:t>可能存在的部位：工艺过程中的各用电设备、配电室、控制柜。</w:t>
      </w:r>
    </w:p>
    <w:p w14:paraId="4B81CC02">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25" w:name="_Toc13707"/>
      <w:r>
        <w:rPr>
          <w:rFonts w:hint="eastAsia" w:ascii="Times New Roman" w:hAnsi="Times New Roman" w:cs="Times New Roman"/>
          <w:bCs/>
          <w:color w:val="auto"/>
          <w:sz w:val="28"/>
          <w:szCs w:val="28"/>
        </w:rPr>
        <w:t>3.5.5物体打击</w:t>
      </w:r>
      <w:bookmarkEnd w:id="125"/>
    </w:p>
    <w:p w14:paraId="1E6FC072">
      <w:pPr>
        <w:bidi w:val="0"/>
        <w:rPr>
          <w:rFonts w:hint="eastAsia"/>
          <w:b w:val="0"/>
          <w:bCs/>
          <w:color w:val="auto"/>
        </w:rPr>
      </w:pPr>
      <w:r>
        <w:rPr>
          <w:rFonts w:hint="eastAsia"/>
          <w:b w:val="0"/>
          <w:bCs/>
          <w:color w:val="auto"/>
        </w:rPr>
        <w:t>物体打击是指物体在重力或其他外力的作用下产生运动，打击人体造成人身伤亡事故。造成物体打击的可能原因有：</w:t>
      </w:r>
    </w:p>
    <w:p w14:paraId="74492FE3">
      <w:pPr>
        <w:bidi w:val="0"/>
        <w:rPr>
          <w:rFonts w:hint="eastAsia"/>
          <w:b w:val="0"/>
          <w:bCs/>
          <w:color w:val="auto"/>
        </w:rPr>
      </w:pPr>
      <w:r>
        <w:rPr>
          <w:rFonts w:hint="eastAsia"/>
          <w:b w:val="0"/>
          <w:bCs/>
          <w:color w:val="auto"/>
        </w:rPr>
        <w:t>1、检维修设备时工器具、物件无防坠措施或摆放不稳；</w:t>
      </w:r>
    </w:p>
    <w:p w14:paraId="7D0F4866">
      <w:pPr>
        <w:bidi w:val="0"/>
        <w:rPr>
          <w:rFonts w:hint="eastAsia"/>
          <w:b w:val="0"/>
          <w:bCs/>
          <w:color w:val="auto"/>
        </w:rPr>
      </w:pPr>
      <w:r>
        <w:rPr>
          <w:rFonts w:hint="eastAsia"/>
          <w:b w:val="0"/>
          <w:bCs/>
          <w:color w:val="auto"/>
        </w:rPr>
        <w:t>2、平台、临边安全防护设施不完善；</w:t>
      </w:r>
    </w:p>
    <w:p w14:paraId="47913CD3">
      <w:pPr>
        <w:bidi w:val="0"/>
        <w:rPr>
          <w:rFonts w:hint="eastAsia"/>
          <w:b w:val="0"/>
          <w:bCs/>
          <w:color w:val="auto"/>
        </w:rPr>
      </w:pPr>
      <w:r>
        <w:rPr>
          <w:rFonts w:hint="eastAsia"/>
          <w:b w:val="0"/>
          <w:bCs/>
          <w:color w:val="auto"/>
        </w:rPr>
        <w:t>3、进入作业现场没有按要求安全帽；</w:t>
      </w:r>
    </w:p>
    <w:p w14:paraId="67D2DAB2">
      <w:pPr>
        <w:bidi w:val="0"/>
        <w:rPr>
          <w:rFonts w:hint="eastAsia"/>
          <w:b w:val="0"/>
          <w:bCs/>
          <w:color w:val="auto"/>
        </w:rPr>
      </w:pPr>
      <w:r>
        <w:rPr>
          <w:rFonts w:hint="eastAsia"/>
          <w:b w:val="0"/>
          <w:bCs/>
          <w:color w:val="auto"/>
        </w:rPr>
        <w:t>可能存在的部位：</w:t>
      </w:r>
      <w:r>
        <w:rPr>
          <w:rFonts w:hint="eastAsia"/>
          <w:b w:val="0"/>
          <w:bCs/>
          <w:color w:val="auto"/>
          <w:lang w:val="en-US" w:eastAsia="zh-CN"/>
        </w:rPr>
        <w:t>选矿</w:t>
      </w:r>
      <w:r>
        <w:rPr>
          <w:rFonts w:hint="eastAsia"/>
          <w:b w:val="0"/>
          <w:bCs/>
          <w:color w:val="auto"/>
        </w:rPr>
        <w:t>车间平台、脱水车间平台及检修现场等。</w:t>
      </w:r>
    </w:p>
    <w:p w14:paraId="53380E6F">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26" w:name="_Toc25881"/>
      <w:r>
        <w:rPr>
          <w:rFonts w:hint="eastAsia" w:ascii="Times New Roman" w:hAnsi="Times New Roman" w:cs="Times New Roman"/>
          <w:bCs/>
          <w:color w:val="auto"/>
          <w:sz w:val="28"/>
          <w:szCs w:val="28"/>
        </w:rPr>
        <w:t>3.5.6高处坠落</w:t>
      </w:r>
      <w:bookmarkEnd w:id="126"/>
    </w:p>
    <w:p w14:paraId="7AC08B17">
      <w:pPr>
        <w:bidi w:val="0"/>
        <w:rPr>
          <w:rFonts w:hint="eastAsia"/>
          <w:b w:val="0"/>
          <w:bCs/>
          <w:color w:val="auto"/>
        </w:rPr>
      </w:pPr>
      <w:r>
        <w:rPr>
          <w:rFonts w:hint="eastAsia"/>
          <w:b w:val="0"/>
          <w:bCs/>
          <w:color w:val="auto"/>
        </w:rPr>
        <w:t>根据坠落高度基准面，最低坠落的着落点水平面高度在2m以上的高度时，就需要有防止人员坠落的措施。该项目在生产过程中对生产车间内的设备、设施的维护和检修及其它临时性作业过程中存在高处作业，因此可能发生高处坠落事故。造成高处坠落事故的主要原因有：</w:t>
      </w:r>
    </w:p>
    <w:p w14:paraId="4B8CD41A">
      <w:pPr>
        <w:bidi w:val="0"/>
        <w:rPr>
          <w:rFonts w:hint="eastAsia"/>
          <w:b w:val="0"/>
          <w:bCs/>
          <w:color w:val="auto"/>
        </w:rPr>
      </w:pPr>
      <w:r>
        <w:rPr>
          <w:rFonts w:hint="eastAsia"/>
          <w:b w:val="0"/>
          <w:bCs/>
          <w:color w:val="auto"/>
        </w:rPr>
        <w:t>1、高处作业的平台、梯子等不符合规定或有缺陷造成高处坠落；</w:t>
      </w:r>
    </w:p>
    <w:p w14:paraId="058F7ADE">
      <w:pPr>
        <w:bidi w:val="0"/>
        <w:rPr>
          <w:rFonts w:hint="eastAsia"/>
          <w:b w:val="0"/>
          <w:bCs/>
          <w:color w:val="auto"/>
        </w:rPr>
      </w:pPr>
      <w:r>
        <w:rPr>
          <w:rFonts w:hint="eastAsia"/>
          <w:b w:val="0"/>
          <w:bCs/>
          <w:color w:val="auto"/>
        </w:rPr>
        <w:t>2、孔洞未封闭，导致高处跌落；</w:t>
      </w:r>
    </w:p>
    <w:p w14:paraId="0F0E04F8">
      <w:pPr>
        <w:bidi w:val="0"/>
        <w:rPr>
          <w:rFonts w:hint="eastAsia"/>
          <w:b w:val="0"/>
          <w:bCs/>
          <w:color w:val="auto"/>
        </w:rPr>
      </w:pPr>
      <w:r>
        <w:rPr>
          <w:rFonts w:hint="eastAsia"/>
          <w:b w:val="0"/>
          <w:bCs/>
          <w:color w:val="auto"/>
        </w:rPr>
        <w:t>3、未设防护装置（安全网、栏杆）或防护装置不符合安全要求，未佩戴个人防护用品（安全带）；</w:t>
      </w:r>
    </w:p>
    <w:p w14:paraId="57660A88">
      <w:pPr>
        <w:bidi w:val="0"/>
        <w:rPr>
          <w:rFonts w:hint="eastAsia"/>
          <w:b w:val="0"/>
          <w:bCs/>
          <w:color w:val="auto"/>
        </w:rPr>
      </w:pPr>
      <w:r>
        <w:rPr>
          <w:rFonts w:hint="eastAsia"/>
          <w:b w:val="0"/>
          <w:bCs/>
          <w:color w:val="auto"/>
        </w:rPr>
        <w:t>4、作业人员疲劳、心理异常、健康状况异常等；</w:t>
      </w:r>
    </w:p>
    <w:p w14:paraId="6C04F632">
      <w:pPr>
        <w:bidi w:val="0"/>
        <w:rPr>
          <w:rFonts w:hint="eastAsia"/>
          <w:b w:val="0"/>
          <w:bCs/>
          <w:color w:val="auto"/>
        </w:rPr>
      </w:pPr>
      <w:r>
        <w:rPr>
          <w:rFonts w:hint="eastAsia"/>
          <w:b w:val="0"/>
          <w:bCs/>
          <w:color w:val="auto"/>
        </w:rPr>
        <w:t>5、未办理高处作业手续；</w:t>
      </w:r>
    </w:p>
    <w:p w14:paraId="3F4CDEFC">
      <w:pPr>
        <w:bidi w:val="0"/>
        <w:rPr>
          <w:rFonts w:hint="eastAsia"/>
          <w:b w:val="0"/>
          <w:bCs/>
          <w:color w:val="auto"/>
        </w:rPr>
      </w:pPr>
      <w:r>
        <w:rPr>
          <w:rFonts w:hint="eastAsia"/>
          <w:b w:val="0"/>
          <w:bCs/>
          <w:color w:val="auto"/>
        </w:rPr>
        <w:t>6、在恶劣的天气（在6级以上的大风、暴雨、大雾等恶劣天气）进行露天高处作业等；</w:t>
      </w:r>
    </w:p>
    <w:p w14:paraId="2A393508">
      <w:pPr>
        <w:bidi w:val="0"/>
        <w:rPr>
          <w:rFonts w:hint="eastAsia" w:eastAsia="宋体"/>
          <w:b w:val="0"/>
          <w:bCs/>
          <w:color w:val="auto"/>
          <w:lang w:eastAsia="zh-CN"/>
        </w:rPr>
      </w:pPr>
      <w:r>
        <w:rPr>
          <w:rFonts w:hint="eastAsia"/>
          <w:b w:val="0"/>
          <w:bCs/>
          <w:color w:val="auto"/>
        </w:rPr>
        <w:t>7、生产工艺有缺陷，高处作业安全管理不到位</w:t>
      </w:r>
      <w:r>
        <w:rPr>
          <w:rFonts w:hint="eastAsia"/>
          <w:b w:val="0"/>
          <w:bCs/>
          <w:color w:val="auto"/>
          <w:lang w:eastAsia="zh-CN"/>
        </w:rPr>
        <w:t>；</w:t>
      </w:r>
    </w:p>
    <w:p w14:paraId="50BC949E">
      <w:pPr>
        <w:bidi w:val="0"/>
        <w:rPr>
          <w:rFonts w:hint="default" w:eastAsia="宋体"/>
          <w:b w:val="0"/>
          <w:bCs/>
          <w:color w:val="auto"/>
          <w:lang w:val="en-US" w:eastAsia="zh-CN"/>
        </w:rPr>
      </w:pPr>
      <w:r>
        <w:rPr>
          <w:rFonts w:hint="eastAsia"/>
          <w:b w:val="0"/>
          <w:bCs/>
          <w:color w:val="auto"/>
          <w:lang w:val="en-US" w:eastAsia="zh-CN"/>
        </w:rPr>
        <w:t>8、平台安全网、栏杆不稳固。</w:t>
      </w:r>
    </w:p>
    <w:p w14:paraId="073C9D48">
      <w:pPr>
        <w:bidi w:val="0"/>
        <w:rPr>
          <w:rFonts w:hint="eastAsia"/>
          <w:b w:val="0"/>
          <w:bCs/>
          <w:color w:val="auto"/>
        </w:rPr>
      </w:pPr>
      <w:r>
        <w:rPr>
          <w:rFonts w:hint="eastAsia"/>
          <w:b w:val="0"/>
          <w:bCs/>
          <w:color w:val="auto"/>
        </w:rPr>
        <w:t>可能存在的部位：原料堆场平台、磨矿平台、</w:t>
      </w:r>
      <w:r>
        <w:rPr>
          <w:rFonts w:hint="eastAsia"/>
          <w:b w:val="0"/>
          <w:bCs/>
          <w:color w:val="auto"/>
          <w:lang w:val="en-US" w:eastAsia="zh-CN"/>
        </w:rPr>
        <w:t>选矿</w:t>
      </w:r>
      <w:r>
        <w:rPr>
          <w:rFonts w:hint="eastAsia"/>
          <w:b w:val="0"/>
          <w:bCs/>
          <w:color w:val="auto"/>
        </w:rPr>
        <w:t>车间平台等高于2m的作业平台。</w:t>
      </w:r>
    </w:p>
    <w:p w14:paraId="5C4181F5">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27" w:name="_Toc19941"/>
      <w:r>
        <w:rPr>
          <w:rFonts w:hint="eastAsia" w:ascii="Times New Roman" w:hAnsi="Times New Roman" w:cs="Times New Roman"/>
          <w:bCs/>
          <w:color w:val="auto"/>
          <w:sz w:val="28"/>
          <w:szCs w:val="28"/>
        </w:rPr>
        <w:t>3.5.7火灾、爆炸</w:t>
      </w:r>
      <w:bookmarkEnd w:id="127"/>
    </w:p>
    <w:p w14:paraId="221366AD">
      <w:pPr>
        <w:bidi w:val="0"/>
        <w:rPr>
          <w:rFonts w:hint="eastAsia"/>
          <w:b w:val="0"/>
          <w:bCs/>
          <w:color w:val="auto"/>
        </w:rPr>
      </w:pPr>
      <w:r>
        <w:rPr>
          <w:rFonts w:hint="eastAsia"/>
          <w:b w:val="0"/>
          <w:bCs/>
          <w:color w:val="auto"/>
        </w:rPr>
        <w:t>1、变压器火灾</w:t>
      </w:r>
    </w:p>
    <w:p w14:paraId="41813415">
      <w:pPr>
        <w:bidi w:val="0"/>
        <w:rPr>
          <w:rFonts w:hint="eastAsia"/>
          <w:b w:val="0"/>
          <w:bCs/>
          <w:color w:val="auto"/>
        </w:rPr>
      </w:pPr>
      <w:r>
        <w:rPr>
          <w:rFonts w:hint="eastAsia"/>
          <w:b w:val="0"/>
          <w:bCs/>
          <w:color w:val="auto"/>
        </w:rPr>
        <w:t>变压器油是变压器火灾、爆炸事故的主要根源。当变压器内部发生短路产生电弧，在电弧高温作用下，油被分解气化爆燃，使变压器外壳爆裂，大量喷油着火。</w:t>
      </w:r>
    </w:p>
    <w:p w14:paraId="496DDEC4">
      <w:pPr>
        <w:bidi w:val="0"/>
        <w:rPr>
          <w:rFonts w:hint="eastAsia"/>
          <w:b w:val="0"/>
          <w:bCs/>
          <w:color w:val="auto"/>
        </w:rPr>
      </w:pPr>
      <w:r>
        <w:rPr>
          <w:rFonts w:hint="eastAsia"/>
          <w:b w:val="0"/>
          <w:bCs/>
          <w:color w:val="auto"/>
        </w:rPr>
        <w:t>变压器的其它绝缘材料如电缆线、漆布、木材、黄漆布带、棉布、棉纱、浸渍纸等属可燃物质，在变压器长时间过载发热、短路或其它异常情况下，均易着火。</w:t>
      </w:r>
    </w:p>
    <w:p w14:paraId="37A0F9B9">
      <w:pPr>
        <w:bidi w:val="0"/>
        <w:rPr>
          <w:rFonts w:hint="eastAsia"/>
          <w:b w:val="0"/>
          <w:bCs/>
          <w:color w:val="auto"/>
        </w:rPr>
      </w:pPr>
      <w:r>
        <w:rPr>
          <w:rFonts w:hint="eastAsia"/>
          <w:b w:val="0"/>
          <w:bCs/>
          <w:color w:val="auto"/>
        </w:rPr>
        <w:t>造成变压器绝缘损伤短路、产生电弧的主要原因有：</w:t>
      </w:r>
    </w:p>
    <w:p w14:paraId="26347549">
      <w:pPr>
        <w:bidi w:val="0"/>
        <w:rPr>
          <w:rFonts w:hint="eastAsia"/>
          <w:b w:val="0"/>
          <w:bCs/>
          <w:color w:val="auto"/>
        </w:rPr>
      </w:pPr>
      <w:r>
        <w:rPr>
          <w:rFonts w:hint="eastAsia"/>
          <w:b w:val="0"/>
          <w:bCs/>
          <w:color w:val="auto"/>
        </w:rPr>
        <w:t>（1）变压器里的绝缘材料如电缆纸、棉纱、布料、木块等长期在较高温度作用下逐步老化，使绝缘强度降低，引起线圈匝间短路。</w:t>
      </w:r>
    </w:p>
    <w:p w14:paraId="0DE9BB8B">
      <w:pPr>
        <w:bidi w:val="0"/>
        <w:rPr>
          <w:rFonts w:hint="eastAsia"/>
          <w:b w:val="0"/>
          <w:bCs/>
          <w:color w:val="auto"/>
        </w:rPr>
      </w:pPr>
      <w:r>
        <w:rPr>
          <w:rFonts w:hint="eastAsia"/>
          <w:b w:val="0"/>
          <w:bCs/>
          <w:color w:val="auto"/>
        </w:rPr>
        <w:t>（2）在过电压冲击下，变压器发生穿越性故障。</w:t>
      </w:r>
    </w:p>
    <w:p w14:paraId="0536D92C">
      <w:pPr>
        <w:bidi w:val="0"/>
        <w:rPr>
          <w:rFonts w:hint="eastAsia"/>
          <w:b w:val="0"/>
          <w:bCs/>
          <w:color w:val="auto"/>
        </w:rPr>
      </w:pPr>
      <w:r>
        <w:rPr>
          <w:rFonts w:hint="eastAsia"/>
          <w:b w:val="0"/>
          <w:bCs/>
          <w:color w:val="auto"/>
        </w:rPr>
        <w:t>（3）检修质量不良使局部绝缘损伤。</w:t>
      </w:r>
    </w:p>
    <w:p w14:paraId="24A0D65A">
      <w:pPr>
        <w:bidi w:val="0"/>
        <w:rPr>
          <w:rFonts w:hint="eastAsia"/>
          <w:b w:val="0"/>
          <w:bCs/>
          <w:color w:val="auto"/>
        </w:rPr>
      </w:pPr>
      <w:r>
        <w:rPr>
          <w:rFonts w:hint="eastAsia"/>
          <w:b w:val="0"/>
          <w:bCs/>
          <w:color w:val="auto"/>
        </w:rPr>
        <w:t>（4）变压器油质劣化或变压器进水受潮。</w:t>
      </w:r>
    </w:p>
    <w:p w14:paraId="7684CF72">
      <w:pPr>
        <w:bidi w:val="0"/>
        <w:rPr>
          <w:rFonts w:hint="eastAsia"/>
          <w:b w:val="0"/>
          <w:bCs/>
          <w:color w:val="auto"/>
        </w:rPr>
      </w:pPr>
      <w:r>
        <w:rPr>
          <w:rFonts w:hint="eastAsia"/>
          <w:b w:val="0"/>
          <w:bCs/>
          <w:color w:val="auto"/>
        </w:rPr>
        <w:t>（5）变压器长期过载发热。</w:t>
      </w:r>
    </w:p>
    <w:p w14:paraId="0BD7545C">
      <w:pPr>
        <w:bidi w:val="0"/>
        <w:rPr>
          <w:rFonts w:hint="eastAsia"/>
          <w:b w:val="0"/>
          <w:bCs/>
          <w:color w:val="auto"/>
        </w:rPr>
      </w:pPr>
      <w:r>
        <w:rPr>
          <w:rFonts w:hint="eastAsia"/>
          <w:b w:val="0"/>
          <w:bCs/>
          <w:color w:val="auto"/>
        </w:rPr>
        <w:t>2、电缆火灾</w:t>
      </w:r>
    </w:p>
    <w:p w14:paraId="691B283F">
      <w:pPr>
        <w:bidi w:val="0"/>
        <w:rPr>
          <w:rFonts w:hint="eastAsia"/>
          <w:b w:val="0"/>
          <w:bCs/>
          <w:color w:val="auto"/>
        </w:rPr>
      </w:pPr>
      <w:r>
        <w:rPr>
          <w:rFonts w:hint="eastAsia"/>
          <w:b w:val="0"/>
          <w:bCs/>
          <w:color w:val="auto"/>
        </w:rPr>
        <w:t>电缆的绝缘材料、填充物和保护层如浸渍纸、漆布、橡胶、塑料等均属可燃物质，具有火灾危险性。</w:t>
      </w:r>
    </w:p>
    <w:p w14:paraId="31532240">
      <w:pPr>
        <w:bidi w:val="0"/>
        <w:rPr>
          <w:rFonts w:hint="eastAsia"/>
          <w:b w:val="0"/>
          <w:bCs/>
          <w:color w:val="auto"/>
        </w:rPr>
      </w:pPr>
      <w:r>
        <w:rPr>
          <w:rFonts w:hint="eastAsia"/>
          <w:b w:val="0"/>
          <w:bCs/>
          <w:color w:val="auto"/>
        </w:rPr>
        <w:t>引起电缆火灾的原因有外部起火引起的着火和有电缆本身缺陷引起的着火。</w:t>
      </w:r>
    </w:p>
    <w:p w14:paraId="41D75BF1">
      <w:pPr>
        <w:bidi w:val="0"/>
        <w:rPr>
          <w:rFonts w:hint="eastAsia"/>
          <w:b w:val="0"/>
          <w:bCs/>
          <w:color w:val="auto"/>
        </w:rPr>
      </w:pPr>
      <w:r>
        <w:rPr>
          <w:rFonts w:hint="eastAsia"/>
          <w:b w:val="0"/>
          <w:bCs/>
          <w:color w:val="auto"/>
        </w:rPr>
        <w:t>（1）外部起火引起电缆着火的原因主要有：</w:t>
      </w:r>
    </w:p>
    <w:p w14:paraId="0F89C6E1">
      <w:pPr>
        <w:bidi w:val="0"/>
        <w:rPr>
          <w:rFonts w:hint="eastAsia"/>
          <w:b w:val="0"/>
          <w:bCs/>
          <w:color w:val="auto"/>
        </w:rPr>
      </w:pPr>
      <w:r>
        <w:rPr>
          <w:rFonts w:hint="eastAsia"/>
          <w:b w:val="0"/>
          <w:bCs/>
          <w:color w:val="auto"/>
        </w:rPr>
        <w:t>1）变压器、互感器等充油电器设备故障，漏油滴在在电缆上，遇明火引燃电缆。</w:t>
      </w:r>
    </w:p>
    <w:p w14:paraId="6AAD81A4">
      <w:pPr>
        <w:bidi w:val="0"/>
        <w:rPr>
          <w:rFonts w:hint="eastAsia"/>
          <w:b w:val="0"/>
          <w:bCs/>
          <w:color w:val="auto"/>
        </w:rPr>
      </w:pPr>
      <w:r>
        <w:rPr>
          <w:rFonts w:hint="eastAsia"/>
          <w:b w:val="0"/>
          <w:bCs/>
          <w:color w:val="auto"/>
        </w:rPr>
        <w:t>2）开关、其他电气设备短路或接触电阻过大，产生高温起火将附近电缆引燃。</w:t>
      </w:r>
    </w:p>
    <w:p w14:paraId="740B5A71">
      <w:pPr>
        <w:bidi w:val="0"/>
        <w:rPr>
          <w:rFonts w:hint="eastAsia"/>
          <w:b w:val="0"/>
          <w:bCs/>
          <w:color w:val="auto"/>
        </w:rPr>
      </w:pPr>
      <w:r>
        <w:rPr>
          <w:rFonts w:hint="eastAsia"/>
          <w:b w:val="0"/>
          <w:bCs/>
          <w:color w:val="auto"/>
        </w:rPr>
        <w:t>3）安装施工和检修时高温焊渣掉到电缆上引起着火。</w:t>
      </w:r>
    </w:p>
    <w:p w14:paraId="50EA2DFF">
      <w:pPr>
        <w:bidi w:val="0"/>
        <w:rPr>
          <w:rFonts w:hint="eastAsia"/>
          <w:b w:val="0"/>
          <w:bCs/>
          <w:color w:val="auto"/>
        </w:rPr>
      </w:pPr>
      <w:r>
        <w:rPr>
          <w:rFonts w:hint="eastAsia"/>
          <w:b w:val="0"/>
          <w:bCs/>
          <w:color w:val="auto"/>
        </w:rPr>
        <w:t>4）其他可燃、易燃物质着火后将附近电缆引燃。</w:t>
      </w:r>
    </w:p>
    <w:p w14:paraId="69D44C72">
      <w:pPr>
        <w:bidi w:val="0"/>
        <w:rPr>
          <w:rFonts w:hint="eastAsia"/>
          <w:b w:val="0"/>
          <w:bCs/>
          <w:color w:val="auto"/>
        </w:rPr>
      </w:pPr>
      <w:r>
        <w:rPr>
          <w:rFonts w:hint="eastAsia"/>
          <w:b w:val="0"/>
          <w:bCs/>
          <w:color w:val="auto"/>
        </w:rPr>
        <w:t>（2）电缆本身缺陷引起电缆着火的原因：</w:t>
      </w:r>
    </w:p>
    <w:p w14:paraId="50650975">
      <w:pPr>
        <w:bidi w:val="0"/>
        <w:rPr>
          <w:rFonts w:hint="eastAsia"/>
          <w:b w:val="0"/>
          <w:bCs/>
          <w:color w:val="auto"/>
        </w:rPr>
      </w:pPr>
      <w:r>
        <w:rPr>
          <w:rFonts w:hint="eastAsia"/>
          <w:b w:val="0"/>
          <w:bCs/>
          <w:color w:val="auto"/>
        </w:rPr>
        <w:t>1）电缆本身在制造时有缺陷，在敷设时保护铅皮损坏或在运行中电缆绝缘受到机械损伤，引起电缆相间或相与铅皮之间的绝缘击穿而发生电弧。电弧高温能引燃电缆内的绝缘材料和电缆外层的麻布等。</w:t>
      </w:r>
    </w:p>
    <w:p w14:paraId="10E8D1F0">
      <w:pPr>
        <w:bidi w:val="0"/>
        <w:rPr>
          <w:rFonts w:hint="eastAsia"/>
          <w:b w:val="0"/>
          <w:bCs/>
          <w:color w:val="auto"/>
        </w:rPr>
      </w:pPr>
      <w:r>
        <w:rPr>
          <w:rFonts w:hint="eastAsia"/>
          <w:b w:val="0"/>
          <w:bCs/>
          <w:color w:val="auto"/>
        </w:rPr>
        <w:t>2）电缆长期受水、酸、碱和其他腐蚀性气体或液体腐蚀，使保护层破坏，绝缘强度降低，引起电缆短路起火。</w:t>
      </w:r>
    </w:p>
    <w:p w14:paraId="00B77E0B">
      <w:pPr>
        <w:bidi w:val="0"/>
        <w:rPr>
          <w:rFonts w:hint="eastAsia"/>
          <w:b w:val="0"/>
          <w:bCs/>
          <w:color w:val="auto"/>
        </w:rPr>
      </w:pPr>
      <w:r>
        <w:rPr>
          <w:rFonts w:hint="eastAsia"/>
          <w:b w:val="0"/>
          <w:bCs/>
          <w:color w:val="auto"/>
        </w:rPr>
        <w:t>3）在长时间运行中，由于过负荷、过热等原因使电缆绝缘加速老化、干枯，绝缘强度降低，引起电缆相间或对地击穿短路起火。</w:t>
      </w:r>
    </w:p>
    <w:p w14:paraId="66B64526">
      <w:pPr>
        <w:bidi w:val="0"/>
        <w:rPr>
          <w:rFonts w:hint="eastAsia"/>
          <w:b w:val="0"/>
          <w:bCs/>
          <w:color w:val="auto"/>
        </w:rPr>
      </w:pPr>
      <w:r>
        <w:rPr>
          <w:rFonts w:hint="eastAsia"/>
          <w:b w:val="0"/>
          <w:bCs/>
          <w:color w:val="auto"/>
        </w:rPr>
        <w:t>4）电缆外护套破损或密封不良，电缆发生水渗浸受潮，导致绝缘击穿短路。</w:t>
      </w:r>
    </w:p>
    <w:p w14:paraId="376E18BF">
      <w:pPr>
        <w:bidi w:val="0"/>
        <w:rPr>
          <w:rFonts w:hint="eastAsia"/>
          <w:b w:val="0"/>
          <w:bCs/>
          <w:color w:val="auto"/>
        </w:rPr>
      </w:pPr>
      <w:r>
        <w:rPr>
          <w:rFonts w:hint="eastAsia"/>
          <w:b w:val="0"/>
          <w:bCs/>
          <w:color w:val="auto"/>
        </w:rPr>
        <w:t>5）过电压使电缆绝缘击穿发生短路起火。</w:t>
      </w:r>
    </w:p>
    <w:p w14:paraId="173D065C">
      <w:pPr>
        <w:bidi w:val="0"/>
        <w:rPr>
          <w:rFonts w:hint="eastAsia"/>
          <w:b w:val="0"/>
          <w:bCs/>
          <w:color w:val="auto"/>
        </w:rPr>
      </w:pPr>
      <w:r>
        <w:rPr>
          <w:rFonts w:hint="eastAsia"/>
          <w:b w:val="0"/>
          <w:bCs/>
          <w:color w:val="auto"/>
        </w:rPr>
        <w:t>6）安装时电缆的曲率半径过小，致使绝缘折断、受损发生短路。</w:t>
      </w:r>
    </w:p>
    <w:p w14:paraId="170FB2B0">
      <w:pPr>
        <w:bidi w:val="0"/>
        <w:rPr>
          <w:rFonts w:hint="eastAsia"/>
          <w:b w:val="0"/>
          <w:bCs/>
          <w:color w:val="auto"/>
        </w:rPr>
      </w:pPr>
      <w:r>
        <w:rPr>
          <w:rFonts w:hint="eastAsia"/>
          <w:b w:val="0"/>
          <w:bCs/>
          <w:color w:val="auto"/>
        </w:rPr>
        <w:t>7）电缆终端接头和中间接头接触不良发生爆炸短路事故，引起电缆着火。</w:t>
      </w:r>
    </w:p>
    <w:p w14:paraId="52A36C32">
      <w:pPr>
        <w:bidi w:val="0"/>
        <w:rPr>
          <w:rFonts w:hint="eastAsia"/>
          <w:b w:val="0"/>
          <w:bCs/>
          <w:color w:val="auto"/>
        </w:rPr>
      </w:pPr>
      <w:r>
        <w:rPr>
          <w:rFonts w:hint="eastAsia"/>
          <w:b w:val="0"/>
          <w:bCs/>
          <w:color w:val="auto"/>
        </w:rPr>
        <w:t>3、其它火灾</w:t>
      </w:r>
    </w:p>
    <w:p w14:paraId="69E5E780">
      <w:pPr>
        <w:bidi w:val="0"/>
        <w:rPr>
          <w:rFonts w:hint="eastAsia"/>
          <w:b w:val="0"/>
          <w:bCs/>
          <w:color w:val="auto"/>
        </w:rPr>
      </w:pPr>
      <w:r>
        <w:rPr>
          <w:rFonts w:hint="eastAsia"/>
          <w:b w:val="0"/>
          <w:bCs/>
          <w:color w:val="auto"/>
        </w:rPr>
        <w:t>运输车辆、装载机使用的柴油属于可燃液体，可燃液体泄露遇火源会导致火灾发生。</w:t>
      </w:r>
    </w:p>
    <w:p w14:paraId="3220FD83">
      <w:pPr>
        <w:bidi w:val="0"/>
        <w:rPr>
          <w:rFonts w:hint="eastAsia"/>
          <w:b w:val="0"/>
          <w:bCs/>
          <w:color w:val="auto"/>
        </w:rPr>
      </w:pPr>
      <w:r>
        <w:rPr>
          <w:rFonts w:hint="eastAsia"/>
          <w:b w:val="0"/>
          <w:bCs/>
          <w:color w:val="auto"/>
        </w:rPr>
        <w:t>机械设备的传动系统要使用润滑油。润滑油的火灾危险性为丙类。</w:t>
      </w:r>
    </w:p>
    <w:p w14:paraId="1D6445E9">
      <w:pPr>
        <w:bidi w:val="0"/>
        <w:rPr>
          <w:rFonts w:hint="eastAsia"/>
          <w:b w:val="0"/>
          <w:bCs/>
          <w:color w:val="auto"/>
        </w:rPr>
      </w:pPr>
      <w:r>
        <w:rPr>
          <w:rFonts w:hint="eastAsia"/>
          <w:b w:val="0"/>
          <w:bCs/>
          <w:color w:val="auto"/>
        </w:rPr>
        <w:t>电、气焊（割）作业过程中高温焊渣或熔融的金属火星飞溅到可燃物质上，会引起火灾。乙炔属于甲类易燃气体，极易发生燃烧爆炸，与空气混合能形成爆炸性混合物，遇明火、高热能引起燃烧爆炸，能与铜、银、汞等的化合物生成爆炸性物质。设备使用的润滑油具有可燃性，如遇明火或强氧化剂，也有发生火灾、爆炸的可能。</w:t>
      </w:r>
    </w:p>
    <w:p w14:paraId="2D6995D1">
      <w:pPr>
        <w:bidi w:val="0"/>
        <w:rPr>
          <w:rFonts w:hint="eastAsia"/>
          <w:b w:val="0"/>
          <w:bCs/>
          <w:color w:val="auto"/>
        </w:rPr>
      </w:pPr>
      <w:r>
        <w:rPr>
          <w:rFonts w:hint="eastAsia"/>
          <w:b w:val="0"/>
          <w:bCs/>
          <w:color w:val="auto"/>
        </w:rPr>
        <w:t>可能存在的部位：使用乙炔和氧气的区域、变压器、配电室</w:t>
      </w:r>
      <w:r>
        <w:rPr>
          <w:rFonts w:hint="eastAsia"/>
          <w:b w:val="0"/>
          <w:bCs/>
          <w:color w:val="auto"/>
          <w:lang w:eastAsia="zh-CN"/>
        </w:rPr>
        <w:t>、</w:t>
      </w:r>
      <w:r>
        <w:rPr>
          <w:rFonts w:hint="eastAsia"/>
          <w:b w:val="0"/>
          <w:bCs/>
          <w:color w:val="auto"/>
          <w:lang w:val="en-US" w:eastAsia="zh-CN"/>
        </w:rPr>
        <w:t>仓库</w:t>
      </w:r>
      <w:r>
        <w:rPr>
          <w:rFonts w:hint="eastAsia"/>
          <w:b w:val="0"/>
          <w:bCs/>
          <w:color w:val="auto"/>
        </w:rPr>
        <w:t>等。</w:t>
      </w:r>
    </w:p>
    <w:p w14:paraId="688C95FF">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28" w:name="_Toc6669"/>
      <w:r>
        <w:rPr>
          <w:rFonts w:hint="eastAsia" w:ascii="Times New Roman" w:hAnsi="Times New Roman" w:cs="Times New Roman"/>
          <w:bCs/>
          <w:color w:val="auto"/>
          <w:sz w:val="28"/>
          <w:szCs w:val="28"/>
        </w:rPr>
        <w:t>3.5.8淹溺</w:t>
      </w:r>
      <w:bookmarkEnd w:id="128"/>
    </w:p>
    <w:p w14:paraId="3B1D36A2">
      <w:pPr>
        <w:bidi w:val="0"/>
        <w:rPr>
          <w:rFonts w:hint="eastAsia"/>
          <w:b w:val="0"/>
          <w:bCs/>
          <w:color w:val="auto"/>
        </w:rPr>
      </w:pPr>
      <w:r>
        <w:rPr>
          <w:rFonts w:hint="eastAsia"/>
          <w:b w:val="0"/>
          <w:bCs/>
          <w:color w:val="auto"/>
        </w:rPr>
        <w:t>淹溺主要是由于人跌入</w:t>
      </w:r>
      <w:r>
        <w:rPr>
          <w:rFonts w:hint="eastAsia"/>
          <w:b w:val="0"/>
          <w:bCs/>
          <w:color w:val="auto"/>
          <w:lang w:val="en-US" w:eastAsia="zh-CN"/>
        </w:rPr>
        <w:t>高位</w:t>
      </w:r>
      <w:r>
        <w:rPr>
          <w:rFonts w:hint="eastAsia"/>
          <w:b w:val="0"/>
          <w:bCs/>
          <w:color w:val="auto"/>
        </w:rPr>
        <w:t>水池中，水进入气道后，由于窒息缺氧昏迷，救治不及时会死亡。该厂设有</w:t>
      </w:r>
      <w:r>
        <w:rPr>
          <w:rFonts w:hint="eastAsia"/>
          <w:b w:val="0"/>
          <w:bCs/>
          <w:color w:val="auto"/>
          <w:lang w:val="en-US" w:eastAsia="zh-CN"/>
        </w:rPr>
        <w:t>高位</w:t>
      </w:r>
      <w:r>
        <w:rPr>
          <w:rFonts w:hint="eastAsia"/>
          <w:b w:val="0"/>
          <w:bCs/>
          <w:color w:val="auto"/>
        </w:rPr>
        <w:t>水池，由于常有蓄水，蓄水能力较大，其四周缺少安全警示标志、护栏或照明不足，人员可能不慎坠入，可能造成淹溺事故。</w:t>
      </w:r>
    </w:p>
    <w:p w14:paraId="3DB3221A">
      <w:pPr>
        <w:bidi w:val="0"/>
        <w:rPr>
          <w:rFonts w:hint="eastAsia"/>
          <w:b w:val="0"/>
          <w:bCs/>
          <w:color w:val="auto"/>
        </w:rPr>
      </w:pPr>
      <w:r>
        <w:rPr>
          <w:rFonts w:hint="eastAsia"/>
          <w:b w:val="0"/>
          <w:bCs/>
          <w:color w:val="auto"/>
        </w:rPr>
        <w:t>可能存在的部位</w:t>
      </w:r>
      <w:r>
        <w:rPr>
          <w:rFonts w:hint="eastAsia"/>
          <w:b w:val="0"/>
          <w:bCs/>
          <w:color w:val="auto"/>
          <w:lang w:eastAsia="zh-CN"/>
        </w:rPr>
        <w:t>、</w:t>
      </w:r>
      <w:r>
        <w:rPr>
          <w:rFonts w:hint="eastAsia"/>
          <w:b w:val="0"/>
          <w:bCs/>
          <w:color w:val="auto"/>
        </w:rPr>
        <w:t>：</w:t>
      </w:r>
      <w:r>
        <w:rPr>
          <w:rFonts w:hint="eastAsia"/>
          <w:b w:val="0"/>
          <w:bCs/>
          <w:color w:val="auto"/>
          <w:lang w:val="en-US" w:eastAsia="zh-CN"/>
        </w:rPr>
        <w:t>高位</w:t>
      </w:r>
      <w:r>
        <w:rPr>
          <w:rFonts w:hint="eastAsia"/>
          <w:b w:val="0"/>
          <w:bCs/>
          <w:color w:val="auto"/>
        </w:rPr>
        <w:t>水池等。</w:t>
      </w:r>
    </w:p>
    <w:p w14:paraId="5880EAE7">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29" w:name="_Toc6944"/>
      <w:r>
        <w:rPr>
          <w:rFonts w:hint="eastAsia" w:ascii="Times New Roman" w:hAnsi="Times New Roman" w:cs="Times New Roman"/>
          <w:bCs/>
          <w:color w:val="auto"/>
          <w:sz w:val="28"/>
          <w:szCs w:val="28"/>
        </w:rPr>
        <w:t>3.5.9中毒和窒息</w:t>
      </w:r>
      <w:bookmarkEnd w:id="129"/>
    </w:p>
    <w:p w14:paraId="773C5571">
      <w:pPr>
        <w:bidi w:val="0"/>
        <w:rPr>
          <w:rFonts w:hint="eastAsia" w:eastAsia="宋体"/>
          <w:b w:val="0"/>
          <w:bCs/>
          <w:color w:val="auto"/>
          <w:lang w:eastAsia="zh-CN"/>
        </w:rPr>
      </w:pPr>
      <w:r>
        <w:rPr>
          <w:rFonts w:hint="eastAsia"/>
          <w:b w:val="0"/>
          <w:bCs/>
          <w:color w:val="auto"/>
        </w:rPr>
        <w:t>（1）进入有限空间作业，未进行通风置换或无监护人，造成窒息</w:t>
      </w:r>
      <w:r>
        <w:rPr>
          <w:rFonts w:hint="eastAsia"/>
          <w:b w:val="0"/>
          <w:bCs/>
          <w:color w:val="auto"/>
          <w:lang w:eastAsia="zh-CN"/>
        </w:rPr>
        <w:t>。</w:t>
      </w:r>
    </w:p>
    <w:p w14:paraId="55DEE000">
      <w:pPr>
        <w:bidi w:val="0"/>
        <w:rPr>
          <w:rFonts w:hint="eastAsia"/>
          <w:b w:val="0"/>
          <w:bCs/>
          <w:color w:val="auto"/>
        </w:rPr>
      </w:pPr>
      <w:r>
        <w:rPr>
          <w:rFonts w:hint="eastAsia"/>
          <w:b w:val="0"/>
          <w:bCs/>
          <w:color w:val="auto"/>
        </w:rPr>
        <w:t>（2）进入设置排污泵的低洼水池检修，由于未进行通风置换，造成中毒窒息。</w:t>
      </w:r>
    </w:p>
    <w:p w14:paraId="65882908">
      <w:pPr>
        <w:bidi w:val="0"/>
        <w:rPr>
          <w:rFonts w:hint="eastAsia"/>
          <w:b w:val="0"/>
          <w:bCs/>
          <w:color w:val="auto"/>
        </w:rPr>
      </w:pPr>
      <w:r>
        <w:rPr>
          <w:rFonts w:hint="eastAsia"/>
          <w:b w:val="0"/>
          <w:bCs/>
          <w:color w:val="auto"/>
        </w:rPr>
        <w:t>（3）脱水车间没有配备相应的通风装置或应急设施。</w:t>
      </w:r>
    </w:p>
    <w:p w14:paraId="3F53F44C">
      <w:pPr>
        <w:bidi w:val="0"/>
        <w:rPr>
          <w:rFonts w:hint="eastAsia"/>
          <w:b w:val="0"/>
          <w:bCs/>
          <w:color w:val="auto"/>
        </w:rPr>
      </w:pPr>
      <w:r>
        <w:rPr>
          <w:rFonts w:hint="eastAsia"/>
          <w:b w:val="0"/>
          <w:bCs/>
          <w:color w:val="auto"/>
        </w:rPr>
        <w:t>（4）配备的通风装置或应急设施没有定期检查其效能，易导致人员中毒后不能及时处理，从而造成人员伤亡。</w:t>
      </w:r>
    </w:p>
    <w:p w14:paraId="589E09E4">
      <w:pPr>
        <w:bidi w:val="0"/>
        <w:rPr>
          <w:rFonts w:hint="eastAsia"/>
          <w:b w:val="0"/>
          <w:bCs/>
          <w:color w:val="auto"/>
        </w:rPr>
      </w:pPr>
      <w:r>
        <w:rPr>
          <w:rFonts w:hint="eastAsia"/>
          <w:b w:val="0"/>
          <w:bCs/>
          <w:color w:val="auto"/>
        </w:rPr>
        <w:t>（5）没有对员工进行急救措施的培训，易导致人员中毒后不能及时处理，从而造成人员伤亡。</w:t>
      </w:r>
    </w:p>
    <w:p w14:paraId="7BFB0FAA">
      <w:pPr>
        <w:bidi w:val="0"/>
        <w:rPr>
          <w:rFonts w:hint="eastAsia"/>
          <w:b w:val="0"/>
          <w:bCs/>
          <w:color w:val="auto"/>
        </w:rPr>
      </w:pPr>
      <w:r>
        <w:rPr>
          <w:rFonts w:hint="eastAsia"/>
          <w:b w:val="0"/>
          <w:bCs/>
          <w:color w:val="auto"/>
        </w:rPr>
        <w:t>（6）空气置换不彻底，作业人员没有穿戴防护用品和防毒面具，没有填报危险作业票（或未审批），未安排专人监护就进入有毒容器进行检修，易导致中毒事故的发生。</w:t>
      </w:r>
    </w:p>
    <w:p w14:paraId="18462EE9">
      <w:pPr>
        <w:bidi w:val="0"/>
        <w:rPr>
          <w:rFonts w:hint="eastAsia"/>
          <w:b w:val="0"/>
          <w:bCs/>
          <w:color w:val="auto"/>
        </w:rPr>
      </w:pPr>
      <w:r>
        <w:rPr>
          <w:rFonts w:hint="eastAsia"/>
          <w:b w:val="0"/>
          <w:bCs/>
          <w:color w:val="auto"/>
        </w:rPr>
        <w:t>（7）未配置冲淋设施。</w:t>
      </w:r>
    </w:p>
    <w:p w14:paraId="1A2FD735">
      <w:pPr>
        <w:bidi w:val="0"/>
        <w:rPr>
          <w:rFonts w:hint="eastAsia"/>
          <w:b w:val="0"/>
          <w:bCs/>
          <w:color w:val="auto"/>
        </w:rPr>
      </w:pPr>
      <w:r>
        <w:rPr>
          <w:rFonts w:hint="eastAsia"/>
          <w:b w:val="0"/>
          <w:bCs/>
          <w:color w:val="auto"/>
        </w:rPr>
        <w:t>药剂硫化钠有毒且由于硫化钠等硫酸盐在酸性环境下可能产生硫化氢气体、厌氧条件下硫酸盐还原菌SRB还原SO</w:t>
      </w:r>
      <w:r>
        <w:rPr>
          <w:rFonts w:hint="eastAsia"/>
          <w:b w:val="0"/>
          <w:bCs/>
          <w:color w:val="auto"/>
          <w:vertAlign w:val="subscript"/>
        </w:rPr>
        <w:t>4</w:t>
      </w:r>
      <w:r>
        <w:rPr>
          <w:rFonts w:hint="eastAsia"/>
          <w:b w:val="0"/>
          <w:bCs/>
          <w:color w:val="auto"/>
          <w:vertAlign w:val="superscript"/>
        </w:rPr>
        <w:t>2-</w:t>
      </w:r>
      <w:r>
        <w:rPr>
          <w:rFonts w:hint="eastAsia"/>
          <w:b w:val="0"/>
          <w:bCs/>
          <w:color w:val="auto"/>
        </w:rPr>
        <w:t>产生H</w:t>
      </w:r>
      <w:r>
        <w:rPr>
          <w:rFonts w:hint="eastAsia"/>
          <w:b w:val="0"/>
          <w:bCs/>
          <w:color w:val="auto"/>
          <w:vertAlign w:val="subscript"/>
        </w:rPr>
        <w:t>2</w:t>
      </w:r>
      <w:r>
        <w:rPr>
          <w:rFonts w:hint="eastAsia"/>
          <w:b w:val="0"/>
          <w:bCs/>
          <w:color w:val="auto"/>
        </w:rPr>
        <w:t>S气体、含硫的有机物在微生物的作用下产生H</w:t>
      </w:r>
      <w:r>
        <w:rPr>
          <w:rFonts w:hint="eastAsia"/>
          <w:b w:val="0"/>
          <w:bCs/>
          <w:color w:val="auto"/>
          <w:vertAlign w:val="subscript"/>
        </w:rPr>
        <w:t>2</w:t>
      </w:r>
      <w:r>
        <w:rPr>
          <w:rFonts w:hint="eastAsia"/>
          <w:b w:val="0"/>
          <w:bCs/>
          <w:color w:val="auto"/>
        </w:rPr>
        <w:t>S气体，故在浮选过程中，药剂搅拌桶、回水池等有限空间可能产生硫化氢气体。</w:t>
      </w:r>
    </w:p>
    <w:p w14:paraId="23D7E3AB">
      <w:pPr>
        <w:bidi w:val="0"/>
        <w:rPr>
          <w:rFonts w:hint="eastAsia"/>
          <w:b w:val="0"/>
          <w:bCs/>
          <w:color w:val="auto"/>
        </w:rPr>
      </w:pPr>
      <w:r>
        <w:rPr>
          <w:rFonts w:hint="eastAsia"/>
          <w:b w:val="0"/>
          <w:bCs/>
          <w:color w:val="auto"/>
        </w:rPr>
        <w:t>硫酸铜对胃肠道有强烈刺激作用，误服后会出现恶心、呕吐、口内有铜性味、胃烧灼感、剧烈腹痛等症状，严重者可出现呕血、黑便、血压下降、呼吸困难、昏迷等症状。此外，硫酸铜中的铜离子属于重金属离子，进入人体后会使机体内的蛋白质结构变性，影响人体正常的新陈代谢，还可能造成严重肾损害和溶血，出现黄疸、贫血、肝大、血红蛋白尿、急性肾功能衰竭等。皮肤长期接触硫酸铜溶液，会对接触部位造成损伤，容易引起接触性皮炎、湿疹等皮肤病变，甚至会造成皮肤坏死、溃烂。硫酸铜对眼睛有刺激性，不慎接触后可能引起角膜损害，导致失明。吸入硫酸铜粉尘或烟雾，会刺激呼吸道，长期接触可能引起鼻、眼粘膜刺激并出现胃肠道症状，还可能引起哮喘等呼吸系统疾病。</w:t>
      </w:r>
    </w:p>
    <w:p w14:paraId="446D122F">
      <w:pPr>
        <w:bidi w:val="0"/>
        <w:rPr>
          <w:rFonts w:hint="eastAsia"/>
          <w:b w:val="0"/>
          <w:bCs/>
          <w:color w:val="auto"/>
        </w:rPr>
      </w:pPr>
      <w:r>
        <w:rPr>
          <w:rFonts w:hint="eastAsia"/>
          <w:b w:val="0"/>
          <w:bCs/>
          <w:color w:val="auto"/>
        </w:rPr>
        <w:t>作业人员进入球磨机等有限空间进行检查、维修作业时，如未严格实行作业审批制度，擅自进入有限空间作业；未严格按照“先通风、再检测、后作业”的原则，或通风不良；未为作业人员配备个人防中毒窒息等防护装备，设置安全警示标识，无防护监护措施作业；未对作业人员进行安全培训，或教育培训不合格上岗作业；未制定应急措施，现场配备应急装备，盲目施救等可能会导致中毒和窒息事故的发生。</w:t>
      </w:r>
    </w:p>
    <w:p w14:paraId="5E4F7644">
      <w:pPr>
        <w:bidi w:val="0"/>
        <w:rPr>
          <w:rFonts w:hint="eastAsia"/>
          <w:b w:val="0"/>
          <w:bCs/>
          <w:color w:val="auto"/>
        </w:rPr>
      </w:pPr>
      <w:r>
        <w:rPr>
          <w:rFonts w:hint="eastAsia"/>
          <w:b w:val="0"/>
          <w:bCs/>
          <w:color w:val="auto"/>
        </w:rPr>
        <w:t>可能存在的部位：球磨机、药剂室、药剂搅拌桶、</w:t>
      </w:r>
      <w:r>
        <w:rPr>
          <w:rFonts w:hint="eastAsia"/>
          <w:b w:val="0"/>
          <w:bCs/>
          <w:color w:val="auto"/>
          <w:lang w:val="en-US" w:eastAsia="zh-CN"/>
        </w:rPr>
        <w:t>高位</w:t>
      </w:r>
      <w:r>
        <w:rPr>
          <w:rFonts w:hint="eastAsia"/>
          <w:b w:val="0"/>
          <w:bCs/>
          <w:color w:val="auto"/>
        </w:rPr>
        <w:t>水池等部位。</w:t>
      </w:r>
    </w:p>
    <w:p w14:paraId="15BAF968">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lang w:val="en-US" w:eastAsia="zh-CN"/>
        </w:rPr>
      </w:pPr>
      <w:bookmarkStart w:id="130" w:name="_Toc15288"/>
      <w:r>
        <w:rPr>
          <w:rFonts w:hint="eastAsia" w:ascii="Times New Roman" w:hAnsi="Times New Roman" w:cs="Times New Roman"/>
          <w:bCs/>
          <w:color w:val="auto"/>
          <w:sz w:val="28"/>
          <w:szCs w:val="28"/>
          <w:lang w:val="en-US" w:eastAsia="zh-CN"/>
        </w:rPr>
        <w:t>3.5.10起重伤害</w:t>
      </w:r>
      <w:bookmarkEnd w:id="130"/>
    </w:p>
    <w:p w14:paraId="6456F7A8">
      <w:pPr>
        <w:bidi w:val="0"/>
        <w:rPr>
          <w:rFonts w:hint="default"/>
          <w:b w:val="0"/>
          <w:bCs/>
          <w:color w:val="auto"/>
          <w:lang w:val="en-US" w:eastAsia="zh-CN"/>
        </w:rPr>
      </w:pPr>
      <w:r>
        <w:rPr>
          <w:rFonts w:hint="default"/>
          <w:b w:val="0"/>
          <w:bCs/>
          <w:color w:val="auto"/>
          <w:lang w:val="en-US" w:eastAsia="zh-CN"/>
        </w:rPr>
        <w:t>起重伤害指各种起重作业（包括安装、检修、试验）中发生的压挤、坠落、（吊具、吊重）物体打击和触电。本项目使用</w:t>
      </w:r>
      <w:r>
        <w:rPr>
          <w:rFonts w:hint="eastAsia"/>
          <w:b w:val="0"/>
          <w:bCs/>
          <w:color w:val="auto"/>
          <w:lang w:val="en-US" w:eastAsia="zh-CN"/>
        </w:rPr>
        <w:t>起重设备</w:t>
      </w:r>
      <w:r>
        <w:rPr>
          <w:rFonts w:hint="default"/>
          <w:b w:val="0"/>
          <w:bCs/>
          <w:color w:val="auto"/>
          <w:lang w:val="en-US" w:eastAsia="zh-CN"/>
        </w:rPr>
        <w:t>用于检修，可能会发生起重伤害。发生起重伤害的主要原因如下：</w:t>
      </w:r>
    </w:p>
    <w:p w14:paraId="6839B67B">
      <w:pPr>
        <w:bidi w:val="0"/>
        <w:rPr>
          <w:rFonts w:hint="default"/>
          <w:b w:val="0"/>
          <w:bCs/>
          <w:color w:val="auto"/>
          <w:lang w:val="en-US" w:eastAsia="zh-CN"/>
        </w:rPr>
      </w:pPr>
      <w:r>
        <w:rPr>
          <w:rFonts w:hint="default"/>
          <w:b w:val="0"/>
          <w:bCs/>
          <w:color w:val="auto"/>
          <w:lang w:val="en-US" w:eastAsia="zh-CN"/>
        </w:rPr>
        <w:t>1、脱钩</w:t>
      </w:r>
    </w:p>
    <w:p w14:paraId="55ED4B9B">
      <w:pPr>
        <w:bidi w:val="0"/>
        <w:rPr>
          <w:rFonts w:hint="default"/>
          <w:b w:val="0"/>
          <w:bCs/>
          <w:color w:val="auto"/>
          <w:lang w:val="en-US" w:eastAsia="zh-CN"/>
        </w:rPr>
      </w:pPr>
      <w:r>
        <w:rPr>
          <w:rFonts w:hint="default"/>
          <w:b w:val="0"/>
          <w:bCs/>
          <w:color w:val="auto"/>
          <w:lang w:val="en-US" w:eastAsia="zh-CN"/>
        </w:rPr>
        <w:t>起重工在吊运物体时，因现场无人指挥，吊物下降过快造成脱钩；有时在吊运中因起吊物体不稳，使吊钩在空中悠荡，在悠荡过程中钩头由于离心惯性力甩出而引起脱钩事故。</w:t>
      </w:r>
    </w:p>
    <w:p w14:paraId="0903E3F9">
      <w:pPr>
        <w:bidi w:val="0"/>
        <w:rPr>
          <w:rFonts w:hint="default"/>
          <w:b w:val="0"/>
          <w:bCs/>
          <w:color w:val="auto"/>
          <w:lang w:val="en-US" w:eastAsia="zh-CN"/>
        </w:rPr>
      </w:pPr>
      <w:r>
        <w:rPr>
          <w:rFonts w:hint="default"/>
          <w:b w:val="0"/>
          <w:bCs/>
          <w:color w:val="auto"/>
          <w:lang w:val="en-US" w:eastAsia="zh-CN"/>
        </w:rPr>
        <w:t>2、钢丝绳折断</w:t>
      </w:r>
    </w:p>
    <w:p w14:paraId="591185D7">
      <w:pPr>
        <w:bidi w:val="0"/>
        <w:rPr>
          <w:rFonts w:hint="default"/>
          <w:b w:val="0"/>
          <w:bCs/>
          <w:color w:val="auto"/>
          <w:lang w:val="en-US" w:eastAsia="zh-CN"/>
        </w:rPr>
      </w:pPr>
      <w:r>
        <w:rPr>
          <w:rFonts w:hint="default"/>
          <w:b w:val="0"/>
          <w:bCs/>
          <w:color w:val="auto"/>
          <w:lang w:val="en-US" w:eastAsia="zh-CN"/>
        </w:rPr>
        <w:t>钢丝绳发生折断的原因很多，其主要和常见的原因是：操作前没有对钢丝绳进行安全技术检验或认真检查，对已断丝的钢丝绳没有按钢丝绳报废标准处理或降低负荷使用，吊运时严重超负荷等。</w:t>
      </w:r>
    </w:p>
    <w:p w14:paraId="0B31D378">
      <w:pPr>
        <w:bidi w:val="0"/>
        <w:rPr>
          <w:rFonts w:hint="default"/>
          <w:b w:val="0"/>
          <w:bCs/>
          <w:color w:val="auto"/>
          <w:lang w:val="en-US" w:eastAsia="zh-CN"/>
        </w:rPr>
      </w:pPr>
      <w:r>
        <w:rPr>
          <w:rFonts w:hint="default"/>
          <w:b w:val="0"/>
          <w:bCs/>
          <w:color w:val="auto"/>
          <w:lang w:val="en-US" w:eastAsia="zh-CN"/>
        </w:rPr>
        <w:t>3、安全防护装置缺乏或失灵</w:t>
      </w:r>
    </w:p>
    <w:p w14:paraId="64386D84">
      <w:pPr>
        <w:bidi w:val="0"/>
        <w:rPr>
          <w:rFonts w:hint="default"/>
          <w:b w:val="0"/>
          <w:bCs/>
          <w:color w:val="auto"/>
          <w:lang w:val="en-US" w:eastAsia="zh-CN"/>
        </w:rPr>
      </w:pPr>
      <w:r>
        <w:rPr>
          <w:rFonts w:hint="default"/>
          <w:b w:val="0"/>
          <w:bCs/>
          <w:color w:val="auto"/>
          <w:lang w:val="en-US" w:eastAsia="zh-CN"/>
        </w:rPr>
        <w:t>因操作不慎和超负荷等原因，将发生翻车、碰撞、钢丝绳折断等事故，电葫芦上的齿轮和传动轴，没有设置安全罩或其它安全设施，会卷进人的衣服。</w:t>
      </w:r>
    </w:p>
    <w:p w14:paraId="00A4FF97">
      <w:pPr>
        <w:bidi w:val="0"/>
        <w:rPr>
          <w:rFonts w:hint="default"/>
          <w:b w:val="0"/>
          <w:bCs/>
          <w:color w:val="auto"/>
          <w:lang w:val="en-US" w:eastAsia="zh-CN"/>
        </w:rPr>
      </w:pPr>
      <w:r>
        <w:rPr>
          <w:rFonts w:hint="default"/>
          <w:b w:val="0"/>
          <w:bCs/>
          <w:color w:val="auto"/>
          <w:lang w:val="en-US" w:eastAsia="zh-CN"/>
        </w:rPr>
        <w:t>4、吊物坠落</w:t>
      </w:r>
    </w:p>
    <w:p w14:paraId="22FFA428">
      <w:pPr>
        <w:bidi w:val="0"/>
        <w:rPr>
          <w:rFonts w:hint="default"/>
          <w:b w:val="0"/>
          <w:bCs/>
          <w:color w:val="auto"/>
          <w:lang w:val="en-US" w:eastAsia="zh-CN"/>
        </w:rPr>
      </w:pPr>
      <w:r>
        <w:rPr>
          <w:rFonts w:hint="default"/>
          <w:b w:val="0"/>
          <w:bCs/>
          <w:color w:val="auto"/>
          <w:lang w:val="en-US" w:eastAsia="zh-CN"/>
        </w:rPr>
        <w:t>电葫芦吊运物体时，由于某种原因，物体突然坠落，将地面的人员砸伤或砸死，这种事故一般是惨痛的，因为坠落的重物一般都是击中人的头部（立姿）或腰部（蹲姿）。</w:t>
      </w:r>
    </w:p>
    <w:p w14:paraId="56BE004E">
      <w:pPr>
        <w:bidi w:val="0"/>
        <w:rPr>
          <w:rFonts w:hint="default"/>
          <w:b w:val="0"/>
          <w:bCs/>
          <w:color w:val="auto"/>
          <w:lang w:val="en-US" w:eastAsia="zh-CN"/>
        </w:rPr>
      </w:pPr>
      <w:r>
        <w:rPr>
          <w:rFonts w:hint="default"/>
          <w:b w:val="0"/>
          <w:bCs/>
          <w:color w:val="auto"/>
          <w:lang w:val="en-US" w:eastAsia="zh-CN"/>
        </w:rPr>
        <w:t>5、碰撞致伤</w:t>
      </w:r>
    </w:p>
    <w:p w14:paraId="7B889AAD">
      <w:pPr>
        <w:bidi w:val="0"/>
        <w:rPr>
          <w:rFonts w:hint="default"/>
          <w:b w:val="0"/>
          <w:bCs/>
          <w:color w:val="auto"/>
          <w:lang w:val="en-US" w:eastAsia="zh-CN"/>
        </w:rPr>
      </w:pPr>
      <w:r>
        <w:rPr>
          <w:rFonts w:hint="default"/>
          <w:b w:val="0"/>
          <w:bCs/>
          <w:color w:val="auto"/>
          <w:lang w:val="en-US" w:eastAsia="zh-CN"/>
        </w:rPr>
        <w:t>物体在吊运中，因碰撞或刹车等原因，使吊件在空中悠荡，吊件撞倒设备或积物而引起事故，撞击力大，故后果比较严重。</w:t>
      </w:r>
    </w:p>
    <w:p w14:paraId="56D26FAD">
      <w:pPr>
        <w:bidi w:val="0"/>
        <w:rPr>
          <w:rFonts w:hint="default"/>
          <w:b w:val="0"/>
          <w:bCs/>
          <w:color w:val="auto"/>
          <w:lang w:val="en-US" w:eastAsia="zh-CN"/>
        </w:rPr>
      </w:pPr>
      <w:r>
        <w:rPr>
          <w:rFonts w:hint="default"/>
          <w:b w:val="0"/>
          <w:bCs/>
          <w:color w:val="auto"/>
          <w:lang w:val="en-US" w:eastAsia="zh-CN"/>
        </w:rPr>
        <w:t>6、指挥信号不明或乱指挥</w:t>
      </w:r>
    </w:p>
    <w:p w14:paraId="6A9BBE60">
      <w:pPr>
        <w:bidi w:val="0"/>
        <w:rPr>
          <w:rFonts w:hint="default"/>
          <w:b w:val="0"/>
          <w:bCs/>
          <w:color w:val="auto"/>
          <w:lang w:val="en-US" w:eastAsia="zh-CN"/>
        </w:rPr>
      </w:pPr>
      <w:r>
        <w:rPr>
          <w:rFonts w:hint="default"/>
          <w:b w:val="0"/>
          <w:bCs/>
          <w:color w:val="auto"/>
          <w:lang w:val="en-US" w:eastAsia="zh-CN"/>
        </w:rPr>
        <w:t>现场起吊时，指挥者乱指挥或指挥信号不明时，易使现场起重人员产生错误判断或错误操作，尤其当两个单位在同一场地操作时，因各自的指挥信号不同引起的错误操作往往会产生严重后果。</w:t>
      </w:r>
    </w:p>
    <w:p w14:paraId="164375DF">
      <w:pPr>
        <w:bidi w:val="0"/>
        <w:rPr>
          <w:rFonts w:hint="default"/>
          <w:b w:val="0"/>
          <w:bCs/>
          <w:color w:val="auto"/>
          <w:lang w:val="en-US" w:eastAsia="zh-CN"/>
        </w:rPr>
      </w:pPr>
      <w:r>
        <w:rPr>
          <w:rFonts w:hint="default"/>
          <w:b w:val="0"/>
          <w:bCs/>
          <w:color w:val="auto"/>
          <w:lang w:val="en-US" w:eastAsia="zh-CN"/>
        </w:rPr>
        <w:t>7、吊物上面站人</w:t>
      </w:r>
    </w:p>
    <w:p w14:paraId="44285D9A">
      <w:pPr>
        <w:bidi w:val="0"/>
        <w:rPr>
          <w:rFonts w:hint="default"/>
          <w:b w:val="0"/>
          <w:bCs/>
          <w:color w:val="auto"/>
          <w:lang w:val="en-US" w:eastAsia="zh-CN"/>
        </w:rPr>
      </w:pPr>
      <w:r>
        <w:rPr>
          <w:rFonts w:hint="default"/>
          <w:b w:val="0"/>
          <w:bCs/>
          <w:color w:val="auto"/>
          <w:lang w:val="en-US" w:eastAsia="zh-CN"/>
        </w:rPr>
        <w:t>在物体吊起后失去平衡，将重物放下重新起吊时，有少数起重工特别是青年人怕麻烦，图省事，违章站在重物上以求平衡，当电葫芦一旦发生紧急制动剧烈振动时，站在起吊物上的人随之跌下或被物体碰倒以及被压入。</w:t>
      </w:r>
    </w:p>
    <w:p w14:paraId="58486E4D">
      <w:pPr>
        <w:bidi w:val="0"/>
        <w:rPr>
          <w:rFonts w:hint="default"/>
          <w:b w:val="0"/>
          <w:bCs/>
          <w:color w:val="auto"/>
          <w:lang w:val="en-US" w:eastAsia="zh-CN"/>
        </w:rPr>
      </w:pPr>
      <w:r>
        <w:rPr>
          <w:rFonts w:hint="default"/>
          <w:b w:val="0"/>
          <w:bCs/>
          <w:color w:val="auto"/>
          <w:lang w:val="en-US" w:eastAsia="zh-CN"/>
        </w:rPr>
        <w:t>8、工件紧固不牢</w:t>
      </w:r>
    </w:p>
    <w:p w14:paraId="0FCBC97B">
      <w:pPr>
        <w:bidi w:val="0"/>
        <w:rPr>
          <w:rFonts w:hint="default"/>
          <w:b w:val="0"/>
          <w:bCs/>
          <w:color w:val="auto"/>
          <w:lang w:val="en-US" w:eastAsia="zh-CN"/>
        </w:rPr>
      </w:pPr>
      <w:r>
        <w:rPr>
          <w:rFonts w:hint="default"/>
          <w:b w:val="0"/>
          <w:bCs/>
          <w:color w:val="auto"/>
          <w:lang w:val="en-US" w:eastAsia="zh-CN"/>
        </w:rPr>
        <w:t>当起吊散装金属物体或工件时，若没有捆扎牢固，吊运或搬运过程中零星小件会脱落坠下，极易碰伤自己或别人。</w:t>
      </w:r>
    </w:p>
    <w:p w14:paraId="717310C4">
      <w:pPr>
        <w:bidi w:val="0"/>
        <w:rPr>
          <w:rFonts w:hint="default"/>
          <w:b w:val="0"/>
          <w:bCs/>
          <w:color w:val="auto"/>
          <w:lang w:val="en-US" w:eastAsia="zh-CN"/>
        </w:rPr>
      </w:pPr>
      <w:r>
        <w:rPr>
          <w:rFonts w:hint="default"/>
          <w:b w:val="0"/>
          <w:bCs/>
          <w:color w:val="auto"/>
          <w:lang w:val="en-US" w:eastAsia="zh-CN"/>
        </w:rPr>
        <w:t>9、光线阴暗看不清物体</w:t>
      </w:r>
    </w:p>
    <w:p w14:paraId="7B83D775">
      <w:pPr>
        <w:bidi w:val="0"/>
        <w:rPr>
          <w:rFonts w:hint="default"/>
          <w:b w:val="0"/>
          <w:bCs/>
          <w:color w:val="auto"/>
          <w:lang w:val="en-US" w:eastAsia="zh-CN"/>
        </w:rPr>
      </w:pPr>
      <w:r>
        <w:rPr>
          <w:rFonts w:hint="default"/>
          <w:b w:val="0"/>
          <w:bCs/>
          <w:color w:val="auto"/>
          <w:lang w:val="en-US" w:eastAsia="zh-CN"/>
        </w:rPr>
        <w:t>如起重现场雾大、粉尘大，能见度差，晚间光线太暗或眩目刺眼，看不清物体和周围障碍物，这是发生事故的隐患之一。</w:t>
      </w:r>
    </w:p>
    <w:p w14:paraId="5A142AE3">
      <w:pPr>
        <w:bidi w:val="0"/>
        <w:rPr>
          <w:rFonts w:hint="default"/>
          <w:b w:val="0"/>
          <w:bCs/>
          <w:color w:val="auto"/>
          <w:lang w:val="en-US" w:eastAsia="zh-CN"/>
        </w:rPr>
      </w:pPr>
      <w:r>
        <w:rPr>
          <w:rFonts w:hint="default"/>
          <w:b w:val="0"/>
          <w:bCs/>
          <w:color w:val="auto"/>
          <w:lang w:val="en-US" w:eastAsia="zh-CN"/>
        </w:rPr>
        <w:t>10、起重设备带病运转</w:t>
      </w:r>
    </w:p>
    <w:p w14:paraId="34EAFE30">
      <w:pPr>
        <w:bidi w:val="0"/>
        <w:rPr>
          <w:rFonts w:hint="default"/>
          <w:b w:val="0"/>
          <w:bCs/>
          <w:color w:val="auto"/>
          <w:lang w:val="en-US" w:eastAsia="zh-CN"/>
        </w:rPr>
      </w:pPr>
      <w:r>
        <w:rPr>
          <w:rFonts w:hint="default"/>
          <w:b w:val="0"/>
          <w:bCs/>
          <w:color w:val="auto"/>
          <w:lang w:val="en-US" w:eastAsia="zh-CN"/>
        </w:rPr>
        <w:t>设备带病运转，不仅缩短了起重设备的使用寿命或修理周期，更为严重的是设备在带病运转过程中，可以导致发生许多设备和人身事故。</w:t>
      </w:r>
    </w:p>
    <w:p w14:paraId="498BD61E">
      <w:pPr>
        <w:bidi w:val="0"/>
        <w:rPr>
          <w:rFonts w:hint="default"/>
          <w:b w:val="0"/>
          <w:bCs/>
          <w:color w:val="auto"/>
          <w:lang w:val="en-US" w:eastAsia="zh-CN"/>
        </w:rPr>
      </w:pPr>
      <w:r>
        <w:rPr>
          <w:rFonts w:hint="default"/>
          <w:b w:val="0"/>
          <w:bCs/>
          <w:color w:val="auto"/>
          <w:lang w:val="en-US" w:eastAsia="zh-CN"/>
        </w:rPr>
        <w:t>11、人为事故因素</w:t>
      </w:r>
    </w:p>
    <w:p w14:paraId="1BA0AEC9">
      <w:pPr>
        <w:bidi w:val="0"/>
        <w:rPr>
          <w:rFonts w:hint="default"/>
          <w:b w:val="0"/>
          <w:bCs/>
          <w:color w:val="auto"/>
          <w:lang w:val="en-US" w:eastAsia="zh-CN"/>
        </w:rPr>
      </w:pPr>
      <w:r>
        <w:rPr>
          <w:rFonts w:hint="default"/>
          <w:b w:val="0"/>
          <w:bCs/>
          <w:color w:val="auto"/>
          <w:lang w:val="en-US" w:eastAsia="zh-CN"/>
        </w:rPr>
        <w:t>操作员在驾驶时违规操作或操作起重机械的人员未经专业技术培训持证上岗也是导致事故发生的一个主要原因。</w:t>
      </w:r>
    </w:p>
    <w:p w14:paraId="7DB24157">
      <w:pPr>
        <w:bidi w:val="0"/>
        <w:rPr>
          <w:rFonts w:hint="default"/>
          <w:b w:val="0"/>
          <w:bCs/>
          <w:color w:val="auto"/>
          <w:lang w:val="en-US" w:eastAsia="zh-CN"/>
        </w:rPr>
      </w:pPr>
      <w:r>
        <w:rPr>
          <w:rFonts w:hint="default"/>
          <w:b w:val="0"/>
          <w:bCs/>
          <w:color w:val="auto"/>
          <w:lang w:val="en-US" w:eastAsia="zh-CN"/>
        </w:rPr>
        <w:t>可能存在的部位：设备安装、检修过程中</w:t>
      </w:r>
      <w:r>
        <w:rPr>
          <w:rFonts w:hint="eastAsia"/>
          <w:b w:val="0"/>
          <w:bCs/>
          <w:color w:val="auto"/>
          <w:lang w:val="en-US" w:eastAsia="zh-CN"/>
        </w:rPr>
        <w:t>、</w:t>
      </w:r>
      <w:r>
        <w:rPr>
          <w:rFonts w:hint="default"/>
          <w:b w:val="0"/>
          <w:bCs/>
          <w:color w:val="auto"/>
          <w:lang w:val="en-US" w:eastAsia="zh-CN"/>
        </w:rPr>
        <w:t>检修场地有可能发生起重伤害事故。</w:t>
      </w:r>
    </w:p>
    <w:p w14:paraId="5A4F9688">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lang w:val="en-US" w:eastAsia="zh-CN"/>
        </w:rPr>
      </w:pPr>
      <w:bookmarkStart w:id="131" w:name="_Toc12589"/>
      <w:r>
        <w:rPr>
          <w:rFonts w:hint="eastAsia" w:ascii="Times New Roman" w:hAnsi="Times New Roman" w:cs="Times New Roman"/>
          <w:bCs/>
          <w:color w:val="auto"/>
          <w:sz w:val="28"/>
          <w:szCs w:val="28"/>
          <w:lang w:val="en-US" w:eastAsia="zh-CN"/>
        </w:rPr>
        <w:t>3.5.11</w:t>
      </w:r>
      <w:r>
        <w:rPr>
          <w:rFonts w:hint="default" w:ascii="Times New Roman" w:hAnsi="Times New Roman" w:cs="Times New Roman"/>
          <w:bCs/>
          <w:color w:val="auto"/>
          <w:sz w:val="28"/>
          <w:szCs w:val="28"/>
          <w:lang w:val="en-US" w:eastAsia="zh-CN"/>
        </w:rPr>
        <w:t>容器爆炸</w:t>
      </w:r>
      <w:bookmarkEnd w:id="131"/>
    </w:p>
    <w:p w14:paraId="6F1817D1">
      <w:pPr>
        <w:bidi w:val="0"/>
        <w:rPr>
          <w:rFonts w:hint="default"/>
          <w:b w:val="0"/>
          <w:bCs/>
          <w:color w:val="auto"/>
          <w:lang w:val="en-US" w:eastAsia="zh-CN"/>
        </w:rPr>
      </w:pPr>
      <w:r>
        <w:rPr>
          <w:rFonts w:hint="default"/>
          <w:b w:val="0"/>
          <w:bCs/>
          <w:color w:val="auto"/>
          <w:lang w:val="en-US" w:eastAsia="zh-CN"/>
        </w:rPr>
        <w:t>在检维修过程中进行氧气、乙炔切割或焊接等动火作业时，若使用的氧气瓶、乙炔气瓶发生泄漏；超装、超压、超温使用；未进行通风置换；未清理作业点附近区域的润滑油等易燃物，作业场所氧气、乙炔瓶的防火距离不符合规范要求，未采取有效的安全措施；或者在作业时违反安全操作规程，存在引发容器爆炸的可能。</w:t>
      </w:r>
    </w:p>
    <w:p w14:paraId="6020E6DB">
      <w:pPr>
        <w:bidi w:val="0"/>
        <w:rPr>
          <w:rFonts w:hint="default"/>
          <w:b w:val="0"/>
          <w:bCs/>
          <w:color w:val="auto"/>
          <w:lang w:val="en-US" w:eastAsia="zh-CN"/>
        </w:rPr>
      </w:pPr>
      <w:r>
        <w:rPr>
          <w:rFonts w:hint="default"/>
          <w:b w:val="0"/>
          <w:bCs/>
          <w:color w:val="auto"/>
          <w:lang w:val="en-US" w:eastAsia="zh-CN"/>
        </w:rPr>
        <w:t>可能存在的部位：气瓶储存和使用区域。</w:t>
      </w:r>
    </w:p>
    <w:p w14:paraId="5CBEAFB3">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32" w:name="_Toc17156"/>
      <w:r>
        <w:rPr>
          <w:rFonts w:hint="eastAsia" w:ascii="Times New Roman" w:hAnsi="Times New Roman" w:cs="Times New Roman"/>
          <w:bCs/>
          <w:color w:val="auto"/>
          <w:sz w:val="28"/>
          <w:szCs w:val="28"/>
        </w:rPr>
        <w:t>3.5.1</w:t>
      </w:r>
      <w:r>
        <w:rPr>
          <w:rFonts w:hint="eastAsia" w:ascii="Times New Roman" w:hAnsi="Times New Roman" w:cs="Times New Roman"/>
          <w:bCs/>
          <w:color w:val="auto"/>
          <w:sz w:val="28"/>
          <w:szCs w:val="28"/>
          <w:lang w:val="en-US" w:eastAsia="zh-CN"/>
        </w:rPr>
        <w:t>2</w:t>
      </w:r>
      <w:r>
        <w:rPr>
          <w:rFonts w:hint="eastAsia" w:ascii="Times New Roman" w:hAnsi="Times New Roman" w:cs="Times New Roman"/>
          <w:bCs/>
          <w:color w:val="auto"/>
          <w:sz w:val="28"/>
          <w:szCs w:val="28"/>
        </w:rPr>
        <w:t>粉尘危害</w:t>
      </w:r>
      <w:bookmarkEnd w:id="132"/>
    </w:p>
    <w:p w14:paraId="7FA25348">
      <w:pPr>
        <w:bidi w:val="0"/>
        <w:rPr>
          <w:rFonts w:hint="eastAsia"/>
          <w:b w:val="0"/>
          <w:bCs/>
          <w:color w:val="auto"/>
        </w:rPr>
      </w:pPr>
      <w:r>
        <w:rPr>
          <w:rFonts w:hint="eastAsia"/>
          <w:b w:val="0"/>
          <w:bCs/>
          <w:color w:val="auto"/>
        </w:rPr>
        <w:t>粉尘是指能悬浮于空气中的固体微粒。选矿厂生产过程中会产生大量的生产性粉尘。粉尘对员工的身体健康危害较大，粉尘侵入人体的途径主要有呼吸系统、眼睛、皮肤等，其中以呼吸系统为主要途径。</w:t>
      </w:r>
    </w:p>
    <w:p w14:paraId="15C4B875">
      <w:pPr>
        <w:bidi w:val="0"/>
        <w:rPr>
          <w:rFonts w:hint="eastAsia"/>
          <w:b w:val="0"/>
          <w:bCs/>
          <w:color w:val="auto"/>
        </w:rPr>
      </w:pPr>
      <w:r>
        <w:rPr>
          <w:rFonts w:hint="eastAsia"/>
          <w:b w:val="0"/>
          <w:bCs/>
          <w:color w:val="auto"/>
        </w:rPr>
        <w:t>粉尘对人体各系统的危害表现如下：粉尘侵入呼吸系统后，会引发尘肺、肺粉尘沉着症、有机粉尘所致的肺部病变、呼吸系统肿瘤和局部刺激作用等病症；如果粉尘侵入眼睛，可引起结膜炎、角膜混浊、眼睑水肿和急性角膜炎等症状；粉尘侵入皮肤后，可堵塞皮脂腺、汗腺，造成皮肤干燥，易受感染，引起毛囊炎、粉刺、皮炎等。</w:t>
      </w:r>
    </w:p>
    <w:p w14:paraId="5B73C974">
      <w:pPr>
        <w:bidi w:val="0"/>
        <w:rPr>
          <w:rFonts w:hint="eastAsia"/>
          <w:b w:val="0"/>
          <w:bCs/>
          <w:color w:val="auto"/>
        </w:rPr>
      </w:pPr>
      <w:r>
        <w:rPr>
          <w:rFonts w:hint="eastAsia"/>
          <w:b w:val="0"/>
          <w:bCs/>
          <w:color w:val="auto"/>
        </w:rPr>
        <w:t>该项目易产生粉尘的场所有：</w:t>
      </w:r>
      <w:r>
        <w:rPr>
          <w:rFonts w:hint="eastAsia"/>
          <w:b w:val="0"/>
          <w:bCs/>
          <w:color w:val="auto"/>
          <w:lang w:val="en-US" w:eastAsia="zh-CN"/>
        </w:rPr>
        <w:t>破碎车间、磨矿</w:t>
      </w:r>
      <w:r>
        <w:rPr>
          <w:rFonts w:hint="eastAsia"/>
          <w:b w:val="0"/>
          <w:bCs/>
          <w:color w:val="auto"/>
        </w:rPr>
        <w:t>车间、原料堆场和精矿堆场</w:t>
      </w:r>
      <w:r>
        <w:rPr>
          <w:rFonts w:hint="eastAsia"/>
          <w:b w:val="0"/>
          <w:bCs/>
          <w:color w:val="auto"/>
          <w:lang w:val="en-US" w:eastAsia="zh-CN"/>
        </w:rPr>
        <w:t>等</w:t>
      </w:r>
      <w:r>
        <w:rPr>
          <w:rFonts w:hint="eastAsia"/>
          <w:b w:val="0"/>
          <w:bCs/>
          <w:color w:val="auto"/>
        </w:rPr>
        <w:t>。各车间在原矿加工和物料运输过程中都会产生粉尘，若降尘措施不够完善或工作人员没有配备劳动防护用品，工作人员可能受到粉尘危害。造成粉尘危害的主要原因分析如下：</w:t>
      </w:r>
    </w:p>
    <w:p w14:paraId="0720CDFE">
      <w:pPr>
        <w:bidi w:val="0"/>
        <w:rPr>
          <w:rFonts w:hint="eastAsia"/>
          <w:b w:val="0"/>
          <w:bCs/>
          <w:color w:val="auto"/>
        </w:rPr>
      </w:pPr>
      <w:r>
        <w:rPr>
          <w:rFonts w:hint="eastAsia"/>
          <w:b w:val="0"/>
          <w:bCs/>
          <w:color w:val="auto"/>
        </w:rPr>
        <w:t>1、未配置除尘设备或除尘设备失效；</w:t>
      </w:r>
    </w:p>
    <w:p w14:paraId="77CE5724">
      <w:pPr>
        <w:bidi w:val="0"/>
        <w:rPr>
          <w:rFonts w:hint="eastAsia"/>
          <w:b w:val="0"/>
          <w:bCs/>
          <w:color w:val="auto"/>
        </w:rPr>
      </w:pPr>
      <w:r>
        <w:rPr>
          <w:rFonts w:hint="eastAsia"/>
          <w:b w:val="0"/>
          <w:bCs/>
          <w:color w:val="auto"/>
        </w:rPr>
        <w:t>2、作业场地粉尘量超标；</w:t>
      </w:r>
    </w:p>
    <w:p w14:paraId="3E4CF739">
      <w:pPr>
        <w:bidi w:val="0"/>
        <w:rPr>
          <w:rFonts w:hint="eastAsia"/>
          <w:b w:val="0"/>
          <w:bCs/>
          <w:color w:val="auto"/>
        </w:rPr>
      </w:pPr>
      <w:r>
        <w:rPr>
          <w:rFonts w:hint="eastAsia"/>
          <w:b w:val="0"/>
          <w:bCs/>
          <w:color w:val="auto"/>
        </w:rPr>
        <w:t>3、作业场地通风不良；</w:t>
      </w:r>
    </w:p>
    <w:p w14:paraId="3528F7F7">
      <w:pPr>
        <w:bidi w:val="0"/>
        <w:rPr>
          <w:rFonts w:hint="eastAsia"/>
          <w:b w:val="0"/>
          <w:bCs/>
          <w:color w:val="auto"/>
        </w:rPr>
      </w:pPr>
      <w:r>
        <w:rPr>
          <w:rFonts w:hint="eastAsia"/>
          <w:b w:val="0"/>
          <w:bCs/>
          <w:color w:val="auto"/>
        </w:rPr>
        <w:t>4、人员未配备劳动保护用品等。</w:t>
      </w:r>
    </w:p>
    <w:p w14:paraId="57BC238A">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33" w:name="_Toc3846"/>
      <w:r>
        <w:rPr>
          <w:rFonts w:hint="eastAsia" w:ascii="Times New Roman" w:hAnsi="Times New Roman" w:cs="Times New Roman"/>
          <w:bCs/>
          <w:color w:val="auto"/>
          <w:sz w:val="28"/>
          <w:szCs w:val="28"/>
        </w:rPr>
        <w:t>3.5.1</w:t>
      </w:r>
      <w:r>
        <w:rPr>
          <w:rFonts w:hint="eastAsia" w:ascii="Times New Roman" w:hAnsi="Times New Roman" w:cs="Times New Roman"/>
          <w:bCs/>
          <w:color w:val="auto"/>
          <w:sz w:val="28"/>
          <w:szCs w:val="28"/>
          <w:lang w:val="en-US" w:eastAsia="zh-CN"/>
        </w:rPr>
        <w:t>3</w:t>
      </w:r>
      <w:r>
        <w:rPr>
          <w:rFonts w:hint="eastAsia" w:ascii="Times New Roman" w:hAnsi="Times New Roman" w:cs="Times New Roman"/>
          <w:bCs/>
          <w:color w:val="auto"/>
          <w:sz w:val="28"/>
          <w:szCs w:val="28"/>
        </w:rPr>
        <w:t>噪声</w:t>
      </w:r>
      <w:bookmarkEnd w:id="133"/>
    </w:p>
    <w:p w14:paraId="1046355A">
      <w:pPr>
        <w:bidi w:val="0"/>
        <w:rPr>
          <w:rFonts w:hint="eastAsia"/>
          <w:b w:val="0"/>
          <w:bCs/>
          <w:color w:val="auto"/>
        </w:rPr>
      </w:pPr>
      <w:r>
        <w:rPr>
          <w:rFonts w:hint="eastAsia"/>
          <w:b w:val="0"/>
          <w:bCs/>
          <w:color w:val="auto"/>
        </w:rPr>
        <w:t>噪声主要来源于各种</w:t>
      </w:r>
      <w:r>
        <w:rPr>
          <w:rFonts w:hint="eastAsia"/>
          <w:b w:val="0"/>
          <w:bCs/>
          <w:color w:val="auto"/>
          <w:lang w:val="en-US" w:eastAsia="zh-CN"/>
        </w:rPr>
        <w:t>振动</w:t>
      </w:r>
      <w:r>
        <w:rPr>
          <w:rFonts w:hint="eastAsia"/>
          <w:b w:val="0"/>
          <w:bCs/>
          <w:color w:val="auto"/>
        </w:rPr>
        <w:t>筛分、球磨机、选矿设备、浓缩脱水设备、起重机械及运输车辆等设备在运转过程中振动、摩擦、碰撞产生的机械动力噪声。</w:t>
      </w:r>
    </w:p>
    <w:p w14:paraId="44CBD8E3">
      <w:pPr>
        <w:bidi w:val="0"/>
        <w:rPr>
          <w:rFonts w:hint="eastAsia"/>
          <w:b w:val="0"/>
          <w:bCs/>
          <w:color w:val="auto"/>
        </w:rPr>
      </w:pPr>
      <w:r>
        <w:rPr>
          <w:rFonts w:hint="eastAsia"/>
          <w:b w:val="0"/>
          <w:bCs/>
          <w:color w:val="auto"/>
        </w:rPr>
        <w:t>当噪音超过85分贝时，对人的听觉、神经系统、心血管系统、消化系统、内分泌系统、视觉、感知觉水平、反应时间、情绪等都有很大的影响。它可损伤人的听力，使人患心脏病，同时对人的情绪影响也特别大，如使人烦躁不安、注意力分散等。噪声越大，引起烦恼的可能性越大，进而使作业人员产生侵犯性、多疑性、易怒性和厌倦。</w:t>
      </w:r>
    </w:p>
    <w:p w14:paraId="5BAF2B87">
      <w:pPr>
        <w:bidi w:val="0"/>
        <w:rPr>
          <w:rFonts w:hint="eastAsia"/>
          <w:b w:val="0"/>
          <w:bCs/>
          <w:color w:val="auto"/>
        </w:rPr>
      </w:pPr>
      <w:r>
        <w:rPr>
          <w:rFonts w:hint="eastAsia"/>
          <w:b w:val="0"/>
          <w:bCs/>
          <w:color w:val="auto"/>
        </w:rPr>
        <w:t>长期接触工业噪声会对操作工人身体造成多方面健康损害及职业病，能引起内耳听觉神经细胞的功能异常、器质性损伤而出现暂时性听阈位移、永久性听阈位移、高频听力损失、语频听力损伤直至噪声性耳聋，引起神经系统、心血管系统、消化系统、内分泌系统出现非特异不良改变，引起工人操作时注意力下降，身体灵敏性和协调性下降、工作效率和质量降低，误操作发生率上升，将导致事故的可能性增加。</w:t>
      </w:r>
    </w:p>
    <w:p w14:paraId="2DF7F1DF">
      <w:pPr>
        <w:bidi w:val="0"/>
        <w:rPr>
          <w:rFonts w:hint="eastAsia"/>
          <w:b w:val="0"/>
          <w:bCs/>
          <w:color w:val="auto"/>
        </w:rPr>
      </w:pPr>
      <w:r>
        <w:rPr>
          <w:rFonts w:hint="eastAsia"/>
          <w:b w:val="0"/>
          <w:bCs/>
          <w:color w:val="auto"/>
        </w:rPr>
        <w:t>产生噪声的主要原因有：</w:t>
      </w:r>
    </w:p>
    <w:p w14:paraId="69A1D326">
      <w:pPr>
        <w:bidi w:val="0"/>
        <w:rPr>
          <w:rFonts w:hint="eastAsia"/>
          <w:b w:val="0"/>
          <w:bCs/>
          <w:color w:val="auto"/>
        </w:rPr>
      </w:pPr>
      <w:r>
        <w:rPr>
          <w:rFonts w:hint="eastAsia"/>
          <w:b w:val="0"/>
          <w:bCs/>
          <w:color w:val="auto"/>
        </w:rPr>
        <w:t>1、设备设计选型不合理；</w:t>
      </w:r>
    </w:p>
    <w:p w14:paraId="66B49459">
      <w:pPr>
        <w:bidi w:val="0"/>
        <w:rPr>
          <w:rFonts w:hint="eastAsia"/>
          <w:b w:val="0"/>
          <w:bCs/>
          <w:color w:val="auto"/>
        </w:rPr>
      </w:pPr>
      <w:r>
        <w:rPr>
          <w:rFonts w:hint="eastAsia"/>
          <w:b w:val="0"/>
          <w:bCs/>
          <w:color w:val="auto"/>
        </w:rPr>
        <w:t>2、设备安装未达到质量标准要求；</w:t>
      </w:r>
    </w:p>
    <w:p w14:paraId="393447F5">
      <w:pPr>
        <w:bidi w:val="0"/>
        <w:rPr>
          <w:rFonts w:hint="eastAsia"/>
          <w:b w:val="0"/>
          <w:bCs/>
          <w:color w:val="auto"/>
        </w:rPr>
      </w:pPr>
      <w:r>
        <w:rPr>
          <w:rFonts w:hint="eastAsia"/>
          <w:b w:val="0"/>
          <w:bCs/>
          <w:color w:val="auto"/>
        </w:rPr>
        <w:t>3、运行中未及时检查维修，连接松动，设备的精度降低；</w:t>
      </w:r>
    </w:p>
    <w:p w14:paraId="1BEAA92B">
      <w:pPr>
        <w:bidi w:val="0"/>
        <w:rPr>
          <w:rFonts w:hint="eastAsia"/>
          <w:b w:val="0"/>
          <w:bCs/>
          <w:color w:val="auto"/>
        </w:rPr>
      </w:pPr>
      <w:r>
        <w:rPr>
          <w:rFonts w:hint="eastAsia"/>
          <w:b w:val="0"/>
          <w:bCs/>
          <w:color w:val="auto"/>
        </w:rPr>
        <w:t>4、防噪声设备设施未能正常使用或失效；</w:t>
      </w:r>
    </w:p>
    <w:p w14:paraId="77619737">
      <w:pPr>
        <w:bidi w:val="0"/>
        <w:rPr>
          <w:rFonts w:hint="eastAsia"/>
          <w:b w:val="0"/>
          <w:bCs/>
          <w:color w:val="auto"/>
        </w:rPr>
      </w:pPr>
      <w:r>
        <w:rPr>
          <w:rFonts w:hint="eastAsia"/>
          <w:b w:val="0"/>
          <w:bCs/>
          <w:color w:val="auto"/>
        </w:rPr>
        <w:t>5、作业人员违章操作等。</w:t>
      </w:r>
    </w:p>
    <w:p w14:paraId="2CEC65D2">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34" w:name="_Toc24028"/>
      <w:r>
        <w:rPr>
          <w:rFonts w:hint="eastAsia" w:ascii="Times New Roman" w:hAnsi="Times New Roman" w:cs="Times New Roman"/>
          <w:bCs/>
          <w:color w:val="auto"/>
          <w:sz w:val="28"/>
          <w:szCs w:val="28"/>
        </w:rPr>
        <w:t>3.5.1</w:t>
      </w:r>
      <w:r>
        <w:rPr>
          <w:rFonts w:hint="eastAsia" w:ascii="Times New Roman" w:hAnsi="Times New Roman" w:cs="Times New Roman"/>
          <w:bCs/>
          <w:color w:val="auto"/>
          <w:sz w:val="28"/>
          <w:szCs w:val="28"/>
          <w:lang w:val="en-US" w:eastAsia="zh-CN"/>
        </w:rPr>
        <w:t>4</w:t>
      </w:r>
      <w:r>
        <w:rPr>
          <w:rFonts w:hint="eastAsia" w:ascii="Times New Roman" w:hAnsi="Times New Roman" w:cs="Times New Roman"/>
          <w:bCs/>
          <w:color w:val="auto"/>
          <w:sz w:val="28"/>
          <w:szCs w:val="28"/>
        </w:rPr>
        <w:t>振动</w:t>
      </w:r>
      <w:bookmarkEnd w:id="134"/>
    </w:p>
    <w:p w14:paraId="4F9FD1B3">
      <w:pPr>
        <w:bidi w:val="0"/>
        <w:rPr>
          <w:rFonts w:hint="eastAsia"/>
          <w:b w:val="0"/>
          <w:bCs/>
          <w:color w:val="auto"/>
        </w:rPr>
      </w:pPr>
      <w:r>
        <w:rPr>
          <w:rFonts w:hint="eastAsia"/>
          <w:b w:val="0"/>
          <w:bCs/>
          <w:color w:val="auto"/>
        </w:rPr>
        <w:t>项目使用的</w:t>
      </w:r>
      <w:r>
        <w:rPr>
          <w:rFonts w:hint="eastAsia"/>
          <w:b w:val="0"/>
          <w:bCs/>
          <w:color w:val="auto"/>
          <w:lang w:val="en-US" w:eastAsia="zh-CN"/>
        </w:rPr>
        <w:t>振动</w:t>
      </w:r>
      <w:r>
        <w:rPr>
          <w:rFonts w:hint="eastAsia"/>
          <w:b w:val="0"/>
          <w:bCs/>
          <w:color w:val="auto"/>
        </w:rPr>
        <w:t>筛分、球磨机、选矿设备等能造成设备或地基的振动，对人体造成危害。振动产生的原因有：</w:t>
      </w:r>
    </w:p>
    <w:p w14:paraId="6FD2BA6E">
      <w:pPr>
        <w:bidi w:val="0"/>
        <w:rPr>
          <w:rFonts w:hint="eastAsia"/>
          <w:b w:val="0"/>
          <w:bCs/>
          <w:color w:val="auto"/>
        </w:rPr>
      </w:pPr>
      <w:r>
        <w:rPr>
          <w:rFonts w:hint="eastAsia"/>
          <w:b w:val="0"/>
          <w:bCs/>
          <w:color w:val="auto"/>
        </w:rPr>
        <w:t>1、设备本身设计的原因；</w:t>
      </w:r>
    </w:p>
    <w:p w14:paraId="31F27E64">
      <w:pPr>
        <w:bidi w:val="0"/>
        <w:rPr>
          <w:rFonts w:hint="eastAsia"/>
          <w:b w:val="0"/>
          <w:bCs/>
          <w:color w:val="auto"/>
        </w:rPr>
      </w:pPr>
      <w:r>
        <w:rPr>
          <w:rFonts w:hint="eastAsia"/>
          <w:b w:val="0"/>
          <w:bCs/>
          <w:color w:val="auto"/>
        </w:rPr>
        <w:t>2、设备安装未达到质量标准要求；</w:t>
      </w:r>
    </w:p>
    <w:p w14:paraId="3FA0A5A1">
      <w:pPr>
        <w:bidi w:val="0"/>
        <w:rPr>
          <w:rFonts w:hint="eastAsia"/>
          <w:b w:val="0"/>
          <w:bCs/>
          <w:color w:val="auto"/>
        </w:rPr>
      </w:pPr>
      <w:r>
        <w:rPr>
          <w:rFonts w:hint="eastAsia"/>
          <w:b w:val="0"/>
          <w:bCs/>
          <w:color w:val="auto"/>
        </w:rPr>
        <w:t>3、运行中未及时检查维修、连接松动、设备的精度降低；</w:t>
      </w:r>
    </w:p>
    <w:p w14:paraId="18DEE226">
      <w:pPr>
        <w:bidi w:val="0"/>
        <w:rPr>
          <w:rFonts w:hint="eastAsia"/>
          <w:b w:val="0"/>
          <w:bCs/>
          <w:color w:val="auto"/>
        </w:rPr>
      </w:pPr>
      <w:r>
        <w:rPr>
          <w:rFonts w:hint="eastAsia"/>
          <w:b w:val="0"/>
          <w:bCs/>
          <w:color w:val="auto"/>
        </w:rPr>
        <w:t>4、防噪声、防</w:t>
      </w:r>
      <w:r>
        <w:rPr>
          <w:rFonts w:hint="eastAsia"/>
          <w:b w:val="0"/>
          <w:bCs/>
          <w:color w:val="auto"/>
          <w:lang w:val="en-US" w:eastAsia="zh-CN"/>
        </w:rPr>
        <w:t>振</w:t>
      </w:r>
      <w:r>
        <w:rPr>
          <w:rFonts w:hint="eastAsia"/>
          <w:b w:val="0"/>
          <w:bCs/>
          <w:color w:val="auto"/>
        </w:rPr>
        <w:t>动装置未能正常使用或失效；</w:t>
      </w:r>
    </w:p>
    <w:p w14:paraId="63F18B9E">
      <w:pPr>
        <w:bidi w:val="0"/>
        <w:rPr>
          <w:rFonts w:hint="eastAsia"/>
          <w:b w:val="0"/>
          <w:bCs/>
          <w:color w:val="auto"/>
        </w:rPr>
      </w:pPr>
      <w:r>
        <w:rPr>
          <w:rFonts w:hint="eastAsia"/>
          <w:b w:val="0"/>
          <w:bCs/>
          <w:color w:val="auto"/>
        </w:rPr>
        <w:t>5、作业人员违章操作等。</w:t>
      </w:r>
    </w:p>
    <w:p w14:paraId="2DCC8BCA">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35" w:name="_Toc29307"/>
      <w:r>
        <w:rPr>
          <w:rFonts w:hint="eastAsia" w:ascii="Times New Roman" w:hAnsi="Times New Roman" w:cs="Times New Roman"/>
          <w:bCs/>
          <w:color w:val="auto"/>
          <w:sz w:val="28"/>
          <w:szCs w:val="28"/>
        </w:rPr>
        <w:t>3.5.1</w:t>
      </w:r>
      <w:r>
        <w:rPr>
          <w:rFonts w:hint="eastAsia" w:ascii="Times New Roman" w:hAnsi="Times New Roman" w:cs="Times New Roman"/>
          <w:bCs/>
          <w:color w:val="auto"/>
          <w:sz w:val="28"/>
          <w:szCs w:val="28"/>
          <w:lang w:val="en-US" w:eastAsia="zh-CN"/>
        </w:rPr>
        <w:t>5</w:t>
      </w:r>
      <w:r>
        <w:rPr>
          <w:rFonts w:hint="eastAsia" w:ascii="Times New Roman" w:hAnsi="Times New Roman" w:cs="Times New Roman"/>
          <w:bCs/>
          <w:color w:val="auto"/>
          <w:sz w:val="28"/>
          <w:szCs w:val="28"/>
        </w:rPr>
        <w:t>其它伤害</w:t>
      </w:r>
      <w:bookmarkEnd w:id="135"/>
    </w:p>
    <w:p w14:paraId="48E7260E">
      <w:pPr>
        <w:bidi w:val="0"/>
        <w:rPr>
          <w:rFonts w:hint="eastAsia"/>
          <w:b w:val="0"/>
          <w:bCs/>
          <w:color w:val="auto"/>
        </w:rPr>
      </w:pPr>
      <w:r>
        <w:rPr>
          <w:rFonts w:hint="eastAsia"/>
          <w:b w:val="0"/>
          <w:bCs/>
          <w:color w:val="auto"/>
        </w:rPr>
        <w:t>一、雷电危害</w:t>
      </w:r>
    </w:p>
    <w:p w14:paraId="0F1C2792">
      <w:pPr>
        <w:bidi w:val="0"/>
        <w:rPr>
          <w:rFonts w:hint="eastAsia"/>
          <w:b w:val="0"/>
          <w:bCs/>
          <w:color w:val="auto"/>
        </w:rPr>
      </w:pPr>
      <w:r>
        <w:rPr>
          <w:rFonts w:hint="eastAsia"/>
          <w:b w:val="0"/>
          <w:bCs/>
          <w:color w:val="auto"/>
        </w:rPr>
        <w:t>选矿厂建筑物有可能遭受雷击，应采取合理措施避免雷电伤害。</w:t>
      </w:r>
    </w:p>
    <w:p w14:paraId="0198202F">
      <w:pPr>
        <w:bidi w:val="0"/>
        <w:rPr>
          <w:rFonts w:hint="eastAsia"/>
          <w:b w:val="0"/>
          <w:bCs/>
          <w:color w:val="auto"/>
        </w:rPr>
      </w:pPr>
      <w:r>
        <w:rPr>
          <w:rFonts w:hint="eastAsia"/>
          <w:b w:val="0"/>
          <w:bCs/>
          <w:color w:val="auto"/>
        </w:rPr>
        <w:t>1、雷电伤害方式和途径分析</w:t>
      </w:r>
    </w:p>
    <w:p w14:paraId="5E2AEB48">
      <w:pPr>
        <w:bidi w:val="0"/>
        <w:rPr>
          <w:rFonts w:hint="eastAsia"/>
          <w:b w:val="0"/>
          <w:bCs/>
          <w:color w:val="auto"/>
        </w:rPr>
      </w:pPr>
      <w:r>
        <w:rPr>
          <w:rFonts w:hint="eastAsia"/>
          <w:b w:val="0"/>
          <w:bCs/>
          <w:color w:val="auto"/>
        </w:rPr>
        <w:t>（1）伤害方式：爆炸、火灾、电击、毁坏设备、设施、事故停电等。</w:t>
      </w:r>
    </w:p>
    <w:p w14:paraId="3D664040">
      <w:pPr>
        <w:bidi w:val="0"/>
        <w:rPr>
          <w:rFonts w:hint="eastAsia"/>
          <w:b w:val="0"/>
          <w:bCs/>
          <w:color w:val="auto"/>
        </w:rPr>
      </w:pPr>
      <w:r>
        <w:rPr>
          <w:rFonts w:hint="eastAsia"/>
          <w:b w:val="0"/>
          <w:bCs/>
          <w:color w:val="auto"/>
        </w:rPr>
        <w:t>（2）伤害途径：直接雷击、雷电感应、雷电波的电性质、热性质、机械性质的破坏作用引起。</w:t>
      </w:r>
    </w:p>
    <w:p w14:paraId="41F0684A">
      <w:pPr>
        <w:bidi w:val="0"/>
        <w:rPr>
          <w:rFonts w:hint="eastAsia"/>
          <w:b w:val="0"/>
          <w:bCs/>
          <w:color w:val="auto"/>
        </w:rPr>
      </w:pPr>
      <w:r>
        <w:rPr>
          <w:rFonts w:hint="eastAsia"/>
          <w:b w:val="0"/>
          <w:bCs/>
          <w:color w:val="auto"/>
        </w:rPr>
        <w:t>2、产生雷电伤害的原因分析</w:t>
      </w:r>
    </w:p>
    <w:p w14:paraId="503C9EDC">
      <w:pPr>
        <w:bidi w:val="0"/>
        <w:rPr>
          <w:rFonts w:hint="eastAsia"/>
          <w:b w:val="0"/>
          <w:bCs/>
          <w:color w:val="auto"/>
        </w:rPr>
      </w:pPr>
      <w:r>
        <w:rPr>
          <w:rFonts w:hint="eastAsia"/>
          <w:b w:val="0"/>
          <w:bCs/>
          <w:color w:val="auto"/>
        </w:rPr>
        <w:t>（1）防雷接地装置设计不合理；</w:t>
      </w:r>
    </w:p>
    <w:p w14:paraId="258FAC60">
      <w:pPr>
        <w:bidi w:val="0"/>
        <w:rPr>
          <w:rFonts w:hint="eastAsia"/>
          <w:b w:val="0"/>
          <w:bCs/>
          <w:color w:val="auto"/>
        </w:rPr>
      </w:pPr>
      <w:r>
        <w:rPr>
          <w:rFonts w:hint="eastAsia"/>
          <w:b w:val="0"/>
          <w:bCs/>
          <w:color w:val="auto"/>
        </w:rPr>
        <w:t>（2）防雷接地装置使用不当，存在缺陷；</w:t>
      </w:r>
    </w:p>
    <w:p w14:paraId="0593D92A">
      <w:pPr>
        <w:bidi w:val="0"/>
        <w:rPr>
          <w:rFonts w:hint="eastAsia"/>
          <w:b w:val="0"/>
          <w:bCs/>
          <w:color w:val="auto"/>
        </w:rPr>
      </w:pPr>
      <w:r>
        <w:rPr>
          <w:rFonts w:hint="eastAsia"/>
          <w:b w:val="0"/>
          <w:bCs/>
          <w:color w:val="auto"/>
        </w:rPr>
        <w:t>（3）防雷接地装置失效，接地电阻不符合要求；</w:t>
      </w:r>
    </w:p>
    <w:p w14:paraId="06E066EB">
      <w:pPr>
        <w:bidi w:val="0"/>
        <w:rPr>
          <w:rFonts w:hint="eastAsia"/>
          <w:b w:val="0"/>
          <w:bCs/>
          <w:color w:val="auto"/>
        </w:rPr>
      </w:pPr>
      <w:r>
        <w:rPr>
          <w:rFonts w:hint="eastAsia"/>
          <w:b w:val="0"/>
          <w:bCs/>
          <w:color w:val="auto"/>
        </w:rPr>
        <w:t>（4）缺乏必要的人身防雷安全知识；</w:t>
      </w:r>
    </w:p>
    <w:p w14:paraId="72C02B46">
      <w:pPr>
        <w:bidi w:val="0"/>
        <w:rPr>
          <w:rFonts w:hint="eastAsia"/>
          <w:b w:val="0"/>
          <w:bCs/>
          <w:color w:val="auto"/>
        </w:rPr>
      </w:pPr>
      <w:r>
        <w:rPr>
          <w:rFonts w:hint="eastAsia"/>
          <w:b w:val="0"/>
          <w:bCs/>
          <w:color w:val="auto"/>
        </w:rPr>
        <w:t>（5）雷雨天气进行露天作业。</w:t>
      </w:r>
    </w:p>
    <w:p w14:paraId="63642F10">
      <w:pPr>
        <w:bidi w:val="0"/>
        <w:rPr>
          <w:rFonts w:hint="eastAsia"/>
          <w:b w:val="0"/>
          <w:bCs/>
          <w:color w:val="auto"/>
        </w:rPr>
      </w:pPr>
      <w:r>
        <w:rPr>
          <w:rFonts w:hint="eastAsia"/>
          <w:b w:val="0"/>
          <w:bCs/>
          <w:color w:val="auto"/>
        </w:rPr>
        <w:t>二、电磁辐射</w:t>
      </w:r>
    </w:p>
    <w:p w14:paraId="63BE4AA0">
      <w:pPr>
        <w:bidi w:val="0"/>
        <w:rPr>
          <w:rFonts w:hint="eastAsia"/>
          <w:b w:val="0"/>
          <w:bCs/>
          <w:color w:val="auto"/>
        </w:rPr>
      </w:pPr>
      <w:r>
        <w:rPr>
          <w:rFonts w:hint="eastAsia"/>
          <w:b w:val="0"/>
          <w:bCs/>
          <w:color w:val="auto"/>
        </w:rPr>
        <w:t>电磁辐射：对人体的危害主要表现在对神经系统、血液循环系统、生殖系统、血液微量元素及生化代谢等功能的影响；对环境则造成电磁污染和电磁干扰作用，在一定的时空范围内人体受到非正常和超值照射时，可使人产生失眠、头痛、心悸、脱发、记忆力减退等症状。</w:t>
      </w:r>
    </w:p>
    <w:p w14:paraId="126E8B5B">
      <w:pPr>
        <w:bidi w:val="0"/>
        <w:rPr>
          <w:rFonts w:hint="eastAsia"/>
          <w:b w:val="0"/>
          <w:bCs/>
          <w:color w:val="auto"/>
        </w:rPr>
      </w:pPr>
      <w:r>
        <w:rPr>
          <w:rFonts w:hint="eastAsia"/>
          <w:b w:val="0"/>
          <w:bCs/>
          <w:color w:val="auto"/>
        </w:rPr>
        <w:t>变配电站运行人员在控制室、变压器旁和开关站进行值守和必要的巡视时，均有可能受到电磁辐射的影响。强电磁场还会对通讯设备和中控室设备产生干扰，影响设备正常工作。</w:t>
      </w:r>
    </w:p>
    <w:p w14:paraId="09C0A06D">
      <w:pPr>
        <w:bidi w:val="0"/>
        <w:rPr>
          <w:rFonts w:hint="eastAsia"/>
          <w:b w:val="0"/>
          <w:bCs/>
          <w:color w:val="auto"/>
        </w:rPr>
      </w:pPr>
      <w:r>
        <w:rPr>
          <w:rFonts w:hint="eastAsia"/>
          <w:b w:val="0"/>
          <w:bCs/>
          <w:color w:val="auto"/>
        </w:rPr>
        <w:t>三、作业环境不良</w:t>
      </w:r>
    </w:p>
    <w:p w14:paraId="555B5BF0">
      <w:pPr>
        <w:bidi w:val="0"/>
        <w:rPr>
          <w:rFonts w:hint="eastAsia"/>
          <w:b w:val="0"/>
          <w:bCs/>
          <w:color w:val="auto"/>
        </w:rPr>
      </w:pPr>
      <w:r>
        <w:rPr>
          <w:rFonts w:hint="eastAsia"/>
          <w:b w:val="0"/>
          <w:bCs/>
          <w:color w:val="auto"/>
        </w:rPr>
        <w:t>过大的湿度会引起运行检修人员易患风湿性关节炎、神经衰弱等病症，应注意厂房内的通风，保持干燥。</w:t>
      </w:r>
    </w:p>
    <w:p w14:paraId="3722DAD1">
      <w:pPr>
        <w:bidi w:val="0"/>
        <w:rPr>
          <w:rFonts w:hint="eastAsia"/>
          <w:b w:val="0"/>
          <w:bCs/>
          <w:color w:val="auto"/>
        </w:rPr>
      </w:pPr>
      <w:r>
        <w:rPr>
          <w:rFonts w:hint="eastAsia"/>
          <w:b w:val="0"/>
          <w:bCs/>
          <w:color w:val="auto"/>
        </w:rPr>
        <w:t>光照的亮度和照度不足，会使操作人员作业困难，视觉分辨力下降，危险的地段会因照明不足引起意外事故。</w:t>
      </w:r>
    </w:p>
    <w:p w14:paraId="5E699E42">
      <w:pPr>
        <w:bidi w:val="0"/>
        <w:rPr>
          <w:rFonts w:hint="eastAsia"/>
          <w:b w:val="0"/>
          <w:bCs/>
          <w:color w:val="auto"/>
        </w:rPr>
      </w:pPr>
      <w:r>
        <w:rPr>
          <w:rFonts w:hint="eastAsia"/>
          <w:b w:val="0"/>
          <w:bCs/>
          <w:color w:val="auto"/>
        </w:rPr>
        <w:t>作业场地因设备漏油或加油的过程中将油洒落在地上，作业人员踩地面油污上会跌倒。</w:t>
      </w:r>
    </w:p>
    <w:p w14:paraId="0AE02BFF">
      <w:pPr>
        <w:bidi w:val="0"/>
        <w:rPr>
          <w:rFonts w:hint="eastAsia"/>
          <w:b w:val="0"/>
          <w:bCs/>
          <w:color w:val="auto"/>
        </w:rPr>
      </w:pPr>
      <w:r>
        <w:rPr>
          <w:rFonts w:hint="eastAsia"/>
          <w:b w:val="0"/>
          <w:bCs/>
          <w:color w:val="auto"/>
        </w:rPr>
        <w:t>四、雨天作业道路潮湿、冬季作业路面结冰等可能引起人员滑倒、摔伤、扭伤、坠落与滚落等。</w:t>
      </w:r>
    </w:p>
    <w:p w14:paraId="0C02E6F2">
      <w:pPr>
        <w:bidi w:val="0"/>
        <w:rPr>
          <w:rFonts w:hint="eastAsia"/>
          <w:b w:val="0"/>
          <w:bCs/>
          <w:color w:val="auto"/>
        </w:rPr>
      </w:pPr>
      <w:r>
        <w:rPr>
          <w:rFonts w:hint="eastAsia"/>
          <w:b w:val="0"/>
          <w:bCs/>
          <w:color w:val="auto"/>
        </w:rPr>
        <w:t>五、盛夏季炎热季节，由于天气炎热，作业环境温度较高，加上劳动强度大，作业人员易发生眩晕、中暑等病症。</w:t>
      </w:r>
    </w:p>
    <w:p w14:paraId="0AAA3F5B">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36" w:name="_Toc21007"/>
      <w:bookmarkStart w:id="137" w:name="_Toc9260"/>
      <w:r>
        <w:rPr>
          <w:rFonts w:hint="eastAsia" w:ascii="Times New Roman" w:hAnsi="Times New Roman" w:eastAsia="黑体" w:cs="Times New Roman"/>
          <w:b/>
          <w:bCs/>
          <w:color w:val="auto"/>
          <w:sz w:val="30"/>
          <w:szCs w:val="30"/>
        </w:rPr>
        <w:t>3.6有限空间作业危险有害因素辨识与分析</w:t>
      </w:r>
      <w:bookmarkEnd w:id="136"/>
      <w:bookmarkEnd w:id="137"/>
    </w:p>
    <w:p w14:paraId="1BEEBAB8">
      <w:pPr>
        <w:bidi w:val="0"/>
        <w:rPr>
          <w:rFonts w:hint="eastAsia"/>
          <w:b w:val="0"/>
          <w:bCs/>
          <w:color w:val="auto"/>
        </w:rPr>
      </w:pPr>
      <w:r>
        <w:rPr>
          <w:rFonts w:hint="eastAsia"/>
          <w:b w:val="0"/>
          <w:bCs/>
          <w:color w:val="auto"/>
        </w:rPr>
        <w:t>进入有限空间内进行检修、清理和从事其他工作，称为有限空间作业。人在氧含量为19％～21％的空气中，表现正常；假如氧含量降到13％～16％，人会突然晕倒；降到13％以下，会死亡。有限空间不能用纯氧换气，因为氧是助燃物质，作业时有火星，会着火，引发事故伤人，有限空间内作业，与电气设施接触频繁，如果照明灯具、电动工具漏电，有可能导致人员触电事故。</w:t>
      </w:r>
    </w:p>
    <w:p w14:paraId="1A419E13">
      <w:pPr>
        <w:bidi w:val="0"/>
        <w:rPr>
          <w:rFonts w:hint="eastAsia"/>
          <w:b w:val="0"/>
          <w:bCs/>
          <w:color w:val="auto"/>
        </w:rPr>
      </w:pPr>
      <w:r>
        <w:rPr>
          <w:rFonts w:hint="eastAsia"/>
          <w:b w:val="0"/>
          <w:bCs/>
          <w:color w:val="auto"/>
        </w:rPr>
        <w:t>另外，由于在有限空间内部作业，人员活动不便，在作业时遇到安全隐患，身体移动受到一定的限制，不能及时脱离现场，大大增加了人员伤亡的比率。</w:t>
      </w:r>
    </w:p>
    <w:p w14:paraId="1B1D341E">
      <w:pPr>
        <w:bidi w:val="0"/>
        <w:rPr>
          <w:rFonts w:hint="eastAsia"/>
          <w:b w:val="0"/>
          <w:bCs/>
          <w:color w:val="auto"/>
        </w:rPr>
      </w:pPr>
      <w:r>
        <w:rPr>
          <w:rFonts w:hint="eastAsia"/>
          <w:b w:val="0"/>
          <w:bCs/>
          <w:color w:val="auto"/>
        </w:rPr>
        <w:t>本项目涉及的有限空间作业包括：球磨机、水池。作业人员进入有限空间内作业可能发生中毒、窒息、触电、高处坠落等事故。</w:t>
      </w:r>
    </w:p>
    <w:p w14:paraId="426616DB">
      <w:pPr>
        <w:bidi w:val="0"/>
        <w:rPr>
          <w:rFonts w:hint="eastAsia"/>
          <w:b w:val="0"/>
          <w:bCs/>
          <w:color w:val="auto"/>
        </w:rPr>
      </w:pPr>
      <w:r>
        <w:rPr>
          <w:rFonts w:hint="eastAsia"/>
          <w:b w:val="0"/>
          <w:bCs/>
          <w:color w:val="auto"/>
        </w:rPr>
        <w:t>进入有限空间作业，可能由以下原因导致有限空间内人员发生中毒、窒息、触电、高处坠落等事故：</w:t>
      </w:r>
    </w:p>
    <w:p w14:paraId="1219F657">
      <w:pPr>
        <w:bidi w:val="0"/>
        <w:rPr>
          <w:rFonts w:hint="eastAsia"/>
          <w:b w:val="0"/>
          <w:bCs/>
          <w:color w:val="auto"/>
        </w:rPr>
      </w:pPr>
      <w:r>
        <w:rPr>
          <w:rFonts w:hint="eastAsia"/>
          <w:b w:val="0"/>
          <w:bCs/>
          <w:color w:val="auto"/>
        </w:rPr>
        <w:t>1、企业未制定有限空间作业的管理制度、建立有限空间作业责任制、明确有限空间作业操作规程、应急预案等；</w:t>
      </w:r>
    </w:p>
    <w:p w14:paraId="6318BB70">
      <w:pPr>
        <w:bidi w:val="0"/>
        <w:rPr>
          <w:rFonts w:hint="eastAsia"/>
          <w:b w:val="0"/>
          <w:bCs/>
          <w:color w:val="auto"/>
        </w:rPr>
      </w:pPr>
      <w:r>
        <w:rPr>
          <w:rFonts w:hint="eastAsia"/>
          <w:b w:val="0"/>
          <w:bCs/>
          <w:color w:val="auto"/>
        </w:rPr>
        <w:t>2、作业人员未办理相关作业许可，未落实相关的安全防护措施；</w:t>
      </w:r>
    </w:p>
    <w:p w14:paraId="611FCE1D">
      <w:pPr>
        <w:bidi w:val="0"/>
        <w:rPr>
          <w:rFonts w:hint="eastAsia"/>
          <w:b w:val="0"/>
          <w:bCs/>
          <w:color w:val="auto"/>
        </w:rPr>
      </w:pPr>
      <w:r>
        <w:rPr>
          <w:rFonts w:hint="eastAsia"/>
          <w:b w:val="0"/>
          <w:bCs/>
          <w:color w:val="auto"/>
        </w:rPr>
        <w:t>3、进入有限空间前未进行通风，或通风时间不足；</w:t>
      </w:r>
    </w:p>
    <w:p w14:paraId="52C83946">
      <w:pPr>
        <w:bidi w:val="0"/>
        <w:rPr>
          <w:rFonts w:hint="eastAsia"/>
          <w:b w:val="0"/>
          <w:bCs/>
          <w:color w:val="auto"/>
        </w:rPr>
      </w:pPr>
      <w:r>
        <w:rPr>
          <w:rFonts w:hint="eastAsia"/>
          <w:b w:val="0"/>
          <w:bCs/>
          <w:color w:val="auto"/>
        </w:rPr>
        <w:t>4、未对有限空间内气体采样分析、分析时间超过规定分析间隔时间或采样位置不合理；</w:t>
      </w:r>
    </w:p>
    <w:p w14:paraId="15C5E0AD">
      <w:pPr>
        <w:bidi w:val="0"/>
        <w:rPr>
          <w:rFonts w:hint="eastAsia"/>
          <w:b w:val="0"/>
          <w:bCs/>
          <w:color w:val="auto"/>
        </w:rPr>
      </w:pPr>
      <w:r>
        <w:rPr>
          <w:rFonts w:hint="eastAsia"/>
          <w:b w:val="0"/>
          <w:bCs/>
          <w:color w:val="auto"/>
        </w:rPr>
        <w:t>5、有限空间照明电压过高，未使用安全电压，引起人员触电；</w:t>
      </w:r>
    </w:p>
    <w:p w14:paraId="348C7365">
      <w:pPr>
        <w:bidi w:val="0"/>
        <w:rPr>
          <w:rFonts w:hint="eastAsia"/>
          <w:b w:val="0"/>
          <w:bCs/>
          <w:color w:val="auto"/>
        </w:rPr>
      </w:pPr>
      <w:r>
        <w:rPr>
          <w:rFonts w:hint="eastAsia"/>
          <w:b w:val="0"/>
          <w:bCs/>
          <w:color w:val="auto"/>
        </w:rPr>
        <w:t>6、使用手持电动工具或进行电焊作业时，未设漏电保护装置；</w:t>
      </w:r>
    </w:p>
    <w:p w14:paraId="64BEDA7D">
      <w:pPr>
        <w:bidi w:val="0"/>
        <w:rPr>
          <w:rFonts w:hint="eastAsia"/>
          <w:b w:val="0"/>
          <w:bCs/>
          <w:color w:val="auto"/>
        </w:rPr>
      </w:pPr>
      <w:r>
        <w:rPr>
          <w:rFonts w:hint="eastAsia"/>
          <w:b w:val="0"/>
          <w:bCs/>
          <w:color w:val="auto"/>
        </w:rPr>
        <w:t>7、作业人员未佩戴劳动防护用品（防毒面具），人员进入受到有害物质危害；</w:t>
      </w:r>
    </w:p>
    <w:p w14:paraId="543740A1">
      <w:pPr>
        <w:bidi w:val="0"/>
        <w:rPr>
          <w:rFonts w:hint="eastAsia"/>
          <w:b w:val="0"/>
          <w:bCs/>
          <w:color w:val="auto"/>
        </w:rPr>
      </w:pPr>
      <w:r>
        <w:rPr>
          <w:rFonts w:hint="eastAsia"/>
          <w:b w:val="0"/>
          <w:bCs/>
          <w:color w:val="auto"/>
        </w:rPr>
        <w:t>8、有限空间作业时，未设置作业监护人，作业人与监护人未保持联系，发生意外，作业人员未及时得到救护；</w:t>
      </w:r>
    </w:p>
    <w:p w14:paraId="05B7D4F5">
      <w:pPr>
        <w:bidi w:val="0"/>
        <w:rPr>
          <w:rFonts w:hint="eastAsia"/>
          <w:b w:val="0"/>
          <w:bCs/>
          <w:color w:val="auto"/>
        </w:rPr>
      </w:pPr>
      <w:r>
        <w:rPr>
          <w:rFonts w:hint="eastAsia"/>
          <w:b w:val="0"/>
          <w:bCs/>
          <w:color w:val="auto"/>
        </w:rPr>
        <w:t>9、有限空间内部物料未清理干净，人员进入后发生淹没人员发生窒息；</w:t>
      </w:r>
    </w:p>
    <w:p w14:paraId="4D8D648D">
      <w:pPr>
        <w:bidi w:val="0"/>
        <w:rPr>
          <w:rFonts w:hint="eastAsia"/>
          <w:b w:val="0"/>
          <w:bCs/>
          <w:color w:val="auto"/>
        </w:rPr>
      </w:pPr>
      <w:r>
        <w:rPr>
          <w:rFonts w:hint="eastAsia"/>
          <w:b w:val="0"/>
          <w:bCs/>
          <w:color w:val="auto"/>
        </w:rPr>
        <w:t>10、人员违章作业。</w:t>
      </w:r>
    </w:p>
    <w:p w14:paraId="1618A1B9">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38" w:name="_Toc10819"/>
      <w:bookmarkStart w:id="139" w:name="_Toc10137"/>
      <w:r>
        <w:rPr>
          <w:rFonts w:hint="eastAsia" w:ascii="Times New Roman" w:hAnsi="Times New Roman" w:eastAsia="黑体" w:cs="Times New Roman"/>
          <w:b/>
          <w:bCs/>
          <w:color w:val="auto"/>
          <w:sz w:val="30"/>
          <w:szCs w:val="30"/>
          <w:lang w:val="en-US" w:eastAsia="zh-CN"/>
        </w:rPr>
        <w:t>3.7</w:t>
      </w:r>
      <w:r>
        <w:rPr>
          <w:rFonts w:hint="eastAsia" w:ascii="Times New Roman" w:hAnsi="Times New Roman" w:eastAsia="黑体" w:cs="Times New Roman"/>
          <w:b/>
          <w:bCs/>
          <w:color w:val="auto"/>
          <w:sz w:val="30"/>
          <w:szCs w:val="30"/>
        </w:rPr>
        <w:t>选矿厂周边环境危险因素分析</w:t>
      </w:r>
      <w:bookmarkEnd w:id="138"/>
      <w:bookmarkEnd w:id="139"/>
    </w:p>
    <w:p w14:paraId="782A9694">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40" w:name="_Toc21036"/>
      <w:bookmarkStart w:id="141" w:name="_Toc24131"/>
      <w:r>
        <w:rPr>
          <w:rFonts w:hint="eastAsia" w:ascii="Times New Roman" w:hAnsi="Times New Roman" w:eastAsia="黑体" w:cs="Times New Roman"/>
          <w:b/>
          <w:bCs/>
          <w:color w:val="auto"/>
          <w:sz w:val="30"/>
          <w:szCs w:val="30"/>
        </w:rPr>
        <w:t>3.</w:t>
      </w:r>
      <w:r>
        <w:rPr>
          <w:rFonts w:hint="eastAsia" w:ascii="Times New Roman" w:hAnsi="Times New Roman" w:eastAsia="黑体" w:cs="Times New Roman"/>
          <w:b/>
          <w:bCs/>
          <w:color w:val="auto"/>
          <w:sz w:val="30"/>
          <w:szCs w:val="30"/>
          <w:lang w:val="en-US" w:eastAsia="zh-CN"/>
        </w:rPr>
        <w:t>8</w:t>
      </w:r>
      <w:r>
        <w:rPr>
          <w:rFonts w:hint="eastAsia" w:ascii="Times New Roman" w:hAnsi="Times New Roman" w:eastAsia="黑体" w:cs="Times New Roman"/>
          <w:b/>
          <w:bCs/>
          <w:color w:val="auto"/>
          <w:sz w:val="30"/>
          <w:szCs w:val="30"/>
        </w:rPr>
        <w:t>安全管理危险和有害因素辨识与分析</w:t>
      </w:r>
      <w:bookmarkEnd w:id="140"/>
      <w:bookmarkEnd w:id="141"/>
    </w:p>
    <w:p w14:paraId="7F51884B">
      <w:pPr>
        <w:bidi w:val="0"/>
        <w:rPr>
          <w:rFonts w:hint="eastAsia"/>
          <w:b w:val="0"/>
          <w:bCs/>
          <w:color w:val="auto"/>
        </w:rPr>
      </w:pPr>
      <w:r>
        <w:rPr>
          <w:rFonts w:hint="eastAsia"/>
          <w:b w:val="0"/>
          <w:bCs/>
          <w:color w:val="auto"/>
        </w:rPr>
        <w:t>安全管理危险有害因素主要围绕选厂生产过程中建立各级安全生产责任制、规章制度的贯彻和落实情况和设备、工艺、岗位（工种）、安全操作规程展开辨识和分析，主要辨识与分析结果如下：</w:t>
      </w:r>
    </w:p>
    <w:p w14:paraId="2AD2FE83">
      <w:pPr>
        <w:bidi w:val="0"/>
        <w:rPr>
          <w:rFonts w:hint="eastAsia"/>
          <w:b w:val="0"/>
          <w:bCs/>
          <w:color w:val="auto"/>
        </w:rPr>
      </w:pPr>
      <w:r>
        <w:rPr>
          <w:rFonts w:hint="eastAsia"/>
          <w:b w:val="0"/>
          <w:bCs/>
          <w:color w:val="auto"/>
        </w:rPr>
        <w:t>1、未按法律要求设置安全生产管理机构，或结构、人员组成不当，造成安全管理工作中存在衔接不当、管理空白、专业不全等，从而造成安全管理上的漏洞。</w:t>
      </w:r>
    </w:p>
    <w:p w14:paraId="05FC222A">
      <w:pPr>
        <w:bidi w:val="0"/>
        <w:rPr>
          <w:rFonts w:hint="eastAsia"/>
          <w:b w:val="0"/>
          <w:bCs/>
          <w:color w:val="auto"/>
        </w:rPr>
      </w:pPr>
      <w:r>
        <w:rPr>
          <w:rFonts w:hint="eastAsia"/>
          <w:b w:val="0"/>
          <w:bCs/>
          <w:color w:val="auto"/>
        </w:rPr>
        <w:t>2、未建立、健全本单位安全生产责任制，未健全和落实安全生产责任制、安全生产管理制度，容易造成生产过程中责任落实、任务不明确，造成生产次序混乱，诱发各类安全生产事故。</w:t>
      </w:r>
    </w:p>
    <w:p w14:paraId="7AE65F26">
      <w:pPr>
        <w:bidi w:val="0"/>
        <w:rPr>
          <w:rFonts w:hint="eastAsia"/>
          <w:b w:val="0"/>
          <w:bCs/>
          <w:color w:val="auto"/>
        </w:rPr>
      </w:pPr>
      <w:r>
        <w:rPr>
          <w:rFonts w:hint="eastAsia"/>
          <w:b w:val="0"/>
          <w:bCs/>
          <w:color w:val="auto"/>
        </w:rPr>
        <w:t>3、未建立安全生产记录档案，不利于及时、全面系统的掌握企业安全生产情况，及时反应安全生产动态；不利于分析安全生产中的危险因素和作出安全管理决策。</w:t>
      </w:r>
    </w:p>
    <w:p w14:paraId="3F61B84A">
      <w:pPr>
        <w:bidi w:val="0"/>
        <w:rPr>
          <w:rFonts w:hint="eastAsia"/>
          <w:b w:val="0"/>
          <w:bCs/>
          <w:color w:val="auto"/>
        </w:rPr>
      </w:pPr>
      <w:r>
        <w:rPr>
          <w:rFonts w:hint="eastAsia"/>
          <w:b w:val="0"/>
          <w:bCs/>
          <w:color w:val="auto"/>
        </w:rPr>
        <w:t>4、未制定企业安全生产教育和培训计划，从业人员基本安全生产常识、操作技术知识、事故隐患识别能力缺乏。</w:t>
      </w:r>
    </w:p>
    <w:p w14:paraId="39BB35E5">
      <w:pPr>
        <w:bidi w:val="0"/>
        <w:rPr>
          <w:rFonts w:hint="eastAsia"/>
          <w:b w:val="0"/>
          <w:bCs/>
          <w:color w:val="auto"/>
        </w:rPr>
      </w:pPr>
      <w:r>
        <w:rPr>
          <w:rFonts w:hint="eastAsia"/>
          <w:b w:val="0"/>
          <w:bCs/>
          <w:color w:val="auto"/>
        </w:rPr>
        <w:t>5、未建立安全生产隐患排查制度，安全隐患整改不力。</w:t>
      </w:r>
    </w:p>
    <w:p w14:paraId="61A91D8E">
      <w:pPr>
        <w:bidi w:val="0"/>
        <w:rPr>
          <w:rFonts w:hint="eastAsia"/>
          <w:b w:val="0"/>
          <w:bCs/>
          <w:color w:val="auto"/>
        </w:rPr>
      </w:pPr>
      <w:r>
        <w:rPr>
          <w:rFonts w:hint="eastAsia"/>
          <w:b w:val="0"/>
          <w:bCs/>
          <w:color w:val="auto"/>
        </w:rPr>
        <w:t>6、未编制应急救援预案或者应急救援预案不满求需求，未对应急救援预案进行演练。</w:t>
      </w:r>
    </w:p>
    <w:p w14:paraId="222BAC8D">
      <w:pPr>
        <w:bidi w:val="0"/>
        <w:rPr>
          <w:rFonts w:hint="eastAsia"/>
          <w:b w:val="0"/>
          <w:bCs/>
          <w:color w:val="auto"/>
        </w:rPr>
      </w:pPr>
      <w:r>
        <w:rPr>
          <w:rFonts w:hint="eastAsia"/>
          <w:b w:val="0"/>
          <w:bCs/>
          <w:color w:val="auto"/>
        </w:rPr>
        <w:t>7、未制定本单位安全生产规章制度和操作规程，从业人员工作中无章可循，安全生产技术知识缺乏。</w:t>
      </w:r>
    </w:p>
    <w:p w14:paraId="37255A0F">
      <w:pPr>
        <w:bidi w:val="0"/>
        <w:rPr>
          <w:rFonts w:hint="eastAsia"/>
          <w:b w:val="0"/>
          <w:bCs/>
          <w:color w:val="auto"/>
        </w:rPr>
      </w:pPr>
    </w:p>
    <w:p w14:paraId="347A6524">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42" w:name="_Toc26130"/>
      <w:bookmarkStart w:id="143" w:name="_Toc6180"/>
      <w:r>
        <w:rPr>
          <w:rFonts w:hint="eastAsia" w:ascii="Times New Roman" w:hAnsi="Times New Roman" w:eastAsia="黑体" w:cs="Times New Roman"/>
          <w:b/>
          <w:bCs/>
          <w:color w:val="auto"/>
          <w:sz w:val="30"/>
          <w:szCs w:val="30"/>
        </w:rPr>
        <w:t>3.</w:t>
      </w:r>
      <w:r>
        <w:rPr>
          <w:rFonts w:hint="eastAsia" w:ascii="Times New Roman" w:hAnsi="Times New Roman" w:eastAsia="黑体" w:cs="Times New Roman"/>
          <w:b/>
          <w:bCs/>
          <w:color w:val="auto"/>
          <w:sz w:val="30"/>
          <w:szCs w:val="30"/>
          <w:lang w:val="en-US" w:eastAsia="zh-CN"/>
        </w:rPr>
        <w:t>9</w:t>
      </w:r>
      <w:r>
        <w:rPr>
          <w:rFonts w:hint="eastAsia" w:ascii="Times New Roman" w:hAnsi="Times New Roman" w:eastAsia="黑体" w:cs="Times New Roman"/>
          <w:b/>
          <w:bCs/>
          <w:color w:val="auto"/>
          <w:sz w:val="30"/>
          <w:szCs w:val="30"/>
        </w:rPr>
        <w:t>危险化学品重大危险源辨识</w:t>
      </w:r>
      <w:bookmarkEnd w:id="142"/>
      <w:bookmarkEnd w:id="143"/>
    </w:p>
    <w:p w14:paraId="62AAE1D1">
      <w:pPr>
        <w:bidi w:val="0"/>
        <w:rPr>
          <w:rFonts w:hint="eastAsia"/>
          <w:b w:val="0"/>
          <w:bCs/>
          <w:color w:val="auto"/>
        </w:rPr>
      </w:pPr>
      <w:r>
        <w:rPr>
          <w:rFonts w:hint="eastAsia"/>
          <w:b w:val="0"/>
          <w:bCs/>
          <w:color w:val="auto"/>
        </w:rPr>
        <w:t>长期或临时生产、储存或使用和经营危险化学品，且危险化学品的数量等于或超过临界量的单元。危险化学品应依据其危险特性及其数量进行重大危险源辨识。危险化学品重大危险源可分为生产单元危险化学品重大危险源和储存单元危险化学品重大危险源。</w:t>
      </w:r>
    </w:p>
    <w:p w14:paraId="7A248BE4">
      <w:pPr>
        <w:bidi w:val="0"/>
        <w:rPr>
          <w:rFonts w:hint="eastAsia"/>
          <w:b w:val="0"/>
          <w:bCs/>
          <w:color w:val="auto"/>
        </w:rPr>
      </w:pPr>
      <w:r>
        <w:rPr>
          <w:rFonts w:hint="eastAsia"/>
          <w:b w:val="0"/>
          <w:bCs/>
          <w:color w:val="auto"/>
        </w:rPr>
        <w:t>单元内存在的危险化学品的数量根据危险化学品种类的多少区分为以下两种情况：</w:t>
      </w:r>
    </w:p>
    <w:p w14:paraId="76A9B8B5">
      <w:pPr>
        <w:bidi w:val="0"/>
        <w:rPr>
          <w:rFonts w:hint="eastAsia"/>
          <w:b w:val="0"/>
          <w:bCs/>
          <w:color w:val="auto"/>
        </w:rPr>
      </w:pPr>
      <w:r>
        <w:rPr>
          <w:rFonts w:hint="eastAsia"/>
          <w:b w:val="0"/>
          <w:bCs/>
          <w:color w:val="auto"/>
        </w:rPr>
        <w:t>①生产单元、储存单元内存在的危险化学品为单一品种，该危险化学品的数量即为单元内危险化学品的总量，若等于或超过相应的临界量，则定为重大危险源。</w:t>
      </w:r>
    </w:p>
    <w:p w14:paraId="0E93EE5B">
      <w:pPr>
        <w:bidi w:val="0"/>
        <w:rPr>
          <w:b w:val="0"/>
          <w:bCs/>
          <w:color w:val="auto"/>
        </w:rPr>
      </w:pPr>
      <w:r>
        <w:rPr>
          <w:rFonts w:hint="eastAsia"/>
          <w:b w:val="0"/>
          <w:bCs/>
          <w:color w:val="auto"/>
        </w:rPr>
        <w:t>②生产单元、储存单元存在的危险化学品为多品种时，则按下式计算，若满足下面公式，则定为重大危险源：</w:t>
      </w:r>
    </w:p>
    <w:p w14:paraId="553B97A1">
      <w:pPr>
        <w:bidi w:val="0"/>
        <w:rPr>
          <w:rFonts w:hint="default"/>
          <w:b w:val="0"/>
          <w:bCs/>
          <w:color w:val="auto"/>
          <w:lang w:val="en-US" w:eastAsia="zh-CN"/>
        </w:rPr>
      </w:pPr>
      <w:r>
        <w:rPr>
          <w:rFonts w:hint="default"/>
          <w:b w:val="0"/>
          <w:bCs/>
          <w:color w:val="auto"/>
          <w:lang w:val="en-US" w:eastAsia="zh-CN"/>
        </w:rPr>
        <w:t>q</w:t>
      </w:r>
      <w:r>
        <w:rPr>
          <w:rFonts w:hint="default"/>
          <w:b w:val="0"/>
          <w:bCs/>
          <w:color w:val="auto"/>
          <w:vertAlign w:val="subscript"/>
          <w:lang w:val="en-US" w:eastAsia="zh-CN"/>
        </w:rPr>
        <w:t>1</w:t>
      </w:r>
      <w:r>
        <w:rPr>
          <w:rFonts w:hint="default"/>
          <w:b w:val="0"/>
          <w:bCs/>
          <w:color w:val="auto"/>
          <w:lang w:val="en-US" w:eastAsia="zh-CN"/>
        </w:rPr>
        <w:t>/Q</w:t>
      </w:r>
      <w:r>
        <w:rPr>
          <w:rFonts w:hint="default"/>
          <w:b w:val="0"/>
          <w:bCs/>
          <w:color w:val="auto"/>
          <w:vertAlign w:val="subscript"/>
          <w:lang w:val="en-US" w:eastAsia="zh-CN"/>
        </w:rPr>
        <w:t>1</w:t>
      </w:r>
      <w:r>
        <w:rPr>
          <w:rFonts w:hint="default"/>
          <w:b w:val="0"/>
          <w:bCs/>
          <w:color w:val="auto"/>
          <w:lang w:val="en-US" w:eastAsia="zh-CN"/>
        </w:rPr>
        <w:t>+q</w:t>
      </w:r>
      <w:r>
        <w:rPr>
          <w:rFonts w:hint="default"/>
          <w:b w:val="0"/>
          <w:bCs/>
          <w:color w:val="auto"/>
          <w:vertAlign w:val="subscript"/>
          <w:lang w:val="en-US" w:eastAsia="zh-CN"/>
        </w:rPr>
        <w:t>2</w:t>
      </w:r>
      <w:r>
        <w:rPr>
          <w:rFonts w:hint="default"/>
          <w:b w:val="0"/>
          <w:bCs/>
          <w:color w:val="auto"/>
          <w:lang w:val="en-US" w:eastAsia="zh-CN"/>
        </w:rPr>
        <w:t>/Q</w:t>
      </w:r>
      <w:r>
        <w:rPr>
          <w:rFonts w:hint="default"/>
          <w:b w:val="0"/>
          <w:bCs/>
          <w:color w:val="auto"/>
          <w:vertAlign w:val="subscript"/>
          <w:lang w:val="en-US" w:eastAsia="zh-CN"/>
        </w:rPr>
        <w:t>2</w:t>
      </w:r>
      <w:r>
        <w:rPr>
          <w:rFonts w:hint="default"/>
          <w:b w:val="0"/>
          <w:bCs/>
          <w:color w:val="auto"/>
          <w:lang w:val="en-US" w:eastAsia="zh-CN"/>
        </w:rPr>
        <w:t>+……+q</w:t>
      </w:r>
      <w:r>
        <w:rPr>
          <w:rFonts w:hint="default"/>
          <w:b w:val="0"/>
          <w:bCs/>
          <w:color w:val="auto"/>
          <w:vertAlign w:val="subscript"/>
          <w:lang w:val="en-US" w:eastAsia="zh-CN"/>
        </w:rPr>
        <w:t>n</w:t>
      </w:r>
      <w:r>
        <w:rPr>
          <w:rFonts w:hint="default"/>
          <w:b w:val="0"/>
          <w:bCs/>
          <w:color w:val="auto"/>
          <w:lang w:val="en-US" w:eastAsia="zh-CN"/>
        </w:rPr>
        <w:t>/Q</w:t>
      </w:r>
      <w:r>
        <w:rPr>
          <w:rFonts w:hint="default"/>
          <w:b w:val="0"/>
          <w:bCs/>
          <w:color w:val="auto"/>
          <w:vertAlign w:val="subscript"/>
          <w:lang w:val="en-US" w:eastAsia="zh-CN"/>
        </w:rPr>
        <w:t>n</w:t>
      </w:r>
      <w:r>
        <w:rPr>
          <w:rFonts w:hint="default"/>
          <w:b w:val="0"/>
          <w:bCs/>
          <w:color w:val="auto"/>
          <w:lang w:val="en-US" w:eastAsia="zh-CN"/>
        </w:rPr>
        <w:t>≥1</w:t>
      </w:r>
    </w:p>
    <w:p w14:paraId="6713C6C6">
      <w:pPr>
        <w:bidi w:val="0"/>
        <w:rPr>
          <w:rFonts w:hint="default"/>
          <w:b w:val="0"/>
          <w:bCs/>
          <w:color w:val="auto"/>
          <w:lang w:val="en-US" w:eastAsia="zh-CN"/>
        </w:rPr>
      </w:pPr>
      <w:r>
        <w:rPr>
          <w:rFonts w:hint="default"/>
          <w:b w:val="0"/>
          <w:bCs/>
          <w:color w:val="auto"/>
          <w:lang w:val="en-US" w:eastAsia="zh-CN"/>
        </w:rPr>
        <w:t>式中：q</w:t>
      </w:r>
      <w:r>
        <w:rPr>
          <w:rFonts w:hint="default"/>
          <w:b w:val="0"/>
          <w:bCs/>
          <w:color w:val="auto"/>
          <w:vertAlign w:val="subscript"/>
          <w:lang w:val="en-US" w:eastAsia="zh-CN"/>
        </w:rPr>
        <w:t>1</w:t>
      </w:r>
      <w:r>
        <w:rPr>
          <w:rFonts w:hint="default"/>
          <w:b w:val="0"/>
          <w:bCs/>
          <w:color w:val="auto"/>
          <w:lang w:val="en-US" w:eastAsia="zh-CN"/>
        </w:rPr>
        <w:t>，q</w:t>
      </w:r>
      <w:r>
        <w:rPr>
          <w:rFonts w:hint="default"/>
          <w:b w:val="0"/>
          <w:bCs/>
          <w:color w:val="auto"/>
          <w:vertAlign w:val="subscript"/>
          <w:lang w:val="en-US" w:eastAsia="zh-CN"/>
        </w:rPr>
        <w:t>2</w:t>
      </w:r>
      <w:r>
        <w:rPr>
          <w:rFonts w:hint="default"/>
          <w:b w:val="0"/>
          <w:bCs/>
          <w:color w:val="auto"/>
          <w:lang w:val="en-US" w:eastAsia="zh-CN"/>
        </w:rPr>
        <w:t>，…，q</w:t>
      </w:r>
      <w:r>
        <w:rPr>
          <w:rFonts w:hint="default"/>
          <w:b w:val="0"/>
          <w:bCs/>
          <w:color w:val="auto"/>
          <w:vertAlign w:val="subscript"/>
          <w:lang w:val="en-US" w:eastAsia="zh-CN"/>
        </w:rPr>
        <w:t>n</w:t>
      </w:r>
      <w:r>
        <w:rPr>
          <w:rFonts w:hint="default"/>
          <w:b w:val="0"/>
          <w:bCs/>
          <w:color w:val="auto"/>
          <w:lang w:val="en-US" w:eastAsia="zh-CN"/>
        </w:rPr>
        <w:t>——每种危险化学品实际存在量，t。</w:t>
      </w:r>
    </w:p>
    <w:p w14:paraId="64DDE6C6">
      <w:pPr>
        <w:bidi w:val="0"/>
        <w:rPr>
          <w:rFonts w:hint="default"/>
          <w:b w:val="0"/>
          <w:bCs/>
          <w:color w:val="auto"/>
          <w:lang w:val="en-US" w:eastAsia="zh-CN"/>
        </w:rPr>
      </w:pPr>
      <w:r>
        <w:rPr>
          <w:rFonts w:hint="default"/>
          <w:b w:val="0"/>
          <w:bCs/>
          <w:color w:val="auto"/>
          <w:lang w:val="en-US" w:eastAsia="zh-CN"/>
        </w:rPr>
        <w:t>Q</w:t>
      </w:r>
      <w:r>
        <w:rPr>
          <w:rFonts w:hint="default"/>
          <w:b w:val="0"/>
          <w:bCs/>
          <w:color w:val="auto"/>
          <w:vertAlign w:val="subscript"/>
          <w:lang w:val="en-US" w:eastAsia="zh-CN"/>
        </w:rPr>
        <w:t>1</w:t>
      </w:r>
      <w:r>
        <w:rPr>
          <w:rFonts w:hint="default"/>
          <w:b w:val="0"/>
          <w:bCs/>
          <w:color w:val="auto"/>
          <w:lang w:val="en-US" w:eastAsia="zh-CN"/>
        </w:rPr>
        <w:t>，Q</w:t>
      </w:r>
      <w:r>
        <w:rPr>
          <w:rFonts w:hint="default"/>
          <w:b w:val="0"/>
          <w:bCs/>
          <w:color w:val="auto"/>
          <w:vertAlign w:val="subscript"/>
          <w:lang w:val="en-US" w:eastAsia="zh-CN"/>
        </w:rPr>
        <w:t>2</w:t>
      </w:r>
      <w:r>
        <w:rPr>
          <w:rFonts w:hint="default"/>
          <w:b w:val="0"/>
          <w:bCs/>
          <w:color w:val="auto"/>
          <w:lang w:val="en-US" w:eastAsia="zh-CN"/>
        </w:rPr>
        <w:t>，…，Q</w:t>
      </w:r>
      <w:r>
        <w:rPr>
          <w:rFonts w:hint="default"/>
          <w:b w:val="0"/>
          <w:bCs/>
          <w:color w:val="auto"/>
          <w:vertAlign w:val="subscript"/>
          <w:lang w:val="en-US" w:eastAsia="zh-CN"/>
        </w:rPr>
        <w:t>n</w:t>
      </w:r>
      <w:r>
        <w:rPr>
          <w:rFonts w:hint="default"/>
          <w:b w:val="0"/>
          <w:bCs/>
          <w:color w:val="auto"/>
          <w:lang w:val="en-US" w:eastAsia="zh-CN"/>
        </w:rPr>
        <w:t>——各危险化学品相对应的临界量，t。</w:t>
      </w:r>
    </w:p>
    <w:p w14:paraId="40A06406">
      <w:pPr>
        <w:wordWrap/>
        <w:adjustRightInd w:val="0"/>
        <w:snapToGrid w:val="0"/>
        <w:spacing w:line="360" w:lineRule="auto"/>
        <w:ind w:firstLine="560"/>
        <w:jc w:val="both"/>
        <w:rPr>
          <w:rFonts w:ascii="宋体" w:hAnsi="宋体" w:eastAsia="宋体" w:cs="宋体"/>
          <w:color w:val="auto"/>
          <w:kern w:val="10"/>
          <w:szCs w:val="28"/>
        </w:rPr>
      </w:pPr>
      <w:r>
        <w:rPr>
          <w:rFonts w:hint="eastAsia" w:ascii="宋体" w:hAnsi="宋体" w:eastAsia="宋体" w:cs="宋体"/>
          <w:color w:val="auto"/>
          <w:kern w:val="10"/>
          <w:szCs w:val="28"/>
        </w:rPr>
        <w:t>根据《危险化学品重大危险源辨识》（GB18218-2018），项目所涉及的重大危险源辨识为检修过程中氧[压缩的]、乙炔、柴油被列为构成危险化学品重大危险源的物质。本项目所涉及的危险物质识别如下：</w:t>
      </w:r>
    </w:p>
    <w:p w14:paraId="3B45BE82">
      <w:pPr>
        <w:wordWrap/>
        <w:adjustRightInd w:val="0"/>
        <w:snapToGrid w:val="0"/>
        <w:spacing w:line="360" w:lineRule="auto"/>
        <w:ind w:firstLine="560"/>
        <w:jc w:val="both"/>
        <w:rPr>
          <w:rFonts w:ascii="宋体" w:hAnsi="宋体" w:eastAsia="宋体" w:cs="宋体"/>
          <w:color w:val="auto"/>
          <w:kern w:val="10"/>
          <w:szCs w:val="28"/>
        </w:rPr>
      </w:pPr>
      <w:r>
        <w:rPr>
          <w:rFonts w:hint="eastAsia" w:ascii="宋体" w:hAnsi="宋体" w:eastAsia="宋体" w:cs="宋体"/>
          <w:color w:val="auto"/>
          <w:kern w:val="10"/>
          <w:szCs w:val="28"/>
        </w:rPr>
        <w:t>1）氧[压缩的]储存单元：装检修过程使用，采用40L氧气瓶储存，储存压力为15MPa，每瓶储存量相当于标准大气压下容积为6m</w:t>
      </w:r>
      <w:r>
        <w:rPr>
          <w:rFonts w:hint="eastAsia" w:ascii="宋体" w:hAnsi="宋体" w:eastAsia="宋体" w:cs="宋体"/>
          <w:color w:val="auto"/>
          <w:kern w:val="10"/>
          <w:szCs w:val="28"/>
          <w:vertAlign w:val="superscript"/>
        </w:rPr>
        <w:t>3</w:t>
      </w:r>
      <w:r>
        <w:rPr>
          <w:rFonts w:hint="eastAsia" w:ascii="宋体" w:hAnsi="宋体" w:eastAsia="宋体" w:cs="宋体"/>
          <w:color w:val="auto"/>
          <w:kern w:val="10"/>
          <w:szCs w:val="28"/>
        </w:rPr>
        <w:t>的氧气储存量，标准状态下氧气密度为1.429kg/m</w:t>
      </w:r>
      <w:r>
        <w:rPr>
          <w:rFonts w:hint="eastAsia" w:ascii="宋体" w:hAnsi="宋体" w:eastAsia="宋体" w:cs="宋体"/>
          <w:color w:val="auto"/>
          <w:kern w:val="10"/>
          <w:szCs w:val="28"/>
          <w:vertAlign w:val="superscript"/>
        </w:rPr>
        <w:t>3</w:t>
      </w:r>
      <w:r>
        <w:rPr>
          <w:rFonts w:hint="eastAsia" w:ascii="宋体" w:hAnsi="宋体" w:eastAsia="宋体" w:cs="宋体"/>
          <w:color w:val="auto"/>
          <w:kern w:val="10"/>
          <w:szCs w:val="28"/>
        </w:rPr>
        <w:t>。储存量不超过5瓶，最大存储量：1.429×6×5=0.04287t小于氧[压缩的]储存量临界点（200t）。</w:t>
      </w:r>
    </w:p>
    <w:p w14:paraId="326334A2">
      <w:pPr>
        <w:wordWrap/>
        <w:adjustRightInd w:val="0"/>
        <w:snapToGrid w:val="0"/>
        <w:spacing w:line="360" w:lineRule="auto"/>
        <w:ind w:firstLine="560"/>
        <w:jc w:val="both"/>
        <w:rPr>
          <w:rFonts w:ascii="宋体" w:hAnsi="宋体" w:eastAsia="宋体" w:cs="宋体"/>
          <w:color w:val="auto"/>
          <w:kern w:val="10"/>
          <w:szCs w:val="28"/>
        </w:rPr>
      </w:pPr>
      <w:r>
        <w:rPr>
          <w:rFonts w:hint="eastAsia" w:ascii="宋体" w:hAnsi="宋体" w:eastAsia="宋体" w:cs="宋体"/>
          <w:color w:val="auto"/>
          <w:kern w:val="10"/>
          <w:szCs w:val="28"/>
        </w:rPr>
        <w:t>2）乙炔储存单元：根据《溶解乙炔》（GB6819-2004），40L乙炔气瓶每瓶最大乙炔的盛装量不超过7kg。储存量不超过5瓶，最大储量：7×5=0.035t</w:t>
      </w:r>
      <w:r>
        <w:rPr>
          <w:rFonts w:hint="eastAsia" w:ascii="宋体" w:hAnsi="宋体" w:eastAsia="宋体" w:cs="宋体"/>
          <w:color w:val="auto"/>
          <w:kern w:val="10"/>
          <w:szCs w:val="28"/>
          <w:lang w:eastAsia="zh-CN"/>
        </w:rPr>
        <w:t>，</w:t>
      </w:r>
      <w:r>
        <w:rPr>
          <w:rFonts w:hint="eastAsia" w:ascii="宋体" w:hAnsi="宋体" w:eastAsia="宋体" w:cs="宋体"/>
          <w:color w:val="auto"/>
          <w:kern w:val="10"/>
          <w:szCs w:val="28"/>
        </w:rPr>
        <w:t>小于乙炔储存量临界点（1t）。</w:t>
      </w:r>
    </w:p>
    <w:p w14:paraId="177339EF">
      <w:pPr>
        <w:wordWrap w:val="0"/>
        <w:adjustRightInd w:val="0"/>
        <w:snapToGrid w:val="0"/>
        <w:spacing w:line="360" w:lineRule="auto"/>
        <w:ind w:firstLine="560"/>
        <w:jc w:val="both"/>
        <w:rPr>
          <w:rFonts w:ascii="Times New Roman" w:hAnsi="Times New Roman" w:eastAsia="宋体" w:cs="Times New Roman"/>
          <w:color w:val="auto"/>
          <w:kern w:val="10"/>
          <w:szCs w:val="22"/>
        </w:rPr>
      </w:pPr>
      <w:r>
        <w:rPr>
          <w:rFonts w:hint="eastAsia" w:ascii="宋体" w:hAnsi="宋体" w:eastAsia="宋体" w:cs="宋体"/>
          <w:color w:val="auto"/>
          <w:kern w:val="10"/>
          <w:szCs w:val="28"/>
        </w:rPr>
        <w:t>3）柴油储存单元：</w:t>
      </w:r>
      <w:r>
        <w:rPr>
          <w:rFonts w:hint="eastAsia" w:ascii="宋体" w:hAnsi="宋体" w:eastAsia="宋体" w:cs="宋体"/>
          <w:color w:val="auto"/>
          <w:kern w:val="10"/>
          <w:szCs w:val="22"/>
        </w:rPr>
        <w:t>选厂生产主要用油设备为铲车，工作量不大，平时公司从</w:t>
      </w:r>
      <w:r>
        <w:rPr>
          <w:rFonts w:hint="eastAsia" w:ascii="宋体" w:hAnsi="宋体" w:eastAsia="宋体" w:cs="宋体"/>
          <w:color w:val="auto"/>
          <w:kern w:val="10"/>
          <w:szCs w:val="22"/>
          <w:lang w:val="en-US" w:eastAsia="zh-CN"/>
        </w:rPr>
        <w:t>附近</w:t>
      </w:r>
      <w:r>
        <w:rPr>
          <w:rFonts w:hint="eastAsia" w:ascii="宋体" w:hAnsi="宋体" w:eastAsia="宋体" w:cs="宋体"/>
          <w:color w:val="auto"/>
          <w:kern w:val="10"/>
          <w:szCs w:val="22"/>
        </w:rPr>
        <w:t>加油站使用加厚铁油桶采购，不存储。</w:t>
      </w:r>
    </w:p>
    <w:p w14:paraId="349491BC">
      <w:pPr>
        <w:bidi w:val="0"/>
        <w:rPr>
          <w:b w:val="0"/>
          <w:bCs/>
          <w:color w:val="auto"/>
        </w:rPr>
      </w:pPr>
      <w:r>
        <w:rPr>
          <w:rFonts w:hint="eastAsia"/>
          <w:b w:val="0"/>
          <w:bCs/>
          <w:color w:val="auto"/>
        </w:rPr>
        <w:t>按照《危险化学品重大危险源辨识》（GB18218-2018）的规定，项目在生产、检修环节中用到的乙炔、</w:t>
      </w:r>
      <w:r>
        <w:rPr>
          <w:rFonts w:hint="eastAsia"/>
          <w:b w:val="0"/>
          <w:bCs/>
          <w:color w:val="auto"/>
          <w:lang w:val="en-US" w:eastAsia="zh-CN"/>
        </w:rPr>
        <w:t>氧气、柴油</w:t>
      </w:r>
      <w:r>
        <w:rPr>
          <w:rFonts w:hint="eastAsia"/>
          <w:b w:val="0"/>
          <w:bCs/>
          <w:color w:val="auto"/>
        </w:rPr>
        <w:t>，其用量较少，远小于其临界量</w:t>
      </w:r>
      <w:r>
        <w:rPr>
          <w:rFonts w:hint="eastAsia"/>
          <w:b w:val="0"/>
          <w:bCs/>
          <w:color w:val="auto"/>
          <w:lang w:eastAsia="zh-CN"/>
        </w:rPr>
        <w:t>。</w:t>
      </w:r>
      <w:r>
        <w:rPr>
          <w:rFonts w:hint="eastAsia"/>
          <w:b w:val="0"/>
          <w:bCs/>
          <w:color w:val="auto"/>
        </w:rPr>
        <w:t>综上，该项目未构成重大危险源。</w:t>
      </w:r>
    </w:p>
    <w:p w14:paraId="05FC359D">
      <w:pPr>
        <w:pStyle w:val="3"/>
        <w:keepNext w:val="0"/>
        <w:keepLines w:val="0"/>
        <w:spacing w:before="0" w:beforeLines="-2147483648" w:beforeAutospacing="0" w:after="0" w:afterLines="-2147483648" w:afterAutospacing="0" w:line="360" w:lineRule="auto"/>
        <w:ind w:firstLine="0" w:firstLineChars="0"/>
        <w:jc w:val="center"/>
        <w:rPr>
          <w:rFonts w:hint="default" w:ascii="Times New Roman" w:hAnsi="Times New Roman" w:eastAsia="黑体" w:cs="Times New Roman"/>
          <w:b/>
          <w:bCs/>
          <w:color w:val="auto"/>
          <w:sz w:val="30"/>
          <w:szCs w:val="30"/>
          <w:lang w:val="en-US" w:eastAsia="zh-CN"/>
        </w:rPr>
      </w:pPr>
      <w:bookmarkStart w:id="144" w:name="_Toc11990"/>
      <w:bookmarkStart w:id="145" w:name="_Toc21072"/>
      <w:bookmarkStart w:id="146" w:name="_Toc28657"/>
      <w:r>
        <w:rPr>
          <w:rFonts w:hint="default" w:ascii="Times New Roman" w:hAnsi="Times New Roman" w:eastAsia="黑体" w:cs="Times New Roman"/>
          <w:b/>
          <w:bCs/>
          <w:color w:val="auto"/>
          <w:sz w:val="30"/>
          <w:szCs w:val="30"/>
          <w:lang w:val="en-US" w:eastAsia="zh-CN"/>
        </w:rPr>
        <w:t>3.</w:t>
      </w:r>
      <w:r>
        <w:rPr>
          <w:rFonts w:hint="eastAsia" w:ascii="Times New Roman" w:hAnsi="Times New Roman" w:eastAsia="黑体" w:cs="Times New Roman"/>
          <w:b/>
          <w:bCs/>
          <w:color w:val="auto"/>
          <w:sz w:val="30"/>
          <w:szCs w:val="30"/>
          <w:lang w:val="en-US" w:eastAsia="zh-CN"/>
        </w:rPr>
        <w:t>10</w:t>
      </w:r>
      <w:r>
        <w:rPr>
          <w:rFonts w:hint="default" w:ascii="Times New Roman" w:hAnsi="Times New Roman" w:eastAsia="黑体" w:cs="Times New Roman"/>
          <w:b/>
          <w:bCs/>
          <w:color w:val="auto"/>
          <w:sz w:val="30"/>
          <w:szCs w:val="30"/>
          <w:lang w:val="en-US" w:eastAsia="zh-CN"/>
        </w:rPr>
        <w:t>评价项目主要危险及有害因素总结</w:t>
      </w:r>
      <w:bookmarkEnd w:id="144"/>
      <w:bookmarkEnd w:id="145"/>
      <w:bookmarkEnd w:id="146"/>
    </w:p>
    <w:p w14:paraId="639772CF">
      <w:pPr>
        <w:bidi w:val="0"/>
        <w:rPr>
          <w:b w:val="0"/>
          <w:bCs/>
          <w:color w:val="auto"/>
        </w:rPr>
      </w:pPr>
      <w:r>
        <w:rPr>
          <w:rFonts w:hint="default"/>
          <w:b w:val="0"/>
          <w:bCs/>
          <w:color w:val="auto"/>
          <w:lang w:val="en-US" w:eastAsia="zh-CN"/>
        </w:rPr>
        <w:t>针对该项目地质条件、自然条件、生产工艺系统及公用辅助设施等方面的具体特点，综合考虑自然因素、设备因素和人的因素（包括管理因素和设计因素），可辨识出该</w:t>
      </w:r>
      <w:r>
        <w:rPr>
          <w:rFonts w:hint="eastAsia"/>
          <w:b w:val="0"/>
          <w:bCs/>
          <w:color w:val="auto"/>
          <w:lang w:val="en-US" w:eastAsia="zh-CN"/>
        </w:rPr>
        <w:t>项目</w:t>
      </w:r>
      <w:r>
        <w:rPr>
          <w:rFonts w:hint="default"/>
          <w:b w:val="0"/>
          <w:bCs/>
          <w:color w:val="auto"/>
          <w:lang w:val="en-US" w:eastAsia="zh-CN"/>
        </w:rPr>
        <w:t>在今后生产经营活动中主要危险、有害因素，详见危险有害因素小结表3</w:t>
      </w:r>
      <w:r>
        <w:rPr>
          <w:rFonts w:hint="eastAsia"/>
          <w:b w:val="0"/>
          <w:bCs/>
          <w:color w:val="auto"/>
          <w:lang w:val="en-US" w:eastAsia="zh-CN"/>
        </w:rPr>
        <w:t>.10</w:t>
      </w:r>
      <w:r>
        <w:rPr>
          <w:rFonts w:hint="default"/>
          <w:b w:val="0"/>
          <w:bCs/>
          <w:color w:val="auto"/>
          <w:lang w:val="en-US" w:eastAsia="zh-CN"/>
        </w:rPr>
        <w:t>-</w:t>
      </w:r>
      <w:r>
        <w:rPr>
          <w:rFonts w:hint="eastAsia"/>
          <w:b w:val="0"/>
          <w:bCs/>
          <w:color w:val="auto"/>
          <w:lang w:val="en-US" w:eastAsia="zh-CN"/>
        </w:rPr>
        <w:t>1</w:t>
      </w:r>
      <w:r>
        <w:rPr>
          <w:rFonts w:hint="default"/>
          <w:b w:val="0"/>
          <w:bCs/>
          <w:color w:val="auto"/>
          <w:lang w:val="en-US" w:eastAsia="zh-CN"/>
        </w:rPr>
        <w:t>。</w:t>
      </w:r>
    </w:p>
    <w:p w14:paraId="51E72465">
      <w:pPr>
        <w:pStyle w:val="2"/>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2"/>
          <w:szCs w:val="44"/>
        </w:rPr>
      </w:pPr>
      <w:bookmarkStart w:id="147" w:name="_Toc2128"/>
      <w:bookmarkStart w:id="148" w:name="_Toc17396"/>
      <w:r>
        <w:rPr>
          <w:rFonts w:hint="eastAsia" w:ascii="Times New Roman" w:hAnsi="Times New Roman" w:eastAsia="黑体" w:cs="Times New Roman"/>
          <w:b/>
          <w:bCs/>
          <w:color w:val="auto"/>
          <w:sz w:val="32"/>
          <w:szCs w:val="44"/>
        </w:rPr>
        <w:t>4</w:t>
      </w:r>
      <w:r>
        <w:rPr>
          <w:rFonts w:hint="eastAsia" w:ascii="Times New Roman" w:hAnsi="Times New Roman" w:cs="Times New Roman"/>
          <w:b/>
          <w:bCs/>
          <w:color w:val="auto"/>
          <w:sz w:val="32"/>
          <w:szCs w:val="44"/>
          <w:lang w:val="en-US" w:eastAsia="zh-CN"/>
        </w:rPr>
        <w:t>.</w:t>
      </w:r>
      <w:r>
        <w:rPr>
          <w:rFonts w:hint="eastAsia" w:ascii="Times New Roman" w:hAnsi="Times New Roman" w:eastAsia="黑体" w:cs="Times New Roman"/>
          <w:b/>
          <w:bCs/>
          <w:color w:val="auto"/>
          <w:sz w:val="32"/>
          <w:szCs w:val="44"/>
        </w:rPr>
        <w:t>评价单元划分及评价方法选择</w:t>
      </w:r>
      <w:bookmarkEnd w:id="147"/>
      <w:bookmarkEnd w:id="148"/>
    </w:p>
    <w:p w14:paraId="02A424F9">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49" w:name="_Toc18740"/>
      <w:bookmarkStart w:id="150" w:name="_Toc18028"/>
      <w:r>
        <w:rPr>
          <w:rFonts w:hint="eastAsia" w:ascii="Times New Roman" w:hAnsi="Times New Roman" w:eastAsia="黑体" w:cs="Times New Roman"/>
          <w:b/>
          <w:bCs/>
          <w:color w:val="auto"/>
          <w:sz w:val="30"/>
          <w:szCs w:val="30"/>
        </w:rPr>
        <w:t>4.1评价单元划分</w:t>
      </w:r>
      <w:bookmarkEnd w:id="149"/>
      <w:bookmarkEnd w:id="150"/>
    </w:p>
    <w:p w14:paraId="702ABDB9">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51" w:name="_Toc20798"/>
      <w:r>
        <w:rPr>
          <w:rFonts w:hint="eastAsia" w:ascii="Times New Roman" w:hAnsi="Times New Roman" w:cs="Times New Roman"/>
          <w:bCs/>
          <w:color w:val="auto"/>
          <w:sz w:val="28"/>
          <w:szCs w:val="28"/>
        </w:rPr>
        <w:t>4.1.1评价单元划分原则</w:t>
      </w:r>
      <w:bookmarkEnd w:id="151"/>
    </w:p>
    <w:p w14:paraId="1D9847E0">
      <w:pPr>
        <w:bidi w:val="0"/>
        <w:rPr>
          <w:rFonts w:hint="eastAsia"/>
          <w:b w:val="0"/>
          <w:bCs/>
          <w:color w:val="auto"/>
        </w:rPr>
      </w:pPr>
      <w:r>
        <w:rPr>
          <w:rFonts w:hint="eastAsia"/>
          <w:b w:val="0"/>
          <w:bCs/>
          <w:color w:val="auto"/>
        </w:rPr>
        <w:t>划分评价单元是为评价目标和评价方法服务，便于评价工作的进行，利于提高评价工作的准确性。</w:t>
      </w:r>
    </w:p>
    <w:p w14:paraId="760AAC1E">
      <w:pPr>
        <w:bidi w:val="0"/>
        <w:rPr>
          <w:rFonts w:hint="eastAsia"/>
          <w:b w:val="0"/>
          <w:bCs/>
          <w:color w:val="auto"/>
        </w:rPr>
      </w:pPr>
      <w:r>
        <w:rPr>
          <w:rFonts w:hint="eastAsia"/>
          <w:b w:val="0"/>
          <w:bCs/>
          <w:color w:val="auto"/>
        </w:rPr>
        <w:t>评价单元一般以生产工艺、工艺装置、物料的特点和特征与危险、有害因素的类别、分布有机结合进行划分，还可以按评价的需要将一个评价单元再划分为若干子评价单元或更细致的单元。由于至今尚无明确通用的</w:t>
      </w:r>
      <w:r>
        <w:rPr>
          <w:rFonts w:hint="eastAsia"/>
          <w:b w:val="0"/>
          <w:bCs/>
          <w:color w:val="auto"/>
          <w:lang w:eastAsia="zh-CN"/>
        </w:rPr>
        <w:t>“</w:t>
      </w:r>
      <w:r>
        <w:rPr>
          <w:rFonts w:hint="eastAsia"/>
          <w:b w:val="0"/>
          <w:bCs/>
          <w:color w:val="auto"/>
        </w:rPr>
        <w:t>规则</w:t>
      </w:r>
      <w:r>
        <w:rPr>
          <w:rFonts w:hint="eastAsia"/>
          <w:b w:val="0"/>
          <w:bCs/>
          <w:color w:val="auto"/>
          <w:lang w:eastAsia="zh-CN"/>
        </w:rPr>
        <w:t>”</w:t>
      </w:r>
      <w:r>
        <w:rPr>
          <w:rFonts w:hint="eastAsia"/>
          <w:b w:val="0"/>
          <w:bCs/>
          <w:color w:val="auto"/>
        </w:rPr>
        <w:t>来规范单元的划分方法，因此，不同的评价人员对同一个评价对象划分的评价单元也不同。由于评价目标不同，各评价方法均有自身特点，只要达到评价的目的，评价单元划分并不要求绝对一致。</w:t>
      </w:r>
    </w:p>
    <w:p w14:paraId="36771717">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52" w:name="_Toc13068"/>
      <w:r>
        <w:rPr>
          <w:rFonts w:hint="eastAsia" w:ascii="Times New Roman" w:hAnsi="Times New Roman" w:cs="Times New Roman"/>
          <w:bCs/>
          <w:color w:val="auto"/>
          <w:sz w:val="28"/>
          <w:szCs w:val="28"/>
        </w:rPr>
        <w:t>4.1.2评价单元划分方法</w:t>
      </w:r>
      <w:bookmarkEnd w:id="152"/>
    </w:p>
    <w:p w14:paraId="51E056E3">
      <w:pPr>
        <w:bidi w:val="0"/>
        <w:rPr>
          <w:rFonts w:hint="eastAsia"/>
          <w:b w:val="0"/>
          <w:bCs/>
          <w:color w:val="auto"/>
        </w:rPr>
      </w:pPr>
      <w:r>
        <w:rPr>
          <w:rFonts w:hint="eastAsia"/>
          <w:b w:val="0"/>
          <w:bCs/>
          <w:color w:val="auto"/>
        </w:rPr>
        <w:t>常用的评价单元划分方法有：</w:t>
      </w:r>
    </w:p>
    <w:p w14:paraId="0E9CA4AE">
      <w:pPr>
        <w:bidi w:val="0"/>
        <w:rPr>
          <w:rFonts w:hint="eastAsia"/>
          <w:b w:val="0"/>
          <w:bCs/>
          <w:color w:val="auto"/>
        </w:rPr>
      </w:pPr>
      <w:r>
        <w:rPr>
          <w:rFonts w:hint="eastAsia"/>
          <w:b w:val="0"/>
          <w:bCs/>
          <w:color w:val="auto"/>
        </w:rPr>
        <w:t>1、以危险、有害因素的类别为主划分评价单元。</w:t>
      </w:r>
    </w:p>
    <w:p w14:paraId="07D46C5F">
      <w:pPr>
        <w:bidi w:val="0"/>
        <w:rPr>
          <w:rFonts w:hint="eastAsia"/>
          <w:b w:val="0"/>
          <w:bCs/>
          <w:color w:val="auto"/>
        </w:rPr>
      </w:pPr>
      <w:r>
        <w:rPr>
          <w:rFonts w:hint="eastAsia"/>
          <w:b w:val="0"/>
          <w:bCs/>
          <w:color w:val="auto"/>
        </w:rPr>
        <w:t>（1）对工艺方案、总体布置及自然条件、环境对系统影响等综合方面的危险、有害因素的分析和评价，可将整个系统作为一个评价单元；</w:t>
      </w:r>
    </w:p>
    <w:p w14:paraId="02D18AD4">
      <w:pPr>
        <w:bidi w:val="0"/>
        <w:rPr>
          <w:rFonts w:hint="eastAsia"/>
          <w:b w:val="0"/>
          <w:bCs/>
          <w:color w:val="auto"/>
        </w:rPr>
      </w:pPr>
      <w:r>
        <w:rPr>
          <w:rFonts w:hint="eastAsia"/>
          <w:b w:val="0"/>
          <w:bCs/>
          <w:color w:val="auto"/>
        </w:rPr>
        <w:t>（2）将具有共性危险因素、有害因素的场所和装置划为一个单元。</w:t>
      </w:r>
    </w:p>
    <w:p w14:paraId="38398467">
      <w:pPr>
        <w:bidi w:val="0"/>
        <w:rPr>
          <w:rFonts w:hint="eastAsia"/>
          <w:b w:val="0"/>
          <w:bCs/>
          <w:color w:val="auto"/>
        </w:rPr>
      </w:pPr>
      <w:r>
        <w:rPr>
          <w:rFonts w:hint="eastAsia"/>
          <w:b w:val="0"/>
          <w:bCs/>
          <w:color w:val="auto"/>
        </w:rPr>
        <w:t>2、以装置和物质特征划分评价单元。</w:t>
      </w:r>
    </w:p>
    <w:p w14:paraId="5C7BCE6F">
      <w:pPr>
        <w:bidi w:val="0"/>
        <w:rPr>
          <w:rFonts w:hint="eastAsia"/>
          <w:b w:val="0"/>
          <w:bCs/>
          <w:color w:val="auto"/>
        </w:rPr>
      </w:pPr>
      <w:r>
        <w:rPr>
          <w:rFonts w:hint="eastAsia"/>
          <w:b w:val="0"/>
          <w:bCs/>
          <w:color w:val="auto"/>
        </w:rPr>
        <w:t>（1）按装置工艺功能划分；</w:t>
      </w:r>
    </w:p>
    <w:p w14:paraId="05454614">
      <w:pPr>
        <w:bidi w:val="0"/>
        <w:rPr>
          <w:rFonts w:hint="eastAsia"/>
          <w:b w:val="0"/>
          <w:bCs/>
          <w:color w:val="auto"/>
        </w:rPr>
      </w:pPr>
      <w:r>
        <w:rPr>
          <w:rFonts w:hint="eastAsia"/>
          <w:b w:val="0"/>
          <w:bCs/>
          <w:color w:val="auto"/>
        </w:rPr>
        <w:t>（2）按布置的相对独立性划分；</w:t>
      </w:r>
    </w:p>
    <w:p w14:paraId="64D48C3A">
      <w:pPr>
        <w:bidi w:val="0"/>
        <w:rPr>
          <w:rFonts w:hint="eastAsia"/>
          <w:b w:val="0"/>
          <w:bCs/>
          <w:color w:val="auto"/>
        </w:rPr>
      </w:pPr>
      <w:r>
        <w:rPr>
          <w:rFonts w:hint="eastAsia"/>
          <w:b w:val="0"/>
          <w:bCs/>
          <w:color w:val="auto"/>
        </w:rPr>
        <w:t>（3）按工艺条件划分评价单元；</w:t>
      </w:r>
    </w:p>
    <w:p w14:paraId="01A93F98">
      <w:pPr>
        <w:bidi w:val="0"/>
        <w:rPr>
          <w:rFonts w:hint="eastAsia"/>
          <w:b w:val="0"/>
          <w:bCs/>
          <w:color w:val="auto"/>
        </w:rPr>
      </w:pPr>
      <w:r>
        <w:rPr>
          <w:rFonts w:hint="eastAsia"/>
          <w:b w:val="0"/>
          <w:bCs/>
          <w:color w:val="auto"/>
        </w:rPr>
        <w:t>（4）按贮存、处理危险物品的潜在化学能、毒性和危险物品的数量划分评价单元；</w:t>
      </w:r>
    </w:p>
    <w:p w14:paraId="05789D3F">
      <w:pPr>
        <w:bidi w:val="0"/>
        <w:rPr>
          <w:rFonts w:hint="eastAsia"/>
          <w:b w:val="0"/>
          <w:bCs/>
          <w:color w:val="auto"/>
        </w:rPr>
      </w:pPr>
      <w:r>
        <w:rPr>
          <w:rFonts w:hint="eastAsia"/>
          <w:b w:val="0"/>
          <w:bCs/>
          <w:color w:val="auto"/>
        </w:rPr>
        <w:t>（5）根据以往事故资料，将发生事故能导致停产、波及范围大、造成巨大损失和伤害的关键设备作为一个单元；</w:t>
      </w:r>
    </w:p>
    <w:p w14:paraId="0F1DFBBC">
      <w:pPr>
        <w:bidi w:val="0"/>
        <w:rPr>
          <w:rFonts w:hint="eastAsia"/>
          <w:b w:val="0"/>
          <w:bCs/>
          <w:color w:val="auto"/>
        </w:rPr>
      </w:pPr>
      <w:r>
        <w:rPr>
          <w:rFonts w:hint="eastAsia"/>
          <w:b w:val="0"/>
          <w:bCs/>
          <w:color w:val="auto"/>
        </w:rPr>
        <w:t>（6）将危险性大且资金密度大的区域作为一个评价单元；</w:t>
      </w:r>
    </w:p>
    <w:p w14:paraId="5B44EC1F">
      <w:pPr>
        <w:bidi w:val="0"/>
        <w:rPr>
          <w:rFonts w:hint="eastAsia"/>
          <w:b w:val="0"/>
          <w:bCs/>
          <w:color w:val="auto"/>
        </w:rPr>
      </w:pPr>
      <w:r>
        <w:rPr>
          <w:rFonts w:hint="eastAsia"/>
          <w:b w:val="0"/>
          <w:bCs/>
          <w:color w:val="auto"/>
        </w:rPr>
        <w:t>（7）将危险性特别大的区域、装置作为一个评价单元；</w:t>
      </w:r>
    </w:p>
    <w:p w14:paraId="576D0D89">
      <w:pPr>
        <w:bidi w:val="0"/>
        <w:rPr>
          <w:rFonts w:hint="eastAsia"/>
          <w:b w:val="0"/>
          <w:bCs/>
          <w:color w:val="auto"/>
        </w:rPr>
      </w:pPr>
      <w:r>
        <w:rPr>
          <w:rFonts w:hint="eastAsia"/>
          <w:b w:val="0"/>
          <w:bCs/>
          <w:color w:val="auto"/>
        </w:rPr>
        <w:t>（8）将具有类似危险性潜能的单元合并为一个大单元。</w:t>
      </w:r>
    </w:p>
    <w:p w14:paraId="41ED1BC0">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53" w:name="_Toc7174"/>
      <w:r>
        <w:rPr>
          <w:rFonts w:hint="eastAsia" w:ascii="Times New Roman" w:hAnsi="Times New Roman" w:cs="Times New Roman"/>
          <w:bCs/>
          <w:color w:val="auto"/>
          <w:sz w:val="28"/>
          <w:szCs w:val="28"/>
        </w:rPr>
        <w:t>4.1.3本项目评价单元的划分</w:t>
      </w:r>
      <w:bookmarkEnd w:id="153"/>
    </w:p>
    <w:p w14:paraId="7C1A5EB2">
      <w:pPr>
        <w:bidi w:val="0"/>
        <w:rPr>
          <w:rFonts w:hint="eastAsia"/>
          <w:b w:val="0"/>
          <w:bCs/>
          <w:color w:val="auto"/>
        </w:rPr>
      </w:pPr>
      <w:r>
        <w:rPr>
          <w:rFonts w:hint="eastAsia"/>
          <w:b w:val="0"/>
          <w:bCs/>
          <w:color w:val="auto"/>
        </w:rPr>
        <w:t>根据建设单位提供的有关技术资料和现场调查、类比调查结果，以该项目建设工程设计固有的系统特点，在对该建设项目主要危险因素分析的基础上，遵循突出重点、抓主要环节的原则，按照系统分析中自上而下逐步分解的原理，将整个评价对象首先划分为不同的单元，对复杂的和重要的单元进一步划分为子单元，以此确保评价过程的系统性、完整性和针对性。</w:t>
      </w:r>
    </w:p>
    <w:p w14:paraId="37F414E1">
      <w:pPr>
        <w:bidi w:val="0"/>
        <w:rPr>
          <w:rFonts w:hint="eastAsia"/>
          <w:b w:val="0"/>
          <w:bCs/>
          <w:color w:val="auto"/>
        </w:rPr>
      </w:pPr>
      <w:r>
        <w:rPr>
          <w:rFonts w:hint="eastAsia"/>
          <w:b w:val="0"/>
          <w:bCs/>
          <w:color w:val="auto"/>
        </w:rPr>
        <w:t>评价单元一般以生产工艺、工艺装置、物料的特点和特征与危险、危害因素的类别、分布有机结合进行划分，还可以按评价的需要将一个评价单元再划分为若干子评价单元或更细致的单元。根据该评价项目的总图布置和生产工艺特点，为达到对该项目系统、科学、全面的评价目的，将该项目评价划分为以下几个单元进行评价：</w:t>
      </w:r>
    </w:p>
    <w:p w14:paraId="55F6E8A4">
      <w:pPr>
        <w:bidi w:val="0"/>
        <w:rPr>
          <w:rFonts w:hint="eastAsia"/>
          <w:b w:val="0"/>
          <w:bCs/>
          <w:color w:val="auto"/>
        </w:rPr>
      </w:pPr>
      <w:r>
        <w:rPr>
          <w:rFonts w:hint="eastAsia"/>
          <w:b w:val="0"/>
          <w:bCs/>
          <w:color w:val="auto"/>
        </w:rPr>
        <w:t>1、厂址及总平面布置单元；</w:t>
      </w:r>
    </w:p>
    <w:p w14:paraId="4CCCE61B">
      <w:pPr>
        <w:bidi w:val="0"/>
        <w:rPr>
          <w:rFonts w:hint="eastAsia"/>
          <w:b w:val="0"/>
          <w:bCs/>
          <w:color w:val="auto"/>
        </w:rPr>
      </w:pPr>
      <w:r>
        <w:rPr>
          <w:rFonts w:hint="eastAsia"/>
          <w:b w:val="0"/>
          <w:bCs/>
          <w:color w:val="auto"/>
        </w:rPr>
        <w:t>2、</w:t>
      </w:r>
      <w:r>
        <w:rPr>
          <w:rFonts w:hint="eastAsia"/>
          <w:b w:val="0"/>
          <w:bCs/>
          <w:color w:val="auto"/>
          <w:lang w:val="en-US" w:eastAsia="zh-CN"/>
        </w:rPr>
        <w:t>选矿</w:t>
      </w:r>
      <w:r>
        <w:rPr>
          <w:rFonts w:hint="eastAsia"/>
          <w:b w:val="0"/>
          <w:bCs/>
          <w:color w:val="auto"/>
        </w:rPr>
        <w:t>工艺单元；</w:t>
      </w:r>
    </w:p>
    <w:p w14:paraId="17209D7E">
      <w:pPr>
        <w:bidi w:val="0"/>
        <w:rPr>
          <w:rFonts w:hint="eastAsia"/>
          <w:b w:val="0"/>
          <w:bCs/>
          <w:color w:val="auto"/>
        </w:rPr>
      </w:pPr>
      <w:r>
        <w:rPr>
          <w:rFonts w:hint="eastAsia"/>
          <w:b w:val="0"/>
          <w:bCs/>
          <w:color w:val="auto"/>
        </w:rPr>
        <w:t>3、防排水</w:t>
      </w:r>
      <w:r>
        <w:rPr>
          <w:rFonts w:hint="eastAsia"/>
          <w:b w:val="0"/>
          <w:bCs/>
          <w:color w:val="auto"/>
          <w:lang w:val="en-US" w:eastAsia="zh-CN"/>
        </w:rPr>
        <w:t>和防灭火</w:t>
      </w:r>
      <w:r>
        <w:rPr>
          <w:rFonts w:hint="eastAsia"/>
          <w:b w:val="0"/>
          <w:bCs/>
          <w:color w:val="auto"/>
        </w:rPr>
        <w:t>单元；</w:t>
      </w:r>
    </w:p>
    <w:p w14:paraId="46CF5529">
      <w:pPr>
        <w:bidi w:val="0"/>
        <w:rPr>
          <w:rFonts w:hint="eastAsia"/>
          <w:b w:val="0"/>
          <w:bCs/>
          <w:color w:val="auto"/>
        </w:rPr>
      </w:pPr>
      <w:r>
        <w:rPr>
          <w:rFonts w:hint="eastAsia"/>
          <w:b w:val="0"/>
          <w:bCs/>
          <w:color w:val="auto"/>
        </w:rPr>
        <w:t>4、供配电系统单元；</w:t>
      </w:r>
    </w:p>
    <w:p w14:paraId="2AF35B9C">
      <w:pPr>
        <w:bidi w:val="0"/>
        <w:rPr>
          <w:rFonts w:hint="eastAsia"/>
          <w:b w:val="0"/>
          <w:bCs/>
          <w:color w:val="auto"/>
        </w:rPr>
      </w:pPr>
      <w:r>
        <w:rPr>
          <w:rFonts w:hint="eastAsia"/>
          <w:b w:val="0"/>
          <w:bCs/>
          <w:color w:val="auto"/>
        </w:rPr>
        <w:t>5、安全管理单元。</w:t>
      </w:r>
    </w:p>
    <w:p w14:paraId="130E8710">
      <w:pPr>
        <w:pStyle w:val="24"/>
        <w:bidi w:val="0"/>
        <w:rPr>
          <w:rFonts w:hint="eastAsia"/>
          <w:b w:val="0"/>
          <w:bCs/>
          <w:color w:val="auto"/>
        </w:rPr>
      </w:pPr>
    </w:p>
    <w:p w14:paraId="2259957C">
      <w:pPr>
        <w:pStyle w:val="24"/>
        <w:bidi w:val="0"/>
        <w:rPr>
          <w:rFonts w:hint="eastAsia"/>
          <w:b w:val="0"/>
          <w:bCs/>
          <w:color w:val="auto"/>
        </w:rPr>
      </w:pPr>
    </w:p>
    <w:p w14:paraId="07DCEF54">
      <w:pPr>
        <w:pStyle w:val="24"/>
        <w:bidi w:val="0"/>
        <w:rPr>
          <w:rFonts w:hint="eastAsia"/>
          <w:b w:val="0"/>
          <w:bCs/>
          <w:color w:val="auto"/>
        </w:rPr>
      </w:pPr>
    </w:p>
    <w:p w14:paraId="036A175F">
      <w:pPr>
        <w:pStyle w:val="24"/>
        <w:bidi w:val="0"/>
        <w:rPr>
          <w:b w:val="0"/>
          <w:bCs/>
          <w:color w:val="auto"/>
        </w:rPr>
      </w:pPr>
      <w:r>
        <w:rPr>
          <w:rFonts w:hint="eastAsia"/>
          <w:b w:val="0"/>
          <w:bCs/>
          <w:color w:val="auto"/>
        </w:rPr>
        <w:t>表4.1-1  评价单元与评价方法对照表</w:t>
      </w:r>
    </w:p>
    <w:tbl>
      <w:tblPr>
        <w:tblStyle w:val="19"/>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892"/>
        <w:gridCol w:w="2308"/>
        <w:gridCol w:w="5349"/>
      </w:tblGrid>
      <w:tr w14:paraId="2023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3" w:type="dxa"/>
            <w:noWrap w:val="0"/>
            <w:vAlign w:val="center"/>
          </w:tcPr>
          <w:p w14:paraId="29140A6D">
            <w:pPr>
              <w:pStyle w:val="25"/>
              <w:bidi w:val="0"/>
              <w:rPr>
                <w:rFonts w:hint="default"/>
                <w:b w:val="0"/>
                <w:bCs/>
                <w:color w:val="auto"/>
                <w:lang w:val="en-US" w:eastAsia="zh-CN"/>
              </w:rPr>
            </w:pPr>
            <w:r>
              <w:rPr>
                <w:rFonts w:hint="eastAsia"/>
                <w:b w:val="0"/>
                <w:bCs/>
                <w:color w:val="auto"/>
                <w:lang w:val="sq-AL" w:eastAsia="zh-CN"/>
              </w:rPr>
              <w:t>序号</w:t>
            </w:r>
          </w:p>
        </w:tc>
        <w:tc>
          <w:tcPr>
            <w:tcW w:w="3200" w:type="dxa"/>
            <w:gridSpan w:val="2"/>
            <w:noWrap w:val="0"/>
            <w:vAlign w:val="center"/>
          </w:tcPr>
          <w:p w14:paraId="09C2587C">
            <w:pPr>
              <w:pStyle w:val="25"/>
              <w:bidi w:val="0"/>
              <w:rPr>
                <w:rFonts w:hint="default"/>
                <w:b w:val="0"/>
                <w:bCs/>
                <w:color w:val="auto"/>
                <w:lang w:val="en-US" w:eastAsia="zh-CN"/>
              </w:rPr>
            </w:pPr>
            <w:r>
              <w:rPr>
                <w:rFonts w:hint="eastAsia"/>
                <w:b w:val="0"/>
                <w:bCs/>
                <w:color w:val="auto"/>
                <w:lang w:val="sq-AL" w:eastAsia="zh-CN"/>
              </w:rPr>
              <w:t>评价单元</w:t>
            </w:r>
          </w:p>
        </w:tc>
        <w:tc>
          <w:tcPr>
            <w:tcW w:w="5349" w:type="dxa"/>
            <w:noWrap w:val="0"/>
            <w:vAlign w:val="center"/>
          </w:tcPr>
          <w:p w14:paraId="5217FE28">
            <w:pPr>
              <w:pStyle w:val="25"/>
              <w:bidi w:val="0"/>
              <w:rPr>
                <w:rFonts w:hint="default"/>
                <w:b w:val="0"/>
                <w:bCs/>
                <w:color w:val="auto"/>
                <w:lang w:val="en-US" w:eastAsia="zh-CN"/>
              </w:rPr>
            </w:pPr>
            <w:r>
              <w:rPr>
                <w:rFonts w:hint="eastAsia"/>
                <w:b w:val="0"/>
                <w:bCs/>
                <w:color w:val="auto"/>
                <w:lang w:val="sq-AL" w:eastAsia="zh-CN"/>
              </w:rPr>
              <w:t>评价方法选择</w:t>
            </w:r>
          </w:p>
        </w:tc>
      </w:tr>
      <w:tr w14:paraId="36E8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05524333">
            <w:pPr>
              <w:pStyle w:val="25"/>
              <w:bidi w:val="0"/>
              <w:rPr>
                <w:rFonts w:hint="default"/>
                <w:b w:val="0"/>
                <w:bCs/>
                <w:color w:val="auto"/>
                <w:lang w:val="en-US" w:eastAsia="zh-CN"/>
              </w:rPr>
            </w:pPr>
            <w:r>
              <w:rPr>
                <w:rFonts w:hint="eastAsia"/>
                <w:b w:val="0"/>
                <w:bCs/>
                <w:color w:val="auto"/>
                <w:lang w:val="sq-AL" w:eastAsia="zh-CN"/>
              </w:rPr>
              <w:t>1</w:t>
            </w:r>
          </w:p>
        </w:tc>
        <w:tc>
          <w:tcPr>
            <w:tcW w:w="3200" w:type="dxa"/>
            <w:gridSpan w:val="2"/>
            <w:noWrap w:val="0"/>
            <w:vAlign w:val="center"/>
          </w:tcPr>
          <w:p w14:paraId="00C86D83">
            <w:pPr>
              <w:pStyle w:val="25"/>
              <w:bidi w:val="0"/>
              <w:rPr>
                <w:rFonts w:hint="default"/>
                <w:b w:val="0"/>
                <w:bCs/>
                <w:color w:val="auto"/>
                <w:lang w:val="en-US" w:eastAsia="zh-CN"/>
              </w:rPr>
            </w:pPr>
            <w:r>
              <w:rPr>
                <w:rFonts w:hint="eastAsia"/>
                <w:b w:val="0"/>
                <w:bCs/>
                <w:color w:val="auto"/>
                <w:lang w:val="en-US" w:eastAsia="zh-CN"/>
              </w:rPr>
              <w:t>厂址及总平面布置单元</w:t>
            </w:r>
          </w:p>
        </w:tc>
        <w:tc>
          <w:tcPr>
            <w:tcW w:w="5349" w:type="dxa"/>
            <w:noWrap w:val="0"/>
            <w:vAlign w:val="center"/>
          </w:tcPr>
          <w:p w14:paraId="2809B7D0">
            <w:pPr>
              <w:pStyle w:val="25"/>
              <w:bidi w:val="0"/>
              <w:rPr>
                <w:rFonts w:hint="default"/>
                <w:b w:val="0"/>
                <w:bCs/>
                <w:color w:val="auto"/>
                <w:lang w:val="en-US" w:eastAsia="zh-CN"/>
              </w:rPr>
            </w:pPr>
            <w:r>
              <w:rPr>
                <w:rFonts w:hint="eastAsia"/>
                <w:b w:val="0"/>
                <w:bCs/>
                <w:color w:val="auto"/>
                <w:lang w:val="en-US" w:eastAsia="zh-CN"/>
              </w:rPr>
              <w:t>预先危险性分析</w:t>
            </w:r>
            <w:r>
              <w:rPr>
                <w:rFonts w:hint="eastAsia"/>
                <w:b w:val="0"/>
                <w:bCs/>
                <w:color w:val="auto"/>
                <w:lang w:val="sq-AL" w:eastAsia="zh-CN"/>
              </w:rPr>
              <w:t>法、</w:t>
            </w:r>
            <w:r>
              <w:rPr>
                <w:rFonts w:hint="eastAsia"/>
                <w:b w:val="0"/>
                <w:bCs/>
                <w:color w:val="auto"/>
                <w:lang w:val="en-US" w:eastAsia="zh-CN"/>
              </w:rPr>
              <w:t>安全检查表法</w:t>
            </w:r>
          </w:p>
        </w:tc>
      </w:tr>
      <w:tr w14:paraId="01DB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restart"/>
            <w:noWrap w:val="0"/>
            <w:vAlign w:val="center"/>
          </w:tcPr>
          <w:p w14:paraId="479D3B30">
            <w:pPr>
              <w:pStyle w:val="25"/>
              <w:bidi w:val="0"/>
              <w:rPr>
                <w:rFonts w:hint="default"/>
                <w:b w:val="0"/>
                <w:bCs/>
                <w:color w:val="auto"/>
                <w:lang w:val="en-US" w:eastAsia="zh-CN"/>
              </w:rPr>
            </w:pPr>
            <w:r>
              <w:rPr>
                <w:rFonts w:hint="eastAsia"/>
                <w:b w:val="0"/>
                <w:bCs/>
                <w:color w:val="auto"/>
                <w:lang w:val="sq-AL" w:eastAsia="zh-CN"/>
              </w:rPr>
              <w:t>2</w:t>
            </w:r>
          </w:p>
        </w:tc>
        <w:tc>
          <w:tcPr>
            <w:tcW w:w="892" w:type="dxa"/>
            <w:vMerge w:val="restart"/>
            <w:noWrap w:val="0"/>
            <w:vAlign w:val="center"/>
          </w:tcPr>
          <w:p w14:paraId="09C4043A">
            <w:pPr>
              <w:pStyle w:val="25"/>
              <w:bidi w:val="0"/>
              <w:rPr>
                <w:rFonts w:hint="default"/>
                <w:b w:val="0"/>
                <w:bCs/>
                <w:color w:val="auto"/>
                <w:lang w:val="en-US" w:eastAsia="zh-CN"/>
              </w:rPr>
            </w:pPr>
            <w:r>
              <w:rPr>
                <w:rFonts w:hint="eastAsia"/>
                <w:b w:val="0"/>
                <w:bCs/>
                <w:color w:val="auto"/>
                <w:lang w:val="en-US" w:eastAsia="zh-CN"/>
              </w:rPr>
              <w:t>选矿工艺单元</w:t>
            </w:r>
          </w:p>
        </w:tc>
        <w:tc>
          <w:tcPr>
            <w:tcW w:w="2308" w:type="dxa"/>
            <w:noWrap w:val="0"/>
            <w:vAlign w:val="center"/>
          </w:tcPr>
          <w:p w14:paraId="3A4F092D">
            <w:pPr>
              <w:pStyle w:val="25"/>
              <w:bidi w:val="0"/>
              <w:rPr>
                <w:rFonts w:hint="eastAsia"/>
                <w:b w:val="0"/>
                <w:bCs/>
                <w:color w:val="auto"/>
                <w:lang w:val="en-US" w:eastAsia="zh-CN"/>
              </w:rPr>
            </w:pPr>
            <w:r>
              <w:rPr>
                <w:rFonts w:hint="eastAsia"/>
                <w:b w:val="0"/>
                <w:bCs/>
                <w:color w:val="auto"/>
                <w:lang w:val="en-US" w:eastAsia="zh-CN"/>
              </w:rPr>
              <w:t>原料堆场子单元</w:t>
            </w:r>
          </w:p>
        </w:tc>
        <w:tc>
          <w:tcPr>
            <w:tcW w:w="5349" w:type="dxa"/>
            <w:noWrap w:val="0"/>
            <w:vAlign w:val="center"/>
          </w:tcPr>
          <w:p w14:paraId="6CAA247A">
            <w:pPr>
              <w:pStyle w:val="25"/>
              <w:bidi w:val="0"/>
              <w:rPr>
                <w:rFonts w:hint="default"/>
                <w:b w:val="0"/>
                <w:bCs/>
                <w:color w:val="auto"/>
                <w:lang w:val="en-US" w:eastAsia="zh-CN"/>
              </w:rPr>
            </w:pPr>
            <w:r>
              <w:rPr>
                <w:rFonts w:hint="eastAsia"/>
                <w:b w:val="0"/>
                <w:bCs/>
                <w:color w:val="auto"/>
                <w:lang w:val="en-US" w:eastAsia="zh-CN"/>
              </w:rPr>
              <w:t>预先危险性分析</w:t>
            </w:r>
            <w:r>
              <w:rPr>
                <w:rFonts w:hint="eastAsia"/>
                <w:b w:val="0"/>
                <w:bCs/>
                <w:color w:val="auto"/>
                <w:lang w:val="sq-AL" w:eastAsia="zh-CN"/>
              </w:rPr>
              <w:t>法</w:t>
            </w:r>
          </w:p>
        </w:tc>
      </w:tr>
      <w:tr w14:paraId="5504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noWrap w:val="0"/>
            <w:vAlign w:val="center"/>
          </w:tcPr>
          <w:p w14:paraId="46EB770B">
            <w:pPr>
              <w:pStyle w:val="25"/>
              <w:bidi w:val="0"/>
              <w:rPr>
                <w:rFonts w:hint="eastAsia"/>
                <w:b w:val="0"/>
                <w:bCs/>
                <w:color w:val="auto"/>
                <w:lang w:val="sq-AL" w:eastAsia="zh-CN"/>
              </w:rPr>
            </w:pPr>
          </w:p>
        </w:tc>
        <w:tc>
          <w:tcPr>
            <w:tcW w:w="892" w:type="dxa"/>
            <w:vMerge w:val="continue"/>
            <w:noWrap w:val="0"/>
            <w:vAlign w:val="center"/>
          </w:tcPr>
          <w:p w14:paraId="61B23126">
            <w:pPr>
              <w:pStyle w:val="25"/>
              <w:bidi w:val="0"/>
              <w:rPr>
                <w:rFonts w:hint="eastAsia"/>
                <w:b w:val="0"/>
                <w:bCs/>
                <w:color w:val="auto"/>
                <w:lang w:val="en-US" w:eastAsia="zh-CN"/>
              </w:rPr>
            </w:pPr>
          </w:p>
        </w:tc>
        <w:tc>
          <w:tcPr>
            <w:tcW w:w="2308" w:type="dxa"/>
            <w:noWrap w:val="0"/>
            <w:vAlign w:val="center"/>
          </w:tcPr>
          <w:p w14:paraId="4FEB9F34">
            <w:pPr>
              <w:pStyle w:val="25"/>
              <w:bidi w:val="0"/>
              <w:rPr>
                <w:rFonts w:hint="eastAsia"/>
                <w:b w:val="0"/>
                <w:bCs/>
                <w:color w:val="auto"/>
                <w:lang w:val="en-US" w:eastAsia="zh-CN"/>
              </w:rPr>
            </w:pPr>
            <w:r>
              <w:rPr>
                <w:rFonts w:hint="eastAsia"/>
                <w:b w:val="0"/>
                <w:bCs/>
                <w:color w:val="auto"/>
                <w:lang w:val="en-US" w:eastAsia="zh-CN"/>
              </w:rPr>
              <w:t>破碎系统子单元</w:t>
            </w:r>
          </w:p>
        </w:tc>
        <w:tc>
          <w:tcPr>
            <w:tcW w:w="5349" w:type="dxa"/>
            <w:noWrap w:val="0"/>
            <w:vAlign w:val="center"/>
          </w:tcPr>
          <w:p w14:paraId="7693AD07">
            <w:pPr>
              <w:pStyle w:val="25"/>
              <w:bidi w:val="0"/>
              <w:rPr>
                <w:rFonts w:hint="eastAsia"/>
                <w:b w:val="0"/>
                <w:bCs/>
                <w:color w:val="auto"/>
                <w:lang w:val="en-US" w:eastAsia="zh-CN"/>
              </w:rPr>
            </w:pPr>
            <w:r>
              <w:rPr>
                <w:rFonts w:hint="eastAsia"/>
                <w:b w:val="0"/>
                <w:bCs/>
                <w:color w:val="auto"/>
                <w:lang w:val="en-US" w:eastAsia="zh-CN"/>
              </w:rPr>
              <w:t>预先危险性分析</w:t>
            </w:r>
            <w:r>
              <w:rPr>
                <w:rFonts w:hint="eastAsia"/>
                <w:b w:val="0"/>
                <w:bCs/>
                <w:color w:val="auto"/>
                <w:lang w:val="sq-AL" w:eastAsia="zh-CN"/>
              </w:rPr>
              <w:t>法</w:t>
            </w:r>
          </w:p>
        </w:tc>
      </w:tr>
      <w:tr w14:paraId="586A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noWrap w:val="0"/>
            <w:vAlign w:val="center"/>
          </w:tcPr>
          <w:p w14:paraId="665A65D5">
            <w:pPr>
              <w:pStyle w:val="25"/>
              <w:bidi w:val="0"/>
              <w:rPr>
                <w:rFonts w:hint="eastAsia"/>
                <w:b w:val="0"/>
                <w:bCs/>
                <w:color w:val="auto"/>
                <w:lang w:val="sq-AL" w:eastAsia="zh-CN"/>
              </w:rPr>
            </w:pPr>
          </w:p>
        </w:tc>
        <w:tc>
          <w:tcPr>
            <w:tcW w:w="892" w:type="dxa"/>
            <w:vMerge w:val="continue"/>
            <w:noWrap w:val="0"/>
            <w:vAlign w:val="center"/>
          </w:tcPr>
          <w:p w14:paraId="08B101B8">
            <w:pPr>
              <w:pStyle w:val="25"/>
              <w:bidi w:val="0"/>
              <w:rPr>
                <w:rFonts w:hint="eastAsia"/>
                <w:b w:val="0"/>
                <w:bCs/>
                <w:color w:val="auto"/>
                <w:lang w:val="en-US" w:eastAsia="zh-CN"/>
              </w:rPr>
            </w:pPr>
          </w:p>
        </w:tc>
        <w:tc>
          <w:tcPr>
            <w:tcW w:w="2308" w:type="dxa"/>
            <w:noWrap w:val="0"/>
            <w:vAlign w:val="center"/>
          </w:tcPr>
          <w:p w14:paraId="6C365EDB">
            <w:pPr>
              <w:pStyle w:val="25"/>
              <w:bidi w:val="0"/>
              <w:rPr>
                <w:rFonts w:hint="eastAsia"/>
                <w:b w:val="0"/>
                <w:bCs/>
                <w:color w:val="auto"/>
                <w:lang w:val="en-US" w:eastAsia="zh-CN"/>
              </w:rPr>
            </w:pPr>
            <w:r>
              <w:rPr>
                <w:rFonts w:hint="eastAsia"/>
                <w:b w:val="0"/>
                <w:bCs/>
                <w:color w:val="auto"/>
                <w:lang w:val="en-US" w:eastAsia="zh-CN"/>
              </w:rPr>
              <w:t>磨选系统子单元</w:t>
            </w:r>
          </w:p>
        </w:tc>
        <w:tc>
          <w:tcPr>
            <w:tcW w:w="5349" w:type="dxa"/>
            <w:noWrap w:val="0"/>
            <w:vAlign w:val="center"/>
          </w:tcPr>
          <w:p w14:paraId="38124C7F">
            <w:pPr>
              <w:pStyle w:val="25"/>
              <w:bidi w:val="0"/>
              <w:rPr>
                <w:rFonts w:hint="eastAsia"/>
                <w:b w:val="0"/>
                <w:bCs/>
                <w:color w:val="auto"/>
                <w:lang w:val="en-US" w:eastAsia="zh-CN"/>
              </w:rPr>
            </w:pPr>
            <w:r>
              <w:rPr>
                <w:rFonts w:hint="eastAsia"/>
                <w:b w:val="0"/>
                <w:bCs/>
                <w:color w:val="auto"/>
                <w:lang w:val="en-US" w:eastAsia="zh-CN"/>
              </w:rPr>
              <w:t>预先危险性分析</w:t>
            </w:r>
            <w:r>
              <w:rPr>
                <w:rFonts w:hint="eastAsia"/>
                <w:b w:val="0"/>
                <w:bCs/>
                <w:color w:val="auto"/>
                <w:lang w:val="sq-AL" w:eastAsia="zh-CN"/>
              </w:rPr>
              <w:t>法</w:t>
            </w:r>
          </w:p>
        </w:tc>
      </w:tr>
      <w:tr w14:paraId="04A1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noWrap w:val="0"/>
            <w:vAlign w:val="center"/>
          </w:tcPr>
          <w:p w14:paraId="44FFB17F">
            <w:pPr>
              <w:pStyle w:val="25"/>
              <w:bidi w:val="0"/>
              <w:rPr>
                <w:rFonts w:hint="eastAsia"/>
                <w:b w:val="0"/>
                <w:bCs/>
                <w:color w:val="auto"/>
                <w:lang w:val="sq-AL" w:eastAsia="zh-CN"/>
              </w:rPr>
            </w:pPr>
          </w:p>
        </w:tc>
        <w:tc>
          <w:tcPr>
            <w:tcW w:w="892" w:type="dxa"/>
            <w:vMerge w:val="continue"/>
            <w:noWrap w:val="0"/>
            <w:vAlign w:val="center"/>
          </w:tcPr>
          <w:p w14:paraId="199BB7B7">
            <w:pPr>
              <w:pStyle w:val="25"/>
              <w:bidi w:val="0"/>
              <w:rPr>
                <w:rFonts w:hint="eastAsia"/>
                <w:b w:val="0"/>
                <w:bCs/>
                <w:color w:val="auto"/>
                <w:lang w:val="en-US" w:eastAsia="zh-CN"/>
              </w:rPr>
            </w:pPr>
          </w:p>
        </w:tc>
        <w:tc>
          <w:tcPr>
            <w:tcW w:w="2308" w:type="dxa"/>
            <w:noWrap w:val="0"/>
            <w:vAlign w:val="center"/>
          </w:tcPr>
          <w:p w14:paraId="7C02642F">
            <w:pPr>
              <w:pStyle w:val="25"/>
              <w:bidi w:val="0"/>
              <w:rPr>
                <w:rFonts w:hint="eastAsia"/>
                <w:b w:val="0"/>
                <w:bCs/>
                <w:color w:val="auto"/>
                <w:lang w:val="en-US" w:eastAsia="zh-CN"/>
              </w:rPr>
            </w:pPr>
            <w:r>
              <w:rPr>
                <w:rFonts w:hint="eastAsia"/>
                <w:b w:val="0"/>
                <w:bCs/>
                <w:color w:val="auto"/>
                <w:lang w:val="en-US" w:eastAsia="zh-CN"/>
              </w:rPr>
              <w:t>浮选系统子单元</w:t>
            </w:r>
          </w:p>
        </w:tc>
        <w:tc>
          <w:tcPr>
            <w:tcW w:w="5349" w:type="dxa"/>
            <w:noWrap w:val="0"/>
            <w:vAlign w:val="center"/>
          </w:tcPr>
          <w:p w14:paraId="4DF3C9C6">
            <w:pPr>
              <w:pStyle w:val="25"/>
              <w:bidi w:val="0"/>
              <w:rPr>
                <w:rFonts w:hint="eastAsia"/>
                <w:b w:val="0"/>
                <w:bCs/>
                <w:color w:val="auto"/>
                <w:lang w:val="en-US" w:eastAsia="zh-CN"/>
              </w:rPr>
            </w:pPr>
            <w:r>
              <w:rPr>
                <w:rFonts w:hint="eastAsia"/>
                <w:b w:val="0"/>
                <w:bCs/>
                <w:color w:val="auto"/>
                <w:lang w:val="en-US" w:eastAsia="zh-CN"/>
              </w:rPr>
              <w:t>预先危险性分析</w:t>
            </w:r>
            <w:r>
              <w:rPr>
                <w:rFonts w:hint="eastAsia"/>
                <w:b w:val="0"/>
                <w:bCs/>
                <w:color w:val="auto"/>
                <w:lang w:val="sq-AL" w:eastAsia="zh-CN"/>
              </w:rPr>
              <w:t>法</w:t>
            </w:r>
          </w:p>
        </w:tc>
      </w:tr>
      <w:tr w14:paraId="21BC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noWrap w:val="0"/>
            <w:vAlign w:val="center"/>
          </w:tcPr>
          <w:p w14:paraId="1AFDF76E">
            <w:pPr>
              <w:pStyle w:val="25"/>
              <w:bidi w:val="0"/>
              <w:rPr>
                <w:rFonts w:hint="eastAsia"/>
                <w:b w:val="0"/>
                <w:bCs/>
                <w:color w:val="auto"/>
                <w:lang w:val="sq-AL" w:eastAsia="zh-CN"/>
              </w:rPr>
            </w:pPr>
          </w:p>
        </w:tc>
        <w:tc>
          <w:tcPr>
            <w:tcW w:w="892" w:type="dxa"/>
            <w:vMerge w:val="continue"/>
            <w:noWrap w:val="0"/>
            <w:vAlign w:val="center"/>
          </w:tcPr>
          <w:p w14:paraId="2C866A9F">
            <w:pPr>
              <w:pStyle w:val="25"/>
              <w:bidi w:val="0"/>
              <w:rPr>
                <w:rFonts w:hint="eastAsia"/>
                <w:b w:val="0"/>
                <w:bCs/>
                <w:color w:val="auto"/>
                <w:lang w:val="en-US" w:eastAsia="zh-CN"/>
              </w:rPr>
            </w:pPr>
          </w:p>
        </w:tc>
        <w:tc>
          <w:tcPr>
            <w:tcW w:w="2308" w:type="dxa"/>
            <w:noWrap w:val="0"/>
            <w:vAlign w:val="center"/>
          </w:tcPr>
          <w:p w14:paraId="59093344">
            <w:pPr>
              <w:pStyle w:val="25"/>
              <w:bidi w:val="0"/>
              <w:rPr>
                <w:rFonts w:hint="default"/>
                <w:b w:val="0"/>
                <w:bCs/>
                <w:color w:val="auto"/>
                <w:lang w:val="en-US" w:eastAsia="zh-CN"/>
              </w:rPr>
            </w:pPr>
            <w:r>
              <w:rPr>
                <w:rFonts w:hint="eastAsia"/>
                <w:b w:val="0"/>
                <w:bCs/>
                <w:color w:val="auto"/>
                <w:lang w:val="en-US" w:eastAsia="zh-CN"/>
              </w:rPr>
              <w:t>机械伤害子单元</w:t>
            </w:r>
          </w:p>
        </w:tc>
        <w:tc>
          <w:tcPr>
            <w:tcW w:w="5349" w:type="dxa"/>
            <w:noWrap w:val="0"/>
            <w:vAlign w:val="center"/>
          </w:tcPr>
          <w:p w14:paraId="65FE76F3">
            <w:pPr>
              <w:pStyle w:val="25"/>
              <w:bidi w:val="0"/>
              <w:rPr>
                <w:rFonts w:hint="eastAsia"/>
                <w:b w:val="0"/>
                <w:bCs/>
                <w:color w:val="auto"/>
                <w:lang w:val="en-US" w:eastAsia="zh-CN"/>
              </w:rPr>
            </w:pPr>
            <w:r>
              <w:rPr>
                <w:rFonts w:hint="eastAsia"/>
                <w:b w:val="0"/>
                <w:bCs/>
                <w:color w:val="auto"/>
                <w:lang w:val="en-US" w:eastAsia="zh-CN"/>
              </w:rPr>
              <w:t>事故树分析方法</w:t>
            </w:r>
          </w:p>
        </w:tc>
      </w:tr>
      <w:tr w14:paraId="11CE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noWrap w:val="0"/>
            <w:vAlign w:val="center"/>
          </w:tcPr>
          <w:p w14:paraId="07B8B6A7">
            <w:pPr>
              <w:pStyle w:val="25"/>
              <w:bidi w:val="0"/>
              <w:rPr>
                <w:rFonts w:hint="eastAsia"/>
                <w:b w:val="0"/>
                <w:bCs/>
                <w:color w:val="auto"/>
                <w:lang w:val="sq-AL" w:eastAsia="zh-CN"/>
              </w:rPr>
            </w:pPr>
          </w:p>
        </w:tc>
        <w:tc>
          <w:tcPr>
            <w:tcW w:w="892" w:type="dxa"/>
            <w:vMerge w:val="continue"/>
            <w:noWrap w:val="0"/>
            <w:vAlign w:val="center"/>
          </w:tcPr>
          <w:p w14:paraId="2C2140D0">
            <w:pPr>
              <w:pStyle w:val="25"/>
              <w:bidi w:val="0"/>
              <w:rPr>
                <w:rFonts w:hint="eastAsia"/>
                <w:b w:val="0"/>
                <w:bCs/>
                <w:color w:val="auto"/>
                <w:lang w:val="en-US" w:eastAsia="zh-CN"/>
              </w:rPr>
            </w:pPr>
          </w:p>
        </w:tc>
        <w:tc>
          <w:tcPr>
            <w:tcW w:w="2308" w:type="dxa"/>
            <w:noWrap w:val="0"/>
            <w:vAlign w:val="center"/>
          </w:tcPr>
          <w:p w14:paraId="5B62F56F">
            <w:pPr>
              <w:pStyle w:val="25"/>
              <w:bidi w:val="0"/>
              <w:rPr>
                <w:rFonts w:hint="default"/>
                <w:b w:val="0"/>
                <w:bCs/>
                <w:color w:val="auto"/>
                <w:lang w:val="en-US" w:eastAsia="zh-CN"/>
              </w:rPr>
            </w:pPr>
            <w:r>
              <w:rPr>
                <w:rFonts w:hint="eastAsia"/>
                <w:b w:val="0"/>
                <w:bCs/>
                <w:color w:val="auto"/>
                <w:lang w:val="en-US" w:eastAsia="zh-CN"/>
              </w:rPr>
              <w:t>起重伤害子单元</w:t>
            </w:r>
          </w:p>
        </w:tc>
        <w:tc>
          <w:tcPr>
            <w:tcW w:w="5349" w:type="dxa"/>
            <w:noWrap w:val="0"/>
            <w:vAlign w:val="center"/>
          </w:tcPr>
          <w:p w14:paraId="26B45B78">
            <w:pPr>
              <w:pStyle w:val="25"/>
              <w:bidi w:val="0"/>
              <w:rPr>
                <w:rFonts w:hint="eastAsia"/>
                <w:b w:val="0"/>
                <w:bCs/>
                <w:color w:val="auto"/>
                <w:lang w:val="en-US" w:eastAsia="zh-CN"/>
              </w:rPr>
            </w:pPr>
            <w:r>
              <w:rPr>
                <w:rFonts w:hint="eastAsia"/>
                <w:b w:val="0"/>
                <w:bCs/>
                <w:color w:val="auto"/>
                <w:lang w:val="en-US" w:eastAsia="zh-CN"/>
              </w:rPr>
              <w:t>事故树分析方法</w:t>
            </w:r>
          </w:p>
        </w:tc>
      </w:tr>
      <w:tr w14:paraId="4BAA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noWrap w:val="0"/>
            <w:vAlign w:val="center"/>
          </w:tcPr>
          <w:p w14:paraId="14E12FB3">
            <w:pPr>
              <w:pStyle w:val="25"/>
              <w:bidi w:val="0"/>
              <w:rPr>
                <w:rFonts w:hint="eastAsia"/>
                <w:b w:val="0"/>
                <w:bCs/>
                <w:color w:val="auto"/>
                <w:lang w:val="sq-AL" w:eastAsia="zh-CN"/>
              </w:rPr>
            </w:pPr>
          </w:p>
        </w:tc>
        <w:tc>
          <w:tcPr>
            <w:tcW w:w="892" w:type="dxa"/>
            <w:vMerge w:val="continue"/>
            <w:noWrap w:val="0"/>
            <w:vAlign w:val="center"/>
          </w:tcPr>
          <w:p w14:paraId="6619DC68">
            <w:pPr>
              <w:pStyle w:val="25"/>
              <w:bidi w:val="0"/>
              <w:rPr>
                <w:rFonts w:hint="eastAsia"/>
                <w:b w:val="0"/>
                <w:bCs/>
                <w:color w:val="auto"/>
                <w:lang w:val="en-US" w:eastAsia="zh-CN"/>
              </w:rPr>
            </w:pPr>
          </w:p>
        </w:tc>
        <w:tc>
          <w:tcPr>
            <w:tcW w:w="2308" w:type="dxa"/>
            <w:noWrap w:val="0"/>
            <w:vAlign w:val="center"/>
          </w:tcPr>
          <w:p w14:paraId="40D714AB">
            <w:pPr>
              <w:pStyle w:val="25"/>
              <w:bidi w:val="0"/>
              <w:rPr>
                <w:rFonts w:hint="eastAsia"/>
                <w:b w:val="0"/>
                <w:bCs/>
                <w:color w:val="auto"/>
                <w:lang w:val="en-US" w:eastAsia="zh-CN"/>
              </w:rPr>
            </w:pPr>
            <w:r>
              <w:rPr>
                <w:rFonts w:hint="eastAsia"/>
                <w:b w:val="0"/>
                <w:bCs/>
                <w:color w:val="auto"/>
                <w:lang w:val="en-US" w:eastAsia="zh-CN"/>
              </w:rPr>
              <w:t>回水系统子单元</w:t>
            </w:r>
          </w:p>
        </w:tc>
        <w:tc>
          <w:tcPr>
            <w:tcW w:w="5349" w:type="dxa"/>
            <w:shd w:val="clear" w:color="auto" w:fill="auto"/>
            <w:noWrap w:val="0"/>
            <w:vAlign w:val="center"/>
          </w:tcPr>
          <w:p w14:paraId="6F8E09C2">
            <w:pPr>
              <w:pStyle w:val="25"/>
              <w:bidi w:val="0"/>
              <w:ind w:firstLine="0" w:firstLineChars="0"/>
              <w:rPr>
                <w:rFonts w:hint="eastAsia" w:ascii="Times New Roman" w:hAnsi="Times New Roman" w:eastAsia="宋体" w:cstheme="minorBidi"/>
                <w:b w:val="0"/>
                <w:bCs/>
                <w:color w:val="auto"/>
                <w:kern w:val="2"/>
                <w:sz w:val="21"/>
                <w:szCs w:val="28"/>
                <w:lang w:val="en-US" w:eastAsia="zh-CN" w:bidi="ar-SA"/>
              </w:rPr>
            </w:pPr>
            <w:r>
              <w:rPr>
                <w:rFonts w:hint="eastAsia"/>
                <w:b w:val="0"/>
                <w:bCs/>
                <w:color w:val="auto"/>
                <w:lang w:val="en-US" w:eastAsia="zh-CN"/>
              </w:rPr>
              <w:t>预先危险性分析</w:t>
            </w:r>
            <w:r>
              <w:rPr>
                <w:rFonts w:hint="eastAsia"/>
                <w:b w:val="0"/>
                <w:bCs/>
                <w:color w:val="auto"/>
                <w:lang w:val="sq-AL" w:eastAsia="zh-CN"/>
              </w:rPr>
              <w:t>法</w:t>
            </w:r>
          </w:p>
        </w:tc>
      </w:tr>
      <w:tr w14:paraId="4962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noWrap w:val="0"/>
            <w:vAlign w:val="center"/>
          </w:tcPr>
          <w:p w14:paraId="0BEF19D5">
            <w:pPr>
              <w:pStyle w:val="25"/>
              <w:bidi w:val="0"/>
              <w:rPr>
                <w:rFonts w:hint="eastAsia"/>
                <w:b w:val="0"/>
                <w:bCs/>
                <w:color w:val="auto"/>
                <w:lang w:val="sq-AL" w:eastAsia="zh-CN"/>
              </w:rPr>
            </w:pPr>
          </w:p>
        </w:tc>
        <w:tc>
          <w:tcPr>
            <w:tcW w:w="892" w:type="dxa"/>
            <w:vMerge w:val="continue"/>
            <w:noWrap w:val="0"/>
            <w:vAlign w:val="center"/>
          </w:tcPr>
          <w:p w14:paraId="77B7AB0C">
            <w:pPr>
              <w:pStyle w:val="25"/>
              <w:bidi w:val="0"/>
              <w:rPr>
                <w:rFonts w:hint="eastAsia"/>
                <w:b w:val="0"/>
                <w:bCs/>
                <w:color w:val="auto"/>
                <w:lang w:val="en-US" w:eastAsia="zh-CN"/>
              </w:rPr>
            </w:pPr>
          </w:p>
        </w:tc>
        <w:tc>
          <w:tcPr>
            <w:tcW w:w="2308" w:type="dxa"/>
            <w:noWrap w:val="0"/>
            <w:vAlign w:val="center"/>
          </w:tcPr>
          <w:p w14:paraId="00AA420C">
            <w:pPr>
              <w:pStyle w:val="25"/>
              <w:bidi w:val="0"/>
              <w:rPr>
                <w:rFonts w:hint="eastAsia"/>
                <w:b w:val="0"/>
                <w:bCs/>
                <w:color w:val="auto"/>
                <w:lang w:val="en-US" w:eastAsia="zh-CN"/>
              </w:rPr>
            </w:pPr>
            <w:r>
              <w:rPr>
                <w:rFonts w:hint="eastAsia"/>
                <w:b w:val="0"/>
                <w:bCs/>
                <w:color w:val="auto"/>
                <w:lang w:val="en-US" w:eastAsia="zh-CN"/>
              </w:rPr>
              <w:t>脱水系统子单元</w:t>
            </w:r>
          </w:p>
        </w:tc>
        <w:tc>
          <w:tcPr>
            <w:tcW w:w="5349" w:type="dxa"/>
            <w:shd w:val="clear" w:color="auto" w:fill="auto"/>
            <w:noWrap w:val="0"/>
            <w:vAlign w:val="center"/>
          </w:tcPr>
          <w:p w14:paraId="72AEF735">
            <w:pPr>
              <w:pStyle w:val="25"/>
              <w:bidi w:val="0"/>
              <w:ind w:firstLine="0" w:firstLineChars="0"/>
              <w:rPr>
                <w:rFonts w:hint="eastAsia" w:ascii="Times New Roman" w:hAnsi="Times New Roman" w:eastAsia="宋体" w:cstheme="minorBidi"/>
                <w:b w:val="0"/>
                <w:bCs/>
                <w:color w:val="auto"/>
                <w:kern w:val="2"/>
                <w:sz w:val="21"/>
                <w:szCs w:val="28"/>
                <w:lang w:val="en-US" w:eastAsia="zh-CN" w:bidi="ar-SA"/>
              </w:rPr>
            </w:pPr>
            <w:r>
              <w:rPr>
                <w:rFonts w:hint="eastAsia"/>
                <w:b w:val="0"/>
                <w:bCs/>
                <w:color w:val="auto"/>
                <w:lang w:val="en-US" w:eastAsia="zh-CN"/>
              </w:rPr>
              <w:t>预先危险性分析</w:t>
            </w:r>
            <w:r>
              <w:rPr>
                <w:rFonts w:hint="eastAsia"/>
                <w:b w:val="0"/>
                <w:bCs/>
                <w:color w:val="auto"/>
                <w:lang w:val="sq-AL" w:eastAsia="zh-CN"/>
              </w:rPr>
              <w:t>法</w:t>
            </w:r>
          </w:p>
        </w:tc>
      </w:tr>
      <w:tr w14:paraId="1036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42F0D7F2">
            <w:pPr>
              <w:pStyle w:val="25"/>
              <w:bidi w:val="0"/>
              <w:rPr>
                <w:rFonts w:hint="default"/>
                <w:b w:val="0"/>
                <w:bCs/>
                <w:color w:val="auto"/>
                <w:lang w:val="en-US" w:eastAsia="zh-CN"/>
              </w:rPr>
            </w:pPr>
            <w:r>
              <w:rPr>
                <w:rFonts w:hint="eastAsia"/>
                <w:b w:val="0"/>
                <w:bCs/>
                <w:color w:val="auto"/>
                <w:lang w:val="sq-AL"/>
              </w:rPr>
              <w:t>3</w:t>
            </w:r>
          </w:p>
        </w:tc>
        <w:tc>
          <w:tcPr>
            <w:tcW w:w="3200" w:type="dxa"/>
            <w:gridSpan w:val="2"/>
            <w:noWrap w:val="0"/>
            <w:vAlign w:val="center"/>
          </w:tcPr>
          <w:p w14:paraId="2D39A61F">
            <w:pPr>
              <w:pStyle w:val="25"/>
              <w:bidi w:val="0"/>
              <w:rPr>
                <w:rFonts w:hint="default"/>
                <w:b w:val="0"/>
                <w:bCs/>
                <w:color w:val="auto"/>
                <w:lang w:val="en-US" w:eastAsia="zh-CN"/>
              </w:rPr>
            </w:pPr>
            <w:r>
              <w:rPr>
                <w:rFonts w:hint="default"/>
                <w:b w:val="0"/>
                <w:bCs/>
                <w:color w:val="auto"/>
                <w:lang w:val="en-US" w:eastAsia="zh-CN"/>
              </w:rPr>
              <w:t>防排水和防灭火单元</w:t>
            </w:r>
          </w:p>
        </w:tc>
        <w:tc>
          <w:tcPr>
            <w:tcW w:w="5349" w:type="dxa"/>
            <w:noWrap w:val="0"/>
            <w:vAlign w:val="center"/>
          </w:tcPr>
          <w:p w14:paraId="16B511EA">
            <w:pPr>
              <w:pStyle w:val="25"/>
              <w:bidi w:val="0"/>
              <w:rPr>
                <w:rFonts w:hint="default"/>
                <w:b w:val="0"/>
                <w:bCs/>
                <w:color w:val="auto"/>
                <w:lang w:val="en-US" w:eastAsia="zh-CN"/>
              </w:rPr>
            </w:pPr>
            <w:r>
              <w:rPr>
                <w:rFonts w:hint="eastAsia"/>
                <w:b w:val="0"/>
                <w:bCs/>
                <w:color w:val="auto"/>
                <w:lang w:val="en-US" w:eastAsia="zh-CN"/>
              </w:rPr>
              <w:t>预先危险性分析</w:t>
            </w:r>
            <w:r>
              <w:rPr>
                <w:rFonts w:hint="eastAsia"/>
                <w:b w:val="0"/>
                <w:bCs/>
                <w:color w:val="auto"/>
                <w:lang w:val="sq-AL"/>
              </w:rPr>
              <w:t>法</w:t>
            </w:r>
          </w:p>
        </w:tc>
      </w:tr>
      <w:tr w14:paraId="4259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4E2E5926">
            <w:pPr>
              <w:pStyle w:val="25"/>
              <w:bidi w:val="0"/>
              <w:rPr>
                <w:rFonts w:hint="default"/>
                <w:b w:val="0"/>
                <w:bCs/>
                <w:color w:val="auto"/>
                <w:lang w:val="en-US" w:eastAsia="zh-CN"/>
              </w:rPr>
            </w:pPr>
            <w:r>
              <w:rPr>
                <w:rFonts w:hint="eastAsia"/>
                <w:b w:val="0"/>
                <w:bCs/>
                <w:color w:val="auto"/>
                <w:lang w:val="sq-AL"/>
              </w:rPr>
              <w:t>4</w:t>
            </w:r>
          </w:p>
        </w:tc>
        <w:tc>
          <w:tcPr>
            <w:tcW w:w="3200" w:type="dxa"/>
            <w:gridSpan w:val="2"/>
            <w:noWrap w:val="0"/>
            <w:vAlign w:val="center"/>
          </w:tcPr>
          <w:p w14:paraId="4676C8D4">
            <w:pPr>
              <w:pStyle w:val="25"/>
              <w:bidi w:val="0"/>
              <w:rPr>
                <w:rFonts w:hint="default"/>
                <w:b w:val="0"/>
                <w:bCs/>
                <w:color w:val="auto"/>
                <w:lang w:val="en-US" w:eastAsia="zh-CN"/>
              </w:rPr>
            </w:pPr>
            <w:r>
              <w:rPr>
                <w:rFonts w:hint="default"/>
                <w:b w:val="0"/>
                <w:bCs/>
                <w:color w:val="auto"/>
                <w:lang w:val="en-US" w:eastAsia="zh-CN"/>
              </w:rPr>
              <w:t>供配电系统单元</w:t>
            </w:r>
          </w:p>
        </w:tc>
        <w:tc>
          <w:tcPr>
            <w:tcW w:w="5349" w:type="dxa"/>
            <w:noWrap w:val="0"/>
            <w:vAlign w:val="center"/>
          </w:tcPr>
          <w:p w14:paraId="00B1054F">
            <w:pPr>
              <w:pStyle w:val="25"/>
              <w:bidi w:val="0"/>
              <w:rPr>
                <w:rFonts w:hint="default"/>
                <w:b w:val="0"/>
                <w:bCs/>
                <w:color w:val="auto"/>
                <w:lang w:val="en-US" w:eastAsia="zh-CN"/>
              </w:rPr>
            </w:pPr>
            <w:r>
              <w:rPr>
                <w:rFonts w:hint="eastAsia"/>
                <w:b w:val="0"/>
                <w:bCs/>
                <w:color w:val="auto"/>
                <w:lang w:val="en-US" w:eastAsia="zh-CN"/>
              </w:rPr>
              <w:t>预先危险性分析</w:t>
            </w:r>
            <w:r>
              <w:rPr>
                <w:rFonts w:hint="eastAsia"/>
                <w:b w:val="0"/>
                <w:bCs/>
                <w:color w:val="auto"/>
                <w:lang w:val="sq-AL"/>
              </w:rPr>
              <w:t>法</w:t>
            </w:r>
            <w:r>
              <w:rPr>
                <w:rFonts w:hint="eastAsia"/>
                <w:b w:val="0"/>
                <w:bCs/>
                <w:color w:val="auto"/>
                <w:lang w:val="sq-AL" w:eastAsia="zh-CN"/>
              </w:rPr>
              <w:t>、</w:t>
            </w:r>
            <w:r>
              <w:rPr>
                <w:rFonts w:hint="eastAsia"/>
                <w:b w:val="0"/>
                <w:bCs/>
                <w:color w:val="auto"/>
                <w:lang w:val="en-US" w:eastAsia="zh-CN"/>
              </w:rPr>
              <w:t>事故树分析方法</w:t>
            </w:r>
          </w:p>
        </w:tc>
      </w:tr>
      <w:tr w14:paraId="204E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7A966B04">
            <w:pPr>
              <w:pStyle w:val="25"/>
              <w:bidi w:val="0"/>
              <w:rPr>
                <w:rFonts w:hint="eastAsia"/>
                <w:b w:val="0"/>
                <w:bCs/>
                <w:color w:val="auto"/>
                <w:lang w:val="en-US" w:eastAsia="zh-CN"/>
              </w:rPr>
            </w:pPr>
            <w:r>
              <w:rPr>
                <w:rFonts w:hint="eastAsia"/>
                <w:b w:val="0"/>
                <w:bCs/>
                <w:color w:val="auto"/>
                <w:lang w:val="en-US" w:eastAsia="zh-CN"/>
              </w:rPr>
              <w:t>5</w:t>
            </w:r>
          </w:p>
        </w:tc>
        <w:tc>
          <w:tcPr>
            <w:tcW w:w="3200" w:type="dxa"/>
            <w:gridSpan w:val="2"/>
            <w:noWrap w:val="0"/>
            <w:vAlign w:val="center"/>
          </w:tcPr>
          <w:p w14:paraId="3E906CA8">
            <w:pPr>
              <w:pStyle w:val="25"/>
              <w:bidi w:val="0"/>
              <w:rPr>
                <w:rFonts w:hint="default"/>
                <w:b w:val="0"/>
                <w:bCs/>
                <w:color w:val="auto"/>
                <w:lang w:val="en-US" w:eastAsia="zh-CN"/>
              </w:rPr>
            </w:pPr>
            <w:r>
              <w:rPr>
                <w:rFonts w:hint="eastAsia"/>
                <w:b w:val="0"/>
                <w:bCs/>
                <w:color w:val="auto"/>
                <w:lang w:val="en-US" w:eastAsia="zh-CN"/>
              </w:rPr>
              <w:t>安全管理单元</w:t>
            </w:r>
          </w:p>
        </w:tc>
        <w:tc>
          <w:tcPr>
            <w:tcW w:w="5349" w:type="dxa"/>
            <w:noWrap w:val="0"/>
            <w:vAlign w:val="center"/>
          </w:tcPr>
          <w:p w14:paraId="663001E8">
            <w:pPr>
              <w:pStyle w:val="25"/>
              <w:bidi w:val="0"/>
              <w:rPr>
                <w:rFonts w:hint="eastAsia"/>
                <w:b w:val="0"/>
                <w:bCs/>
                <w:color w:val="auto"/>
                <w:lang w:val="en-US" w:eastAsia="zh-CN"/>
              </w:rPr>
            </w:pPr>
            <w:r>
              <w:rPr>
                <w:rFonts w:hint="eastAsia"/>
                <w:b w:val="0"/>
                <w:bCs/>
                <w:color w:val="auto"/>
                <w:lang w:val="en-US" w:eastAsia="zh-CN"/>
              </w:rPr>
              <w:t>预先危险性分析</w:t>
            </w:r>
            <w:r>
              <w:rPr>
                <w:rFonts w:hint="eastAsia"/>
                <w:b w:val="0"/>
                <w:bCs/>
                <w:color w:val="auto"/>
                <w:lang w:val="sq-AL"/>
              </w:rPr>
              <w:t>法</w:t>
            </w:r>
          </w:p>
        </w:tc>
      </w:tr>
    </w:tbl>
    <w:p w14:paraId="68ADD071">
      <w:pPr>
        <w:pStyle w:val="3"/>
        <w:keepNext w:val="0"/>
        <w:keepLines w:val="0"/>
        <w:spacing w:before="0" w:beforeLines="-2147483648" w:beforeAutospacing="0" w:after="0" w:afterLines="-2147483648" w:afterAutospacing="0" w:line="360" w:lineRule="auto"/>
        <w:ind w:firstLine="0" w:firstLineChars="0"/>
        <w:jc w:val="center"/>
        <w:rPr>
          <w:rFonts w:hint="default" w:ascii="Times New Roman" w:hAnsi="Times New Roman" w:eastAsia="黑体" w:cs="Times New Roman"/>
          <w:b/>
          <w:bCs/>
          <w:color w:val="auto"/>
          <w:sz w:val="30"/>
          <w:szCs w:val="30"/>
          <w:lang w:val="en-US" w:eastAsia="zh-CN"/>
        </w:rPr>
      </w:pPr>
      <w:bookmarkStart w:id="154" w:name="_Toc13911"/>
      <w:bookmarkStart w:id="155" w:name="_Toc9396"/>
      <w:bookmarkStart w:id="156" w:name="_Toc3007"/>
      <w:r>
        <w:rPr>
          <w:rFonts w:hint="default" w:ascii="Times New Roman" w:hAnsi="Times New Roman" w:eastAsia="黑体" w:cs="Times New Roman"/>
          <w:b/>
          <w:bCs/>
          <w:color w:val="auto"/>
          <w:sz w:val="30"/>
          <w:szCs w:val="30"/>
          <w:lang w:val="en-US" w:eastAsia="zh-CN"/>
        </w:rPr>
        <w:t>4.2评价方法介绍</w:t>
      </w:r>
      <w:bookmarkEnd w:id="154"/>
      <w:bookmarkEnd w:id="155"/>
      <w:bookmarkEnd w:id="156"/>
    </w:p>
    <w:p w14:paraId="1503CEC2">
      <w:pPr>
        <w:bidi w:val="0"/>
        <w:rPr>
          <w:rFonts w:hint="default"/>
          <w:b w:val="0"/>
          <w:bCs/>
          <w:color w:val="auto"/>
          <w:lang w:val="en-US" w:eastAsia="zh-CN"/>
        </w:rPr>
      </w:pPr>
      <w:r>
        <w:rPr>
          <w:rFonts w:hint="default"/>
          <w:b w:val="0"/>
          <w:bCs/>
          <w:color w:val="auto"/>
          <w:lang w:val="en-US" w:eastAsia="zh-CN"/>
        </w:rPr>
        <w:t>安全评价方法是对系统的危险因素、危害因素及其危险、危害程度进行分析、评价的方法。按照特性可分为定性安全评价和定量安全评价。由于本项目为安全预评价，需对项目进行检查对比和危险分析。针对被评价单元的实际情况和从评价效果出发，采用的评价方法为：①预先危险性分析法（PHA）；②安全检查表法（SCL）；③事故树分析法（FTA）。</w:t>
      </w:r>
    </w:p>
    <w:p w14:paraId="36C2FF00">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lang w:val="en-US" w:eastAsia="zh-CN"/>
        </w:rPr>
      </w:pPr>
      <w:bookmarkStart w:id="157" w:name="_Toc9814"/>
      <w:r>
        <w:rPr>
          <w:rFonts w:hint="default" w:ascii="Times New Roman" w:hAnsi="Times New Roman" w:cs="Times New Roman"/>
          <w:bCs/>
          <w:color w:val="auto"/>
          <w:sz w:val="28"/>
          <w:szCs w:val="28"/>
          <w:lang w:val="en-US" w:eastAsia="zh-CN"/>
        </w:rPr>
        <w:t>4.2.1预先危险性分析法（PHA法）</w:t>
      </w:r>
      <w:bookmarkEnd w:id="157"/>
    </w:p>
    <w:p w14:paraId="0E98B03B">
      <w:pPr>
        <w:bidi w:val="0"/>
        <w:rPr>
          <w:rFonts w:hint="default"/>
          <w:b w:val="0"/>
          <w:bCs/>
          <w:color w:val="auto"/>
          <w:lang w:val="en-US" w:eastAsia="zh-CN"/>
        </w:rPr>
      </w:pPr>
      <w:r>
        <w:rPr>
          <w:rFonts w:hint="default"/>
          <w:b w:val="0"/>
          <w:bCs/>
          <w:color w:val="auto"/>
          <w:lang w:val="en-US" w:eastAsia="zh-CN"/>
        </w:rPr>
        <w:t>预先危险性分析（PHA）也可称为危险性预先分析，是一种对系统存在的危险性类别、出现危险状态的条件、导致事故的后果，做一概略的分析而采用的分析方法，其目的是辨识系统中存在的潜在危险，确定其危险等级。</w:t>
      </w:r>
    </w:p>
    <w:p w14:paraId="345F0273">
      <w:pPr>
        <w:bidi w:val="0"/>
        <w:rPr>
          <w:rFonts w:hint="default"/>
          <w:b w:val="0"/>
          <w:bCs/>
          <w:color w:val="auto"/>
          <w:lang w:val="en-US" w:eastAsia="zh-CN"/>
        </w:rPr>
      </w:pPr>
      <w:r>
        <w:rPr>
          <w:rFonts w:hint="default"/>
          <w:b w:val="0"/>
          <w:bCs/>
          <w:color w:val="auto"/>
          <w:lang w:val="en-US" w:eastAsia="zh-CN"/>
        </w:rPr>
        <w:t>1、功能</w:t>
      </w:r>
    </w:p>
    <w:p w14:paraId="66CCEE8B">
      <w:pPr>
        <w:bidi w:val="0"/>
        <w:rPr>
          <w:rFonts w:hint="default"/>
          <w:b w:val="0"/>
          <w:bCs/>
          <w:color w:val="auto"/>
          <w:lang w:val="en-US" w:eastAsia="zh-CN"/>
        </w:rPr>
      </w:pPr>
      <w:r>
        <w:rPr>
          <w:rFonts w:hint="default"/>
          <w:b w:val="0"/>
          <w:bCs/>
          <w:color w:val="auto"/>
          <w:lang w:val="en-US" w:eastAsia="zh-CN"/>
        </w:rPr>
        <w:t>（1）大体识别与系统有关的主要危险；</w:t>
      </w:r>
    </w:p>
    <w:p w14:paraId="407B2181">
      <w:pPr>
        <w:bidi w:val="0"/>
        <w:rPr>
          <w:rFonts w:hint="default"/>
          <w:b w:val="0"/>
          <w:bCs/>
          <w:color w:val="auto"/>
          <w:lang w:val="en-US" w:eastAsia="zh-CN"/>
        </w:rPr>
      </w:pPr>
      <w:r>
        <w:rPr>
          <w:rFonts w:hint="default"/>
          <w:b w:val="0"/>
          <w:bCs/>
          <w:color w:val="auto"/>
          <w:lang w:val="en-US" w:eastAsia="zh-CN"/>
        </w:rPr>
        <w:t>（2）鉴别产生危险的原因；</w:t>
      </w:r>
    </w:p>
    <w:p w14:paraId="703BB1DD">
      <w:pPr>
        <w:bidi w:val="0"/>
        <w:rPr>
          <w:rFonts w:hint="default"/>
          <w:b w:val="0"/>
          <w:bCs/>
          <w:color w:val="auto"/>
          <w:lang w:val="en-US" w:eastAsia="zh-CN"/>
        </w:rPr>
      </w:pPr>
      <w:r>
        <w:rPr>
          <w:rFonts w:hint="default"/>
          <w:b w:val="0"/>
          <w:bCs/>
          <w:color w:val="auto"/>
          <w:lang w:val="en-US" w:eastAsia="zh-CN"/>
        </w:rPr>
        <w:t>（3）预测事故出现对人体及系统的影响；</w:t>
      </w:r>
    </w:p>
    <w:p w14:paraId="566A6852">
      <w:pPr>
        <w:bidi w:val="0"/>
        <w:rPr>
          <w:rFonts w:hint="default"/>
          <w:b w:val="0"/>
          <w:bCs/>
          <w:color w:val="auto"/>
          <w:lang w:val="en-US" w:eastAsia="zh-CN"/>
        </w:rPr>
      </w:pPr>
      <w:r>
        <w:rPr>
          <w:rFonts w:hint="default"/>
          <w:b w:val="0"/>
          <w:bCs/>
          <w:color w:val="auto"/>
          <w:lang w:val="en-US" w:eastAsia="zh-CN"/>
        </w:rPr>
        <w:t>（4）判定已识别的危险性等级，并提出削减或控制危险性的措施。</w:t>
      </w:r>
    </w:p>
    <w:p w14:paraId="76CD91ED">
      <w:pPr>
        <w:bidi w:val="0"/>
        <w:rPr>
          <w:rFonts w:hint="default"/>
          <w:b w:val="0"/>
          <w:bCs/>
          <w:color w:val="auto"/>
          <w:lang w:val="en-US" w:eastAsia="zh-CN"/>
        </w:rPr>
      </w:pPr>
      <w:r>
        <w:rPr>
          <w:rFonts w:hint="default"/>
          <w:b w:val="0"/>
          <w:bCs/>
          <w:color w:val="auto"/>
          <w:lang w:val="en-US" w:eastAsia="zh-CN"/>
        </w:rPr>
        <w:t>2、系统（单元）预先危险性等级划分</w:t>
      </w:r>
    </w:p>
    <w:p w14:paraId="00623277">
      <w:pPr>
        <w:bidi w:val="0"/>
        <w:rPr>
          <w:rFonts w:hint="default"/>
          <w:b w:val="0"/>
          <w:bCs/>
          <w:color w:val="auto"/>
          <w:lang w:val="en-US" w:eastAsia="zh-CN"/>
        </w:rPr>
      </w:pPr>
      <w:r>
        <w:rPr>
          <w:rFonts w:hint="default"/>
          <w:b w:val="0"/>
          <w:bCs/>
          <w:color w:val="auto"/>
          <w:lang w:val="en-US" w:eastAsia="zh-CN"/>
        </w:rPr>
        <w:t>系统（单元）预先危险性等级系数按下式确定：</w:t>
      </w:r>
    </w:p>
    <w:p w14:paraId="5D01875B">
      <w:pPr>
        <w:bidi w:val="0"/>
        <w:rPr>
          <w:rFonts w:hint="default"/>
          <w:b w:val="0"/>
          <w:bCs/>
          <w:color w:val="auto"/>
          <w:lang w:val="en-US" w:eastAsia="zh-CN"/>
        </w:rPr>
      </w:pPr>
      <w:r>
        <w:rPr>
          <w:rFonts w:hint="default"/>
          <w:b w:val="0"/>
          <w:bCs/>
          <w:color w:val="auto"/>
          <w:lang w:val="en-US" w:eastAsia="zh-CN"/>
        </w:rPr>
        <w:t>W=∑（P×K）/∑K</w:t>
      </w:r>
    </w:p>
    <w:p w14:paraId="4DCA450A">
      <w:pPr>
        <w:bidi w:val="0"/>
        <w:rPr>
          <w:rFonts w:hint="default"/>
          <w:b w:val="0"/>
          <w:bCs/>
          <w:color w:val="auto"/>
          <w:lang w:val="en-US" w:eastAsia="zh-CN"/>
        </w:rPr>
      </w:pPr>
      <w:r>
        <w:rPr>
          <w:rFonts w:hint="default"/>
          <w:b w:val="0"/>
          <w:bCs/>
          <w:color w:val="auto"/>
          <w:lang w:val="en-US" w:eastAsia="zh-CN"/>
        </w:rPr>
        <w:t>式中：W—系统（单元）预先危险性等级系数，划分标准见表4</w:t>
      </w:r>
      <w:r>
        <w:rPr>
          <w:rFonts w:hint="eastAsia"/>
          <w:b w:val="0"/>
          <w:bCs/>
          <w:color w:val="auto"/>
          <w:lang w:val="en-US" w:eastAsia="zh-CN"/>
        </w:rPr>
        <w:t>.2</w:t>
      </w:r>
      <w:r>
        <w:rPr>
          <w:rFonts w:hint="default"/>
          <w:b w:val="0"/>
          <w:bCs/>
          <w:color w:val="auto"/>
          <w:lang w:val="en-US" w:eastAsia="zh-CN"/>
        </w:rPr>
        <w:t>-1；</w:t>
      </w:r>
    </w:p>
    <w:p w14:paraId="372530F1">
      <w:pPr>
        <w:bidi w:val="0"/>
        <w:rPr>
          <w:rFonts w:hint="default"/>
          <w:b w:val="0"/>
          <w:bCs/>
          <w:color w:val="auto"/>
          <w:lang w:val="en-US" w:eastAsia="zh-CN"/>
        </w:rPr>
      </w:pPr>
      <w:r>
        <w:rPr>
          <w:rFonts w:hint="default"/>
          <w:b w:val="0"/>
          <w:bCs/>
          <w:color w:val="auto"/>
          <w:lang w:val="en-US" w:eastAsia="zh-CN"/>
        </w:rPr>
        <w:t>P—分析项目的危险性等级系数，划分标准见表4</w:t>
      </w:r>
      <w:r>
        <w:rPr>
          <w:rFonts w:hint="eastAsia"/>
          <w:b w:val="0"/>
          <w:bCs/>
          <w:color w:val="auto"/>
          <w:lang w:val="en-US" w:eastAsia="zh-CN"/>
        </w:rPr>
        <w:t>.2</w:t>
      </w:r>
      <w:r>
        <w:rPr>
          <w:rFonts w:hint="default"/>
          <w:b w:val="0"/>
          <w:bCs/>
          <w:color w:val="auto"/>
          <w:lang w:val="en-US" w:eastAsia="zh-CN"/>
        </w:rPr>
        <w:t>-2；</w:t>
      </w:r>
    </w:p>
    <w:p w14:paraId="4FB1DA82">
      <w:pPr>
        <w:bidi w:val="0"/>
        <w:rPr>
          <w:rFonts w:hint="default"/>
          <w:b w:val="0"/>
          <w:bCs/>
          <w:color w:val="auto"/>
          <w:lang w:val="en-US" w:eastAsia="zh-CN"/>
        </w:rPr>
      </w:pPr>
      <w:r>
        <w:rPr>
          <w:rFonts w:hint="default"/>
          <w:b w:val="0"/>
          <w:bCs/>
          <w:color w:val="auto"/>
          <w:lang w:val="en-US" w:eastAsia="zh-CN"/>
        </w:rPr>
        <w:t>K—分析项目发生事故的概率系数，划分标准见表4</w:t>
      </w:r>
      <w:r>
        <w:rPr>
          <w:rFonts w:hint="eastAsia"/>
          <w:b w:val="0"/>
          <w:bCs/>
          <w:color w:val="auto"/>
          <w:lang w:val="en-US" w:eastAsia="zh-CN"/>
        </w:rPr>
        <w:t>.2</w:t>
      </w:r>
      <w:r>
        <w:rPr>
          <w:rFonts w:hint="default"/>
          <w:b w:val="0"/>
          <w:bCs/>
          <w:color w:val="auto"/>
          <w:lang w:val="en-US" w:eastAsia="zh-CN"/>
        </w:rPr>
        <w:t>-3。</w:t>
      </w:r>
    </w:p>
    <w:p w14:paraId="7E34760F">
      <w:pPr>
        <w:pStyle w:val="24"/>
        <w:bidi w:val="0"/>
        <w:rPr>
          <w:rFonts w:hint="default"/>
          <w:b w:val="0"/>
          <w:bCs/>
          <w:color w:val="auto"/>
          <w:lang w:val="en-US" w:eastAsia="zh-CN"/>
        </w:rPr>
      </w:pPr>
      <w:r>
        <w:rPr>
          <w:rFonts w:hint="default"/>
          <w:b w:val="0"/>
          <w:bCs/>
          <w:color w:val="auto"/>
          <w:lang w:val="en-US" w:eastAsia="zh-CN"/>
        </w:rPr>
        <w:t>表4</w:t>
      </w:r>
      <w:r>
        <w:rPr>
          <w:rFonts w:hint="eastAsia"/>
          <w:b w:val="0"/>
          <w:bCs/>
          <w:color w:val="auto"/>
          <w:lang w:val="en-US" w:eastAsia="zh-CN"/>
        </w:rPr>
        <w:t>.2</w:t>
      </w:r>
      <w:r>
        <w:rPr>
          <w:rFonts w:hint="default"/>
          <w:b w:val="0"/>
          <w:bCs/>
          <w:color w:val="auto"/>
          <w:lang w:val="en-US" w:eastAsia="zh-CN"/>
        </w:rPr>
        <w:t>-</w:t>
      </w:r>
      <w:r>
        <w:rPr>
          <w:rFonts w:hint="eastAsia"/>
          <w:b w:val="0"/>
          <w:bCs/>
          <w:color w:val="auto"/>
          <w:lang w:val="en-US" w:eastAsia="zh-CN"/>
        </w:rPr>
        <w:t>1</w:t>
      </w:r>
      <w:r>
        <w:rPr>
          <w:rFonts w:hint="default"/>
          <w:b w:val="0"/>
          <w:bCs/>
          <w:color w:val="auto"/>
          <w:lang w:val="en-US" w:eastAsia="zh-CN"/>
        </w:rPr>
        <w:t xml:space="preserve">  系统（单元）预先危险性等级系数（W）划分表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3"/>
        <w:gridCol w:w="1425"/>
        <w:gridCol w:w="1425"/>
        <w:gridCol w:w="1247"/>
        <w:gridCol w:w="1957"/>
      </w:tblGrid>
      <w:tr w14:paraId="216D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778" w:type="pct"/>
            <w:noWrap w:val="0"/>
            <w:vAlign w:val="center"/>
          </w:tcPr>
          <w:p w14:paraId="6523346C">
            <w:pPr>
              <w:pStyle w:val="25"/>
              <w:bidi w:val="0"/>
              <w:rPr>
                <w:b w:val="0"/>
                <w:bCs/>
                <w:color w:val="auto"/>
              </w:rPr>
            </w:pPr>
            <w:r>
              <w:rPr>
                <w:b w:val="0"/>
                <w:bCs/>
                <w:color w:val="auto"/>
              </w:rPr>
              <w:t>系统危险程度级别</w:t>
            </w:r>
          </w:p>
        </w:tc>
        <w:tc>
          <w:tcPr>
            <w:tcW w:w="758" w:type="pct"/>
            <w:noWrap w:val="0"/>
            <w:vAlign w:val="center"/>
          </w:tcPr>
          <w:p w14:paraId="41958E51">
            <w:pPr>
              <w:pStyle w:val="25"/>
              <w:bidi w:val="0"/>
              <w:rPr>
                <w:b w:val="0"/>
                <w:bCs/>
                <w:color w:val="auto"/>
              </w:rPr>
            </w:pPr>
            <w:r>
              <w:rPr>
                <w:b w:val="0"/>
                <w:bCs/>
                <w:color w:val="auto"/>
              </w:rPr>
              <w:t>I级</w:t>
            </w:r>
          </w:p>
        </w:tc>
        <w:tc>
          <w:tcPr>
            <w:tcW w:w="758" w:type="pct"/>
            <w:noWrap w:val="0"/>
            <w:vAlign w:val="center"/>
          </w:tcPr>
          <w:p w14:paraId="1EC108B6">
            <w:pPr>
              <w:pStyle w:val="25"/>
              <w:bidi w:val="0"/>
              <w:rPr>
                <w:b w:val="0"/>
                <w:bCs/>
                <w:color w:val="auto"/>
              </w:rPr>
            </w:pPr>
            <w:r>
              <w:rPr>
                <w:b w:val="0"/>
                <w:bCs/>
                <w:color w:val="auto"/>
              </w:rPr>
              <w:t>II级</w:t>
            </w:r>
          </w:p>
        </w:tc>
        <w:tc>
          <w:tcPr>
            <w:tcW w:w="663" w:type="pct"/>
            <w:noWrap w:val="0"/>
            <w:vAlign w:val="center"/>
          </w:tcPr>
          <w:p w14:paraId="41087125">
            <w:pPr>
              <w:pStyle w:val="25"/>
              <w:bidi w:val="0"/>
              <w:rPr>
                <w:b w:val="0"/>
                <w:bCs/>
                <w:color w:val="auto"/>
              </w:rPr>
            </w:pPr>
            <w:r>
              <w:rPr>
                <w:rFonts w:hint="eastAsia"/>
                <w:b w:val="0"/>
                <w:bCs/>
                <w:color w:val="auto"/>
              </w:rPr>
              <w:t>Ⅲ</w:t>
            </w:r>
            <w:r>
              <w:rPr>
                <w:b w:val="0"/>
                <w:bCs/>
                <w:color w:val="auto"/>
              </w:rPr>
              <w:t>级</w:t>
            </w:r>
          </w:p>
        </w:tc>
        <w:tc>
          <w:tcPr>
            <w:tcW w:w="1041" w:type="pct"/>
            <w:noWrap w:val="0"/>
            <w:vAlign w:val="center"/>
          </w:tcPr>
          <w:p w14:paraId="133B3D2E">
            <w:pPr>
              <w:pStyle w:val="25"/>
              <w:bidi w:val="0"/>
              <w:rPr>
                <w:b w:val="0"/>
                <w:bCs/>
                <w:color w:val="auto"/>
              </w:rPr>
            </w:pPr>
            <w:r>
              <w:rPr>
                <w:rFonts w:hint="eastAsia"/>
                <w:b w:val="0"/>
                <w:bCs/>
                <w:color w:val="auto"/>
              </w:rPr>
              <w:t>Ⅳ</w:t>
            </w:r>
            <w:r>
              <w:rPr>
                <w:b w:val="0"/>
                <w:bCs/>
                <w:color w:val="auto"/>
              </w:rPr>
              <w:t>级</w:t>
            </w:r>
          </w:p>
        </w:tc>
      </w:tr>
      <w:tr w14:paraId="4117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778" w:type="pct"/>
            <w:noWrap w:val="0"/>
            <w:vAlign w:val="center"/>
          </w:tcPr>
          <w:p w14:paraId="47F9ADA2">
            <w:pPr>
              <w:pStyle w:val="25"/>
              <w:bidi w:val="0"/>
              <w:rPr>
                <w:b w:val="0"/>
                <w:bCs/>
                <w:color w:val="auto"/>
              </w:rPr>
            </w:pPr>
            <w:r>
              <w:rPr>
                <w:b w:val="0"/>
                <w:bCs/>
                <w:color w:val="auto"/>
              </w:rPr>
              <w:t>系统危险程度</w:t>
            </w:r>
          </w:p>
        </w:tc>
        <w:tc>
          <w:tcPr>
            <w:tcW w:w="758" w:type="pct"/>
            <w:noWrap w:val="0"/>
            <w:vAlign w:val="center"/>
          </w:tcPr>
          <w:p w14:paraId="24E63AC0">
            <w:pPr>
              <w:pStyle w:val="25"/>
              <w:bidi w:val="0"/>
              <w:rPr>
                <w:b w:val="0"/>
                <w:bCs/>
                <w:color w:val="auto"/>
              </w:rPr>
            </w:pPr>
            <w:r>
              <w:rPr>
                <w:b w:val="0"/>
                <w:bCs/>
                <w:color w:val="auto"/>
              </w:rPr>
              <w:t>稍有危险</w:t>
            </w:r>
          </w:p>
        </w:tc>
        <w:tc>
          <w:tcPr>
            <w:tcW w:w="758" w:type="pct"/>
            <w:noWrap w:val="0"/>
            <w:vAlign w:val="center"/>
          </w:tcPr>
          <w:p w14:paraId="381DF0DE">
            <w:pPr>
              <w:pStyle w:val="25"/>
              <w:bidi w:val="0"/>
              <w:rPr>
                <w:b w:val="0"/>
                <w:bCs/>
                <w:color w:val="auto"/>
              </w:rPr>
            </w:pPr>
            <w:r>
              <w:rPr>
                <w:b w:val="0"/>
                <w:bCs/>
                <w:color w:val="auto"/>
              </w:rPr>
              <w:t>比较危险</w:t>
            </w:r>
          </w:p>
        </w:tc>
        <w:tc>
          <w:tcPr>
            <w:tcW w:w="663" w:type="pct"/>
            <w:noWrap w:val="0"/>
            <w:vAlign w:val="center"/>
          </w:tcPr>
          <w:p w14:paraId="549AB0AA">
            <w:pPr>
              <w:pStyle w:val="25"/>
              <w:bidi w:val="0"/>
              <w:rPr>
                <w:b w:val="0"/>
                <w:bCs/>
                <w:color w:val="auto"/>
              </w:rPr>
            </w:pPr>
            <w:r>
              <w:rPr>
                <w:b w:val="0"/>
                <w:bCs/>
                <w:color w:val="auto"/>
              </w:rPr>
              <w:t>很危险</w:t>
            </w:r>
          </w:p>
        </w:tc>
        <w:tc>
          <w:tcPr>
            <w:tcW w:w="1041" w:type="pct"/>
            <w:noWrap w:val="0"/>
            <w:vAlign w:val="center"/>
          </w:tcPr>
          <w:p w14:paraId="594DC04A">
            <w:pPr>
              <w:pStyle w:val="25"/>
              <w:bidi w:val="0"/>
              <w:rPr>
                <w:b w:val="0"/>
                <w:bCs/>
                <w:color w:val="auto"/>
              </w:rPr>
            </w:pPr>
            <w:r>
              <w:rPr>
                <w:b w:val="0"/>
                <w:bCs/>
                <w:color w:val="auto"/>
              </w:rPr>
              <w:t>极危险</w:t>
            </w:r>
          </w:p>
        </w:tc>
      </w:tr>
      <w:tr w14:paraId="6250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778" w:type="pct"/>
            <w:noWrap w:val="0"/>
            <w:vAlign w:val="center"/>
          </w:tcPr>
          <w:p w14:paraId="7B4D2BF9">
            <w:pPr>
              <w:pStyle w:val="25"/>
              <w:bidi w:val="0"/>
              <w:rPr>
                <w:b w:val="0"/>
                <w:bCs/>
                <w:color w:val="auto"/>
              </w:rPr>
            </w:pPr>
            <w:r>
              <w:rPr>
                <w:b w:val="0"/>
                <w:bCs/>
                <w:color w:val="auto"/>
              </w:rPr>
              <w:t>系统预先危险性等级系数</w:t>
            </w:r>
          </w:p>
        </w:tc>
        <w:tc>
          <w:tcPr>
            <w:tcW w:w="758" w:type="pct"/>
            <w:noWrap w:val="0"/>
            <w:vAlign w:val="center"/>
          </w:tcPr>
          <w:p w14:paraId="53A8C7D4">
            <w:pPr>
              <w:pStyle w:val="25"/>
              <w:bidi w:val="0"/>
              <w:rPr>
                <w:b w:val="0"/>
                <w:bCs/>
                <w:color w:val="auto"/>
              </w:rPr>
            </w:pPr>
            <w:r>
              <w:rPr>
                <w:b w:val="0"/>
                <w:bCs/>
                <w:color w:val="auto"/>
              </w:rPr>
              <w:t>1≤W&lt;1.5</w:t>
            </w:r>
          </w:p>
        </w:tc>
        <w:tc>
          <w:tcPr>
            <w:tcW w:w="758" w:type="pct"/>
            <w:noWrap w:val="0"/>
            <w:vAlign w:val="center"/>
          </w:tcPr>
          <w:p w14:paraId="5F6B4F76">
            <w:pPr>
              <w:pStyle w:val="25"/>
              <w:bidi w:val="0"/>
              <w:rPr>
                <w:b w:val="0"/>
                <w:bCs/>
                <w:color w:val="auto"/>
              </w:rPr>
            </w:pPr>
            <w:r>
              <w:rPr>
                <w:b w:val="0"/>
                <w:bCs/>
                <w:color w:val="auto"/>
              </w:rPr>
              <w:t>1.5≤W&lt;3</w:t>
            </w:r>
          </w:p>
        </w:tc>
        <w:tc>
          <w:tcPr>
            <w:tcW w:w="663" w:type="pct"/>
            <w:noWrap w:val="0"/>
            <w:vAlign w:val="center"/>
          </w:tcPr>
          <w:p w14:paraId="3C5050AF">
            <w:pPr>
              <w:pStyle w:val="25"/>
              <w:bidi w:val="0"/>
              <w:rPr>
                <w:b w:val="0"/>
                <w:bCs/>
                <w:color w:val="auto"/>
              </w:rPr>
            </w:pPr>
            <w:r>
              <w:rPr>
                <w:b w:val="0"/>
                <w:bCs/>
                <w:color w:val="auto"/>
              </w:rPr>
              <w:t>3≤W&lt;6</w:t>
            </w:r>
          </w:p>
        </w:tc>
        <w:tc>
          <w:tcPr>
            <w:tcW w:w="1041" w:type="pct"/>
            <w:noWrap w:val="0"/>
            <w:vAlign w:val="center"/>
          </w:tcPr>
          <w:p w14:paraId="11B20745">
            <w:pPr>
              <w:pStyle w:val="25"/>
              <w:bidi w:val="0"/>
              <w:rPr>
                <w:b w:val="0"/>
                <w:bCs/>
                <w:color w:val="auto"/>
              </w:rPr>
            </w:pPr>
            <w:r>
              <w:rPr>
                <w:b w:val="0"/>
                <w:bCs/>
                <w:color w:val="auto"/>
              </w:rPr>
              <w:t>6&lt;W≤8</w:t>
            </w:r>
          </w:p>
        </w:tc>
      </w:tr>
    </w:tbl>
    <w:p w14:paraId="1CC5AB3B">
      <w:pPr>
        <w:pStyle w:val="24"/>
        <w:bidi w:val="0"/>
        <w:rPr>
          <w:b w:val="0"/>
          <w:bCs/>
          <w:color w:val="auto"/>
        </w:rPr>
      </w:pPr>
      <w:r>
        <w:rPr>
          <w:rFonts w:hint="eastAsia"/>
          <w:b w:val="0"/>
          <w:bCs/>
          <w:color w:val="auto"/>
        </w:rPr>
        <w:t>表</w:t>
      </w:r>
      <w:r>
        <w:rPr>
          <w:rFonts w:hint="eastAsia"/>
          <w:b w:val="0"/>
          <w:bCs/>
          <w:color w:val="auto"/>
          <w:lang w:val="en-US" w:eastAsia="zh-CN"/>
        </w:rPr>
        <w:t xml:space="preserve">4.2-2 </w:t>
      </w:r>
      <w:r>
        <w:rPr>
          <w:rFonts w:hint="eastAsia"/>
          <w:b w:val="0"/>
          <w:bCs/>
          <w:color w:val="auto"/>
        </w:rPr>
        <w:t xml:space="preserve"> 分析项目的危险性等级系数（P）划分表</w:t>
      </w:r>
    </w:p>
    <w:tbl>
      <w:tblPr>
        <w:tblStyle w:val="18"/>
        <w:tblW w:w="4999" w:type="pct"/>
        <w:jc w:val="center"/>
        <w:tblLayout w:type="autofit"/>
        <w:tblCellMar>
          <w:top w:w="0" w:type="dxa"/>
          <w:left w:w="108" w:type="dxa"/>
          <w:bottom w:w="0" w:type="dxa"/>
          <w:right w:w="108" w:type="dxa"/>
        </w:tblCellMar>
      </w:tblPr>
      <w:tblGrid>
        <w:gridCol w:w="773"/>
        <w:gridCol w:w="1553"/>
        <w:gridCol w:w="1256"/>
        <w:gridCol w:w="5817"/>
      </w:tblGrid>
      <w:tr w14:paraId="6267D122">
        <w:tblPrEx>
          <w:tblCellMar>
            <w:top w:w="0" w:type="dxa"/>
            <w:left w:w="108" w:type="dxa"/>
            <w:bottom w:w="0" w:type="dxa"/>
            <w:right w:w="108" w:type="dxa"/>
          </w:tblCellMar>
        </w:tblPrEx>
        <w:trPr>
          <w:cantSplit/>
          <w:trHeight w:val="65"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153E709A">
            <w:pPr>
              <w:pStyle w:val="25"/>
              <w:bidi w:val="0"/>
              <w:rPr>
                <w:b w:val="0"/>
                <w:bCs/>
                <w:color w:val="auto"/>
              </w:rPr>
            </w:pPr>
            <w:r>
              <w:rPr>
                <w:rFonts w:hint="default"/>
                <w:b w:val="0"/>
                <w:bCs/>
                <w:color w:val="auto"/>
              </w:rPr>
              <w:t>级别</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6517C21F">
            <w:pPr>
              <w:pStyle w:val="25"/>
              <w:bidi w:val="0"/>
              <w:rPr>
                <w:b w:val="0"/>
                <w:bCs/>
                <w:color w:val="auto"/>
              </w:rPr>
            </w:pPr>
            <w:r>
              <w:rPr>
                <w:rFonts w:hint="default"/>
                <w:b w:val="0"/>
                <w:bCs/>
                <w:color w:val="auto"/>
              </w:rPr>
              <w:t>危险程度</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4731F0FD">
            <w:pPr>
              <w:pStyle w:val="25"/>
              <w:bidi w:val="0"/>
              <w:rPr>
                <w:b w:val="0"/>
                <w:bCs/>
                <w:color w:val="auto"/>
              </w:rPr>
            </w:pPr>
            <w:r>
              <w:rPr>
                <w:rFonts w:hint="default"/>
                <w:b w:val="0"/>
                <w:bCs/>
                <w:color w:val="auto"/>
              </w:rPr>
              <w:t>等级系数</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320B1556">
            <w:pPr>
              <w:pStyle w:val="25"/>
              <w:bidi w:val="0"/>
              <w:rPr>
                <w:b w:val="0"/>
                <w:bCs/>
                <w:color w:val="auto"/>
              </w:rPr>
            </w:pPr>
            <w:r>
              <w:rPr>
                <w:rFonts w:hint="default"/>
                <w:b w:val="0"/>
                <w:bCs/>
                <w:color w:val="auto"/>
              </w:rPr>
              <w:t>可能导致的后果</w:t>
            </w:r>
          </w:p>
        </w:tc>
      </w:tr>
      <w:tr w14:paraId="13369057">
        <w:tblPrEx>
          <w:tblCellMar>
            <w:top w:w="0" w:type="dxa"/>
            <w:left w:w="108" w:type="dxa"/>
            <w:bottom w:w="0" w:type="dxa"/>
            <w:right w:w="108" w:type="dxa"/>
          </w:tblCellMar>
        </w:tblPrEx>
        <w:trPr>
          <w:cantSplit/>
          <w:trHeight w:val="65"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410C64A0">
            <w:pPr>
              <w:pStyle w:val="25"/>
              <w:bidi w:val="0"/>
              <w:rPr>
                <w:b w:val="0"/>
                <w:bCs/>
                <w:color w:val="auto"/>
              </w:rPr>
            </w:pPr>
            <w:r>
              <w:rPr>
                <w:b w:val="0"/>
                <w:bCs/>
                <w:color w:val="auto"/>
              </w:rPr>
              <w:t>I</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4F4C4E98">
            <w:pPr>
              <w:pStyle w:val="25"/>
              <w:bidi w:val="0"/>
              <w:rPr>
                <w:b w:val="0"/>
                <w:bCs/>
                <w:color w:val="auto"/>
              </w:rPr>
            </w:pPr>
            <w:r>
              <w:rPr>
                <w:rFonts w:hint="default"/>
                <w:b w:val="0"/>
                <w:bCs/>
                <w:color w:val="auto"/>
              </w:rPr>
              <w:t>安全级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77C00CE4">
            <w:pPr>
              <w:pStyle w:val="25"/>
              <w:bidi w:val="0"/>
              <w:rPr>
                <w:b w:val="0"/>
                <w:bCs/>
                <w:color w:val="auto"/>
              </w:rPr>
            </w:pPr>
            <w:r>
              <w:rPr>
                <w:b w:val="0"/>
                <w:bCs/>
                <w:color w:val="auto"/>
              </w:rPr>
              <w:t>1</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3454C49C">
            <w:pPr>
              <w:pStyle w:val="25"/>
              <w:bidi w:val="0"/>
              <w:rPr>
                <w:b w:val="0"/>
                <w:bCs/>
                <w:color w:val="auto"/>
              </w:rPr>
            </w:pPr>
            <w:r>
              <w:rPr>
                <w:rFonts w:hint="default"/>
                <w:b w:val="0"/>
                <w:bCs/>
                <w:color w:val="auto"/>
              </w:rPr>
              <w:t>不会造成人员伤亡及系统损坏。</w:t>
            </w:r>
          </w:p>
        </w:tc>
      </w:tr>
      <w:tr w14:paraId="669BEB28">
        <w:tblPrEx>
          <w:tblCellMar>
            <w:top w:w="0" w:type="dxa"/>
            <w:left w:w="108" w:type="dxa"/>
            <w:bottom w:w="0" w:type="dxa"/>
            <w:right w:w="108" w:type="dxa"/>
          </w:tblCellMar>
        </w:tblPrEx>
        <w:trPr>
          <w:cantSplit/>
          <w:trHeight w:val="397"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4D1D5303">
            <w:pPr>
              <w:pStyle w:val="25"/>
              <w:bidi w:val="0"/>
              <w:rPr>
                <w:b w:val="0"/>
                <w:bCs/>
                <w:color w:val="auto"/>
              </w:rPr>
            </w:pPr>
            <w:r>
              <w:rPr>
                <w:b w:val="0"/>
                <w:bCs/>
                <w:color w:val="auto"/>
              </w:rPr>
              <w:t>II</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3E2CA2DC">
            <w:pPr>
              <w:pStyle w:val="25"/>
              <w:bidi w:val="0"/>
              <w:rPr>
                <w:b w:val="0"/>
                <w:bCs/>
                <w:color w:val="auto"/>
              </w:rPr>
            </w:pPr>
            <w:r>
              <w:rPr>
                <w:rFonts w:hint="default"/>
                <w:b w:val="0"/>
                <w:bCs/>
                <w:color w:val="auto"/>
              </w:rPr>
              <w:t>基本安全级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1F5C572D">
            <w:pPr>
              <w:pStyle w:val="25"/>
              <w:bidi w:val="0"/>
              <w:rPr>
                <w:b w:val="0"/>
                <w:bCs/>
                <w:color w:val="auto"/>
              </w:rPr>
            </w:pPr>
            <w:r>
              <w:rPr>
                <w:b w:val="0"/>
                <w:bCs/>
                <w:color w:val="auto"/>
              </w:rPr>
              <w:t>2</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39C80D24">
            <w:pPr>
              <w:pStyle w:val="25"/>
              <w:bidi w:val="0"/>
              <w:rPr>
                <w:b w:val="0"/>
                <w:bCs/>
                <w:color w:val="auto"/>
              </w:rPr>
            </w:pPr>
            <w:r>
              <w:rPr>
                <w:rFonts w:hint="default"/>
                <w:b w:val="0"/>
                <w:bCs/>
                <w:color w:val="auto"/>
              </w:rPr>
              <w:t>处于事故的边缘状态，可能造成人员伤亡、系统损坏或降低系统性能，但应予以排除或采取控制措施。</w:t>
            </w:r>
          </w:p>
        </w:tc>
      </w:tr>
      <w:tr w14:paraId="3DBED258">
        <w:tblPrEx>
          <w:tblCellMar>
            <w:top w:w="0" w:type="dxa"/>
            <w:left w:w="108" w:type="dxa"/>
            <w:bottom w:w="0" w:type="dxa"/>
            <w:right w:w="108" w:type="dxa"/>
          </w:tblCellMar>
        </w:tblPrEx>
        <w:trPr>
          <w:cantSplit/>
          <w:trHeight w:val="188"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46F61787">
            <w:pPr>
              <w:pStyle w:val="25"/>
              <w:bidi w:val="0"/>
              <w:rPr>
                <w:b w:val="0"/>
                <w:bCs/>
                <w:color w:val="auto"/>
              </w:rPr>
            </w:pPr>
            <w:r>
              <w:rPr>
                <w:rFonts w:hint="default"/>
                <w:b w:val="0"/>
                <w:bCs/>
                <w:color w:val="auto"/>
              </w:rPr>
              <w:t>Ⅲ</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6879078B">
            <w:pPr>
              <w:pStyle w:val="25"/>
              <w:bidi w:val="0"/>
              <w:rPr>
                <w:b w:val="0"/>
                <w:bCs/>
                <w:color w:val="auto"/>
              </w:rPr>
            </w:pPr>
            <w:r>
              <w:rPr>
                <w:rFonts w:hint="default"/>
                <w:b w:val="0"/>
                <w:bCs/>
                <w:color w:val="auto"/>
              </w:rPr>
              <w:t>危险级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262AC5CC">
            <w:pPr>
              <w:pStyle w:val="25"/>
              <w:bidi w:val="0"/>
              <w:rPr>
                <w:b w:val="0"/>
                <w:bCs/>
                <w:color w:val="auto"/>
              </w:rPr>
            </w:pPr>
            <w:r>
              <w:rPr>
                <w:b w:val="0"/>
                <w:bCs/>
                <w:color w:val="auto"/>
              </w:rPr>
              <w:t>4</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2DF27417">
            <w:pPr>
              <w:pStyle w:val="25"/>
              <w:bidi w:val="0"/>
              <w:rPr>
                <w:b w:val="0"/>
                <w:bCs/>
                <w:color w:val="auto"/>
              </w:rPr>
            </w:pPr>
            <w:r>
              <w:rPr>
                <w:rFonts w:hint="default"/>
                <w:b w:val="0"/>
                <w:bCs/>
                <w:color w:val="auto"/>
              </w:rPr>
              <w:t>会造成较大人员伤亡及系统损坏，要立即采取防范措施。</w:t>
            </w:r>
          </w:p>
        </w:tc>
      </w:tr>
      <w:tr w14:paraId="65CE4CB2">
        <w:tblPrEx>
          <w:tblCellMar>
            <w:top w:w="0" w:type="dxa"/>
            <w:left w:w="108" w:type="dxa"/>
            <w:bottom w:w="0" w:type="dxa"/>
            <w:right w:w="108" w:type="dxa"/>
          </w:tblCellMar>
        </w:tblPrEx>
        <w:trPr>
          <w:cantSplit/>
          <w:trHeight w:val="397"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68E59273">
            <w:pPr>
              <w:pStyle w:val="25"/>
              <w:bidi w:val="0"/>
              <w:rPr>
                <w:b w:val="0"/>
                <w:bCs/>
                <w:color w:val="auto"/>
              </w:rPr>
            </w:pPr>
            <w:r>
              <w:rPr>
                <w:rFonts w:hint="default"/>
                <w:b w:val="0"/>
                <w:bCs/>
                <w:color w:val="auto"/>
              </w:rPr>
              <w:t>Ⅳ</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3D4086E5">
            <w:pPr>
              <w:pStyle w:val="25"/>
              <w:bidi w:val="0"/>
              <w:rPr>
                <w:b w:val="0"/>
                <w:bCs/>
                <w:color w:val="auto"/>
              </w:rPr>
            </w:pPr>
            <w:r>
              <w:rPr>
                <w:rFonts w:hint="default"/>
                <w:b w:val="0"/>
                <w:bCs/>
                <w:color w:val="auto"/>
              </w:rPr>
              <w:t>灾难级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1DA9EAD5">
            <w:pPr>
              <w:pStyle w:val="25"/>
              <w:bidi w:val="0"/>
              <w:rPr>
                <w:b w:val="0"/>
                <w:bCs/>
                <w:color w:val="auto"/>
              </w:rPr>
            </w:pPr>
            <w:r>
              <w:rPr>
                <w:b w:val="0"/>
                <w:bCs/>
                <w:color w:val="auto"/>
              </w:rPr>
              <w:t>8</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225ABE74">
            <w:pPr>
              <w:pStyle w:val="25"/>
              <w:bidi w:val="0"/>
              <w:rPr>
                <w:b w:val="0"/>
                <w:bCs/>
                <w:color w:val="auto"/>
              </w:rPr>
            </w:pPr>
            <w:r>
              <w:rPr>
                <w:rFonts w:hint="default"/>
                <w:b w:val="0"/>
                <w:bCs/>
                <w:color w:val="auto"/>
              </w:rPr>
              <w:t>造成人员重大伤亡及系统严重破坏的灾难性事故，必须予以果断排出并进行重点防范。</w:t>
            </w:r>
          </w:p>
        </w:tc>
      </w:tr>
    </w:tbl>
    <w:p w14:paraId="3754CDE1">
      <w:pPr>
        <w:pStyle w:val="24"/>
        <w:bidi w:val="0"/>
        <w:rPr>
          <w:b w:val="0"/>
          <w:bCs/>
          <w:color w:val="auto"/>
        </w:rPr>
      </w:pPr>
      <w:r>
        <w:rPr>
          <w:rFonts w:hint="eastAsia"/>
          <w:b w:val="0"/>
          <w:bCs/>
          <w:color w:val="auto"/>
        </w:rPr>
        <w:t>表</w:t>
      </w:r>
      <w:r>
        <w:rPr>
          <w:rFonts w:hint="eastAsia"/>
          <w:b w:val="0"/>
          <w:bCs/>
          <w:color w:val="auto"/>
          <w:lang w:val="en-US" w:eastAsia="zh-CN"/>
        </w:rPr>
        <w:t xml:space="preserve">4.2-3 </w:t>
      </w:r>
      <w:r>
        <w:rPr>
          <w:rFonts w:hint="eastAsia"/>
          <w:b w:val="0"/>
          <w:bCs/>
          <w:color w:val="auto"/>
        </w:rPr>
        <w:t xml:space="preserve"> 分析项目发生事故的概率系数（K）划分表</w:t>
      </w:r>
    </w:p>
    <w:tbl>
      <w:tblPr>
        <w:tblStyle w:val="18"/>
        <w:tblW w:w="4999" w:type="pct"/>
        <w:jc w:val="center"/>
        <w:tblLayout w:type="autofit"/>
        <w:tblCellMar>
          <w:top w:w="0" w:type="dxa"/>
          <w:left w:w="108" w:type="dxa"/>
          <w:bottom w:w="0" w:type="dxa"/>
          <w:right w:w="108" w:type="dxa"/>
        </w:tblCellMar>
      </w:tblPr>
      <w:tblGrid>
        <w:gridCol w:w="778"/>
        <w:gridCol w:w="1330"/>
        <w:gridCol w:w="7291"/>
      </w:tblGrid>
      <w:tr w14:paraId="62CCF3D0">
        <w:tblPrEx>
          <w:tblCellMar>
            <w:top w:w="0" w:type="dxa"/>
            <w:left w:w="108" w:type="dxa"/>
            <w:bottom w:w="0" w:type="dxa"/>
            <w:right w:w="108" w:type="dxa"/>
          </w:tblCellMar>
        </w:tblPrEx>
        <w:trPr>
          <w:trHeight w:val="312"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391BAFFC">
            <w:pPr>
              <w:pStyle w:val="25"/>
              <w:bidi w:val="0"/>
              <w:rPr>
                <w:b w:val="0"/>
                <w:bCs/>
                <w:color w:val="auto"/>
              </w:rPr>
            </w:pPr>
            <w:r>
              <w:rPr>
                <w:rFonts w:hint="default"/>
                <w:b w:val="0"/>
                <w:bCs/>
                <w:color w:val="auto"/>
              </w:rPr>
              <w:t>级别</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4F9EBE10">
            <w:pPr>
              <w:pStyle w:val="25"/>
              <w:bidi w:val="0"/>
              <w:rPr>
                <w:b w:val="0"/>
                <w:bCs/>
                <w:color w:val="auto"/>
              </w:rPr>
            </w:pPr>
            <w:r>
              <w:rPr>
                <w:rFonts w:hint="default"/>
                <w:b w:val="0"/>
                <w:bCs/>
                <w:color w:val="auto"/>
              </w:rPr>
              <w:t>概率系数</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49649173">
            <w:pPr>
              <w:pStyle w:val="25"/>
              <w:bidi w:val="0"/>
              <w:rPr>
                <w:b w:val="0"/>
                <w:bCs/>
                <w:color w:val="auto"/>
              </w:rPr>
            </w:pPr>
            <w:r>
              <w:rPr>
                <w:rFonts w:hint="default"/>
                <w:b w:val="0"/>
                <w:bCs/>
                <w:color w:val="auto"/>
              </w:rPr>
              <w:t>发生概率</w:t>
            </w:r>
          </w:p>
        </w:tc>
      </w:tr>
      <w:tr w14:paraId="059345AF">
        <w:tblPrEx>
          <w:tblCellMar>
            <w:top w:w="0" w:type="dxa"/>
            <w:left w:w="108" w:type="dxa"/>
            <w:bottom w:w="0" w:type="dxa"/>
            <w:right w:w="108" w:type="dxa"/>
          </w:tblCellMar>
        </w:tblPrEx>
        <w:trPr>
          <w:trHeight w:val="132"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7C58AC4E">
            <w:pPr>
              <w:pStyle w:val="25"/>
              <w:bidi w:val="0"/>
              <w:rPr>
                <w:b w:val="0"/>
                <w:bCs/>
                <w:color w:val="auto"/>
              </w:rPr>
            </w:pPr>
            <w:r>
              <w:rPr>
                <w:b w:val="0"/>
                <w:bCs/>
                <w:color w:val="auto"/>
              </w:rPr>
              <w:t>A</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26D31013">
            <w:pPr>
              <w:pStyle w:val="25"/>
              <w:bidi w:val="0"/>
              <w:rPr>
                <w:b w:val="0"/>
                <w:bCs/>
                <w:color w:val="auto"/>
              </w:rPr>
            </w:pPr>
            <w:r>
              <w:rPr>
                <w:b w:val="0"/>
                <w:bCs/>
                <w:color w:val="auto"/>
              </w:rPr>
              <w:t>0</w:t>
            </w:r>
            <w:r>
              <w:rPr>
                <w:rFonts w:hint="default"/>
                <w:b w:val="0"/>
                <w:bCs/>
                <w:color w:val="auto"/>
              </w:rPr>
              <w:t>.</w:t>
            </w:r>
            <w:r>
              <w:rPr>
                <w:b w:val="0"/>
                <w:bCs/>
                <w:color w:val="auto"/>
              </w:rPr>
              <w:t>05</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729BDC44">
            <w:pPr>
              <w:pStyle w:val="25"/>
              <w:bidi w:val="0"/>
              <w:rPr>
                <w:b w:val="0"/>
                <w:bCs/>
                <w:color w:val="auto"/>
              </w:rPr>
            </w:pPr>
            <w:r>
              <w:rPr>
                <w:rFonts w:hint="default"/>
                <w:b w:val="0"/>
                <w:bCs/>
                <w:color w:val="auto"/>
              </w:rPr>
              <w:t>发生概率接近零，在设备使用期内几乎不发生。</w:t>
            </w:r>
          </w:p>
        </w:tc>
      </w:tr>
      <w:tr w14:paraId="1087BF6A">
        <w:tblPrEx>
          <w:tblCellMar>
            <w:top w:w="0" w:type="dxa"/>
            <w:left w:w="108" w:type="dxa"/>
            <w:bottom w:w="0" w:type="dxa"/>
            <w:right w:w="108" w:type="dxa"/>
          </w:tblCellMar>
        </w:tblPrEx>
        <w:trPr>
          <w:trHeight w:val="65"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0948CF27">
            <w:pPr>
              <w:pStyle w:val="25"/>
              <w:bidi w:val="0"/>
              <w:rPr>
                <w:b w:val="0"/>
                <w:bCs/>
                <w:color w:val="auto"/>
              </w:rPr>
            </w:pPr>
            <w:r>
              <w:rPr>
                <w:b w:val="0"/>
                <w:bCs/>
                <w:color w:val="auto"/>
              </w:rPr>
              <w:t>B</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6D2DAFC7">
            <w:pPr>
              <w:pStyle w:val="25"/>
              <w:bidi w:val="0"/>
              <w:rPr>
                <w:b w:val="0"/>
                <w:bCs/>
                <w:color w:val="auto"/>
              </w:rPr>
            </w:pPr>
            <w:r>
              <w:rPr>
                <w:b w:val="0"/>
                <w:bCs/>
                <w:color w:val="auto"/>
              </w:rPr>
              <w:t>0</w:t>
            </w:r>
            <w:r>
              <w:rPr>
                <w:rFonts w:hint="default"/>
                <w:b w:val="0"/>
                <w:bCs/>
                <w:color w:val="auto"/>
              </w:rPr>
              <w:t>.</w:t>
            </w:r>
            <w:r>
              <w:rPr>
                <w:b w:val="0"/>
                <w:bCs/>
                <w:color w:val="auto"/>
              </w:rPr>
              <w:t>10</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6D15BFA1">
            <w:pPr>
              <w:pStyle w:val="25"/>
              <w:bidi w:val="0"/>
              <w:rPr>
                <w:b w:val="0"/>
                <w:bCs/>
                <w:color w:val="auto"/>
              </w:rPr>
            </w:pPr>
            <w:r>
              <w:rPr>
                <w:rFonts w:hint="default"/>
                <w:b w:val="0"/>
                <w:bCs/>
                <w:color w:val="auto"/>
              </w:rPr>
              <w:t>很少发生。</w:t>
            </w:r>
          </w:p>
        </w:tc>
      </w:tr>
      <w:tr w14:paraId="4285B1F5">
        <w:tblPrEx>
          <w:tblCellMar>
            <w:top w:w="0" w:type="dxa"/>
            <w:left w:w="108" w:type="dxa"/>
            <w:bottom w:w="0" w:type="dxa"/>
            <w:right w:w="108" w:type="dxa"/>
          </w:tblCellMar>
        </w:tblPrEx>
        <w:trPr>
          <w:trHeight w:val="268"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38517B4B">
            <w:pPr>
              <w:pStyle w:val="25"/>
              <w:bidi w:val="0"/>
              <w:rPr>
                <w:b w:val="0"/>
                <w:bCs/>
                <w:color w:val="auto"/>
              </w:rPr>
            </w:pPr>
            <w:r>
              <w:rPr>
                <w:b w:val="0"/>
                <w:bCs/>
                <w:color w:val="auto"/>
              </w:rPr>
              <w:t>C</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12FD840D">
            <w:pPr>
              <w:pStyle w:val="25"/>
              <w:bidi w:val="0"/>
              <w:rPr>
                <w:b w:val="0"/>
                <w:bCs/>
                <w:color w:val="auto"/>
              </w:rPr>
            </w:pPr>
            <w:r>
              <w:rPr>
                <w:b w:val="0"/>
                <w:bCs/>
                <w:color w:val="auto"/>
              </w:rPr>
              <w:t>0</w:t>
            </w:r>
            <w:r>
              <w:rPr>
                <w:rFonts w:hint="default"/>
                <w:b w:val="0"/>
                <w:bCs/>
                <w:color w:val="auto"/>
              </w:rPr>
              <w:t>.</w:t>
            </w:r>
            <w:r>
              <w:rPr>
                <w:b w:val="0"/>
                <w:bCs/>
                <w:color w:val="auto"/>
              </w:rPr>
              <w:t>20</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7ED1CA46">
            <w:pPr>
              <w:pStyle w:val="25"/>
              <w:bidi w:val="0"/>
              <w:rPr>
                <w:b w:val="0"/>
                <w:bCs/>
                <w:color w:val="auto"/>
              </w:rPr>
            </w:pPr>
            <w:r>
              <w:rPr>
                <w:rFonts w:hint="default"/>
                <w:b w:val="0"/>
                <w:bCs/>
                <w:color w:val="auto"/>
              </w:rPr>
              <w:t>容易发生或偶然发生。</w:t>
            </w:r>
          </w:p>
        </w:tc>
      </w:tr>
      <w:tr w14:paraId="5853D200">
        <w:tblPrEx>
          <w:tblCellMar>
            <w:top w:w="0" w:type="dxa"/>
            <w:left w:w="108" w:type="dxa"/>
            <w:bottom w:w="0" w:type="dxa"/>
            <w:right w:w="108" w:type="dxa"/>
          </w:tblCellMar>
        </w:tblPrEx>
        <w:trPr>
          <w:trHeight w:val="116"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517F8A6C">
            <w:pPr>
              <w:pStyle w:val="25"/>
              <w:bidi w:val="0"/>
              <w:rPr>
                <w:b w:val="0"/>
                <w:bCs/>
                <w:color w:val="auto"/>
              </w:rPr>
            </w:pPr>
            <w:r>
              <w:rPr>
                <w:b w:val="0"/>
                <w:bCs/>
                <w:color w:val="auto"/>
              </w:rPr>
              <w:t>D</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55BF449D">
            <w:pPr>
              <w:pStyle w:val="25"/>
              <w:bidi w:val="0"/>
              <w:rPr>
                <w:b w:val="0"/>
                <w:bCs/>
                <w:color w:val="auto"/>
              </w:rPr>
            </w:pPr>
            <w:r>
              <w:rPr>
                <w:b w:val="0"/>
                <w:bCs/>
                <w:color w:val="auto"/>
              </w:rPr>
              <w:t>0</w:t>
            </w:r>
            <w:r>
              <w:rPr>
                <w:rFonts w:hint="default"/>
                <w:b w:val="0"/>
                <w:bCs/>
                <w:color w:val="auto"/>
              </w:rPr>
              <w:t>.</w:t>
            </w:r>
            <w:r>
              <w:rPr>
                <w:b w:val="0"/>
                <w:bCs/>
                <w:color w:val="auto"/>
              </w:rPr>
              <w:t>30</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77290F84">
            <w:pPr>
              <w:pStyle w:val="25"/>
              <w:bidi w:val="0"/>
              <w:rPr>
                <w:b w:val="0"/>
                <w:bCs/>
                <w:color w:val="auto"/>
              </w:rPr>
            </w:pPr>
            <w:r>
              <w:rPr>
                <w:rFonts w:hint="default"/>
                <w:b w:val="0"/>
                <w:bCs/>
                <w:color w:val="auto"/>
              </w:rPr>
              <w:t>很容易发生，相当可能发生。</w:t>
            </w:r>
          </w:p>
        </w:tc>
      </w:tr>
      <w:tr w14:paraId="303ADBC4">
        <w:tblPrEx>
          <w:tblCellMar>
            <w:top w:w="0" w:type="dxa"/>
            <w:left w:w="108" w:type="dxa"/>
            <w:bottom w:w="0" w:type="dxa"/>
            <w:right w:w="108" w:type="dxa"/>
          </w:tblCellMar>
        </w:tblPrEx>
        <w:trPr>
          <w:trHeight w:val="106"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0BE4F312">
            <w:pPr>
              <w:pStyle w:val="25"/>
              <w:bidi w:val="0"/>
              <w:rPr>
                <w:b w:val="0"/>
                <w:bCs/>
                <w:color w:val="auto"/>
              </w:rPr>
            </w:pPr>
            <w:r>
              <w:rPr>
                <w:b w:val="0"/>
                <w:bCs/>
                <w:color w:val="auto"/>
              </w:rPr>
              <w:t>E</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63274B9C">
            <w:pPr>
              <w:pStyle w:val="25"/>
              <w:bidi w:val="0"/>
              <w:rPr>
                <w:b w:val="0"/>
                <w:bCs/>
                <w:color w:val="auto"/>
              </w:rPr>
            </w:pPr>
            <w:r>
              <w:rPr>
                <w:b w:val="0"/>
                <w:bCs/>
                <w:color w:val="auto"/>
              </w:rPr>
              <w:t>0</w:t>
            </w:r>
            <w:r>
              <w:rPr>
                <w:rFonts w:hint="default"/>
                <w:b w:val="0"/>
                <w:bCs/>
                <w:color w:val="auto"/>
              </w:rPr>
              <w:t>.</w:t>
            </w:r>
            <w:r>
              <w:rPr>
                <w:b w:val="0"/>
                <w:bCs/>
                <w:color w:val="auto"/>
              </w:rPr>
              <w:t>35</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4FD9F036">
            <w:pPr>
              <w:pStyle w:val="25"/>
              <w:bidi w:val="0"/>
              <w:rPr>
                <w:b w:val="0"/>
                <w:bCs/>
                <w:color w:val="auto"/>
              </w:rPr>
            </w:pPr>
            <w:r>
              <w:rPr>
                <w:rFonts w:hint="default"/>
                <w:b w:val="0"/>
                <w:bCs/>
                <w:color w:val="auto"/>
              </w:rPr>
              <w:t>频繁发生、经常发生。</w:t>
            </w:r>
          </w:p>
        </w:tc>
      </w:tr>
    </w:tbl>
    <w:p w14:paraId="196428F5">
      <w:pPr>
        <w:bidi w:val="0"/>
        <w:rPr>
          <w:rFonts w:hint="default"/>
          <w:b w:val="0"/>
          <w:bCs/>
          <w:color w:val="auto"/>
          <w:lang w:val="en-US" w:eastAsia="zh-CN"/>
        </w:rPr>
      </w:pPr>
      <w:r>
        <w:rPr>
          <w:rFonts w:hint="default"/>
          <w:b w:val="0"/>
          <w:bCs/>
          <w:color w:val="auto"/>
          <w:lang w:val="en-US" w:eastAsia="zh-CN"/>
        </w:rPr>
        <w:t>3、分析步骤</w:t>
      </w:r>
    </w:p>
    <w:p w14:paraId="70CA24C4">
      <w:pPr>
        <w:bidi w:val="0"/>
        <w:rPr>
          <w:rFonts w:hint="default"/>
          <w:b w:val="0"/>
          <w:bCs/>
          <w:color w:val="auto"/>
          <w:lang w:val="en-US" w:eastAsia="zh-CN"/>
        </w:rPr>
      </w:pPr>
      <w:r>
        <w:rPr>
          <w:rFonts w:hint="default"/>
          <w:b w:val="0"/>
          <w:bCs/>
          <w:color w:val="auto"/>
          <w:lang w:val="en-US" w:eastAsia="zh-CN"/>
        </w:rPr>
        <w:t>预先危险性分析的步骤大致为：</w:t>
      </w:r>
    </w:p>
    <w:p w14:paraId="00786463">
      <w:pPr>
        <w:bidi w:val="0"/>
        <w:rPr>
          <w:rFonts w:hint="default"/>
          <w:b w:val="0"/>
          <w:bCs/>
          <w:color w:val="auto"/>
          <w:lang w:val="en-US" w:eastAsia="zh-CN"/>
        </w:rPr>
      </w:pPr>
      <w:r>
        <w:rPr>
          <w:rFonts w:hint="default"/>
          <w:b w:val="0"/>
          <w:bCs/>
          <w:color w:val="auto"/>
          <w:lang w:val="en-US" w:eastAsia="zh-CN"/>
        </w:rPr>
        <w:t>（1）了解系统的基本目的、工艺流程及环境因素等；</w:t>
      </w:r>
    </w:p>
    <w:p w14:paraId="03375DA8">
      <w:pPr>
        <w:bidi w:val="0"/>
        <w:rPr>
          <w:rFonts w:hint="default"/>
          <w:b w:val="0"/>
          <w:bCs/>
          <w:color w:val="auto"/>
          <w:lang w:val="en-US" w:eastAsia="zh-CN"/>
        </w:rPr>
      </w:pPr>
      <w:r>
        <w:rPr>
          <w:rFonts w:hint="default"/>
          <w:b w:val="0"/>
          <w:bCs/>
          <w:color w:val="auto"/>
          <w:lang w:val="en-US" w:eastAsia="zh-CN"/>
        </w:rPr>
        <w:t>（2）参照类似系统的事故教训及经验，分析系统中可能出现的危险、危害及其事故（或灾害）可能类型；</w:t>
      </w:r>
    </w:p>
    <w:p w14:paraId="3058ED85">
      <w:pPr>
        <w:bidi w:val="0"/>
        <w:rPr>
          <w:rFonts w:hint="default"/>
          <w:b w:val="0"/>
          <w:bCs/>
          <w:color w:val="auto"/>
          <w:lang w:val="en-US" w:eastAsia="zh-CN"/>
        </w:rPr>
      </w:pPr>
      <w:r>
        <w:rPr>
          <w:rFonts w:hint="default"/>
          <w:b w:val="0"/>
          <w:bCs/>
          <w:color w:val="auto"/>
          <w:lang w:val="en-US" w:eastAsia="zh-CN"/>
        </w:rPr>
        <w:t>（3）对确定的危险源分类，制定预先危险性分析表；</w:t>
      </w:r>
    </w:p>
    <w:p w14:paraId="2042E053">
      <w:pPr>
        <w:bidi w:val="0"/>
        <w:rPr>
          <w:rFonts w:hint="default"/>
          <w:b w:val="0"/>
          <w:bCs/>
          <w:color w:val="auto"/>
          <w:lang w:val="en-US" w:eastAsia="zh-CN"/>
        </w:rPr>
      </w:pPr>
      <w:r>
        <w:rPr>
          <w:rFonts w:hint="default"/>
          <w:b w:val="0"/>
          <w:bCs/>
          <w:color w:val="auto"/>
          <w:lang w:val="en-US" w:eastAsia="zh-CN"/>
        </w:rPr>
        <w:t>（4）确定危险因素转变为事故的触发条件和必要条件，寻求有效的对策措施；</w:t>
      </w:r>
    </w:p>
    <w:p w14:paraId="06C58094">
      <w:pPr>
        <w:bidi w:val="0"/>
        <w:rPr>
          <w:rFonts w:hint="default"/>
          <w:b w:val="0"/>
          <w:bCs/>
          <w:color w:val="auto"/>
          <w:lang w:val="en-US" w:eastAsia="zh-CN"/>
        </w:rPr>
      </w:pPr>
      <w:r>
        <w:rPr>
          <w:rFonts w:hint="default"/>
          <w:b w:val="0"/>
          <w:bCs/>
          <w:color w:val="auto"/>
          <w:lang w:val="en-US" w:eastAsia="zh-CN"/>
        </w:rPr>
        <w:t>（5）进行危险性等级划分；</w:t>
      </w:r>
    </w:p>
    <w:p w14:paraId="5839F0AA">
      <w:pPr>
        <w:bidi w:val="0"/>
        <w:rPr>
          <w:rFonts w:hint="default"/>
          <w:b w:val="0"/>
          <w:bCs/>
          <w:color w:val="auto"/>
          <w:lang w:val="en-US" w:eastAsia="zh-CN"/>
        </w:rPr>
      </w:pPr>
      <w:r>
        <w:rPr>
          <w:rFonts w:hint="default"/>
          <w:b w:val="0"/>
          <w:bCs/>
          <w:color w:val="auto"/>
          <w:lang w:val="en-US" w:eastAsia="zh-CN"/>
        </w:rPr>
        <w:t>（6）制定事故（或灾害）的预防性对策措施。</w:t>
      </w:r>
    </w:p>
    <w:p w14:paraId="253141EF">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lang w:val="en-US" w:eastAsia="zh-CN"/>
        </w:rPr>
      </w:pPr>
      <w:bookmarkStart w:id="158" w:name="_Toc7542"/>
      <w:r>
        <w:rPr>
          <w:rFonts w:hint="default" w:ascii="Times New Roman" w:hAnsi="Times New Roman" w:cs="Times New Roman"/>
          <w:bCs/>
          <w:color w:val="auto"/>
          <w:sz w:val="28"/>
          <w:szCs w:val="28"/>
          <w:lang w:val="en-US" w:eastAsia="zh-CN"/>
        </w:rPr>
        <w:t>4.2.2安全检查表分析法（SCL）</w:t>
      </w:r>
      <w:bookmarkEnd w:id="158"/>
    </w:p>
    <w:p w14:paraId="414F7B23">
      <w:pPr>
        <w:bidi w:val="0"/>
        <w:rPr>
          <w:rFonts w:hint="default"/>
          <w:b w:val="0"/>
          <w:bCs/>
          <w:color w:val="auto"/>
          <w:lang w:val="en-US" w:eastAsia="zh-CN"/>
        </w:rPr>
      </w:pPr>
      <w:r>
        <w:rPr>
          <w:rFonts w:hint="default"/>
          <w:b w:val="0"/>
          <w:bCs/>
          <w:color w:val="auto"/>
          <w:lang w:val="en-US" w:eastAsia="zh-CN"/>
        </w:rPr>
        <w:t>安全检查表分析（SafetyCheckListAnalysis）是将一系列分析项目列出检查表进行分析以确定系统的状态，这些项目包括设备、贮运、操作、管理等各个方面。传统的安全检查表分析方法是分析人员列出一些危险项目，识别与一般工艺设备和操作有关的已知类型的危险、设计缺陷以及事故隐患，其所列项目的差别很大，而且通常用于检查各种规范和标准的执行情况。安全检查表分析的弹性很大，既可用于简单的快速分析，也可用于更深层次的分析，它是识别已知危险的有效方法。</w:t>
      </w:r>
    </w:p>
    <w:p w14:paraId="7323C8DF">
      <w:pPr>
        <w:bidi w:val="0"/>
        <w:rPr>
          <w:rFonts w:hint="default"/>
          <w:b w:val="0"/>
          <w:bCs/>
          <w:color w:val="auto"/>
          <w:lang w:val="en-US" w:eastAsia="zh-CN"/>
        </w:rPr>
      </w:pPr>
      <w:r>
        <w:rPr>
          <w:rFonts w:hint="default"/>
          <w:b w:val="0"/>
          <w:bCs/>
          <w:color w:val="auto"/>
          <w:lang w:val="en-US" w:eastAsia="zh-CN"/>
        </w:rPr>
        <w:t>安全检查表内容包括标准、规范和规定，随时关注并采用新颁布的有关标准、规范和规定。正确地使用安全检查表分析将保证每个设备符合标准，而且要以识别出需进一步分析的区域。安全检查表分析是基于经验的方法，编制安全检查表的评价人员应当熟悉装置的操作、标准和规程，并从有关渠道（如内部标准、规范、行业指南等）选择合适的安全检查表，如果无法获得相关的安全检查表，评价人员必须运用自己的经验和可靠的参考资料编制合适的安全检查表；所拟定的安全检查表应当是通过回答安全检查表所列的问题能够发现系统设计和操作的各个方面与有关标准不符的地方。许多机构使用标准的安全检查表对项目发展的各个阶段进行分析。换句话说，针对典型的行业和工艺，其安全检查表内容是一定的；但是，完整的安全检查表应当随着项目从一个阶段到下一个阶段不断完善，这样，安全检查表才能作为交流和控制的手段。</w:t>
      </w:r>
    </w:p>
    <w:p w14:paraId="07993508">
      <w:pPr>
        <w:bidi w:val="0"/>
        <w:rPr>
          <w:rFonts w:hint="default"/>
          <w:b w:val="0"/>
          <w:bCs/>
          <w:color w:val="auto"/>
          <w:lang w:val="en-US" w:eastAsia="zh-CN"/>
        </w:rPr>
      </w:pPr>
      <w:r>
        <w:rPr>
          <w:rFonts w:hint="default"/>
          <w:b w:val="0"/>
          <w:bCs/>
          <w:color w:val="auto"/>
          <w:lang w:val="en-US" w:eastAsia="zh-CN"/>
        </w:rPr>
        <w:t>安全检查表分析包括三个步骤：</w:t>
      </w:r>
    </w:p>
    <w:p w14:paraId="7BC97D9F">
      <w:pPr>
        <w:bidi w:val="0"/>
        <w:rPr>
          <w:rFonts w:hint="default"/>
          <w:b w:val="0"/>
          <w:bCs/>
          <w:color w:val="auto"/>
          <w:lang w:val="en-US" w:eastAsia="zh-CN"/>
        </w:rPr>
      </w:pPr>
      <w:r>
        <w:rPr>
          <w:rFonts w:hint="default"/>
          <w:b w:val="0"/>
          <w:bCs/>
          <w:color w:val="auto"/>
          <w:lang w:val="en-US" w:eastAsia="zh-CN"/>
        </w:rPr>
        <w:t>1、选择或拟定合适的安全检查表；</w:t>
      </w:r>
    </w:p>
    <w:p w14:paraId="467DC7C4">
      <w:pPr>
        <w:bidi w:val="0"/>
        <w:rPr>
          <w:rFonts w:hint="default"/>
          <w:b w:val="0"/>
          <w:bCs/>
          <w:color w:val="auto"/>
          <w:lang w:val="en-US" w:eastAsia="zh-CN"/>
        </w:rPr>
      </w:pPr>
      <w:r>
        <w:rPr>
          <w:rFonts w:hint="default"/>
          <w:b w:val="0"/>
          <w:bCs/>
          <w:color w:val="auto"/>
          <w:lang w:val="en-US" w:eastAsia="zh-CN"/>
        </w:rPr>
        <w:t>2、完成分析；</w:t>
      </w:r>
    </w:p>
    <w:p w14:paraId="3DE93832">
      <w:pPr>
        <w:bidi w:val="0"/>
        <w:rPr>
          <w:rFonts w:hint="default"/>
          <w:b w:val="0"/>
          <w:bCs/>
          <w:color w:val="auto"/>
          <w:lang w:val="en-US" w:eastAsia="zh-CN"/>
        </w:rPr>
      </w:pPr>
      <w:r>
        <w:rPr>
          <w:rFonts w:hint="default"/>
          <w:b w:val="0"/>
          <w:bCs/>
          <w:color w:val="auto"/>
          <w:lang w:val="en-US" w:eastAsia="zh-CN"/>
        </w:rPr>
        <w:t>3、编制分析结果文件。</w:t>
      </w:r>
    </w:p>
    <w:p w14:paraId="3DA5AEBA">
      <w:pPr>
        <w:bidi w:val="0"/>
        <w:rPr>
          <w:rFonts w:hint="default"/>
          <w:b w:val="0"/>
          <w:bCs/>
          <w:color w:val="auto"/>
          <w:lang w:val="en-US" w:eastAsia="zh-CN"/>
        </w:rPr>
      </w:pPr>
      <w:r>
        <w:rPr>
          <w:rFonts w:hint="default"/>
          <w:b w:val="0"/>
          <w:bCs/>
          <w:color w:val="auto"/>
          <w:lang w:val="en-US" w:eastAsia="zh-CN"/>
        </w:rPr>
        <w:t>评价人员通过确定标准的设计或操作以建立传统的安全检查表，然后用它产生一系列基于缺陷或差异的问题。定性的分析结果随不同的分析对象而变化，但都将作出与标准或规范是否一致的结论。安全检查表分析通常提出一系列的提高安全性的可能途径给管理者考虑。</w:t>
      </w:r>
    </w:p>
    <w:p w14:paraId="393512D5">
      <w:pPr>
        <w:pStyle w:val="4"/>
        <w:keepNext w:val="0"/>
        <w:keepLines w:val="0"/>
        <w:spacing w:before="0" w:beforeLines="-2147483648" w:beforeAutospacing="0" w:after="0" w:afterLines="-2147483648" w:afterAutospacing="0" w:line="360" w:lineRule="auto"/>
        <w:ind w:firstLine="562" w:firstLineChars="200"/>
        <w:rPr>
          <w:rFonts w:hint="default" w:ascii="Times New Roman" w:hAnsi="Times New Roman" w:cs="Times New Roman"/>
          <w:bCs/>
          <w:color w:val="auto"/>
          <w:sz w:val="28"/>
          <w:szCs w:val="28"/>
          <w:lang w:val="en-US" w:eastAsia="zh-CN"/>
        </w:rPr>
      </w:pPr>
      <w:bookmarkStart w:id="159" w:name="_Toc5865"/>
      <w:r>
        <w:rPr>
          <w:rFonts w:hint="default" w:ascii="Times New Roman" w:hAnsi="Times New Roman" w:cs="Times New Roman"/>
          <w:bCs/>
          <w:color w:val="auto"/>
          <w:sz w:val="28"/>
          <w:szCs w:val="28"/>
          <w:lang w:val="en-US" w:eastAsia="zh-CN"/>
        </w:rPr>
        <w:t>4.2.3事故树（FTA）分析方法</w:t>
      </w:r>
      <w:bookmarkEnd w:id="159"/>
    </w:p>
    <w:p w14:paraId="3037E1E2">
      <w:pPr>
        <w:bidi w:val="0"/>
        <w:rPr>
          <w:rFonts w:hint="default"/>
          <w:b w:val="0"/>
          <w:bCs/>
          <w:color w:val="auto"/>
          <w:lang w:val="en-US" w:eastAsia="zh-CN"/>
        </w:rPr>
      </w:pPr>
      <w:r>
        <w:rPr>
          <w:rFonts w:hint="default"/>
          <w:b w:val="0"/>
          <w:bCs/>
          <w:color w:val="auto"/>
          <w:lang w:val="en-US" w:eastAsia="zh-CN"/>
        </w:rPr>
        <w:t>事故树分析法又称故障树分析，是一种逻辑演绎系统安全分析方法。它是从要分析的特定事故或故障开始，层层分析其发生原因，一直分析到不能再分解为止；将特定的事故和各层原因（危险因素）之间用逻辑门符号连接起来，得到形象、简洁地表达其逻辑关系（因果关系）的逻辑树图形，即事故树。通过对事故树简化、计算达到分析、评价的目的。</w:t>
      </w:r>
    </w:p>
    <w:p w14:paraId="04245F90">
      <w:pPr>
        <w:bidi w:val="0"/>
        <w:rPr>
          <w:rFonts w:hint="default"/>
          <w:b w:val="0"/>
          <w:bCs/>
          <w:color w:val="auto"/>
          <w:lang w:val="en-US" w:eastAsia="zh-CN"/>
        </w:rPr>
      </w:pPr>
      <w:r>
        <w:rPr>
          <w:rFonts w:hint="default"/>
          <w:b w:val="0"/>
          <w:bCs/>
          <w:color w:val="auto"/>
          <w:lang w:val="en-US" w:eastAsia="zh-CN"/>
        </w:rPr>
        <w:t>该方法的基本步骤如下：</w:t>
      </w:r>
    </w:p>
    <w:p w14:paraId="421077A8">
      <w:pPr>
        <w:bidi w:val="0"/>
        <w:rPr>
          <w:rFonts w:hint="default"/>
          <w:b w:val="0"/>
          <w:bCs/>
          <w:color w:val="auto"/>
          <w:lang w:val="en-US" w:eastAsia="zh-CN"/>
        </w:rPr>
      </w:pPr>
      <w:r>
        <w:rPr>
          <w:rFonts w:hint="default"/>
          <w:b w:val="0"/>
          <w:bCs/>
          <w:color w:val="auto"/>
          <w:lang w:val="en-US" w:eastAsia="zh-CN"/>
        </w:rPr>
        <w:t>1、确定分析对象系统和要分析的各对象事件（顶上事件）；</w:t>
      </w:r>
    </w:p>
    <w:p w14:paraId="5DB0AA27">
      <w:pPr>
        <w:bidi w:val="0"/>
        <w:rPr>
          <w:rFonts w:hint="default"/>
          <w:b w:val="0"/>
          <w:bCs/>
          <w:color w:val="auto"/>
          <w:lang w:val="en-US" w:eastAsia="zh-CN"/>
        </w:rPr>
      </w:pPr>
      <w:r>
        <w:rPr>
          <w:rFonts w:hint="default"/>
          <w:b w:val="0"/>
          <w:bCs/>
          <w:color w:val="auto"/>
          <w:lang w:val="en-US" w:eastAsia="zh-CN"/>
        </w:rPr>
        <w:t>2、确定系统事故发生概率、事故损失的安全目标值；</w:t>
      </w:r>
    </w:p>
    <w:p w14:paraId="227242A7">
      <w:pPr>
        <w:bidi w:val="0"/>
        <w:rPr>
          <w:rFonts w:hint="default"/>
          <w:b w:val="0"/>
          <w:bCs/>
          <w:color w:val="auto"/>
          <w:lang w:val="en-US" w:eastAsia="zh-CN"/>
        </w:rPr>
      </w:pPr>
      <w:r>
        <w:rPr>
          <w:rFonts w:hint="default"/>
          <w:b w:val="0"/>
          <w:bCs/>
          <w:color w:val="auto"/>
          <w:lang w:val="en-US" w:eastAsia="zh-CN"/>
        </w:rPr>
        <w:t>3、调查与事故有关的所有直接原因和各种因素（设备故障、人员失误和环境不良反应因素）；</w:t>
      </w:r>
    </w:p>
    <w:p w14:paraId="1DE16F08">
      <w:pPr>
        <w:bidi w:val="0"/>
        <w:rPr>
          <w:rFonts w:hint="default"/>
          <w:b w:val="0"/>
          <w:bCs/>
          <w:color w:val="auto"/>
          <w:lang w:val="en-US" w:eastAsia="zh-CN"/>
        </w:rPr>
      </w:pPr>
      <w:r>
        <w:rPr>
          <w:rFonts w:hint="default"/>
          <w:b w:val="0"/>
          <w:bCs/>
          <w:color w:val="auto"/>
          <w:lang w:val="en-US" w:eastAsia="zh-CN"/>
        </w:rPr>
        <w:t>4、编制事故树：从顶上事件起，一级一级往下找出所有原因事件为止，按其逻辑关系画出事故树；</w:t>
      </w:r>
    </w:p>
    <w:p w14:paraId="1BDD36AD">
      <w:pPr>
        <w:bidi w:val="0"/>
        <w:rPr>
          <w:rFonts w:hint="default"/>
          <w:b w:val="0"/>
          <w:bCs/>
          <w:color w:val="auto"/>
          <w:lang w:val="en-US" w:eastAsia="zh-CN"/>
        </w:rPr>
      </w:pPr>
      <w:r>
        <w:rPr>
          <w:rFonts w:hint="default"/>
          <w:b w:val="0"/>
          <w:bCs/>
          <w:color w:val="auto"/>
          <w:lang w:val="en-US" w:eastAsia="zh-CN"/>
        </w:rPr>
        <w:t>5、定性分析：按事故树结构进行简化，求出最小割集和最小径集，确定各基本事件的结构重要度；</w:t>
      </w:r>
    </w:p>
    <w:p w14:paraId="032279E9">
      <w:pPr>
        <w:bidi w:val="0"/>
        <w:rPr>
          <w:rFonts w:hint="default"/>
          <w:b w:val="0"/>
          <w:bCs/>
          <w:color w:val="auto"/>
          <w:lang w:val="en-US" w:eastAsia="zh-CN"/>
        </w:rPr>
      </w:pPr>
      <w:r>
        <w:rPr>
          <w:rFonts w:hint="default"/>
          <w:b w:val="0"/>
          <w:bCs/>
          <w:color w:val="auto"/>
          <w:lang w:val="en-US" w:eastAsia="zh-CN"/>
        </w:rPr>
        <w:t>6、定量分析：找出各基本事故的发生概率，计算出顶上事件的发生概率，求出概率重要度和临界重要度；</w:t>
      </w:r>
    </w:p>
    <w:p w14:paraId="2181D827">
      <w:pPr>
        <w:bidi w:val="0"/>
        <w:rPr>
          <w:b w:val="0"/>
          <w:bCs/>
          <w:color w:val="auto"/>
        </w:rPr>
      </w:pPr>
      <w:r>
        <w:rPr>
          <w:rFonts w:hint="default"/>
          <w:b w:val="0"/>
          <w:bCs/>
          <w:color w:val="auto"/>
          <w:lang w:val="en-US" w:eastAsia="zh-CN"/>
        </w:rPr>
        <w:t>7、结果分析：当事故发生概率超过预定目标值时，从最小割集着手研究降低事故发生概率的所有可能方案，利用最小径集找出消除事故的最佳方案；通过重要度（重要度系数）分析确定采取对策措施的重点和先后顺序；从而得出分析、评价的结论。</w:t>
      </w:r>
    </w:p>
    <w:p w14:paraId="2EC4AF0F">
      <w:pPr>
        <w:rPr>
          <w:b w:val="0"/>
          <w:bCs/>
          <w:color w:val="auto"/>
        </w:rPr>
      </w:pPr>
      <w:r>
        <w:rPr>
          <w:b w:val="0"/>
          <w:bCs/>
          <w:color w:val="auto"/>
        </w:rPr>
        <w:br w:type="page"/>
      </w:r>
    </w:p>
    <w:p w14:paraId="110E44F3">
      <w:pPr>
        <w:pStyle w:val="2"/>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2"/>
          <w:szCs w:val="44"/>
        </w:rPr>
      </w:pPr>
      <w:bookmarkStart w:id="160" w:name="_Toc17183"/>
      <w:bookmarkStart w:id="161" w:name="_Toc12684"/>
      <w:r>
        <w:rPr>
          <w:rFonts w:hint="eastAsia" w:ascii="Times New Roman" w:hAnsi="Times New Roman" w:eastAsia="黑体" w:cs="Times New Roman"/>
          <w:b/>
          <w:bCs/>
          <w:color w:val="auto"/>
          <w:sz w:val="32"/>
          <w:szCs w:val="44"/>
        </w:rPr>
        <w:t>5</w:t>
      </w:r>
      <w:r>
        <w:rPr>
          <w:rFonts w:hint="eastAsia" w:ascii="Times New Roman" w:hAnsi="Times New Roman" w:cs="Times New Roman"/>
          <w:b/>
          <w:bCs/>
          <w:color w:val="auto"/>
          <w:sz w:val="32"/>
          <w:szCs w:val="44"/>
          <w:lang w:val="en-US" w:eastAsia="zh-CN"/>
        </w:rPr>
        <w:t>.</w:t>
      </w:r>
      <w:r>
        <w:rPr>
          <w:rFonts w:hint="eastAsia" w:ascii="Times New Roman" w:hAnsi="Times New Roman" w:eastAsia="黑体" w:cs="Times New Roman"/>
          <w:b/>
          <w:bCs/>
          <w:color w:val="auto"/>
          <w:sz w:val="32"/>
          <w:szCs w:val="44"/>
        </w:rPr>
        <w:t>定性定量评价</w:t>
      </w:r>
      <w:bookmarkEnd w:id="160"/>
      <w:bookmarkEnd w:id="161"/>
    </w:p>
    <w:p w14:paraId="70282BFB">
      <w:pPr>
        <w:rPr>
          <w:rFonts w:hint="eastAsia"/>
          <w:b w:val="0"/>
          <w:bCs/>
          <w:color w:val="auto"/>
        </w:rPr>
      </w:pPr>
    </w:p>
    <w:p w14:paraId="0F5CD54E">
      <w:pPr>
        <w:pStyle w:val="2"/>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2"/>
          <w:szCs w:val="44"/>
        </w:rPr>
      </w:pPr>
      <w:bookmarkStart w:id="162" w:name="_Toc31218"/>
      <w:bookmarkStart w:id="163" w:name="_Toc17167"/>
      <w:r>
        <w:rPr>
          <w:rFonts w:hint="eastAsia" w:ascii="Times New Roman" w:hAnsi="Times New Roman" w:eastAsia="黑体" w:cs="Times New Roman"/>
          <w:b/>
          <w:bCs/>
          <w:color w:val="auto"/>
          <w:sz w:val="32"/>
          <w:szCs w:val="44"/>
        </w:rPr>
        <w:t>6</w:t>
      </w:r>
      <w:r>
        <w:rPr>
          <w:rFonts w:hint="eastAsia" w:ascii="Times New Roman" w:hAnsi="Times New Roman" w:cs="Times New Roman"/>
          <w:b/>
          <w:bCs/>
          <w:color w:val="auto"/>
          <w:sz w:val="32"/>
          <w:szCs w:val="44"/>
          <w:lang w:val="en-US" w:eastAsia="zh-CN"/>
        </w:rPr>
        <w:t>.</w:t>
      </w:r>
      <w:r>
        <w:rPr>
          <w:rFonts w:hint="eastAsia" w:ascii="Times New Roman" w:hAnsi="Times New Roman" w:eastAsia="黑体" w:cs="Times New Roman"/>
          <w:b/>
          <w:bCs/>
          <w:color w:val="auto"/>
          <w:sz w:val="32"/>
          <w:szCs w:val="44"/>
        </w:rPr>
        <w:t>安全对策措施建议</w:t>
      </w:r>
      <w:bookmarkEnd w:id="162"/>
      <w:bookmarkEnd w:id="163"/>
    </w:p>
    <w:p w14:paraId="77B782F0">
      <w:pPr>
        <w:rPr>
          <w:rFonts w:hint="eastAsia"/>
          <w:b w:val="0"/>
          <w:bCs/>
          <w:color w:val="auto"/>
        </w:rPr>
      </w:pPr>
      <w:r>
        <w:rPr>
          <w:rFonts w:hint="eastAsia"/>
          <w:b w:val="0"/>
          <w:bCs/>
          <w:color w:val="auto"/>
        </w:rPr>
        <w:br w:type="page"/>
      </w:r>
    </w:p>
    <w:p w14:paraId="10ED4A74">
      <w:pPr>
        <w:pStyle w:val="2"/>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2"/>
          <w:szCs w:val="44"/>
        </w:rPr>
      </w:pPr>
      <w:bookmarkStart w:id="164" w:name="_Toc3359"/>
      <w:bookmarkStart w:id="165" w:name="_Toc25747"/>
      <w:r>
        <w:rPr>
          <w:rFonts w:hint="eastAsia" w:ascii="Times New Roman" w:hAnsi="Times New Roman" w:eastAsia="黑体" w:cs="Times New Roman"/>
          <w:b/>
          <w:bCs/>
          <w:color w:val="auto"/>
          <w:sz w:val="32"/>
          <w:szCs w:val="44"/>
        </w:rPr>
        <w:t>7</w:t>
      </w:r>
      <w:r>
        <w:rPr>
          <w:rFonts w:hint="eastAsia" w:ascii="Times New Roman" w:hAnsi="Times New Roman" w:cs="Times New Roman"/>
          <w:b/>
          <w:bCs/>
          <w:color w:val="auto"/>
          <w:sz w:val="32"/>
          <w:szCs w:val="44"/>
          <w:lang w:val="en-US" w:eastAsia="zh-CN"/>
        </w:rPr>
        <w:t>.</w:t>
      </w:r>
      <w:r>
        <w:rPr>
          <w:rFonts w:hint="eastAsia" w:ascii="Times New Roman" w:hAnsi="Times New Roman" w:eastAsia="黑体" w:cs="Times New Roman"/>
          <w:b/>
          <w:bCs/>
          <w:color w:val="auto"/>
          <w:sz w:val="32"/>
          <w:szCs w:val="44"/>
        </w:rPr>
        <w:t>评价结论</w:t>
      </w:r>
      <w:bookmarkEnd w:id="164"/>
      <w:bookmarkEnd w:id="165"/>
    </w:p>
    <w:p w14:paraId="79C3ED41">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66" w:name="_Toc2736"/>
      <w:bookmarkStart w:id="167" w:name="_Toc23898"/>
      <w:r>
        <w:rPr>
          <w:rFonts w:hint="eastAsia" w:ascii="Times New Roman" w:hAnsi="Times New Roman" w:eastAsia="黑体" w:cs="Times New Roman"/>
          <w:b/>
          <w:bCs/>
          <w:color w:val="auto"/>
          <w:sz w:val="30"/>
          <w:szCs w:val="30"/>
        </w:rPr>
        <w:t>7.1主要危险、有害因素及重大危险源辨识结果</w:t>
      </w:r>
      <w:bookmarkEnd w:id="166"/>
      <w:bookmarkEnd w:id="167"/>
    </w:p>
    <w:p w14:paraId="4C01A6A2">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68" w:name="_Toc8642"/>
      <w:r>
        <w:rPr>
          <w:rFonts w:hint="eastAsia" w:ascii="Times New Roman" w:hAnsi="Times New Roman" w:cs="Times New Roman"/>
          <w:bCs/>
          <w:color w:val="auto"/>
          <w:sz w:val="28"/>
          <w:szCs w:val="28"/>
        </w:rPr>
        <w:t>7.1.1项目存在的主要危险、有害因素</w:t>
      </w:r>
      <w:bookmarkEnd w:id="168"/>
    </w:p>
    <w:p w14:paraId="33C7334A">
      <w:pPr>
        <w:bidi w:val="0"/>
        <w:rPr>
          <w:rFonts w:hint="eastAsia" w:eastAsia="宋体"/>
          <w:b w:val="0"/>
          <w:bCs/>
          <w:color w:val="auto"/>
          <w:lang w:eastAsia="zh-CN"/>
        </w:rPr>
      </w:pPr>
      <w:r>
        <w:rPr>
          <w:rFonts w:hint="eastAsia"/>
          <w:b w:val="0"/>
          <w:bCs/>
          <w:color w:val="auto"/>
        </w:rPr>
        <w:t>建设项目在建设和生产过程中主要危险因素有：</w:t>
      </w:r>
      <w:r>
        <w:rPr>
          <w:rFonts w:hint="eastAsia"/>
          <w:b w:val="0"/>
          <w:bCs/>
          <w:color w:val="auto"/>
          <w:lang w:val="en-US" w:eastAsia="zh-CN"/>
        </w:rPr>
        <w:t>滑坡、</w:t>
      </w:r>
      <w:r>
        <w:rPr>
          <w:rFonts w:hint="eastAsia"/>
          <w:b w:val="0"/>
          <w:bCs/>
          <w:color w:val="auto"/>
        </w:rPr>
        <w:t>坍塌、物体打击、机械伤害、触电、高处坠落、车辆伤害、火灾、爆炸、</w:t>
      </w:r>
      <w:r>
        <w:rPr>
          <w:rFonts w:hint="eastAsia"/>
          <w:b w:val="0"/>
          <w:bCs/>
          <w:color w:val="auto"/>
          <w:lang w:val="en-US" w:eastAsia="zh-CN"/>
        </w:rPr>
        <w:t>起重伤害</w:t>
      </w:r>
      <w:r>
        <w:rPr>
          <w:rFonts w:hint="eastAsia"/>
          <w:b w:val="0"/>
          <w:bCs/>
          <w:color w:val="auto"/>
        </w:rPr>
        <w:t>、容器爆炸、其他伤害、中毒与窒息及淹溺等危险因素。</w:t>
      </w:r>
    </w:p>
    <w:p w14:paraId="0D2234B7">
      <w:pPr>
        <w:bidi w:val="0"/>
        <w:rPr>
          <w:rFonts w:hint="eastAsia"/>
          <w:b w:val="0"/>
          <w:bCs/>
          <w:color w:val="auto"/>
        </w:rPr>
      </w:pPr>
      <w:r>
        <w:rPr>
          <w:rFonts w:hint="eastAsia"/>
          <w:b w:val="0"/>
          <w:bCs/>
          <w:color w:val="auto"/>
        </w:rPr>
        <w:t>主要有害因素有：粉尘、噪声、振动</w:t>
      </w:r>
      <w:r>
        <w:rPr>
          <w:rFonts w:hint="eastAsia"/>
          <w:b w:val="0"/>
          <w:bCs/>
          <w:color w:val="auto"/>
          <w:lang w:eastAsia="zh-CN"/>
        </w:rPr>
        <w:t>、</w:t>
      </w:r>
      <w:r>
        <w:rPr>
          <w:rFonts w:hint="eastAsia" w:ascii="Times New Roman" w:eastAsia="宋体"/>
          <w:b w:val="0"/>
          <w:bCs/>
          <w:color w:val="auto"/>
          <w:lang w:val="sq-AL" w:eastAsia="zh-CN"/>
        </w:rPr>
        <w:t>酷暑</w:t>
      </w:r>
      <w:r>
        <w:rPr>
          <w:rFonts w:hint="eastAsia"/>
          <w:b w:val="0"/>
          <w:bCs/>
          <w:color w:val="auto"/>
        </w:rPr>
        <w:t>等。</w:t>
      </w:r>
    </w:p>
    <w:p w14:paraId="6F291853">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69" w:name="_Toc31360"/>
      <w:r>
        <w:rPr>
          <w:rFonts w:hint="eastAsia" w:ascii="Times New Roman" w:hAnsi="Times New Roman" w:cs="Times New Roman"/>
          <w:bCs/>
          <w:color w:val="auto"/>
          <w:sz w:val="28"/>
          <w:szCs w:val="28"/>
        </w:rPr>
        <w:t>7.1.2项目存在的重大危险源</w:t>
      </w:r>
      <w:bookmarkEnd w:id="169"/>
    </w:p>
    <w:p w14:paraId="0A3F8DD0">
      <w:pPr>
        <w:bidi w:val="0"/>
        <w:rPr>
          <w:rFonts w:hint="eastAsia"/>
          <w:b w:val="0"/>
          <w:bCs/>
          <w:color w:val="auto"/>
        </w:rPr>
      </w:pPr>
      <w:r>
        <w:rPr>
          <w:rFonts w:hint="eastAsia"/>
          <w:b w:val="0"/>
          <w:bCs/>
          <w:color w:val="auto"/>
        </w:rPr>
        <w:t>根据《危险化学品重大危险源辨识》（GB18218-2018）进行辨识，该项目未构成重大危险源。</w:t>
      </w:r>
    </w:p>
    <w:p w14:paraId="104B83C6">
      <w:pPr>
        <w:pStyle w:val="4"/>
        <w:keepNext w:val="0"/>
        <w:keepLines w:val="0"/>
        <w:spacing w:before="0" w:beforeLines="-2147483648" w:beforeAutospacing="0" w:after="0" w:afterLines="-2147483648" w:afterAutospacing="0" w:line="360" w:lineRule="auto"/>
        <w:ind w:firstLine="562" w:firstLineChars="200"/>
        <w:rPr>
          <w:rFonts w:hint="eastAsia" w:ascii="Times New Roman" w:hAnsi="Times New Roman" w:cs="Times New Roman"/>
          <w:bCs/>
          <w:color w:val="auto"/>
          <w:sz w:val="28"/>
          <w:szCs w:val="28"/>
        </w:rPr>
      </w:pPr>
      <w:bookmarkStart w:id="170" w:name="_Toc10196"/>
      <w:r>
        <w:rPr>
          <w:rFonts w:hint="eastAsia" w:ascii="Times New Roman" w:hAnsi="Times New Roman" w:cs="Times New Roman"/>
          <w:bCs/>
          <w:color w:val="auto"/>
          <w:sz w:val="28"/>
          <w:szCs w:val="28"/>
        </w:rPr>
        <w:t>7.1.3需要重点防范的危险、有害因素</w:t>
      </w:r>
      <w:bookmarkEnd w:id="170"/>
    </w:p>
    <w:p w14:paraId="1EA1559D">
      <w:pPr>
        <w:bidi w:val="0"/>
        <w:rPr>
          <w:rFonts w:hint="eastAsia"/>
          <w:b w:val="0"/>
          <w:bCs/>
          <w:color w:val="auto"/>
        </w:rPr>
      </w:pPr>
      <w:r>
        <w:rPr>
          <w:rFonts w:hint="eastAsia"/>
          <w:b w:val="0"/>
          <w:bCs/>
          <w:color w:val="auto"/>
        </w:rPr>
        <w:t>重点防范的危险因素有：坍塌、火灾、车辆伤害、物体打击、高处坠落、机械伤害及触电等危险因素。</w:t>
      </w:r>
    </w:p>
    <w:p w14:paraId="0CD85C4C">
      <w:pPr>
        <w:bidi w:val="0"/>
        <w:rPr>
          <w:rFonts w:hint="eastAsia"/>
          <w:b w:val="0"/>
          <w:bCs/>
          <w:color w:val="auto"/>
        </w:rPr>
      </w:pPr>
      <w:r>
        <w:rPr>
          <w:rFonts w:hint="eastAsia"/>
          <w:b w:val="0"/>
          <w:bCs/>
          <w:color w:val="auto"/>
        </w:rPr>
        <w:t>重点防范的有害因素主要有：粉尘、噪声及振动。</w:t>
      </w:r>
    </w:p>
    <w:p w14:paraId="35ACBC16">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71" w:name="_Toc1243"/>
      <w:bookmarkStart w:id="172" w:name="_Toc31989"/>
      <w:r>
        <w:rPr>
          <w:rFonts w:hint="eastAsia" w:ascii="Times New Roman" w:hAnsi="Times New Roman" w:eastAsia="黑体" w:cs="Times New Roman"/>
          <w:b/>
          <w:bCs/>
          <w:color w:val="auto"/>
          <w:sz w:val="30"/>
          <w:szCs w:val="30"/>
        </w:rPr>
        <w:t>7.2应重视的安全对策措施建议</w:t>
      </w:r>
      <w:bookmarkEnd w:id="171"/>
      <w:bookmarkEnd w:id="172"/>
    </w:p>
    <w:p w14:paraId="2A668734">
      <w:pPr>
        <w:numPr>
          <w:numId w:val="0"/>
        </w:numPr>
        <w:tabs>
          <w:tab w:val="left" w:pos="420"/>
        </w:tabs>
        <w:bidi w:val="0"/>
        <w:ind w:left="420" w:leftChars="0"/>
        <w:rPr>
          <w:rFonts w:hint="eastAsia"/>
          <w:b w:val="0"/>
          <w:bCs/>
          <w:color w:val="auto"/>
        </w:rPr>
      </w:pPr>
      <w:r>
        <w:rPr>
          <w:rFonts w:hint="eastAsia"/>
          <w:b w:val="0"/>
          <w:bCs/>
          <w:color w:val="auto"/>
        </w:rPr>
        <w:t>。</w:t>
      </w:r>
    </w:p>
    <w:p w14:paraId="3EEFAA5E">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73" w:name="_Toc18162"/>
      <w:bookmarkStart w:id="174" w:name="_Toc23472"/>
      <w:r>
        <w:rPr>
          <w:rFonts w:hint="eastAsia" w:ascii="Times New Roman" w:hAnsi="Times New Roman" w:eastAsia="黑体" w:cs="Times New Roman"/>
          <w:b/>
          <w:bCs/>
          <w:color w:val="auto"/>
          <w:sz w:val="30"/>
          <w:szCs w:val="30"/>
        </w:rPr>
        <w:t>7.3评价结论</w:t>
      </w:r>
      <w:bookmarkEnd w:id="173"/>
      <w:bookmarkEnd w:id="174"/>
    </w:p>
    <w:p w14:paraId="0FEE04C8">
      <w:pPr>
        <w:bidi w:val="0"/>
        <w:rPr>
          <w:rFonts w:hint="eastAsia"/>
          <w:b w:val="0"/>
          <w:bCs/>
          <w:color w:val="auto"/>
        </w:rPr>
      </w:pPr>
      <w:r>
        <w:rPr>
          <w:rFonts w:hint="eastAsia"/>
          <w:b w:val="0"/>
          <w:bCs/>
          <w:color w:val="auto"/>
        </w:rPr>
        <w:t>根据对评价项目的现场调查和相关资料的分析，完成了该项目主要危险有害因素的辨识和分析，对评价系统进行了科学合理的单元划分。通过划分把评价对象更细节化，更具统一性，并运用各种安全系统工程的分析方法，对这些个子系统进行了危险有害因素的辨识和分析，并在此基础上提出了合理可行的对策措施，形成以下预评价结论：</w:t>
      </w:r>
    </w:p>
    <w:p w14:paraId="3DC5DA71">
      <w:pPr>
        <w:bidi w:val="0"/>
        <w:rPr>
          <w:rFonts w:hint="eastAsia"/>
          <w:b w:val="0"/>
          <w:bCs/>
          <w:color w:val="auto"/>
        </w:rPr>
      </w:pPr>
      <w:r>
        <w:rPr>
          <w:rFonts w:hint="eastAsia"/>
          <w:b w:val="0"/>
          <w:bCs/>
          <w:color w:val="auto"/>
        </w:rPr>
        <w:t>1、企业证照齐全、有效、合法。立项批复、建设程序合法，项目初步设计</w:t>
      </w:r>
      <w:r>
        <w:rPr>
          <w:rFonts w:hint="eastAsia"/>
          <w:b w:val="0"/>
          <w:bCs/>
          <w:color w:val="auto"/>
          <w:lang w:eastAsia="zh-CN"/>
        </w:rPr>
        <w:t>（</w:t>
      </w:r>
      <w:r>
        <w:rPr>
          <w:rFonts w:hint="eastAsia"/>
          <w:b w:val="0"/>
          <w:bCs/>
          <w:color w:val="auto"/>
        </w:rPr>
        <w:t>代可研</w:t>
      </w:r>
      <w:r>
        <w:rPr>
          <w:rFonts w:hint="eastAsia"/>
          <w:b w:val="0"/>
          <w:bCs/>
          <w:color w:val="auto"/>
          <w:lang w:eastAsia="zh-CN"/>
        </w:rPr>
        <w:t>）</w:t>
      </w:r>
      <w:r>
        <w:rPr>
          <w:rFonts w:hint="eastAsia"/>
          <w:b w:val="0"/>
          <w:bCs/>
          <w:color w:val="auto"/>
        </w:rPr>
        <w:t>、工程地质勘察单位资质有效、合法。</w:t>
      </w:r>
    </w:p>
    <w:p w14:paraId="7C830739">
      <w:pPr>
        <w:bidi w:val="0"/>
        <w:rPr>
          <w:rFonts w:hint="eastAsia"/>
          <w:b w:val="0"/>
          <w:bCs/>
          <w:color w:val="auto"/>
        </w:rPr>
      </w:pPr>
      <w:r>
        <w:rPr>
          <w:rFonts w:hint="eastAsia"/>
          <w:b w:val="0"/>
          <w:bCs/>
          <w:color w:val="auto"/>
          <w:lang w:val="en-US" w:eastAsia="zh-CN"/>
        </w:rPr>
        <w:t>2</w:t>
      </w:r>
      <w:r>
        <w:rPr>
          <w:rFonts w:hint="eastAsia"/>
          <w:b w:val="0"/>
          <w:bCs/>
          <w:color w:val="auto"/>
        </w:rPr>
        <w:t>、项目工艺方案、主要和辅助生产设施安全技术措施的设置，符合国家安全生产法规、标准和规范的要求。</w:t>
      </w:r>
    </w:p>
    <w:p w14:paraId="1297FCC8">
      <w:pPr>
        <w:bidi w:val="0"/>
        <w:rPr>
          <w:rFonts w:hint="eastAsia"/>
          <w:b w:val="0"/>
          <w:bCs/>
          <w:color w:val="auto"/>
        </w:rPr>
      </w:pPr>
      <w:r>
        <w:rPr>
          <w:rFonts w:hint="eastAsia"/>
          <w:b w:val="0"/>
          <w:bCs/>
          <w:color w:val="auto"/>
          <w:lang w:val="en-US" w:eastAsia="zh-CN"/>
        </w:rPr>
        <w:t>3</w:t>
      </w:r>
      <w:r>
        <w:rPr>
          <w:rFonts w:hint="eastAsia"/>
          <w:b w:val="0"/>
          <w:bCs/>
          <w:color w:val="auto"/>
        </w:rPr>
        <w:t>、建设项目在建设和生产过程中存在的主要危险因素有：坍塌、</w:t>
      </w:r>
      <w:r>
        <w:rPr>
          <w:rFonts w:hint="eastAsia"/>
          <w:b w:val="0"/>
          <w:bCs/>
          <w:color w:val="auto"/>
          <w:lang w:val="en-US" w:eastAsia="zh-CN"/>
        </w:rPr>
        <w:t>滑坡</w:t>
      </w:r>
      <w:r>
        <w:rPr>
          <w:rFonts w:hint="eastAsia"/>
          <w:b w:val="0"/>
          <w:bCs/>
          <w:color w:val="auto"/>
        </w:rPr>
        <w:t>机械伤害、车辆伤害、触电</w:t>
      </w:r>
      <w:r>
        <w:rPr>
          <w:rFonts w:hint="eastAsia"/>
          <w:b w:val="0"/>
          <w:bCs/>
          <w:color w:val="auto"/>
          <w:lang w:eastAsia="zh-CN"/>
        </w:rPr>
        <w:t>、</w:t>
      </w:r>
      <w:r>
        <w:rPr>
          <w:rFonts w:hint="eastAsia"/>
          <w:b w:val="0"/>
          <w:bCs/>
          <w:color w:val="auto"/>
        </w:rPr>
        <w:t>物体打击、高处坠落、火灾、爆炸、淹溺</w:t>
      </w:r>
      <w:r>
        <w:rPr>
          <w:rFonts w:hint="eastAsia"/>
          <w:b w:val="0"/>
          <w:bCs/>
          <w:color w:val="auto"/>
          <w:lang w:eastAsia="zh-CN"/>
        </w:rPr>
        <w:t>、</w:t>
      </w:r>
      <w:r>
        <w:rPr>
          <w:rFonts w:hint="eastAsia"/>
          <w:b w:val="0"/>
          <w:bCs/>
          <w:color w:val="auto"/>
        </w:rPr>
        <w:t>中毒与窒息</w:t>
      </w:r>
      <w:r>
        <w:rPr>
          <w:rFonts w:hint="eastAsia"/>
          <w:b w:val="0"/>
          <w:bCs/>
          <w:color w:val="auto"/>
          <w:lang w:eastAsia="zh-CN"/>
        </w:rPr>
        <w:t>、</w:t>
      </w:r>
      <w:r>
        <w:rPr>
          <w:rFonts w:hint="eastAsia"/>
          <w:b w:val="0"/>
          <w:bCs/>
          <w:color w:val="auto"/>
          <w:lang w:val="en-US" w:eastAsia="zh-CN"/>
        </w:rPr>
        <w:t>起重伤害、容器爆炸、其他伤害</w:t>
      </w:r>
      <w:r>
        <w:rPr>
          <w:rFonts w:hint="eastAsia"/>
          <w:b w:val="0"/>
          <w:bCs/>
          <w:color w:val="auto"/>
        </w:rPr>
        <w:t>等危险因素；主要有害因素有：粉尘、噪声、振动</w:t>
      </w:r>
      <w:r>
        <w:rPr>
          <w:rFonts w:hint="eastAsia"/>
          <w:b w:val="0"/>
          <w:bCs/>
          <w:color w:val="auto"/>
          <w:lang w:eastAsia="zh-CN"/>
        </w:rPr>
        <w:t>、</w:t>
      </w:r>
      <w:r>
        <w:rPr>
          <w:rFonts w:hint="eastAsia"/>
          <w:b w:val="0"/>
          <w:bCs/>
          <w:color w:val="auto"/>
          <w:lang w:val="sq-AL" w:eastAsia="zh-CN"/>
        </w:rPr>
        <w:t>酷暑</w:t>
      </w:r>
      <w:r>
        <w:rPr>
          <w:rFonts w:hint="eastAsia"/>
          <w:b w:val="0"/>
          <w:bCs/>
          <w:color w:val="auto"/>
        </w:rPr>
        <w:t>等。在项目建设施工和生产过程中，通过落实初步设计方案和本次安全预评价报告安全对策措施，进一步优化和完善设计和生产设施，消除、减少项目中危险、有害因素，认真落实国家相关安全生产的法规、标准、规程、规范，加强事故预防和安全管理工作，为该项目安全生产的要求奠定基础，该项目潜在的危险、有害因素能得到控制，在可接受的范围内。</w:t>
      </w:r>
    </w:p>
    <w:p w14:paraId="0057898C">
      <w:pPr>
        <w:bidi w:val="0"/>
        <w:rPr>
          <w:rFonts w:hint="eastAsia"/>
          <w:b/>
          <w:bCs w:val="0"/>
          <w:color w:val="auto"/>
        </w:rPr>
      </w:pPr>
      <w:r>
        <w:rPr>
          <w:rFonts w:hint="eastAsia"/>
          <w:b/>
          <w:bCs w:val="0"/>
          <w:color w:val="auto"/>
        </w:rPr>
        <w:t>经评价认为：</w:t>
      </w:r>
      <w:r>
        <w:rPr>
          <w:rFonts w:hint="default"/>
          <w:b/>
          <w:bCs w:val="0"/>
          <w:color w:val="auto"/>
          <w:lang w:val="en-US" w:eastAsia="zh-CN"/>
        </w:rPr>
        <w:t>合德再生资源科技马关有限公司野猫坟300t/d多金属选厂提质增效改造项目</w:t>
      </w:r>
      <w:r>
        <w:rPr>
          <w:rFonts w:hint="eastAsia"/>
          <w:b/>
          <w:bCs w:val="0"/>
          <w:color w:val="auto"/>
        </w:rPr>
        <w:t>从安全生产角度符合国家有关法律、法规、标准和规范的要求。</w:t>
      </w:r>
    </w:p>
    <w:p w14:paraId="4450E8DC">
      <w:pPr>
        <w:bidi w:val="0"/>
        <w:rPr>
          <w:rFonts w:hint="eastAsia"/>
          <w:b w:val="0"/>
          <w:bCs/>
          <w:color w:val="auto"/>
        </w:rPr>
      </w:pPr>
      <w:r>
        <w:rPr>
          <w:rFonts w:hint="eastAsia"/>
          <w:b w:val="0"/>
          <w:bCs/>
          <w:color w:val="auto"/>
        </w:rPr>
        <w:t>在今后的设计、施工、监理及生产过程中，建设单位应按上述提出的安全对策措施及有关法规和标准的要求，认真落实各项安全对策措施建议和预防手段，确保该建设项目的安全设施与主体工程同时设计、同时施工、同时投入生产和使用。根据本安全预评价报告中提出的安全对策措施，该建设项目应在安全设施设计中进行完善与补充，以确保该建设项目建成后能安全运行。</w:t>
      </w:r>
    </w:p>
    <w:p w14:paraId="31FA43F9">
      <w:pPr>
        <w:rPr>
          <w:rFonts w:hint="eastAsia"/>
          <w:b w:val="0"/>
          <w:bCs/>
          <w:color w:val="auto"/>
        </w:rPr>
      </w:pPr>
      <w:r>
        <w:rPr>
          <w:rFonts w:hint="eastAsia"/>
          <w:b w:val="0"/>
          <w:bCs/>
          <w:color w:val="auto"/>
        </w:rPr>
        <w:br w:type="page"/>
      </w:r>
    </w:p>
    <w:p w14:paraId="6C1E36EF">
      <w:pPr>
        <w:pStyle w:val="2"/>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2"/>
          <w:szCs w:val="44"/>
        </w:rPr>
      </w:pPr>
      <w:bookmarkStart w:id="175" w:name="_Toc8571"/>
      <w:bookmarkStart w:id="176" w:name="_Toc30374"/>
      <w:r>
        <w:rPr>
          <w:rFonts w:hint="eastAsia" w:ascii="Times New Roman" w:hAnsi="Times New Roman" w:eastAsia="黑体" w:cs="Times New Roman"/>
          <w:b/>
          <w:bCs/>
          <w:color w:val="auto"/>
          <w:sz w:val="32"/>
          <w:szCs w:val="44"/>
        </w:rPr>
        <w:t>8</w:t>
      </w:r>
      <w:r>
        <w:rPr>
          <w:rFonts w:hint="eastAsia" w:ascii="Times New Roman" w:hAnsi="Times New Roman" w:cs="Times New Roman"/>
          <w:b/>
          <w:bCs/>
          <w:color w:val="auto"/>
          <w:sz w:val="32"/>
          <w:szCs w:val="44"/>
          <w:lang w:val="en-US" w:eastAsia="zh-CN"/>
        </w:rPr>
        <w:t>.</w:t>
      </w:r>
      <w:r>
        <w:rPr>
          <w:rFonts w:hint="eastAsia" w:ascii="Times New Roman" w:hAnsi="Times New Roman" w:eastAsia="黑体" w:cs="Times New Roman"/>
          <w:b/>
          <w:bCs/>
          <w:color w:val="auto"/>
          <w:sz w:val="32"/>
          <w:szCs w:val="44"/>
        </w:rPr>
        <w:t>附件和附图</w:t>
      </w:r>
      <w:bookmarkEnd w:id="175"/>
      <w:bookmarkEnd w:id="176"/>
    </w:p>
    <w:p w14:paraId="75E8C487">
      <w:pPr>
        <w:pStyle w:val="3"/>
        <w:keepNext w:val="0"/>
        <w:keepLines w:val="0"/>
        <w:spacing w:before="0" w:beforeLines="-2147483648" w:beforeAutospacing="0" w:after="0" w:afterLines="-2147483648" w:afterAutospacing="0" w:line="360" w:lineRule="auto"/>
        <w:ind w:firstLine="0" w:firstLineChars="0"/>
        <w:jc w:val="center"/>
        <w:rPr>
          <w:rFonts w:hint="eastAsia" w:ascii="Times New Roman" w:hAnsi="Times New Roman" w:eastAsia="黑体" w:cs="Times New Roman"/>
          <w:b/>
          <w:bCs/>
          <w:color w:val="auto"/>
          <w:sz w:val="30"/>
          <w:szCs w:val="30"/>
        </w:rPr>
      </w:pPr>
      <w:bookmarkStart w:id="177" w:name="_Toc19408"/>
      <w:bookmarkStart w:id="178" w:name="_Toc3985"/>
      <w:r>
        <w:rPr>
          <w:rFonts w:hint="eastAsia" w:ascii="Times New Roman" w:hAnsi="Times New Roman" w:eastAsia="黑体" w:cs="Times New Roman"/>
          <w:b/>
          <w:bCs/>
          <w:color w:val="auto"/>
          <w:sz w:val="30"/>
          <w:szCs w:val="30"/>
        </w:rPr>
        <w:t>8.1附件</w:t>
      </w:r>
      <w:bookmarkEnd w:id="177"/>
      <w:bookmarkEnd w:id="178"/>
    </w:p>
    <w:p w14:paraId="608F5A48">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rPr>
      </w:pPr>
      <w:r>
        <w:rPr>
          <w:rFonts w:hint="eastAsia" w:ascii="Times New Roman" w:hAnsi="Times New Roman" w:eastAsia="宋体" w:cs="Times New Roman"/>
          <w:color w:val="auto"/>
          <w:kern w:val="0"/>
          <w:sz w:val="28"/>
        </w:rPr>
        <w:t>安全预评价委托书；</w:t>
      </w:r>
    </w:p>
    <w:p w14:paraId="44700562">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rPr>
      </w:pPr>
      <w:r>
        <w:rPr>
          <w:rFonts w:hint="eastAsia" w:ascii="Times New Roman" w:hAnsi="Times New Roman" w:eastAsia="宋体" w:cs="Times New Roman"/>
          <w:color w:val="auto"/>
          <w:kern w:val="0"/>
          <w:sz w:val="28"/>
        </w:rPr>
        <w:t>材料真实性承诺书；</w:t>
      </w:r>
    </w:p>
    <w:p w14:paraId="119DA7C6">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rPr>
      </w:pPr>
      <w:r>
        <w:rPr>
          <w:rFonts w:hint="eastAsia" w:ascii="Times New Roman" w:hAnsi="Times New Roman" w:eastAsia="宋体" w:cs="Times New Roman"/>
          <w:color w:val="auto"/>
          <w:kern w:val="0"/>
          <w:sz w:val="28"/>
        </w:rPr>
        <w:t>营业执照；</w:t>
      </w:r>
    </w:p>
    <w:p w14:paraId="5DA19F79">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rPr>
      </w:pPr>
      <w:r>
        <w:rPr>
          <w:rFonts w:hint="eastAsia" w:ascii="Times New Roman" w:hAnsi="Times New Roman" w:eastAsia="宋体" w:cs="Times New Roman"/>
          <w:color w:val="auto"/>
          <w:kern w:val="0"/>
          <w:sz w:val="28"/>
        </w:rPr>
        <w:t>项目投资备案证；</w:t>
      </w:r>
    </w:p>
    <w:p w14:paraId="1B37EDFD">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岩土工程勘察报告；</w:t>
      </w:r>
    </w:p>
    <w:p w14:paraId="5AFDFD7B">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矿石来源合法证明；</w:t>
      </w:r>
    </w:p>
    <w:p w14:paraId="5A6E0451">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马关驰盛矿业有限公司相关证照；</w:t>
      </w:r>
    </w:p>
    <w:p w14:paraId="3A7D3C98">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马关驰盛矿业有限公司委托选矿加工合同；</w:t>
      </w:r>
    </w:p>
    <w:p w14:paraId="2C9E1FE0">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租用尾矿库合同；</w:t>
      </w:r>
    </w:p>
    <w:p w14:paraId="7DC8FC17">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《合德再生资源科技马关有限公司马关县野猫坟300t/d多金属选厂建设项目环境影响后评价报告书》封面、扉页；</w:t>
      </w:r>
    </w:p>
    <w:p w14:paraId="5DF86ED3">
      <w:pPr>
        <w:pStyle w:val="10"/>
        <w:numPr>
          <w:ilvl w:val="0"/>
          <w:numId w:val="8"/>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eastAsia="zh-CN"/>
        </w:rPr>
      </w:pPr>
      <w:r>
        <w:rPr>
          <w:rFonts w:hint="default" w:ascii="Times New Roman" w:hAnsi="Times New Roman" w:eastAsia="宋体" w:cs="Times New Roman"/>
          <w:color w:val="auto"/>
          <w:kern w:val="0"/>
          <w:sz w:val="28"/>
          <w:lang w:val="en-US" w:eastAsia="zh-CN"/>
        </w:rPr>
        <w:t>合德再生资源科技马关有限公司野猫坟300t/d多金属选厂提质增效改造项目</w:t>
      </w:r>
      <w:r>
        <w:rPr>
          <w:rFonts w:hint="eastAsia" w:ascii="Times New Roman" w:hAnsi="Times New Roman" w:eastAsia="宋体" w:cs="Times New Roman"/>
          <w:color w:val="auto"/>
          <w:kern w:val="0"/>
          <w:sz w:val="28"/>
          <w:lang w:eastAsia="zh-CN"/>
        </w:rPr>
        <w:t>初步设计（代可研）</w:t>
      </w:r>
      <w:r>
        <w:rPr>
          <w:rFonts w:hint="eastAsia" w:ascii="Times New Roman" w:hAnsi="Times New Roman" w:eastAsia="宋体" w:cs="Times New Roman"/>
          <w:color w:val="auto"/>
          <w:kern w:val="0"/>
          <w:sz w:val="28"/>
          <w:lang w:val="en-US" w:eastAsia="zh-CN"/>
        </w:rPr>
        <w:t>封面、扉页。</w:t>
      </w:r>
    </w:p>
    <w:p w14:paraId="237EB63D">
      <w:pPr>
        <w:pStyle w:val="3"/>
        <w:keepNext w:val="0"/>
        <w:keepLines w:val="0"/>
        <w:spacing w:before="0" w:beforeLines="-2147483648" w:beforeAutospacing="0" w:after="0" w:afterLines="-2147483648" w:afterAutospacing="0" w:line="360" w:lineRule="auto"/>
        <w:ind w:firstLine="0" w:firstLineChars="0"/>
        <w:jc w:val="center"/>
        <w:rPr>
          <w:rFonts w:hint="default" w:ascii="Times New Roman" w:hAnsi="Times New Roman" w:eastAsia="黑体" w:cs="Times New Roman"/>
          <w:b/>
          <w:bCs/>
          <w:color w:val="auto"/>
          <w:sz w:val="30"/>
          <w:szCs w:val="30"/>
          <w:lang w:val="en-US" w:eastAsia="zh-CN"/>
        </w:rPr>
      </w:pPr>
      <w:bookmarkStart w:id="179" w:name="_Toc3292"/>
      <w:bookmarkStart w:id="180" w:name="_Toc5807"/>
      <w:r>
        <w:rPr>
          <w:rFonts w:hint="eastAsia" w:ascii="Times New Roman" w:hAnsi="Times New Roman" w:eastAsia="黑体" w:cs="Times New Roman"/>
          <w:b/>
          <w:bCs/>
          <w:color w:val="auto"/>
          <w:sz w:val="30"/>
          <w:szCs w:val="30"/>
          <w:lang w:val="en-US" w:eastAsia="zh-CN"/>
        </w:rPr>
        <w:t>8.2附图</w:t>
      </w:r>
      <w:bookmarkEnd w:id="179"/>
      <w:bookmarkEnd w:id="180"/>
    </w:p>
    <w:p w14:paraId="2945CD53">
      <w:pPr>
        <w:pStyle w:val="10"/>
        <w:numPr>
          <w:ilvl w:val="0"/>
          <w:numId w:val="9"/>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周边关系图；</w:t>
      </w:r>
    </w:p>
    <w:p w14:paraId="2F3CE4A3">
      <w:pPr>
        <w:pStyle w:val="10"/>
        <w:numPr>
          <w:ilvl w:val="0"/>
          <w:numId w:val="9"/>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现状图；</w:t>
      </w:r>
    </w:p>
    <w:p w14:paraId="547D2ED4">
      <w:pPr>
        <w:pStyle w:val="10"/>
        <w:numPr>
          <w:ilvl w:val="0"/>
          <w:numId w:val="9"/>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总平面布置图；</w:t>
      </w:r>
    </w:p>
    <w:p w14:paraId="64456938">
      <w:pPr>
        <w:pStyle w:val="10"/>
        <w:numPr>
          <w:ilvl w:val="0"/>
          <w:numId w:val="9"/>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排水系统图；</w:t>
      </w:r>
    </w:p>
    <w:p w14:paraId="7A0051C5">
      <w:pPr>
        <w:pStyle w:val="10"/>
        <w:numPr>
          <w:ilvl w:val="0"/>
          <w:numId w:val="9"/>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工艺流程图（方案一）；</w:t>
      </w:r>
    </w:p>
    <w:p w14:paraId="2C0861CE">
      <w:pPr>
        <w:pStyle w:val="10"/>
        <w:numPr>
          <w:ilvl w:val="0"/>
          <w:numId w:val="9"/>
        </w:numPr>
        <w:kinsoku/>
        <w:wordWrap/>
        <w:overflowPunct/>
        <w:bidi w:val="0"/>
        <w:spacing w:line="360" w:lineRule="auto"/>
        <w:ind w:firstLine="560" w:firstLineChars="200"/>
        <w:jc w:val="left"/>
        <w:rPr>
          <w:rFonts w:hint="eastAsia" w:ascii="Times New Roman" w:hAnsi="Times New Roman" w:eastAsia="宋体" w:cs="Times New Roman"/>
          <w:color w:val="auto"/>
          <w:kern w:val="0"/>
          <w:sz w:val="28"/>
          <w:lang w:val="en-US" w:eastAsia="zh-CN"/>
        </w:rPr>
      </w:pPr>
      <w:r>
        <w:rPr>
          <w:rFonts w:hint="eastAsia" w:ascii="Times New Roman" w:hAnsi="Times New Roman" w:eastAsia="宋体" w:cs="Times New Roman"/>
          <w:color w:val="auto"/>
          <w:kern w:val="0"/>
          <w:sz w:val="28"/>
          <w:lang w:val="en-US" w:eastAsia="zh-CN"/>
        </w:rPr>
        <w:t>工艺流程图（方案二）；</w:t>
      </w:r>
    </w:p>
    <w:p w14:paraId="75A91654">
      <w:pPr>
        <w:pStyle w:val="10"/>
        <w:numPr>
          <w:ilvl w:val="0"/>
          <w:numId w:val="9"/>
        </w:numPr>
        <w:kinsoku/>
        <w:wordWrap/>
        <w:overflowPunct/>
        <w:bidi w:val="0"/>
        <w:spacing w:line="360" w:lineRule="auto"/>
        <w:ind w:firstLine="560" w:firstLineChars="200"/>
        <w:jc w:val="left"/>
        <w:rPr>
          <w:rFonts w:hint="default" w:eastAsia="宋体"/>
          <w:b w:val="0"/>
          <w:bCs/>
          <w:color w:val="auto"/>
          <w:lang w:val="en-US" w:eastAsia="zh-CN"/>
        </w:rPr>
      </w:pPr>
      <w:r>
        <w:rPr>
          <w:rFonts w:hint="eastAsia" w:ascii="Times New Roman" w:hAnsi="Times New Roman" w:eastAsia="宋体" w:cs="Times New Roman"/>
          <w:color w:val="auto"/>
          <w:kern w:val="0"/>
          <w:sz w:val="28"/>
          <w:lang w:val="en-US" w:eastAsia="zh-CN"/>
        </w:rPr>
        <w:t>供电系统图。</w:t>
      </w:r>
    </w:p>
    <w:sectPr>
      <w:headerReference r:id="rId9" w:type="default"/>
      <w:footerReference r:id="rId10" w:type="default"/>
      <w:pgSz w:w="11906" w:h="16838"/>
      <w:pgMar w:top="1417" w:right="1134" w:bottom="1134" w:left="1587" w:header="851" w:footer="992" w:gutter="0"/>
      <w:pgBorders>
        <w:top w:val="none" w:sz="0" w:space="0"/>
        <w:left w:val="none" w:sz="0" w:space="0"/>
        <w:bottom w:val="none" w:sz="0" w:space="0"/>
        <w:right w:val="none" w:sz="0" w:space="0"/>
      </w:pgBorders>
      <w:pgNumType w:fmt="decimal" w:start="1"/>
      <w:cols w:space="0" w:num="1"/>
      <w:rtlGutter w:val="0"/>
      <w:docGrid w:type="line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Cambria Math">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BE616">
    <w:pPr>
      <w:pBdr>
        <w:top w:val="none" w:color="auto" w:sz="0" w:space="1"/>
      </w:pBdr>
      <w:tabs>
        <w:tab w:val="center" w:pos="4153"/>
      </w:tabs>
      <w:ind w:left="0" w:leftChars="0" w:firstLine="0" w:firstLineChars="0"/>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E6F8EC">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FE6F8EC">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02D5C">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9413B">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2AE9413B">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A8AC8">
    <w:pPr>
      <w:pStyle w:val="11"/>
      <w:pBdr>
        <w:top w:val="single" w:color="auto" w:sz="4" w:space="1"/>
        <w:left w:val="none" w:color="auto" w:sz="0" w:space="4"/>
        <w:bottom w:val="none" w:color="auto" w:sz="0" w:space="1"/>
        <w:right w:val="none" w:color="auto" w:sz="0" w:space="4"/>
      </w:pBdr>
      <w:spacing w:line="240" w:lineRule="auto"/>
      <w:ind w:firstLine="0" w:firstLineChars="0"/>
      <w:jc w:val="both"/>
      <w:rPr>
        <w:rFonts w:hint="eastAsia" w:ascii="楷体" w:hAnsi="楷体" w:eastAsia="楷体" w:cs="楷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3FEB9">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A53FEB9">
                    <w:pPr>
                      <w:pStyle w:val="11"/>
                    </w:pPr>
                    <w:r>
                      <w:fldChar w:fldCharType="begin"/>
                    </w:r>
                    <w:r>
                      <w:instrText xml:space="preserve"> PAGE  \* MERGEFORMAT </w:instrText>
                    </w:r>
                    <w:r>
                      <w:fldChar w:fldCharType="separate"/>
                    </w:r>
                    <w:r>
                      <w:t>- 1 -</w:t>
                    </w:r>
                    <w:r>
                      <w:fldChar w:fldCharType="end"/>
                    </w:r>
                  </w:p>
                </w:txbxContent>
              </v:textbox>
            </v:shape>
          </w:pict>
        </mc:Fallback>
      </mc:AlternateContent>
    </w:r>
    <w:r>
      <w:rPr>
        <w:rFonts w:hint="eastAsia" w:ascii="楷体" w:hAnsi="楷体" w:eastAsia="楷体" w:cs="楷体"/>
        <w:sz w:val="21"/>
        <w:szCs w:val="21"/>
        <w:lang w:eastAsia="zh-CN"/>
      </w:rPr>
      <w:drawing>
        <wp:inline distT="0" distB="0" distL="114300" distR="114300">
          <wp:extent cx="337820" cy="127635"/>
          <wp:effectExtent l="0" t="0" r="5080" b="5715"/>
          <wp:docPr id="1"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ascii="楷体" w:hAnsi="楷体" w:eastAsia="楷体" w:cs="楷体"/>
        <w:sz w:val="21"/>
        <w:szCs w:val="21"/>
        <w:lang w:eastAsia="zh-CN"/>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FC75F">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C7531">
    <w:pPr>
      <w:rPr>
        <w:rFonts w:hint="eastAsia"/>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CD61">
    <w:pPr>
      <w:widowControl w:val="0"/>
      <w:pBdr>
        <w:bottom w:val="single" w:color="auto" w:sz="4" w:space="1"/>
      </w:pBdr>
      <w:snapToGrid w:val="0"/>
      <w:jc w:val="center"/>
      <w:rPr>
        <w:rFonts w:hint="eastAsia"/>
        <w:sz w:val="21"/>
        <w:szCs w:val="21"/>
        <w:lang w:val="en-US" w:eastAsia="zh-CN"/>
      </w:rPr>
    </w:pPr>
    <w:r>
      <w:rPr>
        <w:rFonts w:hint="eastAsia" w:ascii="楷体" w:hAnsi="楷体" w:eastAsia="楷体" w:cs="楷体"/>
        <w:kern w:val="2"/>
        <w:sz w:val="21"/>
        <w:szCs w:val="21"/>
        <w:lang w:val="en-US" w:eastAsia="zh-CN" w:bidi="ar-SA"/>
      </w:rPr>
      <w:t>合德再生资源科技马关有限公司野猫坟300t/d多金属选厂提质增效改造项目安全预评价报告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8CFB9"/>
    <w:multiLevelType w:val="singleLevel"/>
    <w:tmpl w:val="B4A8CFB9"/>
    <w:lvl w:ilvl="0" w:tentative="0">
      <w:start w:val="1"/>
      <w:numFmt w:val="decimal"/>
      <w:suff w:val="nothing"/>
      <w:lvlText w:val="%1．"/>
      <w:lvlJc w:val="left"/>
      <w:pPr>
        <w:ind w:left="0" w:firstLine="400"/>
      </w:pPr>
      <w:rPr>
        <w:rFonts w:hint="default"/>
      </w:rPr>
    </w:lvl>
  </w:abstractNum>
  <w:abstractNum w:abstractNumId="1">
    <w:nsid w:val="B67107DF"/>
    <w:multiLevelType w:val="singleLevel"/>
    <w:tmpl w:val="B67107DF"/>
    <w:lvl w:ilvl="0" w:tentative="0">
      <w:start w:val="1"/>
      <w:numFmt w:val="decimal"/>
      <w:lvlText w:val="%1."/>
      <w:lvlJc w:val="left"/>
      <w:pPr>
        <w:tabs>
          <w:tab w:val="left" w:pos="312"/>
        </w:tabs>
      </w:pPr>
    </w:lvl>
  </w:abstractNum>
  <w:abstractNum w:abstractNumId="2">
    <w:nsid w:val="BDAEF270"/>
    <w:multiLevelType w:val="singleLevel"/>
    <w:tmpl w:val="BDAEF270"/>
    <w:lvl w:ilvl="0" w:tentative="0">
      <w:start w:val="1"/>
      <w:numFmt w:val="decimal"/>
      <w:suff w:val="nothing"/>
      <w:lvlText w:val="%1．"/>
      <w:lvlJc w:val="left"/>
      <w:pPr>
        <w:ind w:left="0" w:firstLine="400"/>
      </w:pPr>
      <w:rPr>
        <w:rFonts w:hint="default"/>
      </w:rPr>
    </w:lvl>
  </w:abstractNum>
  <w:abstractNum w:abstractNumId="3">
    <w:nsid w:val="C302E612"/>
    <w:multiLevelType w:val="singleLevel"/>
    <w:tmpl w:val="C302E612"/>
    <w:lvl w:ilvl="0" w:tentative="0">
      <w:start w:val="1"/>
      <w:numFmt w:val="decimal"/>
      <w:suff w:val="nothing"/>
      <w:lvlText w:val="%1．"/>
      <w:lvlJc w:val="left"/>
      <w:pPr>
        <w:ind w:left="0" w:firstLine="400"/>
      </w:pPr>
      <w:rPr>
        <w:rFonts w:hint="default"/>
      </w:rPr>
    </w:lvl>
  </w:abstractNum>
  <w:abstractNum w:abstractNumId="4">
    <w:nsid w:val="E4D0BCEC"/>
    <w:multiLevelType w:val="singleLevel"/>
    <w:tmpl w:val="E4D0BCEC"/>
    <w:lvl w:ilvl="0" w:tentative="0">
      <w:start w:val="1"/>
      <w:numFmt w:val="decimal"/>
      <w:suff w:val="nothing"/>
      <w:lvlText w:val="%1．"/>
      <w:lvlJc w:val="left"/>
      <w:pPr>
        <w:ind w:left="0" w:firstLine="400"/>
      </w:pPr>
      <w:rPr>
        <w:rFonts w:hint="default"/>
      </w:rPr>
    </w:lvl>
  </w:abstractNum>
  <w:abstractNum w:abstractNumId="5">
    <w:nsid w:val="2E45D59C"/>
    <w:multiLevelType w:val="singleLevel"/>
    <w:tmpl w:val="2E45D59C"/>
    <w:lvl w:ilvl="0" w:tentative="0">
      <w:start w:val="1"/>
      <w:numFmt w:val="decimal"/>
      <w:suff w:val="nothing"/>
      <w:lvlText w:val="%1．"/>
      <w:lvlJc w:val="left"/>
      <w:pPr>
        <w:ind w:left="0" w:firstLine="400"/>
      </w:pPr>
      <w:rPr>
        <w:rFonts w:hint="default"/>
      </w:rPr>
    </w:lvl>
  </w:abstractNum>
  <w:abstractNum w:abstractNumId="6">
    <w:nsid w:val="3CC0C6AA"/>
    <w:multiLevelType w:val="singleLevel"/>
    <w:tmpl w:val="3CC0C6AA"/>
    <w:lvl w:ilvl="0" w:tentative="0">
      <w:start w:val="1"/>
      <w:numFmt w:val="decimal"/>
      <w:suff w:val="nothing"/>
      <w:lvlText w:val="%1．"/>
      <w:lvlJc w:val="left"/>
      <w:pPr>
        <w:ind w:left="0" w:firstLine="400"/>
      </w:pPr>
      <w:rPr>
        <w:rFonts w:hint="default"/>
      </w:rPr>
    </w:lvl>
  </w:abstractNum>
  <w:abstractNum w:abstractNumId="7">
    <w:nsid w:val="4CE3C6ED"/>
    <w:multiLevelType w:val="singleLevel"/>
    <w:tmpl w:val="4CE3C6ED"/>
    <w:lvl w:ilvl="0" w:tentative="0">
      <w:start w:val="1"/>
      <w:numFmt w:val="decimal"/>
      <w:lvlText w:val="%1."/>
      <w:lvlJc w:val="left"/>
      <w:pPr>
        <w:tabs>
          <w:tab w:val="left" w:pos="312"/>
        </w:tabs>
      </w:pPr>
    </w:lvl>
  </w:abstractNum>
  <w:abstractNum w:abstractNumId="8">
    <w:nsid w:val="57DEAD25"/>
    <w:multiLevelType w:val="singleLevel"/>
    <w:tmpl w:val="57DEAD25"/>
    <w:lvl w:ilvl="0" w:tentative="0">
      <w:start w:val="1"/>
      <w:numFmt w:val="decimal"/>
      <w:suff w:val="nothing"/>
      <w:lvlText w:val="%1．"/>
      <w:lvlJc w:val="left"/>
      <w:pPr>
        <w:ind w:left="0" w:firstLine="400"/>
      </w:pPr>
      <w:rPr>
        <w:rFonts w:hint="default"/>
      </w:rPr>
    </w:lvl>
  </w:abstractNum>
  <w:num w:numId="1">
    <w:abstractNumId w:val="4"/>
  </w:num>
  <w:num w:numId="2">
    <w:abstractNumId w:val="0"/>
  </w:num>
  <w:num w:numId="3">
    <w:abstractNumId w:val="6"/>
  </w:num>
  <w:num w:numId="4">
    <w:abstractNumId w:val="3"/>
  </w:num>
  <w:num w:numId="5">
    <w:abstractNumId w:val="2"/>
  </w:num>
  <w:num w:numId="6">
    <w:abstractNumId w:val="5"/>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93"/>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B5937"/>
    <w:rsid w:val="00FE7B94"/>
    <w:rsid w:val="010A5041"/>
    <w:rsid w:val="016731DD"/>
    <w:rsid w:val="0168325F"/>
    <w:rsid w:val="01721D06"/>
    <w:rsid w:val="01BE2C74"/>
    <w:rsid w:val="022A44B7"/>
    <w:rsid w:val="030D350D"/>
    <w:rsid w:val="03256636"/>
    <w:rsid w:val="040E6345"/>
    <w:rsid w:val="042D1D81"/>
    <w:rsid w:val="046C21D0"/>
    <w:rsid w:val="04762137"/>
    <w:rsid w:val="04A9355D"/>
    <w:rsid w:val="04AC7736"/>
    <w:rsid w:val="051A6F66"/>
    <w:rsid w:val="054C27FF"/>
    <w:rsid w:val="05511549"/>
    <w:rsid w:val="05600755"/>
    <w:rsid w:val="05C5371F"/>
    <w:rsid w:val="05C84197"/>
    <w:rsid w:val="06156138"/>
    <w:rsid w:val="06172009"/>
    <w:rsid w:val="065F58E4"/>
    <w:rsid w:val="07C57442"/>
    <w:rsid w:val="08331281"/>
    <w:rsid w:val="08807182"/>
    <w:rsid w:val="08F5133F"/>
    <w:rsid w:val="08F8185B"/>
    <w:rsid w:val="09023F99"/>
    <w:rsid w:val="09F00295"/>
    <w:rsid w:val="0A1D4625"/>
    <w:rsid w:val="0A4441B6"/>
    <w:rsid w:val="0A785072"/>
    <w:rsid w:val="0A904964"/>
    <w:rsid w:val="0AA66B07"/>
    <w:rsid w:val="0AB459D7"/>
    <w:rsid w:val="0B46243B"/>
    <w:rsid w:val="0B7205B8"/>
    <w:rsid w:val="0BAE4773"/>
    <w:rsid w:val="0BC17C5C"/>
    <w:rsid w:val="0BC772EC"/>
    <w:rsid w:val="0C005ABF"/>
    <w:rsid w:val="0C281202"/>
    <w:rsid w:val="0C49739F"/>
    <w:rsid w:val="0CA5180B"/>
    <w:rsid w:val="0CB7687B"/>
    <w:rsid w:val="0D173089"/>
    <w:rsid w:val="0D1A3FA7"/>
    <w:rsid w:val="0D597B30"/>
    <w:rsid w:val="0DC857B1"/>
    <w:rsid w:val="0DD27F39"/>
    <w:rsid w:val="0E083E00"/>
    <w:rsid w:val="0E792F4F"/>
    <w:rsid w:val="0E7D4924"/>
    <w:rsid w:val="0EB053A8"/>
    <w:rsid w:val="0ECC4B2E"/>
    <w:rsid w:val="0EEC7E92"/>
    <w:rsid w:val="0F3F5F11"/>
    <w:rsid w:val="0F5229B3"/>
    <w:rsid w:val="0F5979BA"/>
    <w:rsid w:val="0F5F4446"/>
    <w:rsid w:val="0F790AE0"/>
    <w:rsid w:val="0FCB577D"/>
    <w:rsid w:val="101E0DC6"/>
    <w:rsid w:val="102D5EBC"/>
    <w:rsid w:val="10732A8B"/>
    <w:rsid w:val="11252DDE"/>
    <w:rsid w:val="1164145B"/>
    <w:rsid w:val="116C28F7"/>
    <w:rsid w:val="11717F0E"/>
    <w:rsid w:val="118D534F"/>
    <w:rsid w:val="11916802"/>
    <w:rsid w:val="11CC15E8"/>
    <w:rsid w:val="11E701D0"/>
    <w:rsid w:val="11F0327C"/>
    <w:rsid w:val="121C5CE3"/>
    <w:rsid w:val="1243489B"/>
    <w:rsid w:val="12B75DF4"/>
    <w:rsid w:val="12CF75E2"/>
    <w:rsid w:val="12E3738C"/>
    <w:rsid w:val="13193752"/>
    <w:rsid w:val="13834E1E"/>
    <w:rsid w:val="13A670CA"/>
    <w:rsid w:val="13DB3D64"/>
    <w:rsid w:val="1404150D"/>
    <w:rsid w:val="14100CF8"/>
    <w:rsid w:val="14A02B65"/>
    <w:rsid w:val="156206A5"/>
    <w:rsid w:val="1588725F"/>
    <w:rsid w:val="15F630D7"/>
    <w:rsid w:val="162B00EE"/>
    <w:rsid w:val="166F1ADC"/>
    <w:rsid w:val="169F72CB"/>
    <w:rsid w:val="16F94C2D"/>
    <w:rsid w:val="17604CAC"/>
    <w:rsid w:val="1763654B"/>
    <w:rsid w:val="177E3E97"/>
    <w:rsid w:val="1783031F"/>
    <w:rsid w:val="17BB2A3D"/>
    <w:rsid w:val="17CB1436"/>
    <w:rsid w:val="185773FE"/>
    <w:rsid w:val="18640C92"/>
    <w:rsid w:val="18740F2C"/>
    <w:rsid w:val="18A4461F"/>
    <w:rsid w:val="18EF1EAC"/>
    <w:rsid w:val="19036239"/>
    <w:rsid w:val="193F1086"/>
    <w:rsid w:val="19827DE5"/>
    <w:rsid w:val="19BA0C94"/>
    <w:rsid w:val="19C5529B"/>
    <w:rsid w:val="1AC306D2"/>
    <w:rsid w:val="1ADA2FC8"/>
    <w:rsid w:val="1AF776D6"/>
    <w:rsid w:val="1B300AAA"/>
    <w:rsid w:val="1B423649"/>
    <w:rsid w:val="1B4E165A"/>
    <w:rsid w:val="1B8F5B60"/>
    <w:rsid w:val="1BB630ED"/>
    <w:rsid w:val="1BE475CF"/>
    <w:rsid w:val="1C4032FE"/>
    <w:rsid w:val="1C481353"/>
    <w:rsid w:val="1C4F7813"/>
    <w:rsid w:val="1D26129A"/>
    <w:rsid w:val="1D3A5FA0"/>
    <w:rsid w:val="1D3C0E85"/>
    <w:rsid w:val="1D556936"/>
    <w:rsid w:val="1DEF6843"/>
    <w:rsid w:val="1E3202BF"/>
    <w:rsid w:val="1E3D4865"/>
    <w:rsid w:val="1E7C61C7"/>
    <w:rsid w:val="1E8066E5"/>
    <w:rsid w:val="1E9062B3"/>
    <w:rsid w:val="1EAD58FD"/>
    <w:rsid w:val="1F0844D7"/>
    <w:rsid w:val="1F0A295D"/>
    <w:rsid w:val="1F9C3F83"/>
    <w:rsid w:val="1FDF5BD5"/>
    <w:rsid w:val="201F4FBF"/>
    <w:rsid w:val="203821AD"/>
    <w:rsid w:val="20A5211B"/>
    <w:rsid w:val="211A599E"/>
    <w:rsid w:val="213B5E92"/>
    <w:rsid w:val="213E269A"/>
    <w:rsid w:val="214E0306"/>
    <w:rsid w:val="217A6C7B"/>
    <w:rsid w:val="21A70001"/>
    <w:rsid w:val="21B300CF"/>
    <w:rsid w:val="21BD113A"/>
    <w:rsid w:val="22233C11"/>
    <w:rsid w:val="222F49F4"/>
    <w:rsid w:val="228F0D42"/>
    <w:rsid w:val="229B278A"/>
    <w:rsid w:val="230D7E91"/>
    <w:rsid w:val="232404A7"/>
    <w:rsid w:val="235002CB"/>
    <w:rsid w:val="235843BA"/>
    <w:rsid w:val="23667AE3"/>
    <w:rsid w:val="23DA54E1"/>
    <w:rsid w:val="23DB6B39"/>
    <w:rsid w:val="23F511B0"/>
    <w:rsid w:val="24474810"/>
    <w:rsid w:val="247266E0"/>
    <w:rsid w:val="247E498E"/>
    <w:rsid w:val="24B959FC"/>
    <w:rsid w:val="252950A3"/>
    <w:rsid w:val="25535E50"/>
    <w:rsid w:val="256120BF"/>
    <w:rsid w:val="25BC40BB"/>
    <w:rsid w:val="263277BC"/>
    <w:rsid w:val="265213ED"/>
    <w:rsid w:val="26FE1DEC"/>
    <w:rsid w:val="27003DB6"/>
    <w:rsid w:val="27464FB9"/>
    <w:rsid w:val="275B76A1"/>
    <w:rsid w:val="27C761F4"/>
    <w:rsid w:val="27D36066"/>
    <w:rsid w:val="281C72A1"/>
    <w:rsid w:val="286825B1"/>
    <w:rsid w:val="287566CA"/>
    <w:rsid w:val="28A87343"/>
    <w:rsid w:val="28AB4A44"/>
    <w:rsid w:val="29275693"/>
    <w:rsid w:val="292E514D"/>
    <w:rsid w:val="29453338"/>
    <w:rsid w:val="29610CF0"/>
    <w:rsid w:val="297D11DF"/>
    <w:rsid w:val="29A86EE6"/>
    <w:rsid w:val="29B84F82"/>
    <w:rsid w:val="29BB5D72"/>
    <w:rsid w:val="2B550634"/>
    <w:rsid w:val="2B665F42"/>
    <w:rsid w:val="2C42462B"/>
    <w:rsid w:val="2C475230"/>
    <w:rsid w:val="2C634B60"/>
    <w:rsid w:val="2C882884"/>
    <w:rsid w:val="2D1F5B4E"/>
    <w:rsid w:val="2DBD47AF"/>
    <w:rsid w:val="2E20089A"/>
    <w:rsid w:val="2EA32C9A"/>
    <w:rsid w:val="2F0D1ADE"/>
    <w:rsid w:val="2F3F2EBC"/>
    <w:rsid w:val="2FD8265C"/>
    <w:rsid w:val="2FD8581F"/>
    <w:rsid w:val="301E7DFF"/>
    <w:rsid w:val="30775660"/>
    <w:rsid w:val="30C82816"/>
    <w:rsid w:val="30E61DC6"/>
    <w:rsid w:val="30F85705"/>
    <w:rsid w:val="31097D0B"/>
    <w:rsid w:val="314C143D"/>
    <w:rsid w:val="31B4437F"/>
    <w:rsid w:val="31ED4F37"/>
    <w:rsid w:val="31F96436"/>
    <w:rsid w:val="322F554F"/>
    <w:rsid w:val="32414601"/>
    <w:rsid w:val="32C338D5"/>
    <w:rsid w:val="32DC2281"/>
    <w:rsid w:val="337820FF"/>
    <w:rsid w:val="338C7466"/>
    <w:rsid w:val="33927790"/>
    <w:rsid w:val="34074D73"/>
    <w:rsid w:val="34180984"/>
    <w:rsid w:val="34321710"/>
    <w:rsid w:val="34692F9B"/>
    <w:rsid w:val="34B91669"/>
    <w:rsid w:val="34FD7B87"/>
    <w:rsid w:val="35330ECB"/>
    <w:rsid w:val="355442BF"/>
    <w:rsid w:val="35606D98"/>
    <w:rsid w:val="35635FE6"/>
    <w:rsid w:val="358E17EA"/>
    <w:rsid w:val="35A95897"/>
    <w:rsid w:val="35B77D36"/>
    <w:rsid w:val="35F50714"/>
    <w:rsid w:val="37073F71"/>
    <w:rsid w:val="37630998"/>
    <w:rsid w:val="376C0D7B"/>
    <w:rsid w:val="377F3373"/>
    <w:rsid w:val="37E93189"/>
    <w:rsid w:val="38373947"/>
    <w:rsid w:val="385764FF"/>
    <w:rsid w:val="388F4F9A"/>
    <w:rsid w:val="38C2711D"/>
    <w:rsid w:val="38C90007"/>
    <w:rsid w:val="393A2270"/>
    <w:rsid w:val="39400042"/>
    <w:rsid w:val="396C04C1"/>
    <w:rsid w:val="39B5458C"/>
    <w:rsid w:val="3A137113"/>
    <w:rsid w:val="3A4C09E6"/>
    <w:rsid w:val="3A9B69B4"/>
    <w:rsid w:val="3B0752BB"/>
    <w:rsid w:val="3B301622"/>
    <w:rsid w:val="3B337E2C"/>
    <w:rsid w:val="3B632551"/>
    <w:rsid w:val="3C2C4218"/>
    <w:rsid w:val="3D007123"/>
    <w:rsid w:val="3D01244D"/>
    <w:rsid w:val="3D6F51D8"/>
    <w:rsid w:val="3D931088"/>
    <w:rsid w:val="3DAC214A"/>
    <w:rsid w:val="3DAC4CA0"/>
    <w:rsid w:val="3DCB0C69"/>
    <w:rsid w:val="3DCF679E"/>
    <w:rsid w:val="3DFA1107"/>
    <w:rsid w:val="3E4A3B29"/>
    <w:rsid w:val="3E65226D"/>
    <w:rsid w:val="3E6F60C9"/>
    <w:rsid w:val="3E775A0B"/>
    <w:rsid w:val="3EA64DEB"/>
    <w:rsid w:val="3ECD2378"/>
    <w:rsid w:val="3EE063F6"/>
    <w:rsid w:val="3EF91E40"/>
    <w:rsid w:val="3EFB14C6"/>
    <w:rsid w:val="3F0874F8"/>
    <w:rsid w:val="3F7B3FB4"/>
    <w:rsid w:val="3FF71F14"/>
    <w:rsid w:val="402569CB"/>
    <w:rsid w:val="40302BBE"/>
    <w:rsid w:val="409273D5"/>
    <w:rsid w:val="409A148E"/>
    <w:rsid w:val="41266CC8"/>
    <w:rsid w:val="414B422F"/>
    <w:rsid w:val="41556814"/>
    <w:rsid w:val="419E53BB"/>
    <w:rsid w:val="41AF06D0"/>
    <w:rsid w:val="42044B8D"/>
    <w:rsid w:val="421376EF"/>
    <w:rsid w:val="42383FAC"/>
    <w:rsid w:val="429A6A15"/>
    <w:rsid w:val="429F2437"/>
    <w:rsid w:val="430A2F0B"/>
    <w:rsid w:val="43437CEC"/>
    <w:rsid w:val="439800D0"/>
    <w:rsid w:val="44166E9C"/>
    <w:rsid w:val="44254A04"/>
    <w:rsid w:val="444C03D2"/>
    <w:rsid w:val="447C2876"/>
    <w:rsid w:val="4490400C"/>
    <w:rsid w:val="449D27EC"/>
    <w:rsid w:val="455C6204"/>
    <w:rsid w:val="460E1AB7"/>
    <w:rsid w:val="4620408E"/>
    <w:rsid w:val="4663778A"/>
    <w:rsid w:val="46E2585F"/>
    <w:rsid w:val="47222787"/>
    <w:rsid w:val="473A2575"/>
    <w:rsid w:val="474A0981"/>
    <w:rsid w:val="47C37706"/>
    <w:rsid w:val="49347B05"/>
    <w:rsid w:val="49547ADD"/>
    <w:rsid w:val="49DE41BE"/>
    <w:rsid w:val="4B1045AA"/>
    <w:rsid w:val="4B220FD2"/>
    <w:rsid w:val="4B4F2D9B"/>
    <w:rsid w:val="4B5E7B32"/>
    <w:rsid w:val="4BCE2302"/>
    <w:rsid w:val="4BDC74D2"/>
    <w:rsid w:val="4C800A2A"/>
    <w:rsid w:val="4CC4300C"/>
    <w:rsid w:val="4CE30FB8"/>
    <w:rsid w:val="4D4001B9"/>
    <w:rsid w:val="4D586F55"/>
    <w:rsid w:val="4DBC5B34"/>
    <w:rsid w:val="4DCA28A4"/>
    <w:rsid w:val="4E895975"/>
    <w:rsid w:val="4EF9289C"/>
    <w:rsid w:val="4F1A6469"/>
    <w:rsid w:val="4F3D6282"/>
    <w:rsid w:val="4FBC446F"/>
    <w:rsid w:val="4FCE0DD2"/>
    <w:rsid w:val="4FDE263F"/>
    <w:rsid w:val="502C08F0"/>
    <w:rsid w:val="50521BD4"/>
    <w:rsid w:val="50770396"/>
    <w:rsid w:val="508709CA"/>
    <w:rsid w:val="5119199D"/>
    <w:rsid w:val="511A58F1"/>
    <w:rsid w:val="51272EB1"/>
    <w:rsid w:val="519D7133"/>
    <w:rsid w:val="51BB5923"/>
    <w:rsid w:val="521B4A34"/>
    <w:rsid w:val="52684B42"/>
    <w:rsid w:val="527E6F00"/>
    <w:rsid w:val="52B21B59"/>
    <w:rsid w:val="52CA6D11"/>
    <w:rsid w:val="52D0326C"/>
    <w:rsid w:val="531133D3"/>
    <w:rsid w:val="531C6FD2"/>
    <w:rsid w:val="53310CD0"/>
    <w:rsid w:val="536674B6"/>
    <w:rsid w:val="536746F1"/>
    <w:rsid w:val="53755970"/>
    <w:rsid w:val="53B53233"/>
    <w:rsid w:val="53D457EE"/>
    <w:rsid w:val="53E57531"/>
    <w:rsid w:val="53F91FBB"/>
    <w:rsid w:val="54091C4C"/>
    <w:rsid w:val="54677E2D"/>
    <w:rsid w:val="54797DA5"/>
    <w:rsid w:val="54D26ADA"/>
    <w:rsid w:val="54F46459"/>
    <w:rsid w:val="55314161"/>
    <w:rsid w:val="556A3215"/>
    <w:rsid w:val="56331171"/>
    <w:rsid w:val="564B1D55"/>
    <w:rsid w:val="565A2606"/>
    <w:rsid w:val="56B023EA"/>
    <w:rsid w:val="56C440E6"/>
    <w:rsid w:val="57285A21"/>
    <w:rsid w:val="575256B8"/>
    <w:rsid w:val="57923BF9"/>
    <w:rsid w:val="57A12C3A"/>
    <w:rsid w:val="57FC7666"/>
    <w:rsid w:val="582D77C7"/>
    <w:rsid w:val="58CA2316"/>
    <w:rsid w:val="59633BAD"/>
    <w:rsid w:val="5966544B"/>
    <w:rsid w:val="59B14918"/>
    <w:rsid w:val="5A1960FE"/>
    <w:rsid w:val="5A3612C1"/>
    <w:rsid w:val="5A6E4EEC"/>
    <w:rsid w:val="5AB3215E"/>
    <w:rsid w:val="5ACC5B50"/>
    <w:rsid w:val="5B0073F7"/>
    <w:rsid w:val="5B647768"/>
    <w:rsid w:val="5B733DF5"/>
    <w:rsid w:val="5B975D90"/>
    <w:rsid w:val="5BC61CDF"/>
    <w:rsid w:val="5BDD4730"/>
    <w:rsid w:val="5BDE7C4E"/>
    <w:rsid w:val="5C1318BA"/>
    <w:rsid w:val="5C2A0B8F"/>
    <w:rsid w:val="5C4A5C7B"/>
    <w:rsid w:val="5C510905"/>
    <w:rsid w:val="5CBD5BBD"/>
    <w:rsid w:val="5D1644CC"/>
    <w:rsid w:val="5D1C02FB"/>
    <w:rsid w:val="5D1C078B"/>
    <w:rsid w:val="5D3430F6"/>
    <w:rsid w:val="5D4635C9"/>
    <w:rsid w:val="5ED70801"/>
    <w:rsid w:val="5ED75D25"/>
    <w:rsid w:val="5F2F7A39"/>
    <w:rsid w:val="5F8C2351"/>
    <w:rsid w:val="5F9F6B01"/>
    <w:rsid w:val="601B5B7C"/>
    <w:rsid w:val="601E082E"/>
    <w:rsid w:val="60B30F76"/>
    <w:rsid w:val="60F06BD3"/>
    <w:rsid w:val="610F48AB"/>
    <w:rsid w:val="612C6F7A"/>
    <w:rsid w:val="619072FD"/>
    <w:rsid w:val="61EF3031"/>
    <w:rsid w:val="621243C2"/>
    <w:rsid w:val="62CB4A50"/>
    <w:rsid w:val="63101757"/>
    <w:rsid w:val="638A3B44"/>
    <w:rsid w:val="6396536F"/>
    <w:rsid w:val="639D057D"/>
    <w:rsid w:val="63AB79BE"/>
    <w:rsid w:val="64110268"/>
    <w:rsid w:val="6458542D"/>
    <w:rsid w:val="647B46E8"/>
    <w:rsid w:val="64B81FCE"/>
    <w:rsid w:val="64D11873"/>
    <w:rsid w:val="64D32DD2"/>
    <w:rsid w:val="64ED737F"/>
    <w:rsid w:val="653B3C30"/>
    <w:rsid w:val="65470905"/>
    <w:rsid w:val="655216DD"/>
    <w:rsid w:val="655266E4"/>
    <w:rsid w:val="65863933"/>
    <w:rsid w:val="65A719D2"/>
    <w:rsid w:val="65F364D3"/>
    <w:rsid w:val="6648028F"/>
    <w:rsid w:val="66502FE9"/>
    <w:rsid w:val="66961DF9"/>
    <w:rsid w:val="66967370"/>
    <w:rsid w:val="670826D9"/>
    <w:rsid w:val="6712451C"/>
    <w:rsid w:val="674747EA"/>
    <w:rsid w:val="67EF7399"/>
    <w:rsid w:val="67F65BEC"/>
    <w:rsid w:val="684E502D"/>
    <w:rsid w:val="685C7BC6"/>
    <w:rsid w:val="687C2679"/>
    <w:rsid w:val="68AF078A"/>
    <w:rsid w:val="68E87789"/>
    <w:rsid w:val="69095DD2"/>
    <w:rsid w:val="69555B2C"/>
    <w:rsid w:val="696F5C06"/>
    <w:rsid w:val="69F60125"/>
    <w:rsid w:val="6A40194C"/>
    <w:rsid w:val="6AD322D0"/>
    <w:rsid w:val="6AE00903"/>
    <w:rsid w:val="6AF04617"/>
    <w:rsid w:val="6B1348BC"/>
    <w:rsid w:val="6B313E6C"/>
    <w:rsid w:val="6B3D24B0"/>
    <w:rsid w:val="6B571C01"/>
    <w:rsid w:val="6B5C76BF"/>
    <w:rsid w:val="6B6D624F"/>
    <w:rsid w:val="6B993C67"/>
    <w:rsid w:val="6BA73E07"/>
    <w:rsid w:val="6C060F0D"/>
    <w:rsid w:val="6C336F12"/>
    <w:rsid w:val="6C6E7FF0"/>
    <w:rsid w:val="6CC830C8"/>
    <w:rsid w:val="6D374CCD"/>
    <w:rsid w:val="6D6F36BE"/>
    <w:rsid w:val="6DD93FE6"/>
    <w:rsid w:val="6E5A0455"/>
    <w:rsid w:val="6E770C18"/>
    <w:rsid w:val="6E827A5B"/>
    <w:rsid w:val="6EA25D92"/>
    <w:rsid w:val="6F59423B"/>
    <w:rsid w:val="6F794E6E"/>
    <w:rsid w:val="6F8561D3"/>
    <w:rsid w:val="6FCA1E38"/>
    <w:rsid w:val="6FEA5D29"/>
    <w:rsid w:val="701706AC"/>
    <w:rsid w:val="701F3944"/>
    <w:rsid w:val="71091CB0"/>
    <w:rsid w:val="71490797"/>
    <w:rsid w:val="714C35B1"/>
    <w:rsid w:val="717A5B3D"/>
    <w:rsid w:val="71814CA1"/>
    <w:rsid w:val="71923577"/>
    <w:rsid w:val="71C86630"/>
    <w:rsid w:val="72AA2723"/>
    <w:rsid w:val="73352201"/>
    <w:rsid w:val="738421B1"/>
    <w:rsid w:val="73881A17"/>
    <w:rsid w:val="73EC78CF"/>
    <w:rsid w:val="74614F7E"/>
    <w:rsid w:val="74A4476D"/>
    <w:rsid w:val="74D3353D"/>
    <w:rsid w:val="74DB0643"/>
    <w:rsid w:val="751B066F"/>
    <w:rsid w:val="752601BF"/>
    <w:rsid w:val="75F914B1"/>
    <w:rsid w:val="762304F4"/>
    <w:rsid w:val="764B415A"/>
    <w:rsid w:val="76D25C7C"/>
    <w:rsid w:val="773F65DA"/>
    <w:rsid w:val="77617DC4"/>
    <w:rsid w:val="78770683"/>
    <w:rsid w:val="787E4A3E"/>
    <w:rsid w:val="78994C3F"/>
    <w:rsid w:val="78AD4288"/>
    <w:rsid w:val="79017595"/>
    <w:rsid w:val="791871BB"/>
    <w:rsid w:val="79527BC0"/>
    <w:rsid w:val="79917D7E"/>
    <w:rsid w:val="79BA59A4"/>
    <w:rsid w:val="7A0D7A10"/>
    <w:rsid w:val="7A461E2B"/>
    <w:rsid w:val="7A6259E6"/>
    <w:rsid w:val="7AC32E86"/>
    <w:rsid w:val="7B0F1874"/>
    <w:rsid w:val="7B382DB4"/>
    <w:rsid w:val="7BFC01F8"/>
    <w:rsid w:val="7C1D1542"/>
    <w:rsid w:val="7C59640A"/>
    <w:rsid w:val="7C604753"/>
    <w:rsid w:val="7C937471"/>
    <w:rsid w:val="7D145441"/>
    <w:rsid w:val="7D2648A8"/>
    <w:rsid w:val="7D944A96"/>
    <w:rsid w:val="7DC600E3"/>
    <w:rsid w:val="7E086FD3"/>
    <w:rsid w:val="7E551467"/>
    <w:rsid w:val="7EF37CCD"/>
    <w:rsid w:val="7EFD18A2"/>
    <w:rsid w:val="7F361298"/>
    <w:rsid w:val="7F53303D"/>
    <w:rsid w:val="7F623DD1"/>
    <w:rsid w:val="7F754FAB"/>
    <w:rsid w:val="7F7A1BCF"/>
    <w:rsid w:val="7F9A1968"/>
    <w:rsid w:val="7FBA5A25"/>
    <w:rsid w:val="7FC94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heme="minorBidi"/>
      <w:kern w:val="2"/>
      <w:sz w:val="28"/>
      <w:szCs w:val="28"/>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ascii="Times New Roman" w:hAnsi="Times New Roman" w:eastAsia="黑体"/>
      <w:kern w:val="44"/>
      <w:sz w:val="32"/>
    </w:rPr>
  </w:style>
  <w:style w:type="paragraph" w:styleId="3">
    <w:name w:val="heading 2"/>
    <w:basedOn w:val="1"/>
    <w:next w:val="1"/>
    <w:unhideWhenUsed/>
    <w:qFormat/>
    <w:uiPriority w:val="0"/>
    <w:pPr>
      <w:keepNext/>
      <w:keepLines/>
      <w:spacing w:beforeLines="0" w:beforeAutospacing="0" w:afterLines="0" w:afterAutospacing="0" w:line="360" w:lineRule="auto"/>
      <w:ind w:firstLine="0" w:firstLineChars="0"/>
      <w:jc w:val="center"/>
      <w:outlineLvl w:val="1"/>
    </w:pPr>
    <w:rPr>
      <w:rFonts w:ascii="Times New Roman" w:hAnsi="Times New Roman" w:eastAsia="黑体"/>
      <w:sz w:val="30"/>
    </w:rPr>
  </w:style>
  <w:style w:type="paragraph" w:styleId="4">
    <w:name w:val="heading 3"/>
    <w:basedOn w:val="1"/>
    <w:next w:val="1"/>
    <w:unhideWhenUsed/>
    <w:qFormat/>
    <w:uiPriority w:val="0"/>
    <w:pPr>
      <w:keepNext/>
      <w:keepLines/>
      <w:spacing w:beforeLines="0" w:beforeAutospacing="0" w:afterLines="0" w:afterAutospacing="0" w:line="360" w:lineRule="auto"/>
      <w:ind w:firstLine="0" w:firstLineChars="0"/>
      <w:outlineLvl w:val="2"/>
    </w:pPr>
    <w:rPr>
      <w:rFonts w:ascii="Times New Roman" w:hAnsi="Times New Roman" w:eastAsia="宋体"/>
      <w:b/>
      <w:sz w:val="28"/>
    </w:rPr>
  </w:style>
  <w:style w:type="paragraph" w:styleId="5">
    <w:name w:val="heading 4"/>
    <w:basedOn w:val="1"/>
    <w:next w:val="1"/>
    <w:unhideWhenUsed/>
    <w:qFormat/>
    <w:uiPriority w:val="0"/>
    <w:pPr>
      <w:keepNext/>
      <w:keepLines/>
      <w:spacing w:beforeLines="0" w:beforeAutospacing="0" w:afterLines="0" w:afterAutospacing="0" w:line="360" w:lineRule="auto"/>
      <w:ind w:firstLine="0" w:firstLineChars="0"/>
      <w:outlineLvl w:val="3"/>
    </w:pPr>
    <w:rPr>
      <w:rFonts w:ascii="Times New Roman" w:hAnsi="Times New Roman" w:eastAsia="宋体"/>
    </w:rPr>
  </w:style>
  <w:style w:type="character" w:default="1" w:styleId="21">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toc 3"/>
    <w:basedOn w:val="1"/>
    <w:next w:val="1"/>
    <w:qFormat/>
    <w:uiPriority w:val="0"/>
    <w:pPr>
      <w:ind w:left="840" w:leftChars="400"/>
    </w:pPr>
  </w:style>
  <w:style w:type="paragraph" w:styleId="9">
    <w:name w:val="Plain Text"/>
    <w:basedOn w:val="1"/>
    <w:unhideWhenUsed/>
    <w:qFormat/>
    <w:uiPriority w:val="0"/>
    <w:pPr>
      <w:spacing w:line="240" w:lineRule="atLeast"/>
      <w:ind w:firstLine="0" w:firstLineChars="0"/>
    </w:pPr>
    <w:rPr>
      <w:rFonts w:ascii="宋体" w:hAnsi="Courier New"/>
      <w:szCs w:val="21"/>
    </w:rPr>
  </w:style>
  <w:style w:type="paragraph" w:styleId="10">
    <w:name w:val="Body Text Indent 2"/>
    <w:basedOn w:val="1"/>
    <w:next w:val="1"/>
    <w:qFormat/>
    <w:uiPriority w:val="0"/>
    <w:pPr>
      <w:ind w:firstLine="560" w:firstLineChars="200"/>
    </w:pPr>
    <w:rPr>
      <w:rFonts w:ascii="Times New Roman" w:hAnsi="Times New Roman" w:eastAsia="方正仿宋_GB2312"/>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tabs>
        <w:tab w:val="right" w:leader="dot" w:pos="9185"/>
      </w:tabs>
      <w:spacing w:line="460" w:lineRule="exact"/>
      <w:ind w:firstLine="0" w:firstLineChars="0"/>
    </w:pPr>
    <w:rPr>
      <w:rFonts w:eastAsia="黑体" w:cs="Times New Roman"/>
      <w:b/>
      <w:bCs/>
      <w:caps/>
      <w:color w:val="auto"/>
    </w:rPr>
  </w:style>
  <w:style w:type="paragraph" w:styleId="14">
    <w:name w:val="toc 2"/>
    <w:basedOn w:val="1"/>
    <w:next w:val="1"/>
    <w:qFormat/>
    <w:uiPriority w:val="0"/>
    <w:pPr>
      <w:tabs>
        <w:tab w:val="right" w:leader="dot" w:pos="9185"/>
      </w:tabs>
      <w:spacing w:line="460" w:lineRule="exact"/>
      <w:ind w:left="210" w:firstLine="0" w:firstLineChars="0"/>
      <w:jc w:val="left"/>
    </w:pPr>
    <w:rPr>
      <w:rFonts w:eastAsia="黑体" w:cs="Times New Roman"/>
      <w:bCs/>
      <w:smallCaps/>
      <w:color w:val="auto"/>
      <w:szCs w:val="30"/>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w:basedOn w:val="7"/>
    <w:qFormat/>
    <w:uiPriority w:val="0"/>
    <w:pPr>
      <w:adjustRightInd w:val="0"/>
      <w:spacing w:line="312" w:lineRule="atLeast"/>
      <w:ind w:firstLine="420" w:firstLineChars="100"/>
      <w:textAlignment w:val="baseline"/>
    </w:pPr>
    <w:rPr>
      <w:rFonts w:ascii="@宋体"/>
    </w:rPr>
  </w:style>
  <w:style w:type="paragraph" w:styleId="17">
    <w:name w:val="Body Text First Indent 2"/>
    <w:basedOn w:val="16"/>
    <w:qFormat/>
    <w:uiPriority w:val="0"/>
    <w:pPr>
      <w:widowControl/>
      <w:spacing w:line="240" w:lineRule="auto"/>
      <w:ind w:firstLine="420"/>
      <w:jc w:val="left"/>
    </w:pPr>
    <w:rPr>
      <w:kern w:val="0"/>
      <w:szCs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Table Theme"/>
    <w:basedOn w:val="18"/>
    <w:qFormat/>
    <w:uiPriority w:val="0"/>
    <w:pPr>
      <w:widowControl w:val="0"/>
      <w:spacing w:line="48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annotation reference"/>
    <w:basedOn w:val="21"/>
    <w:unhideWhenUsed/>
    <w:qFormat/>
    <w:uiPriority w:val="0"/>
    <w:rPr>
      <w:sz w:val="21"/>
      <w:szCs w:val="21"/>
    </w:rPr>
  </w:style>
  <w:style w:type="paragraph" w:customStyle="1" w:styleId="24">
    <w:name w:val="图、表名称"/>
    <w:basedOn w:val="1"/>
    <w:qFormat/>
    <w:uiPriority w:val="0"/>
    <w:pPr>
      <w:ind w:firstLine="0" w:firstLineChars="0"/>
      <w:jc w:val="center"/>
    </w:pPr>
    <w:rPr>
      <w:rFonts w:ascii="Times New Roman" w:hAnsi="Times New Roman"/>
      <w:sz w:val="24"/>
    </w:rPr>
  </w:style>
  <w:style w:type="paragraph" w:customStyle="1" w:styleId="25">
    <w:name w:val="表格内容"/>
    <w:basedOn w:val="1"/>
    <w:qFormat/>
    <w:uiPriority w:val="0"/>
    <w:pPr>
      <w:spacing w:line="240" w:lineRule="auto"/>
      <w:ind w:firstLine="0" w:firstLineChars="0"/>
      <w:jc w:val="center"/>
    </w:pPr>
    <w:rPr>
      <w:rFonts w:ascii="Times New Roman" w:hAnsi="Times New Roman"/>
      <w:sz w:val="21"/>
    </w:rPr>
  </w:style>
  <w:style w:type="paragraph" w:customStyle="1" w:styleId="26">
    <w:name w:val="Table Text"/>
    <w:basedOn w:val="1"/>
    <w:semiHidden/>
    <w:qFormat/>
    <w:uiPriority w:val="0"/>
    <w:rPr>
      <w:rFonts w:ascii="宋体" w:hAnsi="宋体" w:eastAsia="宋体" w:cs="宋体"/>
      <w:sz w:val="19"/>
      <w:szCs w:val="19"/>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Default"/>
    <w:basedOn w:val="29"/>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29">
    <w:name w:val="纯文本1"/>
    <w:basedOn w:val="1"/>
    <w:autoRedefine/>
    <w:qFormat/>
    <w:uiPriority w:val="0"/>
    <w:pPr>
      <w:adjustRightInd w:val="0"/>
    </w:pPr>
    <w:rPr>
      <w:rFonts w:ascii="宋体" w:hAnsi="Courier New"/>
      <w:szCs w:val="20"/>
    </w:rPr>
  </w:style>
  <w:style w:type="paragraph" w:customStyle="1" w:styleId="30">
    <w:name w:val="表格17"/>
    <w:qFormat/>
    <w:uiPriority w:val="0"/>
    <w:pPr>
      <w:widowControl w:val="0"/>
      <w:adjustRightInd w:val="0"/>
      <w:jc w:val="center"/>
    </w:pPr>
    <w:rPr>
      <w:rFonts w:ascii="Times New Roman" w:hAnsi="Times New Roman" w:eastAsia="宋体" w:cs="Times New Roman"/>
      <w:kern w:val="28"/>
      <w:sz w:val="28"/>
      <w:lang w:val="en-US" w:eastAsia="zh-CN" w:bidi="ar-SA"/>
    </w:rPr>
  </w:style>
  <w:style w:type="paragraph" w:styleId="31">
    <w:name w:val="List Paragraph"/>
    <w:basedOn w:val="1"/>
    <w:qFormat/>
    <w:uiPriority w:val="34"/>
    <w:pPr>
      <w:ind w:firstLine="420" w:firstLineChars="200"/>
    </w:pPr>
    <w:rPr>
      <w:szCs w:val="22"/>
    </w:rPr>
  </w:style>
  <w:style w:type="paragraph" w:customStyle="1" w:styleId="32">
    <w:name w:val="说明书宋体正文"/>
    <w:basedOn w:val="1"/>
    <w:autoRedefine/>
    <w:qFormat/>
    <w:uiPriority w:val="0"/>
    <w:pPr>
      <w:topLinePunct/>
      <w:spacing w:line="560" w:lineRule="exact"/>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14407</Words>
  <Characters>17019</Characters>
  <Lines>0</Lines>
  <Paragraphs>0</Paragraphs>
  <TotalTime>6</TotalTime>
  <ScaleCrop>false</ScaleCrop>
  <LinksUpToDate>false</LinksUpToDate>
  <CharactersWithSpaces>17171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2025-03-25T05:43:00Z</dcterms:created>
  <dc:creator>Administrator</dc:creator>
  <cp:lastModifiedBy>slpin</cp:lastModifiedBy>
  <dcterms:modified xsi:type="dcterms:W3CDTF">2026-07-30T08:17:04Z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eyJoZGlkIjoiNDQ2ZjYzOWNkMDAxNmJmOGFkNGZlODAzYzcwNGFiN2YiLCJ1c2VySWQiOiI0OTI0MTg1OTYifQ==</vt:lpwstr>
  </property>
  <property fmtid="{D5CDD505-2E9C-101B-9397-08002B2CF9AE}" pid="4" name="ICV">
    <vt:lpwstr>4879CFAB2B204564AC314558C3573513_12</vt:lpwstr>
  </property>
</Properties>
</file>