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7E6D8">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b/>
          <w:bCs/>
          <w:color w:val="auto"/>
          <w:sz w:val="30"/>
          <w:szCs w:val="30"/>
        </w:rPr>
      </w:pPr>
    </w:p>
    <w:p w14:paraId="1B2052EB">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b/>
          <w:bCs/>
          <w:color w:val="auto"/>
          <w:sz w:val="44"/>
          <w:szCs w:val="44"/>
        </w:rPr>
      </w:pPr>
    </w:p>
    <w:p w14:paraId="153F230A">
      <w:pPr>
        <w:keepNext w:val="0"/>
        <w:keepLines w:val="0"/>
        <w:pageBreakBefore w:val="0"/>
        <w:widowControl w:val="0"/>
        <w:kinsoku/>
        <w:wordWrap/>
        <w:overflowPunct/>
        <w:topLinePunct w:val="0"/>
        <w:bidi w:val="0"/>
        <w:snapToGrid/>
        <w:spacing w:line="360" w:lineRule="auto"/>
        <w:ind w:firstLine="0" w:firstLineChars="0"/>
        <w:jc w:val="center"/>
        <w:rPr>
          <w:rFonts w:hint="eastAsia" w:ascii="Times New Roman" w:hAnsi="Times New Roman" w:eastAsia="宋体" w:cs="Times New Roman"/>
          <w:b/>
          <w:color w:val="auto"/>
          <w:sz w:val="44"/>
          <w:szCs w:val="44"/>
          <w:lang w:eastAsia="zh-CN"/>
        </w:rPr>
      </w:pPr>
      <w:r>
        <w:rPr>
          <w:rFonts w:hint="eastAsia" w:cs="Times New Roman"/>
          <w:b/>
          <w:color w:val="auto"/>
          <w:sz w:val="44"/>
          <w:szCs w:val="44"/>
          <w:lang w:eastAsia="zh-CN"/>
        </w:rPr>
        <w:t>武定发荣矿业有限责任公司</w:t>
      </w:r>
    </w:p>
    <w:p w14:paraId="2CDA1404">
      <w:pPr>
        <w:keepNext w:val="0"/>
        <w:keepLines w:val="0"/>
        <w:pageBreakBefore w:val="0"/>
        <w:widowControl w:val="0"/>
        <w:kinsoku/>
        <w:wordWrap/>
        <w:overflowPunct/>
        <w:topLinePunct w:val="0"/>
        <w:bidi w:val="0"/>
        <w:snapToGrid/>
        <w:spacing w:line="360" w:lineRule="auto"/>
        <w:ind w:firstLine="0" w:firstLineChars="0"/>
        <w:jc w:val="center"/>
        <w:rPr>
          <w:rFonts w:hint="eastAsia" w:ascii="Times New Roman" w:hAnsi="Times New Roman" w:eastAsia="宋体" w:cs="Times New Roman"/>
          <w:b/>
          <w:color w:val="auto"/>
          <w:sz w:val="44"/>
          <w:szCs w:val="44"/>
          <w:lang w:eastAsia="zh-CN"/>
        </w:rPr>
      </w:pPr>
      <w:r>
        <w:rPr>
          <w:rFonts w:hint="eastAsia" w:cs="Times New Roman"/>
          <w:b/>
          <w:color w:val="auto"/>
          <w:sz w:val="44"/>
          <w:szCs w:val="44"/>
          <w:lang w:eastAsia="zh-CN"/>
        </w:rPr>
        <w:t>猫街大炉箐繁茂采选厂技术改造项目</w:t>
      </w:r>
    </w:p>
    <w:p w14:paraId="0A4C3B64">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b/>
          <w:color w:val="auto"/>
          <w:sz w:val="52"/>
          <w:szCs w:val="52"/>
        </w:rPr>
      </w:pPr>
    </w:p>
    <w:p w14:paraId="7BE293A1">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b/>
          <w:color w:val="auto"/>
          <w:sz w:val="52"/>
          <w:szCs w:val="52"/>
        </w:rPr>
      </w:pPr>
    </w:p>
    <w:p w14:paraId="02F4904B">
      <w:pPr>
        <w:rPr>
          <w:rFonts w:hint="default"/>
          <w:color w:val="auto"/>
        </w:rPr>
      </w:pPr>
    </w:p>
    <w:p w14:paraId="2735BBC2">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eastAsia="黑体" w:cs="Times New Roman"/>
          <w:b/>
          <w:color w:val="auto"/>
          <w:sz w:val="52"/>
          <w:szCs w:val="52"/>
        </w:rPr>
      </w:pPr>
      <w:r>
        <w:rPr>
          <w:rFonts w:hint="eastAsia" w:eastAsia="黑体" w:cs="Times New Roman"/>
          <w:b/>
          <w:color w:val="auto"/>
          <w:sz w:val="52"/>
          <w:szCs w:val="52"/>
          <w:lang w:eastAsia="zh-CN"/>
        </w:rPr>
        <w:t>安全验收评价</w:t>
      </w:r>
      <w:r>
        <w:rPr>
          <w:rFonts w:hint="default" w:ascii="Times New Roman" w:hAnsi="Times New Roman" w:eastAsia="黑体" w:cs="Times New Roman"/>
          <w:b/>
          <w:color w:val="auto"/>
          <w:sz w:val="52"/>
          <w:szCs w:val="52"/>
        </w:rPr>
        <w:t>报告</w:t>
      </w:r>
    </w:p>
    <w:p w14:paraId="50DC3A8F">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rPr>
      </w:pPr>
    </w:p>
    <w:p w14:paraId="369F2E22">
      <w:pPr>
        <w:bidi w:val="0"/>
        <w:rPr>
          <w:rFonts w:hint="default"/>
          <w:color w:val="auto"/>
        </w:rPr>
      </w:pPr>
    </w:p>
    <w:p w14:paraId="6D6465C4">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rPr>
      </w:pPr>
    </w:p>
    <w:p w14:paraId="251143D9">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rPr>
      </w:pPr>
    </w:p>
    <w:p w14:paraId="6FB3E4B5">
      <w:pPr>
        <w:pStyle w:val="26"/>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00A4AF29">
      <w:pPr>
        <w:pStyle w:val="26"/>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6B1018C5">
      <w:pPr>
        <w:pStyle w:val="26"/>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1F2806DE">
      <w:pPr>
        <w:pStyle w:val="26"/>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07CD1962">
      <w:pPr>
        <w:pStyle w:val="26"/>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727D238C">
      <w:pPr>
        <w:pStyle w:val="26"/>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0EC6FBA1">
      <w:pPr>
        <w:pStyle w:val="26"/>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0957E2CB">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rPr>
      </w:pPr>
    </w:p>
    <w:p w14:paraId="1B618BD4">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color w:val="auto"/>
          <w:sz w:val="30"/>
          <w:szCs w:val="30"/>
        </w:rPr>
      </w:pPr>
      <w:r>
        <w:rPr>
          <w:rFonts w:hint="default" w:ascii="Times New Roman" w:hAnsi="Times New Roman" w:cs="Times New Roman"/>
          <w:b/>
          <w:color w:val="auto"/>
          <w:w w:val="98"/>
          <w:sz w:val="44"/>
          <w:szCs w:val="44"/>
        </w:rPr>
        <w:t>辽</w:t>
      </w:r>
      <w:r>
        <w:rPr>
          <w:rFonts w:hint="default" w:ascii="Times New Roman" w:hAnsi="Times New Roman" w:cs="Times New Roman"/>
          <w:b/>
          <w:color w:val="auto"/>
          <w:sz w:val="44"/>
          <w:szCs w:val="44"/>
        </w:rPr>
        <w:t>宁诺诚安全科技有限公司</w:t>
      </w:r>
    </w:p>
    <w:p w14:paraId="4D7A3867">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资质证书编号：APJ-（辽）-021</w:t>
      </w:r>
    </w:p>
    <w:p w14:paraId="331314A7">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color w:val="auto"/>
          <w:sz w:val="32"/>
          <w:szCs w:val="32"/>
          <w:lang w:val="en-US" w:eastAsia="zh-CN"/>
        </w:rPr>
      </w:pPr>
      <w:r>
        <w:rPr>
          <w:rFonts w:hint="default" w:ascii="Times New Roman" w:hAnsi="Times New Roman" w:cs="Times New Roman"/>
          <w:b/>
          <w:color w:val="auto"/>
          <w:sz w:val="32"/>
          <w:szCs w:val="32"/>
        </w:rPr>
        <w:t>202</w:t>
      </w:r>
      <w:r>
        <w:rPr>
          <w:rFonts w:hint="eastAsia" w:cs="Times New Roman"/>
          <w:b/>
          <w:color w:val="auto"/>
          <w:sz w:val="32"/>
          <w:szCs w:val="32"/>
          <w:lang w:val="en-US" w:eastAsia="zh-CN"/>
        </w:rPr>
        <w:t>5</w:t>
      </w:r>
      <w:r>
        <w:rPr>
          <w:rFonts w:hint="default" w:ascii="Times New Roman" w:hAnsi="Times New Roman" w:cs="Times New Roman"/>
          <w:b/>
          <w:color w:val="auto"/>
          <w:sz w:val="32"/>
          <w:szCs w:val="32"/>
        </w:rPr>
        <w:t>年</w:t>
      </w:r>
      <w:r>
        <w:rPr>
          <w:rFonts w:hint="eastAsia" w:cs="Times New Roman"/>
          <w:b/>
          <w:color w:val="auto"/>
          <w:sz w:val="32"/>
          <w:szCs w:val="32"/>
          <w:lang w:val="en-US" w:eastAsia="zh-CN"/>
        </w:rPr>
        <w:t>02</w:t>
      </w:r>
      <w:r>
        <w:rPr>
          <w:rFonts w:hint="default" w:ascii="Times New Roman" w:hAnsi="Times New Roman" w:cs="Times New Roman"/>
          <w:b/>
          <w:color w:val="auto"/>
          <w:sz w:val="32"/>
          <w:szCs w:val="32"/>
        </w:rPr>
        <w:t>月</w:t>
      </w:r>
      <w:r>
        <w:rPr>
          <w:rFonts w:hint="default" w:ascii="Times New Roman" w:hAnsi="Times New Roman" w:cs="Times New Roman"/>
          <w:b/>
          <w:color w:val="auto"/>
          <w:sz w:val="32"/>
          <w:szCs w:val="32"/>
          <w:lang w:val="en-US" w:eastAsia="zh-CN"/>
        </w:rPr>
        <w:br w:type="page"/>
      </w:r>
    </w:p>
    <w:p w14:paraId="26137E3D">
      <w:pPr>
        <w:pStyle w:val="27"/>
        <w:keepNext w:val="0"/>
        <w:keepLines w:val="0"/>
        <w:pageBreakBefore w:val="0"/>
        <w:widowControl w:val="0"/>
        <w:kinsoku/>
        <w:wordWrap/>
        <w:overflowPunct/>
        <w:topLinePunct w:val="0"/>
        <w:bidi w:val="0"/>
        <w:snapToGrid/>
        <w:ind w:firstLine="0" w:firstLineChars="0"/>
        <w:jc w:val="right"/>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NCAP/KS-YS-2024-024</w:t>
      </w:r>
    </w:p>
    <w:p w14:paraId="10B27E24">
      <w:pPr>
        <w:keepNext w:val="0"/>
        <w:keepLines w:val="0"/>
        <w:pageBreakBefore w:val="0"/>
        <w:widowControl w:val="0"/>
        <w:kinsoku/>
        <w:wordWrap/>
        <w:overflowPunct/>
        <w:topLinePunct w:val="0"/>
        <w:bidi w:val="0"/>
        <w:snapToGrid/>
        <w:ind w:firstLine="0" w:firstLineChars="0"/>
        <w:rPr>
          <w:rFonts w:hint="default"/>
          <w:color w:val="auto"/>
        </w:rPr>
      </w:pPr>
    </w:p>
    <w:p w14:paraId="2FB699BE">
      <w:pPr>
        <w:pStyle w:val="26"/>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5EC0485D">
      <w:pPr>
        <w:keepNext w:val="0"/>
        <w:keepLines w:val="0"/>
        <w:pageBreakBefore w:val="0"/>
        <w:widowControl w:val="0"/>
        <w:kinsoku/>
        <w:wordWrap/>
        <w:overflowPunct/>
        <w:topLinePunct w:val="0"/>
        <w:bidi w:val="0"/>
        <w:snapToGrid/>
        <w:ind w:firstLine="0" w:firstLineChars="0"/>
        <w:rPr>
          <w:rFonts w:hint="default"/>
          <w:color w:val="auto"/>
        </w:rPr>
      </w:pPr>
    </w:p>
    <w:p w14:paraId="4334502A">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18942E65">
      <w:pPr>
        <w:keepNext w:val="0"/>
        <w:keepLines w:val="0"/>
        <w:pageBreakBefore w:val="0"/>
        <w:widowControl w:val="0"/>
        <w:kinsoku/>
        <w:wordWrap/>
        <w:overflowPunct/>
        <w:topLinePunct w:val="0"/>
        <w:bidi w:val="0"/>
        <w:snapToGrid/>
        <w:spacing w:line="360" w:lineRule="auto"/>
        <w:ind w:firstLine="0" w:firstLineChars="0"/>
        <w:jc w:val="center"/>
        <w:rPr>
          <w:rFonts w:hint="eastAsia" w:ascii="Times New Roman" w:hAnsi="Times New Roman" w:eastAsia="宋体" w:cs="Times New Roman"/>
          <w:b/>
          <w:color w:val="auto"/>
          <w:sz w:val="32"/>
          <w:szCs w:val="32"/>
          <w:lang w:eastAsia="zh-CN"/>
        </w:rPr>
      </w:pPr>
      <w:r>
        <w:rPr>
          <w:rFonts w:hint="eastAsia" w:cs="Times New Roman"/>
          <w:b/>
          <w:color w:val="auto"/>
          <w:sz w:val="32"/>
          <w:szCs w:val="32"/>
          <w:lang w:eastAsia="zh-CN"/>
        </w:rPr>
        <w:t>武定发荣矿业有限责任公司</w:t>
      </w:r>
    </w:p>
    <w:p w14:paraId="63DF1FC4">
      <w:pPr>
        <w:keepNext w:val="0"/>
        <w:keepLines w:val="0"/>
        <w:pageBreakBefore w:val="0"/>
        <w:widowControl w:val="0"/>
        <w:kinsoku/>
        <w:wordWrap/>
        <w:overflowPunct/>
        <w:topLinePunct w:val="0"/>
        <w:bidi w:val="0"/>
        <w:snapToGrid/>
        <w:spacing w:line="360" w:lineRule="auto"/>
        <w:ind w:firstLine="0" w:firstLineChars="0"/>
        <w:jc w:val="center"/>
        <w:rPr>
          <w:rFonts w:hint="eastAsia" w:ascii="Times New Roman" w:hAnsi="Times New Roman" w:eastAsia="宋体" w:cs="Times New Roman"/>
          <w:b/>
          <w:bCs/>
          <w:color w:val="auto"/>
          <w:sz w:val="44"/>
          <w:szCs w:val="44"/>
          <w:lang w:eastAsia="zh-CN"/>
        </w:rPr>
      </w:pPr>
      <w:r>
        <w:rPr>
          <w:rFonts w:hint="eastAsia" w:cs="Times New Roman"/>
          <w:b/>
          <w:color w:val="auto"/>
          <w:sz w:val="32"/>
          <w:szCs w:val="32"/>
          <w:lang w:eastAsia="zh-CN"/>
        </w:rPr>
        <w:t>猫街大炉箐繁茂采选厂技术改造项目</w:t>
      </w:r>
    </w:p>
    <w:p w14:paraId="28F9AA0C">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bCs/>
          <w:color w:val="auto"/>
          <w:sz w:val="44"/>
          <w:szCs w:val="44"/>
        </w:rPr>
      </w:pPr>
    </w:p>
    <w:p w14:paraId="4C2752B4">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bCs/>
          <w:color w:val="auto"/>
          <w:sz w:val="44"/>
          <w:szCs w:val="44"/>
        </w:rPr>
      </w:pPr>
    </w:p>
    <w:p w14:paraId="1004E1F9">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cs="Times New Roman"/>
          <w:b/>
          <w:bCs/>
          <w:color w:val="auto"/>
          <w:sz w:val="44"/>
          <w:szCs w:val="44"/>
        </w:rPr>
      </w:pPr>
      <w:r>
        <w:rPr>
          <w:rFonts w:hint="eastAsia" w:cs="Times New Roman"/>
          <w:b/>
          <w:bCs/>
          <w:color w:val="auto"/>
          <w:sz w:val="44"/>
          <w:szCs w:val="44"/>
          <w:lang w:eastAsia="zh-CN"/>
        </w:rPr>
        <w:t>安全验收评价</w:t>
      </w:r>
      <w:r>
        <w:rPr>
          <w:rFonts w:hint="default" w:ascii="Times New Roman" w:hAnsi="Times New Roman" w:cs="Times New Roman"/>
          <w:b/>
          <w:bCs/>
          <w:color w:val="auto"/>
          <w:sz w:val="44"/>
          <w:szCs w:val="44"/>
        </w:rPr>
        <w:t>报告</w:t>
      </w:r>
    </w:p>
    <w:p w14:paraId="6AA98A77">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bCs/>
          <w:color w:val="auto"/>
          <w:sz w:val="44"/>
        </w:rPr>
      </w:pPr>
    </w:p>
    <w:p w14:paraId="65629882">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rPr>
      </w:pPr>
    </w:p>
    <w:p w14:paraId="3C096C09">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7F4EC661">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0CCDB30B">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法定代表人：孙同辉</w:t>
      </w:r>
    </w:p>
    <w:p w14:paraId="4695847F">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cs="Times New Roman"/>
          <w:bCs/>
          <w:color w:val="auto"/>
          <w:sz w:val="28"/>
          <w:szCs w:val="28"/>
          <w:lang w:val="en-US" w:eastAsia="zh-CN"/>
        </w:rPr>
      </w:pPr>
      <w:r>
        <w:rPr>
          <w:rFonts w:hint="default" w:ascii="Times New Roman" w:hAnsi="Times New Roman" w:cs="Times New Roman"/>
          <w:bCs/>
          <w:color w:val="auto"/>
          <w:sz w:val="28"/>
          <w:szCs w:val="28"/>
        </w:rPr>
        <w:t>技术负责人：</w:t>
      </w:r>
      <w:r>
        <w:rPr>
          <w:rFonts w:hint="eastAsia" w:cs="Times New Roman"/>
          <w:bCs/>
          <w:color w:val="auto"/>
          <w:sz w:val="28"/>
          <w:szCs w:val="28"/>
          <w:lang w:val="en-US" w:eastAsia="zh-CN"/>
        </w:rPr>
        <w:t>李在永</w:t>
      </w:r>
    </w:p>
    <w:p w14:paraId="60314C3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rPr>
          <w:rFonts w:hint="default" w:ascii="Times New Roman" w:hAnsi="Times New Roman" w:cs="Times New Roman"/>
          <w:color w:val="auto"/>
        </w:rPr>
      </w:pPr>
      <w:r>
        <w:rPr>
          <w:rFonts w:hint="default" w:ascii="Times New Roman" w:hAnsi="Times New Roman" w:cs="Times New Roman"/>
          <w:bCs/>
          <w:color w:val="auto"/>
          <w:sz w:val="28"/>
          <w:szCs w:val="28"/>
        </w:rPr>
        <w:t>评价项目负责人：杨会明</w:t>
      </w:r>
    </w:p>
    <w:p w14:paraId="4C092BB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rPr>
          <w:rFonts w:hint="default" w:ascii="Times New Roman" w:hAnsi="Times New Roman" w:cs="Times New Roman"/>
          <w:b/>
          <w:color w:val="auto"/>
          <w:sz w:val="24"/>
        </w:rPr>
      </w:pPr>
    </w:p>
    <w:p w14:paraId="6384BED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rPr>
          <w:rFonts w:hint="default" w:ascii="Times New Roman" w:hAnsi="Times New Roman" w:cs="Times New Roman"/>
          <w:b/>
          <w:color w:val="auto"/>
          <w:sz w:val="24"/>
        </w:rPr>
      </w:pPr>
    </w:p>
    <w:p w14:paraId="355A435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rPr>
          <w:rFonts w:hint="default" w:ascii="Times New Roman" w:hAnsi="Times New Roman" w:cs="Times New Roman"/>
          <w:b/>
          <w:color w:val="auto"/>
          <w:sz w:val="24"/>
        </w:rPr>
      </w:pPr>
    </w:p>
    <w:p w14:paraId="023F3FD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rPr>
          <w:rFonts w:hint="default" w:ascii="Times New Roman" w:hAnsi="Times New Roman" w:cs="Times New Roman"/>
          <w:b/>
          <w:color w:val="auto"/>
          <w:sz w:val="24"/>
        </w:rPr>
      </w:pPr>
      <w:r>
        <w:rPr>
          <w:rFonts w:hint="default" w:ascii="Times New Roman" w:hAnsi="Times New Roman" w:cs="Times New Roman"/>
          <w:b/>
          <w:color w:val="auto"/>
          <w:sz w:val="24"/>
        </w:rPr>
        <w:t>完成日期：202</w:t>
      </w:r>
      <w:r>
        <w:rPr>
          <w:rFonts w:hint="eastAsia" w:cs="Times New Roman"/>
          <w:b/>
          <w:color w:val="auto"/>
          <w:sz w:val="24"/>
          <w:lang w:val="en-US" w:eastAsia="zh-CN"/>
        </w:rPr>
        <w:t>5</w:t>
      </w:r>
      <w:r>
        <w:rPr>
          <w:rFonts w:hint="default" w:ascii="Times New Roman" w:hAnsi="Times New Roman" w:cs="Times New Roman"/>
          <w:b/>
          <w:color w:val="auto"/>
          <w:sz w:val="24"/>
        </w:rPr>
        <w:t>年</w:t>
      </w:r>
      <w:r>
        <w:rPr>
          <w:rFonts w:hint="eastAsia" w:cs="Times New Roman"/>
          <w:b/>
          <w:color w:val="auto"/>
          <w:sz w:val="24"/>
          <w:lang w:val="en-US" w:eastAsia="zh-CN"/>
        </w:rPr>
        <w:t>02</w:t>
      </w:r>
      <w:r>
        <w:rPr>
          <w:rFonts w:hint="default" w:ascii="Times New Roman" w:hAnsi="Times New Roman" w:cs="Times New Roman"/>
          <w:b/>
          <w:color w:val="auto"/>
          <w:sz w:val="24"/>
        </w:rPr>
        <w:t>月</w:t>
      </w:r>
    </w:p>
    <w:p w14:paraId="5B90BDAE">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szCs w:val="21"/>
        </w:rPr>
        <w:sectPr>
          <w:headerReference r:id="rId5" w:type="default"/>
          <w:pgSz w:w="11905" w:h="16838"/>
          <w:pgMar w:top="1417" w:right="1134" w:bottom="1134" w:left="1587" w:header="850" w:footer="992" w:gutter="0"/>
          <w:pgBorders>
            <w:top w:val="none" w:sz="0" w:space="0"/>
            <w:left w:val="none" w:sz="0" w:space="0"/>
            <w:bottom w:val="none" w:sz="0" w:space="0"/>
            <w:right w:val="none" w:sz="0" w:space="0"/>
          </w:pgBorders>
          <w:pgNumType w:start="1"/>
          <w:cols w:space="0" w:num="1"/>
          <w:rtlGutter w:val="0"/>
          <w:docGrid w:type="lines" w:linePitch="386" w:charSpace="0"/>
        </w:sectPr>
      </w:pPr>
      <w:r>
        <w:rPr>
          <w:rFonts w:hint="default" w:ascii="Times New Roman" w:hAnsi="Times New Roman" w:cs="Times New Roman"/>
          <w:color w:val="auto"/>
          <w:szCs w:val="21"/>
        </w:rPr>
        <w:t>（安全评价机构公章）</w:t>
      </w:r>
    </w:p>
    <w:p w14:paraId="3048C4C2">
      <w:pPr>
        <w:keepNext w:val="0"/>
        <w:keepLines w:val="0"/>
        <w:pageBreakBefore/>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color w:val="auto"/>
          <w:sz w:val="32"/>
          <w:szCs w:val="32"/>
        </w:rPr>
      </w:pPr>
      <w:r>
        <w:rPr>
          <w:rFonts w:hint="default" w:ascii="Times New Roman" w:hAnsi="Times New Roman" w:cs="Times New Roman"/>
          <w:b/>
          <w:color w:val="auto"/>
          <w:kern w:val="0"/>
          <w:sz w:val="32"/>
          <w:szCs w:val="32"/>
        </w:rPr>
        <w:t>评价人员</w:t>
      </w:r>
    </w:p>
    <w:tbl>
      <w:tblPr>
        <w:tblStyle w:val="20"/>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1236"/>
        <w:gridCol w:w="1387"/>
        <w:gridCol w:w="2300"/>
        <w:gridCol w:w="1880"/>
        <w:gridCol w:w="1594"/>
      </w:tblGrid>
      <w:tr w14:paraId="2EBB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1761DA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评价单位</w:t>
            </w:r>
          </w:p>
        </w:tc>
        <w:tc>
          <w:tcPr>
            <w:tcW w:w="8397" w:type="dxa"/>
            <w:gridSpan w:val="5"/>
            <w:tcBorders>
              <w:top w:val="single" w:color="auto" w:sz="4" w:space="0"/>
              <w:left w:val="single" w:color="auto" w:sz="4" w:space="0"/>
              <w:bottom w:val="single" w:color="auto" w:sz="4" w:space="0"/>
              <w:right w:val="single" w:color="auto" w:sz="4" w:space="0"/>
            </w:tcBorders>
            <w:noWrap w:val="0"/>
            <w:vAlign w:val="center"/>
          </w:tcPr>
          <w:p w14:paraId="73C781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辽宁</w:t>
            </w:r>
            <w:r>
              <w:rPr>
                <w:rFonts w:hint="default" w:ascii="Times New Roman" w:hAnsi="Times New Roman" w:eastAsia="宋体" w:cs="Times New Roman"/>
                <w:color w:val="auto"/>
                <w:sz w:val="24"/>
                <w:lang w:val="en-US" w:eastAsia="zh-CN"/>
              </w:rPr>
              <w:t>诺诚安全科技</w:t>
            </w:r>
            <w:r>
              <w:rPr>
                <w:rFonts w:hint="default" w:ascii="Times New Roman" w:hAnsi="Times New Roman" w:eastAsia="宋体" w:cs="Times New Roman"/>
                <w:color w:val="auto"/>
                <w:sz w:val="24"/>
              </w:rPr>
              <w:t>有限公司</w:t>
            </w:r>
          </w:p>
        </w:tc>
      </w:tr>
      <w:tr w14:paraId="1400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48C6E6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项目名称</w:t>
            </w:r>
          </w:p>
        </w:tc>
        <w:tc>
          <w:tcPr>
            <w:tcW w:w="8397" w:type="dxa"/>
            <w:gridSpan w:val="5"/>
            <w:tcBorders>
              <w:top w:val="single" w:color="auto" w:sz="4" w:space="0"/>
              <w:left w:val="single" w:color="auto" w:sz="4" w:space="0"/>
              <w:bottom w:val="single" w:color="auto" w:sz="4" w:space="0"/>
              <w:right w:val="single" w:color="auto" w:sz="4" w:space="0"/>
            </w:tcBorders>
            <w:noWrap w:val="0"/>
            <w:vAlign w:val="center"/>
          </w:tcPr>
          <w:p w14:paraId="109DB8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szCs w:val="22"/>
                <w:lang w:val="en-US" w:eastAsia="zh-CN"/>
              </w:rPr>
              <w:t>武定发荣矿业有限责任公司猫街大炉箐繁茂采选厂技术改造项目安全验收评价</w:t>
            </w:r>
          </w:p>
        </w:tc>
      </w:tr>
      <w:tr w14:paraId="770A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4BDF48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评价人员</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2521F9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姓  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B89B1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sz w:val="24"/>
              </w:rPr>
              <w:t>专业能力</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1FB94D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sz w:val="24"/>
              </w:rPr>
              <w:t>资格证书号</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39843C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sz w:val="24"/>
              </w:rPr>
              <w:t>从业登记编号</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3B9ED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签  字</w:t>
            </w:r>
          </w:p>
        </w:tc>
      </w:tr>
      <w:tr w14:paraId="67F4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0498BF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项目负责人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D4C9E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239BB2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eastAsia" w:cs="Times New Roman"/>
                <w:color w:val="auto"/>
                <w:kern w:val="0"/>
                <w:sz w:val="24"/>
                <w:szCs w:val="24"/>
                <w:lang w:val="en-US" w:bidi="zh-CN"/>
              </w:rPr>
              <w:t>通风</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28C2A2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fldChar w:fldCharType="begin"/>
            </w:r>
            <w:r>
              <w:rPr>
                <w:rFonts w:hint="default" w:ascii="Times New Roman" w:hAnsi="Times New Roman" w:eastAsia="宋体" w:cs="Times New Roman"/>
                <w:color w:val="auto"/>
                <w:kern w:val="0"/>
                <w:sz w:val="24"/>
                <w:szCs w:val="24"/>
                <w:lang w:bidi="zh-CN"/>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eastAsia="宋体" w:cs="Times New Roman"/>
                <w:color w:val="auto"/>
                <w:kern w:val="0"/>
                <w:sz w:val="24"/>
                <w:szCs w:val="24"/>
                <w:lang w:bidi="zh-CN"/>
              </w:rPr>
              <w:fldChar w:fldCharType="separate"/>
            </w:r>
            <w:r>
              <w:rPr>
                <w:rFonts w:hint="default" w:ascii="Times New Roman" w:hAnsi="Times New Roman" w:eastAsia="宋体" w:cs="Times New Roman"/>
                <w:color w:val="auto"/>
                <w:kern w:val="0"/>
                <w:sz w:val="24"/>
                <w:szCs w:val="24"/>
                <w:lang w:bidi="zh-CN"/>
              </w:rPr>
              <w:t>S011053000110192003194</w:t>
            </w:r>
            <w:r>
              <w:rPr>
                <w:rFonts w:hint="default" w:ascii="Times New Roman" w:hAnsi="Times New Roman" w:eastAsia="宋体" w:cs="Times New Roman"/>
                <w:color w:val="auto"/>
                <w:kern w:val="0"/>
                <w:sz w:val="24"/>
                <w:szCs w:val="24"/>
                <w:lang w:bidi="zh-CN"/>
              </w:rPr>
              <w:fldChar w:fldCharType="end"/>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4EDDE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524D7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37B9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restart"/>
            <w:tcBorders>
              <w:top w:val="single" w:color="auto" w:sz="4" w:space="0"/>
              <w:left w:val="single" w:color="auto" w:sz="4" w:space="0"/>
              <w:right w:val="single" w:color="auto" w:sz="4" w:space="0"/>
            </w:tcBorders>
            <w:noWrap w:val="0"/>
            <w:vAlign w:val="center"/>
          </w:tcPr>
          <w:p w14:paraId="16194A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项目组成员</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3F4658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张廷辉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6CB44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ascii="Times New Roman" w:hAnsi="Times New Roman" w:eastAsia="宋体" w:cs="Times New Roman"/>
                <w:color w:val="auto"/>
                <w:kern w:val="0"/>
                <w:sz w:val="24"/>
                <w:szCs w:val="24"/>
                <w:lang w:val="en-US" w:bidi="zh-CN"/>
              </w:rPr>
              <w:t>电气</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4BD8E0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1200000000100119</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57F992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009798</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FC8B8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1334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1BAD8C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65BF36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val="en-US" w:bidi="zh-CN"/>
              </w:rPr>
              <w:t>李欣泽</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D78BB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eastAsia" w:ascii="Times New Roman" w:hAnsi="Times New Roman" w:eastAsia="宋体" w:cs="Times New Roman"/>
                <w:color w:val="auto"/>
                <w:kern w:val="0"/>
                <w:sz w:val="24"/>
                <w:szCs w:val="24"/>
                <w:lang w:val="en-US" w:bidi="zh-CN"/>
              </w:rPr>
              <w:t>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34BE37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1600000000200299</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768D3B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019600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AF1B6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6653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357FB5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20754F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bidi="zh-CN"/>
              </w:rPr>
              <w:t>李金明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332EE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机械</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6953BF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t>S011021000110193000605</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290AAF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037257</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DB53B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7DEE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6078E0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05B01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bidi="zh-CN"/>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DF7FA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采矿</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599BBB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S011053000110203001658</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70A536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BC342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0DCF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0B21C6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66C9A3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杨  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2BB11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水工结构</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68138C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fldChar w:fldCharType="begin"/>
            </w:r>
            <w:r>
              <w:rPr>
                <w:rFonts w:hint="default" w:ascii="Times New Roman" w:hAnsi="Times New Roman" w:eastAsia="宋体" w:cs="Times New Roman"/>
                <w:color w:val="auto"/>
                <w:kern w:val="0"/>
                <w:sz w:val="24"/>
                <w:szCs w:val="24"/>
                <w:lang w:bidi="zh-CN"/>
              </w:rPr>
              <w:instrText xml:space="preserve"> HYPERLINK "http://cydj.5anquan.com/Admin/AprySearch/path=/Files/Image/ApryImg/Profession/Edit9607/" \o "http://cydj.5anquan.com/Admin/AprySearch/path=/Files/Image/ApryImg/Profession/Edit9607/" </w:instrText>
            </w:r>
            <w:r>
              <w:rPr>
                <w:rFonts w:hint="default" w:ascii="Times New Roman" w:hAnsi="Times New Roman" w:eastAsia="宋体" w:cs="Times New Roman"/>
                <w:color w:val="auto"/>
                <w:kern w:val="0"/>
                <w:sz w:val="24"/>
                <w:szCs w:val="24"/>
                <w:lang w:bidi="zh-CN"/>
              </w:rPr>
              <w:fldChar w:fldCharType="separate"/>
            </w:r>
            <w:r>
              <w:rPr>
                <w:rFonts w:hint="default" w:ascii="Times New Roman" w:hAnsi="Times New Roman" w:eastAsia="宋体" w:cs="Times New Roman"/>
                <w:color w:val="auto"/>
                <w:kern w:val="0"/>
                <w:sz w:val="24"/>
                <w:szCs w:val="24"/>
                <w:lang w:bidi="zh-CN"/>
              </w:rPr>
              <w:t>1100000000302455</w:t>
            </w:r>
            <w:r>
              <w:rPr>
                <w:rFonts w:hint="default" w:ascii="Times New Roman" w:hAnsi="Times New Roman" w:eastAsia="宋体" w:cs="Times New Roman"/>
                <w:color w:val="auto"/>
                <w:kern w:val="0"/>
                <w:sz w:val="24"/>
                <w:szCs w:val="24"/>
                <w:lang w:bidi="zh-CN"/>
              </w:rPr>
              <w:fldChar w:fldCharType="end"/>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7F3216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020433</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804A3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4AA2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right w:val="single" w:color="auto" w:sz="4" w:space="0"/>
            </w:tcBorders>
            <w:noWrap w:val="0"/>
            <w:vAlign w:val="center"/>
          </w:tcPr>
          <w:p w14:paraId="0D818C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5ABBDE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bidi="zh-CN"/>
              </w:rPr>
              <w:t>王英楠</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A1F3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地质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5CA8E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1100000000302557</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5F0E8D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020437</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3A808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433F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restart"/>
            <w:tcBorders>
              <w:top w:val="single" w:color="auto" w:sz="4" w:space="0"/>
              <w:left w:val="single" w:color="auto" w:sz="4" w:space="0"/>
              <w:right w:val="single" w:color="auto" w:sz="4" w:space="0"/>
            </w:tcBorders>
            <w:noWrap w:val="0"/>
            <w:vAlign w:val="center"/>
          </w:tcPr>
          <w:p w14:paraId="7EC3C1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报告编制人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C2761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9DAF8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t>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22EA05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fldChar w:fldCharType="begin"/>
            </w:r>
            <w:r>
              <w:rPr>
                <w:rFonts w:hint="default" w:ascii="Times New Roman" w:hAnsi="Times New Roman" w:eastAsia="宋体" w:cs="Times New Roman"/>
                <w:color w:val="auto"/>
                <w:kern w:val="0"/>
                <w:sz w:val="24"/>
                <w:szCs w:val="24"/>
                <w:lang w:bidi="zh-CN"/>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eastAsia="宋体" w:cs="Times New Roman"/>
                <w:color w:val="auto"/>
                <w:kern w:val="0"/>
                <w:sz w:val="24"/>
                <w:szCs w:val="24"/>
                <w:lang w:bidi="zh-CN"/>
              </w:rPr>
              <w:fldChar w:fldCharType="separate"/>
            </w:r>
            <w:r>
              <w:rPr>
                <w:rFonts w:hint="default" w:ascii="Times New Roman" w:hAnsi="Times New Roman" w:eastAsia="宋体" w:cs="Times New Roman"/>
                <w:color w:val="auto"/>
                <w:kern w:val="0"/>
                <w:sz w:val="24"/>
                <w:szCs w:val="24"/>
                <w:lang w:bidi="zh-CN"/>
              </w:rPr>
              <w:t>S011053000110192003194</w:t>
            </w:r>
            <w:r>
              <w:rPr>
                <w:rFonts w:hint="default" w:ascii="Times New Roman" w:hAnsi="Times New Roman" w:eastAsia="宋体" w:cs="Times New Roman"/>
                <w:color w:val="auto"/>
                <w:kern w:val="0"/>
                <w:sz w:val="24"/>
                <w:szCs w:val="24"/>
                <w:lang w:bidi="zh-CN"/>
              </w:rPr>
              <w:fldChar w:fldCharType="end"/>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3436CE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kern w:val="0"/>
                <w:sz w:val="24"/>
                <w:szCs w:val="24"/>
                <w:lang w:bidi="zh-CN"/>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37D4B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2BB1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vMerge w:val="continue"/>
            <w:tcBorders>
              <w:left w:val="single" w:color="auto" w:sz="4" w:space="0"/>
              <w:bottom w:val="single" w:color="auto" w:sz="4" w:space="0"/>
              <w:right w:val="single" w:color="auto" w:sz="4" w:space="0"/>
            </w:tcBorders>
            <w:noWrap w:val="0"/>
            <w:vAlign w:val="center"/>
          </w:tcPr>
          <w:p w14:paraId="44033E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c>
          <w:tcPr>
            <w:tcW w:w="1236" w:type="dxa"/>
            <w:tcBorders>
              <w:top w:val="single" w:color="auto" w:sz="4" w:space="0"/>
              <w:left w:val="single" w:color="auto" w:sz="4" w:space="0"/>
              <w:bottom w:val="single" w:color="auto" w:sz="4" w:space="0"/>
              <w:right w:val="single" w:color="auto" w:sz="4" w:space="0"/>
            </w:tcBorders>
            <w:noWrap w:val="0"/>
            <w:vAlign w:val="center"/>
          </w:tcPr>
          <w:p w14:paraId="171CF8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B8C62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bidi="zh-CN"/>
              </w:rPr>
            </w:pPr>
            <w:r>
              <w:rPr>
                <w:rFonts w:hint="default" w:ascii="Times New Roman" w:hAnsi="Times New Roman" w:eastAsia="宋体" w:cs="Times New Roman"/>
                <w:color w:val="auto"/>
                <w:kern w:val="0"/>
                <w:sz w:val="24"/>
                <w:szCs w:val="24"/>
                <w:lang w:bidi="zh-CN"/>
              </w:rPr>
              <w:t>采矿</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3826BF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S011053000110203001658</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164141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r>
              <w:rPr>
                <w:rFonts w:hint="default" w:ascii="Times New Roman" w:hAnsi="Times New Roman" w:eastAsia="宋体" w:cs="Times New Roman"/>
                <w:color w:val="auto"/>
                <w:kern w:val="0"/>
                <w:sz w:val="24"/>
                <w:szCs w:val="24"/>
                <w:lang w:bidi="zh-CN"/>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24CB6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085C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22A38F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报告审核人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19D7BF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kern w:val="0"/>
                <w:sz w:val="24"/>
                <w:szCs w:val="24"/>
                <w:lang w:bidi="zh-CN"/>
              </w:rPr>
              <w:t>李超</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A08A0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default" w:ascii="Times New Roman" w:hAnsi="Times New Roman" w:eastAsia="宋体" w:cs="Times New Roman"/>
                <w:color w:val="auto"/>
                <w:kern w:val="0"/>
                <w:sz w:val="24"/>
                <w:szCs w:val="24"/>
                <w:lang w:bidi="zh-CN"/>
              </w:rPr>
              <w:t>安全</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368437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kern w:val="0"/>
                <w:sz w:val="24"/>
                <w:szCs w:val="24"/>
                <w:lang w:bidi="zh-CN"/>
              </w:rPr>
              <w:t>S011021000110202000521</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3DEB14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2"/>
                <w:lang w:val="zh-CN" w:eastAsia="zh-CN" w:bidi="zh-CN"/>
              </w:rPr>
            </w:pPr>
            <w:r>
              <w:rPr>
                <w:rFonts w:hint="default" w:ascii="Times New Roman" w:hAnsi="Times New Roman" w:eastAsia="宋体" w:cs="Times New Roman"/>
                <w:color w:val="auto"/>
                <w:kern w:val="0"/>
                <w:sz w:val="24"/>
                <w:szCs w:val="24"/>
                <w:lang w:bidi="zh-CN"/>
              </w:rPr>
              <w:t>041289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6761D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r w14:paraId="7DA3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669DE9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过程控制</w:t>
            </w:r>
          </w:p>
          <w:p w14:paraId="6658EC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负责人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0522D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val="en-US" w:eastAsia="zh-CN" w:bidi="zh-CN"/>
              </w:rPr>
              <w:t>吴家辉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73EDA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en-US" w:eastAsia="zh-CN" w:bidi="zh-CN"/>
              </w:rPr>
            </w:pPr>
            <w:r>
              <w:rPr>
                <w:rFonts w:hint="default" w:ascii="Times New Roman" w:hAnsi="Times New Roman" w:eastAsia="宋体" w:cs="Times New Roman"/>
                <w:color w:val="auto"/>
                <w:kern w:val="0"/>
                <w:sz w:val="24"/>
                <w:szCs w:val="24"/>
                <w:lang w:val="en-US" w:eastAsia="zh-CN" w:bidi="zh-CN"/>
              </w:rPr>
              <w:t>/</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12F675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zh-CN" w:eastAsia="zh-CN" w:bidi="zh-CN"/>
              </w:rPr>
            </w:pPr>
            <w:r>
              <w:rPr>
                <w:rFonts w:hint="default" w:ascii="Times New Roman" w:hAnsi="Times New Roman" w:eastAsia="宋体" w:cs="Times New Roman"/>
                <w:color w:val="auto"/>
                <w:kern w:val="0"/>
                <w:sz w:val="24"/>
                <w:szCs w:val="24"/>
                <w:lang w:val="zh-CN" w:eastAsia="zh-CN" w:bidi="zh-CN"/>
              </w:rPr>
              <w:t>CAWS210000230300034</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2D0819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val="zh-CN" w:eastAsia="zh-CN" w:bidi="zh-CN"/>
              </w:rPr>
            </w:pPr>
            <w:r>
              <w:rPr>
                <w:rFonts w:hint="default" w:ascii="Times New Roman" w:hAnsi="Times New Roman" w:eastAsia="宋体" w:cs="Times New Roman"/>
                <w:color w:val="auto"/>
                <w:kern w:val="0"/>
                <w:sz w:val="24"/>
                <w:szCs w:val="24"/>
                <w:lang w:val="zh-CN" w:eastAsia="zh-CN" w:bidi="zh-CN"/>
              </w:rPr>
              <w:t>043015</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DA35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4"/>
                <w:szCs w:val="24"/>
                <w:lang w:bidi="zh-CN"/>
              </w:rPr>
            </w:pPr>
          </w:p>
        </w:tc>
      </w:tr>
      <w:tr w14:paraId="6E4D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44" w:type="dxa"/>
            <w:tcBorders>
              <w:top w:val="single" w:color="auto" w:sz="4" w:space="0"/>
              <w:left w:val="single" w:color="auto" w:sz="4" w:space="0"/>
              <w:bottom w:val="single" w:color="auto" w:sz="4" w:space="0"/>
              <w:right w:val="single" w:color="auto" w:sz="4" w:space="0"/>
            </w:tcBorders>
            <w:noWrap w:val="0"/>
            <w:vAlign w:val="center"/>
          </w:tcPr>
          <w:p w14:paraId="12C597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技术负责人</w:t>
            </w:r>
          </w:p>
        </w:tc>
        <w:tc>
          <w:tcPr>
            <w:tcW w:w="1236" w:type="dxa"/>
            <w:tcBorders>
              <w:top w:val="single" w:color="auto" w:sz="4" w:space="0"/>
              <w:left w:val="single" w:color="auto" w:sz="4" w:space="0"/>
              <w:bottom w:val="single" w:color="auto" w:sz="4" w:space="0"/>
              <w:right w:val="single" w:color="auto" w:sz="4" w:space="0"/>
            </w:tcBorders>
            <w:noWrap w:val="0"/>
            <w:vAlign w:val="center"/>
          </w:tcPr>
          <w:p w14:paraId="48DB49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eastAsia"/>
                <w:color w:val="auto"/>
                <w:sz w:val="24"/>
              </w:rPr>
              <w:t>李在永</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B9500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eastAsia"/>
                <w:color w:val="auto"/>
                <w:sz w:val="24"/>
              </w:rPr>
              <w:t>采矿</w:t>
            </w:r>
          </w:p>
        </w:tc>
        <w:tc>
          <w:tcPr>
            <w:tcW w:w="2300" w:type="dxa"/>
            <w:tcBorders>
              <w:top w:val="single" w:color="auto" w:sz="4" w:space="0"/>
              <w:left w:val="single" w:color="auto" w:sz="4" w:space="0"/>
              <w:bottom w:val="single" w:color="auto" w:sz="4" w:space="0"/>
              <w:right w:val="single" w:color="auto" w:sz="4" w:space="0"/>
            </w:tcBorders>
            <w:noWrap w:val="0"/>
            <w:vAlign w:val="center"/>
          </w:tcPr>
          <w:p w14:paraId="7648833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eastAsia"/>
                <w:color w:val="auto"/>
                <w:sz w:val="24"/>
              </w:rPr>
              <w:t>S011021000110201000315</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69177C3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z w:val="24"/>
                <w:szCs w:val="22"/>
                <w:lang w:val="en-US" w:eastAsia="zh-CN" w:bidi="zh-CN"/>
              </w:rPr>
            </w:pPr>
            <w:r>
              <w:rPr>
                <w:rFonts w:hint="eastAsia"/>
                <w:color w:val="auto"/>
                <w:sz w:val="24"/>
              </w:rPr>
              <w:t>019609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E379E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4"/>
              </w:rPr>
            </w:pPr>
          </w:p>
        </w:tc>
      </w:tr>
    </w:tbl>
    <w:p w14:paraId="1DD761C7">
      <w:pPr>
        <w:tabs>
          <w:tab w:val="center" w:pos="4592"/>
        </w:tabs>
        <w:jc w:val="left"/>
        <w:rPr>
          <w:rFonts w:hint="default" w:ascii="Times New Roman" w:hAnsi="Times New Roman" w:cs="Times New Roman"/>
          <w:color w:val="auto"/>
          <w:szCs w:val="21"/>
        </w:rPr>
        <w:sectPr>
          <w:headerReference r:id="rId6" w:type="default"/>
          <w:footerReference r:id="rId7" w:type="default"/>
          <w:pgSz w:w="11905" w:h="16838"/>
          <w:pgMar w:top="1417" w:right="1134" w:bottom="1134" w:left="1587" w:header="850" w:footer="992" w:gutter="0"/>
          <w:pgBorders>
            <w:top w:val="none" w:sz="0" w:space="0"/>
            <w:left w:val="none" w:sz="0" w:space="0"/>
            <w:bottom w:val="none" w:sz="0" w:space="0"/>
            <w:right w:val="none" w:sz="0" w:space="0"/>
          </w:pgBorders>
          <w:pgNumType w:start="1"/>
          <w:cols w:space="0" w:num="1"/>
          <w:rtlGutter w:val="0"/>
          <w:docGrid w:type="lines" w:linePitch="386" w:charSpace="0"/>
        </w:sectPr>
      </w:pPr>
    </w:p>
    <w:p w14:paraId="2AC166A6">
      <w:pPr>
        <w:keepNext w:val="0"/>
        <w:keepLines w:val="0"/>
        <w:pageBreakBefore w:val="0"/>
        <w:widowControl w:val="0"/>
        <w:kinsoku/>
        <w:wordWrap/>
        <w:overflowPunct/>
        <w:topLinePunct w:val="0"/>
        <w:autoSpaceDE/>
        <w:autoSpaceDN/>
        <w:bidi w:val="0"/>
        <w:adjustRightInd/>
        <w:snapToGrid/>
        <w:ind w:firstLine="0" w:firstLineChars="0"/>
        <w:jc w:val="center"/>
        <w:rPr>
          <w:rFonts w:hint="eastAsia" w:eastAsia="黑体"/>
          <w:color w:val="auto"/>
          <w:sz w:val="32"/>
          <w:lang w:val="en-US" w:eastAsia="zh-CN"/>
        </w:rPr>
      </w:pPr>
      <w:r>
        <w:rPr>
          <w:rFonts w:hint="eastAsia" w:eastAsia="黑体"/>
          <w:color w:val="auto"/>
          <w:sz w:val="32"/>
          <w:lang w:val="en-US" w:eastAsia="zh-CN"/>
        </w:rPr>
        <w:t>前言</w:t>
      </w:r>
    </w:p>
    <w:p w14:paraId="733D353F">
      <w:pPr>
        <w:rPr>
          <w:rFonts w:hint="eastAsia"/>
          <w:color w:val="auto"/>
        </w:rPr>
      </w:pPr>
      <w:r>
        <w:rPr>
          <w:rFonts w:hint="eastAsia"/>
          <w:color w:val="auto"/>
        </w:rPr>
        <w:t>根据国家有关法律法规的规定，建设项目安全验收评价的任务是在建设项目竣工、试生产运行正常后，通过对建设项目的设施、设备、装置实际情况和管理状况的调查分析，查找该建设项目投产后存在的危险、有害因素，确定其危险度，提出合理可行的安全对策措施及建议。</w:t>
      </w:r>
    </w:p>
    <w:p w14:paraId="602808A2">
      <w:pPr>
        <w:rPr>
          <w:rFonts w:hint="eastAsia"/>
          <w:color w:val="auto"/>
        </w:rPr>
      </w:pPr>
      <w:r>
        <w:rPr>
          <w:rFonts w:hint="eastAsia"/>
          <w:color w:val="auto"/>
        </w:rPr>
        <w:t>《中华人民共和国安全生产法》规定：“生产经营单位新建、改建、扩建工程项目的安全设施必须与主体工程同时设计、同时施工、同时投入生产和使用”。建设项目安全设施的“三同时”体现了“安全第一、预防为主、综合治理”的方针，同时，建设项目安全验收评价也是落实“安全第一、预防为主、综合治理”安全生产方针的重要技术保障之一。</w:t>
      </w:r>
    </w:p>
    <w:p w14:paraId="2F02D87F">
      <w:pPr>
        <w:rPr>
          <w:rFonts w:hint="eastAsia"/>
          <w:color w:val="auto"/>
          <w:lang w:val="en-US" w:eastAsia="zh-CN"/>
        </w:rPr>
      </w:pPr>
      <w:r>
        <w:rPr>
          <w:rFonts w:hint="eastAsia"/>
          <w:color w:val="auto"/>
          <w:lang w:eastAsia="zh-CN"/>
        </w:rPr>
        <w:t>武定发荣矿业有限责任公司猫街大炉箐繁茂采选厂技术改造项目</w:t>
      </w:r>
      <w:r>
        <w:rPr>
          <w:rFonts w:hint="eastAsia"/>
          <w:color w:val="auto"/>
          <w:lang w:val="en-US" w:eastAsia="zh-CN"/>
        </w:rPr>
        <w:t>于2023年12月27日取得武定县发展和改革局批复的投资备案证，于2023年12月委托云南德成规划设计有限公司编制了《</w:t>
      </w:r>
      <w:r>
        <w:rPr>
          <w:rFonts w:hint="eastAsia"/>
          <w:color w:val="auto"/>
          <w:lang w:eastAsia="zh-CN"/>
        </w:rPr>
        <w:t>武定发荣矿业有限责任公司猫街大炉箐繁茂采选厂技术改造项目</w:t>
      </w:r>
      <w:r>
        <w:rPr>
          <w:rFonts w:hint="eastAsia"/>
          <w:color w:val="auto"/>
          <w:lang w:val="en-US" w:eastAsia="zh-CN"/>
        </w:rPr>
        <w:t>初步设计（代可研）》，于2024年02月委托云南大成安全技术服务有限公司编制了《</w:t>
      </w:r>
      <w:r>
        <w:rPr>
          <w:rFonts w:hint="eastAsia"/>
          <w:color w:val="auto"/>
          <w:lang w:eastAsia="zh-CN"/>
        </w:rPr>
        <w:t>武定发荣矿业有限责任公司猫街大炉箐繁茂采选厂技术改造项目</w:t>
      </w:r>
      <w:r>
        <w:rPr>
          <w:rFonts w:hint="eastAsia"/>
          <w:color w:val="auto"/>
          <w:lang w:val="en-US" w:eastAsia="zh-CN"/>
        </w:rPr>
        <w:t>安全预评价》，于2024年02月委托云南德成规划设计有限公司编制了《</w:t>
      </w:r>
      <w:r>
        <w:rPr>
          <w:rFonts w:hint="eastAsia"/>
          <w:color w:val="auto"/>
          <w:lang w:eastAsia="zh-CN"/>
        </w:rPr>
        <w:t>武定发荣矿业有限责任公司猫街大炉箐繁茂采选厂技术改造项目</w:t>
      </w:r>
      <w:r>
        <w:rPr>
          <w:rFonts w:hint="eastAsia"/>
          <w:color w:val="auto"/>
          <w:lang w:val="en-US" w:eastAsia="zh-CN"/>
        </w:rPr>
        <w:t>安全设施设计》，安全设施设计于2024年05月28日通过了专家审查。</w:t>
      </w:r>
    </w:p>
    <w:p w14:paraId="0F6D20F8">
      <w:pPr>
        <w:bidi w:val="0"/>
        <w:rPr>
          <w:rFonts w:hint="default"/>
          <w:color w:val="auto"/>
          <w:lang w:val="en-US" w:eastAsia="zh-CN"/>
        </w:rPr>
      </w:pPr>
      <w:r>
        <w:rPr>
          <w:rFonts w:hint="default"/>
          <w:color w:val="auto"/>
          <w:lang w:val="en-US" w:eastAsia="zh-CN"/>
        </w:rPr>
        <w:t>本项目于202</w:t>
      </w:r>
      <w:r>
        <w:rPr>
          <w:rFonts w:hint="eastAsia"/>
          <w:color w:val="auto"/>
          <w:lang w:val="en-US" w:eastAsia="zh-CN"/>
        </w:rPr>
        <w:t>4</w:t>
      </w:r>
      <w:r>
        <w:rPr>
          <w:rFonts w:hint="default"/>
          <w:color w:val="auto"/>
          <w:lang w:val="en-US" w:eastAsia="zh-CN"/>
        </w:rPr>
        <w:t>年0</w:t>
      </w:r>
      <w:r>
        <w:rPr>
          <w:rFonts w:hint="eastAsia"/>
          <w:color w:val="auto"/>
          <w:lang w:val="en-US" w:eastAsia="zh-CN"/>
        </w:rPr>
        <w:t>6</w:t>
      </w:r>
      <w:r>
        <w:rPr>
          <w:rFonts w:hint="default"/>
          <w:color w:val="auto"/>
          <w:lang w:val="en-US" w:eastAsia="zh-CN"/>
        </w:rPr>
        <w:t>月</w:t>
      </w:r>
      <w:r>
        <w:rPr>
          <w:rFonts w:hint="eastAsia"/>
          <w:color w:val="auto"/>
          <w:lang w:val="en-US" w:eastAsia="zh-CN"/>
        </w:rPr>
        <w:t>26</w:t>
      </w:r>
      <w:r>
        <w:rPr>
          <w:rFonts w:hint="default"/>
          <w:color w:val="auto"/>
          <w:lang w:val="en-US" w:eastAsia="zh-CN"/>
        </w:rPr>
        <w:t>日至202</w:t>
      </w:r>
      <w:r>
        <w:rPr>
          <w:rFonts w:hint="eastAsia"/>
          <w:color w:val="auto"/>
          <w:lang w:val="en-US" w:eastAsia="zh-CN"/>
        </w:rPr>
        <w:t>4</w:t>
      </w:r>
      <w:r>
        <w:rPr>
          <w:rFonts w:hint="default"/>
          <w:color w:val="auto"/>
          <w:lang w:val="en-US" w:eastAsia="zh-CN"/>
        </w:rPr>
        <w:t>年0</w:t>
      </w:r>
      <w:r>
        <w:rPr>
          <w:rFonts w:hint="eastAsia"/>
          <w:color w:val="auto"/>
          <w:lang w:val="en-US" w:eastAsia="zh-CN"/>
        </w:rPr>
        <w:t>8</w:t>
      </w:r>
      <w:r>
        <w:rPr>
          <w:rFonts w:hint="default"/>
          <w:color w:val="auto"/>
          <w:lang w:val="en-US" w:eastAsia="zh-CN"/>
        </w:rPr>
        <w:t>月</w:t>
      </w:r>
      <w:r>
        <w:rPr>
          <w:rFonts w:hint="eastAsia"/>
          <w:color w:val="auto"/>
          <w:lang w:val="en-US" w:eastAsia="zh-CN"/>
        </w:rPr>
        <w:t>17</w:t>
      </w:r>
      <w:r>
        <w:rPr>
          <w:rFonts w:hint="default"/>
          <w:color w:val="auto"/>
          <w:lang w:val="en-US" w:eastAsia="zh-CN"/>
        </w:rPr>
        <w:t>日进行开工建设，按设计要求完成</w:t>
      </w:r>
      <w:r>
        <w:rPr>
          <w:rFonts w:hint="eastAsia"/>
          <w:color w:val="auto"/>
          <w:lang w:val="en-US" w:eastAsia="zh-CN"/>
        </w:rPr>
        <w:t>建设</w:t>
      </w:r>
      <w:r>
        <w:rPr>
          <w:rFonts w:hint="default"/>
          <w:color w:val="auto"/>
          <w:lang w:val="en-US" w:eastAsia="zh-CN"/>
        </w:rPr>
        <w:t>工程，于202</w:t>
      </w:r>
      <w:r>
        <w:rPr>
          <w:rFonts w:hint="eastAsia"/>
          <w:color w:val="auto"/>
          <w:lang w:val="en-US" w:eastAsia="zh-CN"/>
        </w:rPr>
        <w:t>4</w:t>
      </w:r>
      <w:r>
        <w:rPr>
          <w:rFonts w:hint="default"/>
          <w:color w:val="auto"/>
          <w:lang w:val="en-US" w:eastAsia="zh-CN"/>
        </w:rPr>
        <w:t>年0</w:t>
      </w:r>
      <w:r>
        <w:rPr>
          <w:rFonts w:hint="eastAsia"/>
          <w:color w:val="auto"/>
          <w:lang w:val="en-US" w:eastAsia="zh-CN"/>
        </w:rPr>
        <w:t>8</w:t>
      </w:r>
      <w:r>
        <w:rPr>
          <w:rFonts w:hint="default"/>
          <w:color w:val="auto"/>
          <w:lang w:val="en-US" w:eastAsia="zh-CN"/>
        </w:rPr>
        <w:t>月</w:t>
      </w:r>
      <w:r>
        <w:rPr>
          <w:rFonts w:hint="eastAsia"/>
          <w:color w:val="auto"/>
          <w:lang w:val="en-US" w:eastAsia="zh-CN"/>
        </w:rPr>
        <w:t>19</w:t>
      </w:r>
      <w:r>
        <w:rPr>
          <w:rFonts w:hint="default"/>
          <w:color w:val="auto"/>
          <w:lang w:val="en-US" w:eastAsia="zh-CN"/>
        </w:rPr>
        <w:t>日至202</w:t>
      </w:r>
      <w:r>
        <w:rPr>
          <w:rFonts w:hint="eastAsia"/>
          <w:color w:val="auto"/>
          <w:lang w:val="en-US" w:eastAsia="zh-CN"/>
        </w:rPr>
        <w:t>4</w:t>
      </w:r>
      <w:r>
        <w:rPr>
          <w:rFonts w:hint="default"/>
          <w:color w:val="auto"/>
          <w:lang w:val="en-US" w:eastAsia="zh-CN"/>
        </w:rPr>
        <w:t>年</w:t>
      </w:r>
      <w:r>
        <w:rPr>
          <w:rFonts w:hint="eastAsia"/>
          <w:color w:val="auto"/>
          <w:lang w:val="en-US" w:eastAsia="zh-CN"/>
        </w:rPr>
        <w:t>10</w:t>
      </w:r>
      <w:r>
        <w:rPr>
          <w:rFonts w:hint="default"/>
          <w:color w:val="auto"/>
          <w:lang w:val="en-US" w:eastAsia="zh-CN"/>
        </w:rPr>
        <w:t>月</w:t>
      </w:r>
      <w:r>
        <w:rPr>
          <w:rFonts w:hint="eastAsia"/>
          <w:color w:val="auto"/>
          <w:lang w:val="en-US" w:eastAsia="zh-CN"/>
        </w:rPr>
        <w:t>18</w:t>
      </w:r>
      <w:r>
        <w:rPr>
          <w:rFonts w:hint="default"/>
          <w:color w:val="auto"/>
          <w:lang w:val="en-US" w:eastAsia="zh-CN"/>
        </w:rPr>
        <w:t>日进行试生产，试生产期间未发生生产安全事故，设备运行正常。</w:t>
      </w:r>
    </w:p>
    <w:p w14:paraId="2B74BF89">
      <w:pPr>
        <w:rPr>
          <w:rFonts w:hint="eastAsia"/>
          <w:color w:val="auto"/>
        </w:rPr>
      </w:pPr>
      <w:r>
        <w:rPr>
          <w:rFonts w:hint="eastAsia"/>
          <w:color w:val="auto"/>
        </w:rPr>
        <w:t>为了落实“安全第一、预防为主、综合治理”的方针，保证安全生产，保障人民生命财产的安全，根据《中华人民共和国安全生产法》（中华人民共和国主席令[2021]第88号）、《建设项目安全设施“三同时”监督管理办法》（原安监总局令第36号令，原安监总局令77号令修订）以及《安全验收评价导则》等法律、法规的有关规定，</w:t>
      </w:r>
      <w:r>
        <w:rPr>
          <w:rFonts w:hint="eastAsia"/>
          <w:color w:val="auto"/>
          <w:lang w:eastAsia="zh-CN"/>
        </w:rPr>
        <w:t>武定发荣矿业有限责任公司</w:t>
      </w:r>
      <w:r>
        <w:rPr>
          <w:rFonts w:hint="eastAsia"/>
          <w:color w:val="auto"/>
        </w:rPr>
        <w:t>委托我公司对其</w:t>
      </w:r>
      <w:r>
        <w:rPr>
          <w:rFonts w:hint="eastAsia"/>
          <w:color w:val="auto"/>
          <w:lang w:eastAsia="zh-CN"/>
        </w:rPr>
        <w:t>猫街大炉箐繁茂采选厂技术改造项目</w:t>
      </w:r>
      <w:r>
        <w:rPr>
          <w:rFonts w:hint="eastAsia"/>
          <w:color w:val="auto"/>
        </w:rPr>
        <w:t>进行</w:t>
      </w:r>
      <w:r>
        <w:rPr>
          <w:rFonts w:hint="eastAsia"/>
          <w:color w:val="auto"/>
          <w:lang w:eastAsia="zh-CN"/>
        </w:rPr>
        <w:t>安全验收评价</w:t>
      </w:r>
      <w:r>
        <w:rPr>
          <w:rFonts w:hint="eastAsia"/>
          <w:color w:val="auto"/>
        </w:rPr>
        <w:t>。</w:t>
      </w:r>
    </w:p>
    <w:p w14:paraId="332649DF">
      <w:pPr>
        <w:rPr>
          <w:rFonts w:hint="eastAsia"/>
          <w:color w:val="auto"/>
        </w:rPr>
      </w:pPr>
      <w:r>
        <w:rPr>
          <w:rFonts w:hint="eastAsia"/>
          <w:color w:val="auto"/>
        </w:rPr>
        <w:t>在接受</w:t>
      </w:r>
      <w:r>
        <w:rPr>
          <w:rFonts w:hint="eastAsia"/>
          <w:color w:val="auto"/>
          <w:lang w:eastAsia="zh-CN"/>
        </w:rPr>
        <w:t>安全验收评价</w:t>
      </w:r>
      <w:r>
        <w:rPr>
          <w:rFonts w:hint="eastAsia"/>
          <w:color w:val="auto"/>
        </w:rPr>
        <w:t>工作的委托之后，我公司成立了安全评价项目组，组织本公司有关安全评价人员开展本项目的安全评价工作：对法律、法规和规范进行收集；根据被评企业情况编制</w:t>
      </w:r>
      <w:r>
        <w:rPr>
          <w:rFonts w:hint="eastAsia"/>
          <w:color w:val="auto"/>
          <w:lang w:eastAsia="zh-CN"/>
        </w:rPr>
        <w:t>安全验收评价</w:t>
      </w:r>
      <w:r>
        <w:rPr>
          <w:rFonts w:hint="eastAsia"/>
          <w:color w:val="auto"/>
        </w:rPr>
        <w:t>计划；202</w:t>
      </w:r>
      <w:r>
        <w:rPr>
          <w:rFonts w:hint="eastAsia"/>
          <w:color w:val="auto"/>
          <w:lang w:val="en-US" w:eastAsia="zh-CN"/>
        </w:rPr>
        <w:t>4</w:t>
      </w:r>
      <w:r>
        <w:rPr>
          <w:rFonts w:hint="eastAsia"/>
          <w:color w:val="auto"/>
        </w:rPr>
        <w:t>年</w:t>
      </w:r>
      <w:r>
        <w:rPr>
          <w:rFonts w:hint="eastAsia"/>
          <w:color w:val="auto"/>
          <w:lang w:val="en-US" w:eastAsia="zh-CN"/>
        </w:rPr>
        <w:t>08</w:t>
      </w:r>
      <w:r>
        <w:rPr>
          <w:rFonts w:hint="eastAsia"/>
          <w:color w:val="auto"/>
        </w:rPr>
        <w:t>月</w:t>
      </w:r>
      <w:r>
        <w:rPr>
          <w:rFonts w:hint="eastAsia"/>
          <w:color w:val="auto"/>
          <w:lang w:val="en-US" w:eastAsia="zh-CN"/>
        </w:rPr>
        <w:t>22</w:t>
      </w:r>
      <w:r>
        <w:rPr>
          <w:rFonts w:hint="eastAsia"/>
          <w:color w:val="auto"/>
        </w:rPr>
        <w:t>日开展现场勘查和有关资料数据的收集整理；对</w:t>
      </w:r>
      <w:r>
        <w:rPr>
          <w:rFonts w:hint="eastAsia"/>
          <w:color w:val="auto"/>
          <w:lang w:eastAsia="zh-CN"/>
        </w:rPr>
        <w:t>武定发荣矿业有限责任公司猫街大炉箐繁茂采选厂技术改造项目</w:t>
      </w:r>
      <w:r>
        <w:rPr>
          <w:rFonts w:hint="eastAsia"/>
          <w:color w:val="auto"/>
        </w:rPr>
        <w:t>的生产和安全管理的建设情况进行全面的调查、分析，运用安全系统工程的方法，对该工程危险有害因素的识别及其危险度的评价；划分评价单元；采用可靠、适用的评价方法对该工程进行评价，做出评价结论，提出科学、合理、可行的安全技术和管理措施，为该项目的验收和生产提供依据，最后编制形成《</w:t>
      </w:r>
      <w:r>
        <w:rPr>
          <w:rFonts w:hint="eastAsia"/>
          <w:color w:val="auto"/>
          <w:lang w:eastAsia="zh-CN"/>
        </w:rPr>
        <w:t>武定发荣矿业有限责任公司猫街大炉箐繁茂采选厂技术改造项目安全验收评价</w:t>
      </w:r>
      <w:r>
        <w:rPr>
          <w:rFonts w:hint="eastAsia"/>
          <w:color w:val="auto"/>
        </w:rPr>
        <w:t>报告》。</w:t>
      </w:r>
    </w:p>
    <w:p w14:paraId="7232519F">
      <w:pPr>
        <w:rPr>
          <w:color w:val="auto"/>
        </w:rPr>
      </w:pPr>
      <w:r>
        <w:rPr>
          <w:rFonts w:hint="eastAsia"/>
          <w:color w:val="auto"/>
        </w:rPr>
        <w:t>在编写评价报告的过程中得到了</w:t>
      </w:r>
      <w:r>
        <w:rPr>
          <w:rFonts w:hint="eastAsia"/>
          <w:color w:val="auto"/>
          <w:lang w:eastAsia="zh-CN"/>
        </w:rPr>
        <w:t>武定发荣矿业有限责任公司</w:t>
      </w:r>
      <w:r>
        <w:rPr>
          <w:rFonts w:hint="eastAsia"/>
          <w:color w:val="auto"/>
        </w:rPr>
        <w:t>的大力支持，同时引用了前人的一些研究成果和技术资料，在此一并表示感谢。</w:t>
      </w:r>
    </w:p>
    <w:p w14:paraId="2913CBED">
      <w:pPr>
        <w:rPr>
          <w:color w:val="auto"/>
        </w:rPr>
        <w:sectPr>
          <w:pgSz w:w="11905" w:h="16838"/>
          <w:pgMar w:top="1417" w:right="1134" w:bottom="1134" w:left="1587" w:header="850" w:footer="992" w:gutter="0"/>
          <w:pgBorders>
            <w:top w:val="none" w:sz="0" w:space="0"/>
            <w:left w:val="none" w:sz="0" w:space="0"/>
            <w:bottom w:val="none" w:sz="0" w:space="0"/>
            <w:right w:val="none" w:sz="0" w:space="0"/>
          </w:pgBorders>
          <w:cols w:space="0" w:num="1"/>
          <w:rtlGutter w:val="0"/>
          <w:docGrid w:type="lines" w:linePitch="386" w:charSpace="0"/>
        </w:sectPr>
      </w:pPr>
    </w:p>
    <w:p w14:paraId="72595ADD">
      <w:pPr>
        <w:keepNext w:val="0"/>
        <w:keepLines w:val="0"/>
        <w:pageBreakBefore w:val="0"/>
        <w:widowControl w:val="0"/>
        <w:kinsoku/>
        <w:wordWrap/>
        <w:overflowPunct/>
        <w:topLinePunct w:val="0"/>
        <w:autoSpaceDE/>
        <w:autoSpaceDN/>
        <w:bidi w:val="0"/>
        <w:adjustRightInd/>
        <w:snapToGrid/>
        <w:ind w:firstLine="0" w:firstLineChars="0"/>
        <w:jc w:val="center"/>
        <w:rPr>
          <w:rFonts w:hint="eastAsia" w:eastAsia="黑体"/>
          <w:color w:val="auto"/>
          <w:sz w:val="32"/>
          <w:lang w:val="en-US" w:eastAsia="zh-CN"/>
        </w:rPr>
      </w:pPr>
      <w:r>
        <w:rPr>
          <w:rFonts w:hint="eastAsia" w:eastAsia="黑体"/>
          <w:color w:val="auto"/>
          <w:sz w:val="32"/>
          <w:lang w:val="en-US" w:eastAsia="zh-CN"/>
        </w:rPr>
        <w:t>目录</w:t>
      </w:r>
    </w:p>
    <w:p w14:paraId="10DC1C9E">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color w:val="auto"/>
          <w:sz w:val="24"/>
        </w:rPr>
        <w:instrText xml:space="preserve">TOC \o "1-3" \h \u </w:instrText>
      </w:r>
      <w:r>
        <w:rPr>
          <w:color w:val="auto"/>
          <w:sz w:val="24"/>
        </w:rPr>
        <w:fldChar w:fldCharType="separate"/>
      </w:r>
      <w:r>
        <w:rPr>
          <w:color w:val="auto"/>
          <w:sz w:val="24"/>
        </w:rPr>
        <w:fldChar w:fldCharType="begin"/>
      </w:r>
      <w:r>
        <w:rPr>
          <w:sz w:val="24"/>
        </w:rPr>
        <w:instrText xml:space="preserve"> HYPERLINK \l _Toc13465 </w:instrText>
      </w:r>
      <w:r>
        <w:rPr>
          <w:sz w:val="24"/>
        </w:rPr>
        <w:fldChar w:fldCharType="separate"/>
      </w:r>
      <w:r>
        <w:rPr>
          <w:rFonts w:hint="eastAsia"/>
          <w:sz w:val="24"/>
        </w:rPr>
        <w:t>1</w:t>
      </w:r>
      <w:r>
        <w:rPr>
          <w:rFonts w:hint="eastAsia"/>
          <w:sz w:val="24"/>
          <w:lang w:val="en-US" w:eastAsia="zh-CN"/>
        </w:rPr>
        <w:t xml:space="preserve"> </w:t>
      </w:r>
      <w:r>
        <w:rPr>
          <w:rFonts w:hint="eastAsia"/>
          <w:sz w:val="24"/>
        </w:rPr>
        <w:t>编制说明</w:t>
      </w:r>
      <w:r>
        <w:rPr>
          <w:sz w:val="24"/>
        </w:rPr>
        <w:tab/>
      </w:r>
      <w:r>
        <w:rPr>
          <w:sz w:val="24"/>
        </w:rPr>
        <w:fldChar w:fldCharType="begin"/>
      </w:r>
      <w:r>
        <w:rPr>
          <w:sz w:val="24"/>
        </w:rPr>
        <w:instrText xml:space="preserve"> PAGEREF _Toc13465 \h </w:instrText>
      </w:r>
      <w:r>
        <w:rPr>
          <w:sz w:val="24"/>
        </w:rPr>
        <w:fldChar w:fldCharType="separate"/>
      </w:r>
      <w:r>
        <w:rPr>
          <w:sz w:val="24"/>
        </w:rPr>
        <w:t>1</w:t>
      </w:r>
      <w:r>
        <w:rPr>
          <w:sz w:val="24"/>
        </w:rPr>
        <w:fldChar w:fldCharType="end"/>
      </w:r>
      <w:r>
        <w:rPr>
          <w:color w:val="auto"/>
          <w:sz w:val="24"/>
        </w:rPr>
        <w:fldChar w:fldCharType="end"/>
      </w:r>
    </w:p>
    <w:p w14:paraId="60F5F7EF">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_Toc22492 </w:instrText>
      </w:r>
      <w:r>
        <w:rPr>
          <w:sz w:val="24"/>
        </w:rPr>
        <w:fldChar w:fldCharType="separate"/>
      </w:r>
      <w:r>
        <w:rPr>
          <w:rFonts w:hint="eastAsia"/>
          <w:sz w:val="24"/>
        </w:rPr>
        <w:t>1.1</w:t>
      </w:r>
      <w:r>
        <w:rPr>
          <w:rFonts w:hint="eastAsia"/>
          <w:sz w:val="24"/>
          <w:lang w:val="en-US" w:eastAsia="zh-CN"/>
        </w:rPr>
        <w:t xml:space="preserve"> </w:t>
      </w:r>
      <w:r>
        <w:rPr>
          <w:rFonts w:hint="eastAsia"/>
          <w:sz w:val="24"/>
        </w:rPr>
        <w:t>评价目的及范围</w:t>
      </w:r>
      <w:r>
        <w:rPr>
          <w:sz w:val="24"/>
        </w:rPr>
        <w:tab/>
      </w:r>
      <w:r>
        <w:rPr>
          <w:sz w:val="24"/>
        </w:rPr>
        <w:fldChar w:fldCharType="begin"/>
      </w:r>
      <w:r>
        <w:rPr>
          <w:sz w:val="24"/>
        </w:rPr>
        <w:instrText xml:space="preserve"> PAGEREF _Toc22492 \h </w:instrText>
      </w:r>
      <w:r>
        <w:rPr>
          <w:sz w:val="24"/>
        </w:rPr>
        <w:fldChar w:fldCharType="separate"/>
      </w:r>
      <w:r>
        <w:rPr>
          <w:sz w:val="24"/>
        </w:rPr>
        <w:t>1</w:t>
      </w:r>
      <w:r>
        <w:rPr>
          <w:sz w:val="24"/>
        </w:rPr>
        <w:fldChar w:fldCharType="end"/>
      </w:r>
      <w:r>
        <w:rPr>
          <w:color w:val="auto"/>
          <w:sz w:val="24"/>
        </w:rPr>
        <w:fldChar w:fldCharType="end"/>
      </w:r>
    </w:p>
    <w:p w14:paraId="6E97CED4">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_Toc3982 </w:instrText>
      </w:r>
      <w:r>
        <w:rPr>
          <w:sz w:val="24"/>
        </w:rPr>
        <w:fldChar w:fldCharType="separate"/>
      </w:r>
      <w:r>
        <w:rPr>
          <w:rFonts w:hint="eastAsia"/>
          <w:sz w:val="24"/>
        </w:rPr>
        <w:t>1.1.1</w:t>
      </w:r>
      <w:r>
        <w:rPr>
          <w:rFonts w:hint="eastAsia"/>
          <w:sz w:val="24"/>
          <w:lang w:val="en-US" w:eastAsia="zh-CN"/>
        </w:rPr>
        <w:t xml:space="preserve"> </w:t>
      </w:r>
      <w:r>
        <w:rPr>
          <w:rFonts w:hint="eastAsia"/>
          <w:sz w:val="24"/>
        </w:rPr>
        <w:t>评价目的</w:t>
      </w:r>
      <w:r>
        <w:rPr>
          <w:sz w:val="24"/>
        </w:rPr>
        <w:tab/>
      </w:r>
      <w:r>
        <w:rPr>
          <w:sz w:val="24"/>
        </w:rPr>
        <w:fldChar w:fldCharType="begin"/>
      </w:r>
      <w:r>
        <w:rPr>
          <w:sz w:val="24"/>
        </w:rPr>
        <w:instrText xml:space="preserve"> PAGEREF _Toc3982 \h </w:instrText>
      </w:r>
      <w:r>
        <w:rPr>
          <w:sz w:val="24"/>
        </w:rPr>
        <w:fldChar w:fldCharType="separate"/>
      </w:r>
      <w:r>
        <w:rPr>
          <w:sz w:val="24"/>
        </w:rPr>
        <w:t>1</w:t>
      </w:r>
      <w:r>
        <w:rPr>
          <w:sz w:val="24"/>
        </w:rPr>
        <w:fldChar w:fldCharType="end"/>
      </w:r>
      <w:r>
        <w:rPr>
          <w:color w:val="auto"/>
          <w:sz w:val="24"/>
        </w:rPr>
        <w:fldChar w:fldCharType="end"/>
      </w:r>
    </w:p>
    <w:p w14:paraId="518A8B76">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_Toc18941 </w:instrText>
      </w:r>
      <w:r>
        <w:rPr>
          <w:sz w:val="24"/>
        </w:rPr>
        <w:fldChar w:fldCharType="separate"/>
      </w:r>
      <w:r>
        <w:rPr>
          <w:rFonts w:hint="eastAsia"/>
          <w:sz w:val="24"/>
        </w:rPr>
        <w:t>1.1.2</w:t>
      </w:r>
      <w:r>
        <w:rPr>
          <w:rFonts w:hint="eastAsia"/>
          <w:sz w:val="24"/>
          <w:lang w:val="en-US" w:eastAsia="zh-CN"/>
        </w:rPr>
        <w:t xml:space="preserve"> </w:t>
      </w:r>
      <w:r>
        <w:rPr>
          <w:rFonts w:hint="eastAsia"/>
          <w:sz w:val="24"/>
        </w:rPr>
        <w:t>评价范围</w:t>
      </w:r>
      <w:r>
        <w:rPr>
          <w:sz w:val="24"/>
        </w:rPr>
        <w:tab/>
      </w:r>
      <w:r>
        <w:rPr>
          <w:sz w:val="24"/>
        </w:rPr>
        <w:fldChar w:fldCharType="begin"/>
      </w:r>
      <w:r>
        <w:rPr>
          <w:sz w:val="24"/>
        </w:rPr>
        <w:instrText xml:space="preserve"> PAGEREF _Toc18941 \h </w:instrText>
      </w:r>
      <w:r>
        <w:rPr>
          <w:sz w:val="24"/>
        </w:rPr>
        <w:fldChar w:fldCharType="separate"/>
      </w:r>
      <w:r>
        <w:rPr>
          <w:sz w:val="24"/>
        </w:rPr>
        <w:t>1</w:t>
      </w:r>
      <w:r>
        <w:rPr>
          <w:sz w:val="24"/>
        </w:rPr>
        <w:fldChar w:fldCharType="end"/>
      </w:r>
      <w:r>
        <w:rPr>
          <w:color w:val="auto"/>
          <w:sz w:val="24"/>
        </w:rPr>
        <w:fldChar w:fldCharType="end"/>
      </w:r>
    </w:p>
    <w:p w14:paraId="41DB1576">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_Toc25678 </w:instrText>
      </w:r>
      <w:r>
        <w:rPr>
          <w:sz w:val="24"/>
        </w:rPr>
        <w:fldChar w:fldCharType="separate"/>
      </w:r>
      <w:r>
        <w:rPr>
          <w:rFonts w:hint="eastAsia"/>
          <w:sz w:val="24"/>
        </w:rPr>
        <w:t>1.1.3</w:t>
      </w:r>
      <w:r>
        <w:rPr>
          <w:rFonts w:hint="eastAsia"/>
          <w:sz w:val="24"/>
          <w:lang w:val="en-US" w:eastAsia="zh-CN"/>
        </w:rPr>
        <w:t xml:space="preserve"> </w:t>
      </w:r>
      <w:r>
        <w:rPr>
          <w:rFonts w:hint="eastAsia"/>
          <w:sz w:val="24"/>
        </w:rPr>
        <w:t>评价原则</w:t>
      </w:r>
      <w:r>
        <w:rPr>
          <w:sz w:val="24"/>
        </w:rPr>
        <w:tab/>
      </w:r>
      <w:r>
        <w:rPr>
          <w:sz w:val="24"/>
        </w:rPr>
        <w:fldChar w:fldCharType="begin"/>
      </w:r>
      <w:r>
        <w:rPr>
          <w:sz w:val="24"/>
        </w:rPr>
        <w:instrText xml:space="preserve"> PAGEREF _Toc25678 \h </w:instrText>
      </w:r>
      <w:r>
        <w:rPr>
          <w:sz w:val="24"/>
        </w:rPr>
        <w:fldChar w:fldCharType="separate"/>
      </w:r>
      <w:r>
        <w:rPr>
          <w:sz w:val="24"/>
        </w:rPr>
        <w:t>1</w:t>
      </w:r>
      <w:r>
        <w:rPr>
          <w:sz w:val="24"/>
        </w:rPr>
        <w:fldChar w:fldCharType="end"/>
      </w:r>
      <w:r>
        <w:rPr>
          <w:color w:val="auto"/>
          <w:sz w:val="24"/>
        </w:rPr>
        <w:fldChar w:fldCharType="end"/>
      </w:r>
    </w:p>
    <w:p w14:paraId="16552FEA">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_Toc11759 </w:instrText>
      </w:r>
      <w:r>
        <w:rPr>
          <w:sz w:val="24"/>
        </w:rPr>
        <w:fldChar w:fldCharType="separate"/>
      </w:r>
      <w:r>
        <w:rPr>
          <w:rFonts w:hint="eastAsia"/>
          <w:sz w:val="24"/>
        </w:rPr>
        <w:t>1.2</w:t>
      </w:r>
      <w:r>
        <w:rPr>
          <w:rFonts w:hint="eastAsia"/>
          <w:sz w:val="24"/>
          <w:lang w:val="en-US" w:eastAsia="zh-CN"/>
        </w:rPr>
        <w:t xml:space="preserve"> </w:t>
      </w:r>
      <w:r>
        <w:rPr>
          <w:rFonts w:hint="eastAsia"/>
          <w:sz w:val="24"/>
        </w:rPr>
        <w:t>评价依据</w:t>
      </w:r>
      <w:r>
        <w:rPr>
          <w:sz w:val="24"/>
        </w:rPr>
        <w:tab/>
      </w:r>
      <w:r>
        <w:rPr>
          <w:sz w:val="24"/>
        </w:rPr>
        <w:fldChar w:fldCharType="begin"/>
      </w:r>
      <w:r>
        <w:rPr>
          <w:sz w:val="24"/>
        </w:rPr>
        <w:instrText xml:space="preserve"> PAGEREF _Toc11759 \h </w:instrText>
      </w:r>
      <w:r>
        <w:rPr>
          <w:sz w:val="24"/>
        </w:rPr>
        <w:fldChar w:fldCharType="separate"/>
      </w:r>
      <w:r>
        <w:rPr>
          <w:sz w:val="24"/>
        </w:rPr>
        <w:t>2</w:t>
      </w:r>
      <w:r>
        <w:rPr>
          <w:sz w:val="24"/>
        </w:rPr>
        <w:fldChar w:fldCharType="end"/>
      </w:r>
      <w:r>
        <w:rPr>
          <w:color w:val="auto"/>
          <w:sz w:val="24"/>
        </w:rPr>
        <w:fldChar w:fldCharType="end"/>
      </w:r>
    </w:p>
    <w:p w14:paraId="5CF6F811">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_Toc26366 </w:instrText>
      </w:r>
      <w:r>
        <w:rPr>
          <w:sz w:val="24"/>
        </w:rPr>
        <w:fldChar w:fldCharType="separate"/>
      </w:r>
      <w:r>
        <w:rPr>
          <w:rFonts w:hint="eastAsia"/>
          <w:sz w:val="24"/>
        </w:rPr>
        <w:t>1.2.1</w:t>
      </w:r>
      <w:r>
        <w:rPr>
          <w:rFonts w:hint="eastAsia"/>
          <w:sz w:val="24"/>
          <w:lang w:val="en-US" w:eastAsia="zh-CN"/>
        </w:rPr>
        <w:t xml:space="preserve"> </w:t>
      </w:r>
      <w:r>
        <w:rPr>
          <w:rFonts w:hint="eastAsia"/>
          <w:sz w:val="24"/>
        </w:rPr>
        <w:t>国家法律</w:t>
      </w:r>
      <w:r>
        <w:rPr>
          <w:sz w:val="24"/>
        </w:rPr>
        <w:tab/>
      </w:r>
      <w:r>
        <w:rPr>
          <w:sz w:val="24"/>
        </w:rPr>
        <w:fldChar w:fldCharType="begin"/>
      </w:r>
      <w:r>
        <w:rPr>
          <w:sz w:val="24"/>
        </w:rPr>
        <w:instrText xml:space="preserve"> PAGEREF _Toc26366 \h </w:instrText>
      </w:r>
      <w:r>
        <w:rPr>
          <w:sz w:val="24"/>
        </w:rPr>
        <w:fldChar w:fldCharType="separate"/>
      </w:r>
      <w:r>
        <w:rPr>
          <w:sz w:val="24"/>
        </w:rPr>
        <w:t>2</w:t>
      </w:r>
      <w:r>
        <w:rPr>
          <w:sz w:val="24"/>
        </w:rPr>
        <w:fldChar w:fldCharType="end"/>
      </w:r>
      <w:r>
        <w:rPr>
          <w:color w:val="auto"/>
          <w:sz w:val="24"/>
        </w:rPr>
        <w:fldChar w:fldCharType="end"/>
      </w:r>
    </w:p>
    <w:p w14:paraId="20EAF173">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_Toc6887 </w:instrText>
      </w:r>
      <w:r>
        <w:rPr>
          <w:sz w:val="24"/>
        </w:rPr>
        <w:fldChar w:fldCharType="separate"/>
      </w:r>
      <w:r>
        <w:rPr>
          <w:rFonts w:hint="eastAsia"/>
          <w:sz w:val="24"/>
        </w:rPr>
        <w:t>1.2.2</w:t>
      </w:r>
      <w:r>
        <w:rPr>
          <w:rFonts w:hint="eastAsia"/>
          <w:sz w:val="24"/>
          <w:lang w:val="en-US" w:eastAsia="zh-CN"/>
        </w:rPr>
        <w:t xml:space="preserve"> </w:t>
      </w:r>
      <w:r>
        <w:rPr>
          <w:rFonts w:hint="eastAsia"/>
          <w:sz w:val="24"/>
        </w:rPr>
        <w:t>行政法规</w:t>
      </w:r>
      <w:r>
        <w:rPr>
          <w:sz w:val="24"/>
        </w:rPr>
        <w:tab/>
      </w:r>
      <w:r>
        <w:rPr>
          <w:sz w:val="24"/>
        </w:rPr>
        <w:fldChar w:fldCharType="begin"/>
      </w:r>
      <w:r>
        <w:rPr>
          <w:sz w:val="24"/>
        </w:rPr>
        <w:instrText xml:space="preserve"> PAGEREF _Toc6887 \h </w:instrText>
      </w:r>
      <w:r>
        <w:rPr>
          <w:sz w:val="24"/>
        </w:rPr>
        <w:fldChar w:fldCharType="separate"/>
      </w:r>
      <w:r>
        <w:rPr>
          <w:sz w:val="24"/>
        </w:rPr>
        <w:t>4</w:t>
      </w:r>
      <w:r>
        <w:rPr>
          <w:sz w:val="24"/>
        </w:rPr>
        <w:fldChar w:fldCharType="end"/>
      </w:r>
      <w:r>
        <w:rPr>
          <w:color w:val="auto"/>
          <w:sz w:val="24"/>
        </w:rPr>
        <w:fldChar w:fldCharType="end"/>
      </w:r>
    </w:p>
    <w:p w14:paraId="3728639C">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_Toc16155 </w:instrText>
      </w:r>
      <w:r>
        <w:rPr>
          <w:sz w:val="24"/>
        </w:rPr>
        <w:fldChar w:fldCharType="separate"/>
      </w:r>
      <w:r>
        <w:rPr>
          <w:rFonts w:hint="eastAsia"/>
          <w:sz w:val="24"/>
        </w:rPr>
        <w:t>1.2.3</w:t>
      </w:r>
      <w:r>
        <w:rPr>
          <w:rFonts w:hint="eastAsia"/>
          <w:sz w:val="24"/>
          <w:lang w:val="en-US" w:eastAsia="zh-CN"/>
        </w:rPr>
        <w:t xml:space="preserve"> </w:t>
      </w:r>
      <w:r>
        <w:rPr>
          <w:rFonts w:hint="eastAsia"/>
          <w:sz w:val="24"/>
        </w:rPr>
        <w:t>部门规章</w:t>
      </w:r>
      <w:r>
        <w:rPr>
          <w:sz w:val="24"/>
        </w:rPr>
        <w:tab/>
      </w:r>
      <w:r>
        <w:rPr>
          <w:sz w:val="24"/>
        </w:rPr>
        <w:fldChar w:fldCharType="begin"/>
      </w:r>
      <w:r>
        <w:rPr>
          <w:sz w:val="24"/>
        </w:rPr>
        <w:instrText xml:space="preserve"> PAGEREF _Toc16155 \h </w:instrText>
      </w:r>
      <w:r>
        <w:rPr>
          <w:sz w:val="24"/>
        </w:rPr>
        <w:fldChar w:fldCharType="separate"/>
      </w:r>
      <w:r>
        <w:rPr>
          <w:sz w:val="24"/>
        </w:rPr>
        <w:t>4</w:t>
      </w:r>
      <w:r>
        <w:rPr>
          <w:sz w:val="24"/>
        </w:rPr>
        <w:fldChar w:fldCharType="end"/>
      </w:r>
      <w:r>
        <w:rPr>
          <w:color w:val="auto"/>
          <w:sz w:val="24"/>
        </w:rPr>
        <w:fldChar w:fldCharType="end"/>
      </w:r>
    </w:p>
    <w:p w14:paraId="39FA9124">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_Toc15137 </w:instrText>
      </w:r>
      <w:r>
        <w:rPr>
          <w:sz w:val="24"/>
        </w:rPr>
        <w:fldChar w:fldCharType="separate"/>
      </w:r>
      <w:r>
        <w:rPr>
          <w:rFonts w:hint="eastAsia"/>
          <w:sz w:val="24"/>
        </w:rPr>
        <w:t>1.2.4</w:t>
      </w:r>
      <w:r>
        <w:rPr>
          <w:rFonts w:hint="default"/>
          <w:sz w:val="24"/>
        </w:rPr>
        <w:t xml:space="preserve"> </w:t>
      </w:r>
      <w:r>
        <w:rPr>
          <w:rFonts w:hint="eastAsia"/>
          <w:sz w:val="24"/>
        </w:rPr>
        <w:t>地方性法规及文件</w:t>
      </w:r>
      <w:r>
        <w:rPr>
          <w:sz w:val="24"/>
        </w:rPr>
        <w:tab/>
      </w:r>
      <w:r>
        <w:rPr>
          <w:sz w:val="24"/>
        </w:rPr>
        <w:fldChar w:fldCharType="begin"/>
      </w:r>
      <w:r>
        <w:rPr>
          <w:sz w:val="24"/>
        </w:rPr>
        <w:instrText xml:space="preserve"> PAGEREF _Toc15137 \h </w:instrText>
      </w:r>
      <w:r>
        <w:rPr>
          <w:sz w:val="24"/>
        </w:rPr>
        <w:fldChar w:fldCharType="separate"/>
      </w:r>
      <w:r>
        <w:rPr>
          <w:sz w:val="24"/>
        </w:rPr>
        <w:t>6</w:t>
      </w:r>
      <w:r>
        <w:rPr>
          <w:sz w:val="24"/>
        </w:rPr>
        <w:fldChar w:fldCharType="end"/>
      </w:r>
      <w:r>
        <w:rPr>
          <w:color w:val="auto"/>
          <w:sz w:val="24"/>
        </w:rPr>
        <w:fldChar w:fldCharType="end"/>
      </w:r>
    </w:p>
    <w:p w14:paraId="6AD07567">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_Toc21466 </w:instrText>
      </w:r>
      <w:r>
        <w:rPr>
          <w:sz w:val="24"/>
        </w:rPr>
        <w:fldChar w:fldCharType="separate"/>
      </w:r>
      <w:r>
        <w:rPr>
          <w:rFonts w:hint="eastAsia"/>
          <w:sz w:val="24"/>
        </w:rPr>
        <w:t>1.2.5</w:t>
      </w:r>
      <w:r>
        <w:rPr>
          <w:rFonts w:hint="default"/>
          <w:sz w:val="24"/>
        </w:rPr>
        <w:t xml:space="preserve"> </w:t>
      </w:r>
      <w:r>
        <w:rPr>
          <w:rFonts w:hint="eastAsia"/>
          <w:sz w:val="24"/>
        </w:rPr>
        <w:t>标准规范</w:t>
      </w:r>
      <w:r>
        <w:rPr>
          <w:sz w:val="24"/>
        </w:rPr>
        <w:tab/>
      </w:r>
      <w:r>
        <w:rPr>
          <w:sz w:val="24"/>
        </w:rPr>
        <w:fldChar w:fldCharType="begin"/>
      </w:r>
      <w:r>
        <w:rPr>
          <w:sz w:val="24"/>
        </w:rPr>
        <w:instrText xml:space="preserve"> PAGEREF _Toc21466 \h </w:instrText>
      </w:r>
      <w:r>
        <w:rPr>
          <w:sz w:val="24"/>
        </w:rPr>
        <w:fldChar w:fldCharType="separate"/>
      </w:r>
      <w:r>
        <w:rPr>
          <w:sz w:val="24"/>
        </w:rPr>
        <w:t>7</w:t>
      </w:r>
      <w:r>
        <w:rPr>
          <w:sz w:val="24"/>
        </w:rPr>
        <w:fldChar w:fldCharType="end"/>
      </w:r>
      <w:r>
        <w:rPr>
          <w:color w:val="auto"/>
          <w:sz w:val="24"/>
        </w:rPr>
        <w:fldChar w:fldCharType="end"/>
      </w:r>
    </w:p>
    <w:p w14:paraId="0DFB623B">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_Toc20289 </w:instrText>
      </w:r>
      <w:r>
        <w:rPr>
          <w:sz w:val="24"/>
        </w:rPr>
        <w:fldChar w:fldCharType="separate"/>
      </w:r>
      <w:r>
        <w:rPr>
          <w:rFonts w:hint="eastAsia"/>
          <w:sz w:val="24"/>
        </w:rPr>
        <w:t>1.2.6</w:t>
      </w:r>
      <w:r>
        <w:rPr>
          <w:rFonts w:hint="default"/>
          <w:sz w:val="24"/>
        </w:rPr>
        <w:t xml:space="preserve"> </w:t>
      </w:r>
      <w:r>
        <w:rPr>
          <w:rFonts w:hint="eastAsia"/>
          <w:sz w:val="24"/>
        </w:rPr>
        <w:t>行业规范</w:t>
      </w:r>
      <w:r>
        <w:rPr>
          <w:sz w:val="24"/>
        </w:rPr>
        <w:tab/>
      </w:r>
      <w:r>
        <w:rPr>
          <w:sz w:val="24"/>
        </w:rPr>
        <w:fldChar w:fldCharType="begin"/>
      </w:r>
      <w:r>
        <w:rPr>
          <w:sz w:val="24"/>
        </w:rPr>
        <w:instrText xml:space="preserve"> PAGEREF _Toc20289 \h </w:instrText>
      </w:r>
      <w:r>
        <w:rPr>
          <w:sz w:val="24"/>
        </w:rPr>
        <w:fldChar w:fldCharType="separate"/>
      </w:r>
      <w:r>
        <w:rPr>
          <w:sz w:val="24"/>
        </w:rPr>
        <w:t>11</w:t>
      </w:r>
      <w:r>
        <w:rPr>
          <w:sz w:val="24"/>
        </w:rPr>
        <w:fldChar w:fldCharType="end"/>
      </w:r>
      <w:r>
        <w:rPr>
          <w:color w:val="auto"/>
          <w:sz w:val="24"/>
        </w:rPr>
        <w:fldChar w:fldCharType="end"/>
      </w:r>
    </w:p>
    <w:p w14:paraId="458ABB8D">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_Toc2184 </w:instrText>
      </w:r>
      <w:r>
        <w:rPr>
          <w:sz w:val="24"/>
        </w:rPr>
        <w:fldChar w:fldCharType="separate"/>
      </w:r>
      <w:r>
        <w:rPr>
          <w:rFonts w:hint="eastAsia"/>
          <w:sz w:val="24"/>
        </w:rPr>
        <w:t>1.2.7</w:t>
      </w:r>
      <w:r>
        <w:rPr>
          <w:rFonts w:hint="default"/>
          <w:sz w:val="24"/>
        </w:rPr>
        <w:t xml:space="preserve"> </w:t>
      </w:r>
      <w:r>
        <w:rPr>
          <w:rFonts w:hint="eastAsia"/>
          <w:sz w:val="24"/>
        </w:rPr>
        <w:t>技术文件及有关资料</w:t>
      </w:r>
      <w:r>
        <w:rPr>
          <w:sz w:val="24"/>
        </w:rPr>
        <w:tab/>
      </w:r>
      <w:r>
        <w:rPr>
          <w:sz w:val="24"/>
        </w:rPr>
        <w:fldChar w:fldCharType="begin"/>
      </w:r>
      <w:r>
        <w:rPr>
          <w:sz w:val="24"/>
        </w:rPr>
        <w:instrText xml:space="preserve"> PAGEREF _Toc2184 \h </w:instrText>
      </w:r>
      <w:r>
        <w:rPr>
          <w:sz w:val="24"/>
        </w:rPr>
        <w:fldChar w:fldCharType="separate"/>
      </w:r>
      <w:r>
        <w:rPr>
          <w:sz w:val="24"/>
        </w:rPr>
        <w:t>11</w:t>
      </w:r>
      <w:r>
        <w:rPr>
          <w:sz w:val="24"/>
        </w:rPr>
        <w:fldChar w:fldCharType="end"/>
      </w:r>
      <w:r>
        <w:rPr>
          <w:color w:val="auto"/>
          <w:sz w:val="24"/>
        </w:rPr>
        <w:fldChar w:fldCharType="end"/>
      </w:r>
    </w:p>
    <w:p w14:paraId="5C1F8425">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_Toc9647 </w:instrText>
      </w:r>
      <w:r>
        <w:rPr>
          <w:sz w:val="24"/>
        </w:rPr>
        <w:fldChar w:fldCharType="separate"/>
      </w:r>
      <w:r>
        <w:rPr>
          <w:rFonts w:hint="eastAsia"/>
          <w:sz w:val="24"/>
        </w:rPr>
        <w:t>1.3</w:t>
      </w:r>
      <w:r>
        <w:rPr>
          <w:rFonts w:hint="eastAsia"/>
          <w:sz w:val="24"/>
          <w:lang w:val="en-US" w:eastAsia="zh-CN"/>
        </w:rPr>
        <w:t xml:space="preserve"> </w:t>
      </w:r>
      <w:r>
        <w:rPr>
          <w:rFonts w:hint="eastAsia"/>
          <w:sz w:val="24"/>
        </w:rPr>
        <w:t>评价程序</w:t>
      </w:r>
      <w:r>
        <w:rPr>
          <w:sz w:val="24"/>
        </w:rPr>
        <w:tab/>
      </w:r>
      <w:r>
        <w:rPr>
          <w:sz w:val="24"/>
        </w:rPr>
        <w:fldChar w:fldCharType="begin"/>
      </w:r>
      <w:r>
        <w:rPr>
          <w:sz w:val="24"/>
        </w:rPr>
        <w:instrText xml:space="preserve"> PAGEREF _Toc9647 \h </w:instrText>
      </w:r>
      <w:r>
        <w:rPr>
          <w:sz w:val="24"/>
        </w:rPr>
        <w:fldChar w:fldCharType="separate"/>
      </w:r>
      <w:r>
        <w:rPr>
          <w:sz w:val="24"/>
        </w:rPr>
        <w:t>12</w:t>
      </w:r>
      <w:r>
        <w:rPr>
          <w:sz w:val="24"/>
        </w:rPr>
        <w:fldChar w:fldCharType="end"/>
      </w:r>
      <w:r>
        <w:rPr>
          <w:color w:val="auto"/>
          <w:sz w:val="24"/>
        </w:rPr>
        <w:fldChar w:fldCharType="end"/>
      </w:r>
    </w:p>
    <w:p w14:paraId="16850FC2">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_Toc20726 </w:instrText>
      </w:r>
      <w:r>
        <w:rPr>
          <w:sz w:val="24"/>
        </w:rPr>
        <w:fldChar w:fldCharType="separate"/>
      </w:r>
      <w:r>
        <w:rPr>
          <w:rFonts w:hint="eastAsia"/>
          <w:sz w:val="24"/>
        </w:rPr>
        <w:t>2</w:t>
      </w:r>
      <w:r>
        <w:rPr>
          <w:rFonts w:hint="eastAsia"/>
          <w:sz w:val="24"/>
          <w:lang w:val="en-US" w:eastAsia="zh-CN"/>
        </w:rPr>
        <w:t xml:space="preserve"> </w:t>
      </w:r>
      <w:r>
        <w:rPr>
          <w:rFonts w:hint="eastAsia"/>
          <w:sz w:val="24"/>
        </w:rPr>
        <w:t>建设项目概况</w:t>
      </w:r>
      <w:r>
        <w:rPr>
          <w:sz w:val="24"/>
        </w:rPr>
        <w:tab/>
      </w:r>
      <w:r>
        <w:rPr>
          <w:sz w:val="24"/>
        </w:rPr>
        <w:fldChar w:fldCharType="begin"/>
      </w:r>
      <w:r>
        <w:rPr>
          <w:sz w:val="24"/>
        </w:rPr>
        <w:instrText xml:space="preserve"> PAGEREF _Toc20726 \h </w:instrText>
      </w:r>
      <w:r>
        <w:rPr>
          <w:sz w:val="24"/>
        </w:rPr>
        <w:fldChar w:fldCharType="separate"/>
      </w:r>
      <w:r>
        <w:rPr>
          <w:sz w:val="24"/>
        </w:rPr>
        <w:t>13</w:t>
      </w:r>
      <w:r>
        <w:rPr>
          <w:sz w:val="24"/>
        </w:rPr>
        <w:fldChar w:fldCharType="end"/>
      </w:r>
      <w:r>
        <w:rPr>
          <w:color w:val="auto"/>
          <w:sz w:val="24"/>
        </w:rPr>
        <w:fldChar w:fldCharType="end"/>
      </w:r>
    </w:p>
    <w:p w14:paraId="3E87A2C0">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_Toc28121 </w:instrText>
      </w:r>
      <w:r>
        <w:rPr>
          <w:sz w:val="24"/>
        </w:rPr>
        <w:fldChar w:fldCharType="separate"/>
      </w:r>
      <w:r>
        <w:rPr>
          <w:rFonts w:hint="eastAsia"/>
          <w:sz w:val="24"/>
          <w:lang w:val="en-US" w:eastAsia="zh-CN"/>
        </w:rPr>
        <w:t>2.1 建设单位概况</w:t>
      </w:r>
      <w:r>
        <w:rPr>
          <w:sz w:val="24"/>
        </w:rPr>
        <w:tab/>
      </w:r>
      <w:r>
        <w:rPr>
          <w:sz w:val="24"/>
        </w:rPr>
        <w:fldChar w:fldCharType="begin"/>
      </w:r>
      <w:r>
        <w:rPr>
          <w:sz w:val="24"/>
        </w:rPr>
        <w:instrText xml:space="preserve"> PAGEREF _Toc28121 \h </w:instrText>
      </w:r>
      <w:r>
        <w:rPr>
          <w:sz w:val="24"/>
        </w:rPr>
        <w:fldChar w:fldCharType="separate"/>
      </w:r>
      <w:r>
        <w:rPr>
          <w:sz w:val="24"/>
        </w:rPr>
        <w:t>13</w:t>
      </w:r>
      <w:r>
        <w:rPr>
          <w:sz w:val="24"/>
        </w:rPr>
        <w:fldChar w:fldCharType="end"/>
      </w:r>
      <w:r>
        <w:rPr>
          <w:color w:val="auto"/>
          <w:sz w:val="24"/>
        </w:rPr>
        <w:fldChar w:fldCharType="end"/>
      </w:r>
    </w:p>
    <w:p w14:paraId="0279CE6B">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_Toc1590 </w:instrText>
      </w:r>
      <w:r>
        <w:rPr>
          <w:sz w:val="24"/>
        </w:rPr>
        <w:fldChar w:fldCharType="separate"/>
      </w:r>
      <w:r>
        <w:rPr>
          <w:rFonts w:hint="eastAsia"/>
          <w:sz w:val="24"/>
        </w:rPr>
        <w:t>2.</w:t>
      </w:r>
      <w:r>
        <w:rPr>
          <w:rFonts w:hint="eastAsia"/>
          <w:sz w:val="24"/>
          <w:lang w:val="en-US" w:eastAsia="zh-CN"/>
        </w:rPr>
        <w:t>1.</w:t>
      </w:r>
      <w:r>
        <w:rPr>
          <w:rFonts w:hint="eastAsia"/>
          <w:sz w:val="24"/>
        </w:rPr>
        <w:t>1</w:t>
      </w:r>
      <w:r>
        <w:rPr>
          <w:rFonts w:hint="eastAsia"/>
          <w:sz w:val="24"/>
          <w:lang w:val="en-US" w:eastAsia="zh-CN"/>
        </w:rPr>
        <w:t xml:space="preserve"> </w:t>
      </w:r>
      <w:r>
        <w:rPr>
          <w:rFonts w:hint="eastAsia"/>
          <w:sz w:val="24"/>
        </w:rPr>
        <w:t>建设单位简介</w:t>
      </w:r>
      <w:r>
        <w:rPr>
          <w:sz w:val="24"/>
        </w:rPr>
        <w:tab/>
      </w:r>
      <w:r>
        <w:rPr>
          <w:sz w:val="24"/>
        </w:rPr>
        <w:fldChar w:fldCharType="begin"/>
      </w:r>
      <w:r>
        <w:rPr>
          <w:sz w:val="24"/>
        </w:rPr>
        <w:instrText xml:space="preserve"> PAGEREF _Toc1590 \h </w:instrText>
      </w:r>
      <w:r>
        <w:rPr>
          <w:sz w:val="24"/>
        </w:rPr>
        <w:fldChar w:fldCharType="separate"/>
      </w:r>
      <w:r>
        <w:rPr>
          <w:sz w:val="24"/>
        </w:rPr>
        <w:t>13</w:t>
      </w:r>
      <w:r>
        <w:rPr>
          <w:sz w:val="24"/>
        </w:rPr>
        <w:fldChar w:fldCharType="end"/>
      </w:r>
      <w:r>
        <w:rPr>
          <w:color w:val="auto"/>
          <w:sz w:val="24"/>
        </w:rPr>
        <w:fldChar w:fldCharType="end"/>
      </w:r>
    </w:p>
    <w:p w14:paraId="229872F5">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_Toc20098 </w:instrText>
      </w:r>
      <w:r>
        <w:rPr>
          <w:sz w:val="24"/>
        </w:rPr>
        <w:fldChar w:fldCharType="separate"/>
      </w:r>
      <w:r>
        <w:rPr>
          <w:rFonts w:hint="eastAsia"/>
          <w:sz w:val="24"/>
          <w:lang w:val="en-US" w:eastAsia="zh-CN"/>
        </w:rPr>
        <w:t xml:space="preserve">2.1.2 </w:t>
      </w:r>
      <w:r>
        <w:rPr>
          <w:rFonts w:hint="eastAsia"/>
          <w:sz w:val="24"/>
        </w:rPr>
        <w:t>建设项目背景</w:t>
      </w:r>
      <w:r>
        <w:rPr>
          <w:sz w:val="24"/>
        </w:rPr>
        <w:tab/>
      </w:r>
      <w:r>
        <w:rPr>
          <w:sz w:val="24"/>
        </w:rPr>
        <w:fldChar w:fldCharType="begin"/>
      </w:r>
      <w:r>
        <w:rPr>
          <w:sz w:val="24"/>
        </w:rPr>
        <w:instrText xml:space="preserve"> PAGEREF _Toc20098 \h </w:instrText>
      </w:r>
      <w:r>
        <w:rPr>
          <w:sz w:val="24"/>
        </w:rPr>
        <w:fldChar w:fldCharType="separate"/>
      </w:r>
      <w:r>
        <w:rPr>
          <w:sz w:val="24"/>
        </w:rPr>
        <w:t>14</w:t>
      </w:r>
      <w:r>
        <w:rPr>
          <w:sz w:val="24"/>
        </w:rPr>
        <w:fldChar w:fldCharType="end"/>
      </w:r>
      <w:r>
        <w:rPr>
          <w:color w:val="auto"/>
          <w:sz w:val="24"/>
        </w:rPr>
        <w:fldChar w:fldCharType="end"/>
      </w:r>
    </w:p>
    <w:p w14:paraId="38482927">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_Toc26152 </w:instrText>
      </w:r>
      <w:r>
        <w:rPr>
          <w:sz w:val="24"/>
        </w:rPr>
        <w:fldChar w:fldCharType="separate"/>
      </w:r>
      <w:r>
        <w:rPr>
          <w:rFonts w:hint="eastAsia"/>
          <w:sz w:val="24"/>
        </w:rPr>
        <w:t>2.1.3 项目建设审批情况慨况</w:t>
      </w:r>
      <w:r>
        <w:rPr>
          <w:sz w:val="24"/>
        </w:rPr>
        <w:tab/>
      </w:r>
      <w:r>
        <w:rPr>
          <w:sz w:val="24"/>
        </w:rPr>
        <w:fldChar w:fldCharType="begin"/>
      </w:r>
      <w:r>
        <w:rPr>
          <w:sz w:val="24"/>
        </w:rPr>
        <w:instrText xml:space="preserve"> PAGEREF _Toc26152 \h </w:instrText>
      </w:r>
      <w:r>
        <w:rPr>
          <w:sz w:val="24"/>
        </w:rPr>
        <w:fldChar w:fldCharType="separate"/>
      </w:r>
      <w:r>
        <w:rPr>
          <w:sz w:val="24"/>
        </w:rPr>
        <w:t>15</w:t>
      </w:r>
      <w:r>
        <w:rPr>
          <w:sz w:val="24"/>
        </w:rPr>
        <w:fldChar w:fldCharType="end"/>
      </w:r>
      <w:r>
        <w:rPr>
          <w:color w:val="auto"/>
          <w:sz w:val="24"/>
        </w:rPr>
        <w:fldChar w:fldCharType="end"/>
      </w:r>
    </w:p>
    <w:p w14:paraId="50853CF4">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_Toc8069 </w:instrText>
      </w:r>
      <w:r>
        <w:rPr>
          <w:sz w:val="24"/>
        </w:rPr>
        <w:fldChar w:fldCharType="separate"/>
      </w:r>
      <w:r>
        <w:rPr>
          <w:rFonts w:hint="eastAsia"/>
          <w:sz w:val="24"/>
        </w:rPr>
        <w:t>2.</w:t>
      </w:r>
      <w:r>
        <w:rPr>
          <w:rFonts w:hint="eastAsia"/>
          <w:sz w:val="24"/>
          <w:lang w:val="en-US" w:eastAsia="zh-CN"/>
        </w:rPr>
        <w:t xml:space="preserve">1.4 </w:t>
      </w:r>
      <w:r>
        <w:rPr>
          <w:rFonts w:hint="eastAsia"/>
          <w:sz w:val="24"/>
        </w:rPr>
        <w:t>项目产业政策的符合性</w:t>
      </w:r>
      <w:r>
        <w:rPr>
          <w:sz w:val="24"/>
        </w:rPr>
        <w:tab/>
      </w:r>
      <w:r>
        <w:rPr>
          <w:sz w:val="24"/>
        </w:rPr>
        <w:fldChar w:fldCharType="begin"/>
      </w:r>
      <w:r>
        <w:rPr>
          <w:sz w:val="24"/>
        </w:rPr>
        <w:instrText xml:space="preserve"> PAGEREF _Toc8069 \h </w:instrText>
      </w:r>
      <w:r>
        <w:rPr>
          <w:sz w:val="24"/>
        </w:rPr>
        <w:fldChar w:fldCharType="separate"/>
      </w:r>
      <w:r>
        <w:rPr>
          <w:sz w:val="24"/>
        </w:rPr>
        <w:t>16</w:t>
      </w:r>
      <w:r>
        <w:rPr>
          <w:sz w:val="24"/>
        </w:rPr>
        <w:fldChar w:fldCharType="end"/>
      </w:r>
      <w:r>
        <w:rPr>
          <w:color w:val="auto"/>
          <w:sz w:val="24"/>
        </w:rPr>
        <w:fldChar w:fldCharType="end"/>
      </w:r>
    </w:p>
    <w:p w14:paraId="2B4402E1">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_Toc15543 </w:instrText>
      </w:r>
      <w:r>
        <w:rPr>
          <w:sz w:val="24"/>
        </w:rPr>
        <w:fldChar w:fldCharType="separate"/>
      </w:r>
      <w:r>
        <w:rPr>
          <w:rFonts w:hint="eastAsia"/>
          <w:sz w:val="24"/>
          <w:lang w:val="en-US" w:eastAsia="zh-CN"/>
        </w:rPr>
        <w:t xml:space="preserve">2.2 </w:t>
      </w:r>
      <w:r>
        <w:rPr>
          <w:rFonts w:hint="eastAsia"/>
          <w:sz w:val="24"/>
        </w:rPr>
        <w:t>项目地理位置</w:t>
      </w:r>
      <w:r>
        <w:rPr>
          <w:rFonts w:hint="eastAsia"/>
          <w:sz w:val="24"/>
          <w:lang w:val="en-US" w:eastAsia="zh-CN"/>
        </w:rPr>
        <w:t>和自然环境</w:t>
      </w:r>
      <w:r>
        <w:rPr>
          <w:sz w:val="24"/>
        </w:rPr>
        <w:tab/>
      </w:r>
      <w:r>
        <w:rPr>
          <w:sz w:val="24"/>
        </w:rPr>
        <w:fldChar w:fldCharType="begin"/>
      </w:r>
      <w:r>
        <w:rPr>
          <w:sz w:val="24"/>
        </w:rPr>
        <w:instrText xml:space="preserve"> PAGEREF _Toc15543 \h </w:instrText>
      </w:r>
      <w:r>
        <w:rPr>
          <w:sz w:val="24"/>
        </w:rPr>
        <w:fldChar w:fldCharType="separate"/>
      </w:r>
      <w:r>
        <w:rPr>
          <w:sz w:val="24"/>
        </w:rPr>
        <w:t>16</w:t>
      </w:r>
      <w:r>
        <w:rPr>
          <w:sz w:val="24"/>
        </w:rPr>
        <w:fldChar w:fldCharType="end"/>
      </w:r>
      <w:r>
        <w:rPr>
          <w:color w:val="auto"/>
          <w:sz w:val="24"/>
        </w:rPr>
        <w:fldChar w:fldCharType="end"/>
      </w:r>
    </w:p>
    <w:p w14:paraId="5C727BC4">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_Toc27316 </w:instrText>
      </w:r>
      <w:r>
        <w:rPr>
          <w:sz w:val="24"/>
        </w:rPr>
        <w:fldChar w:fldCharType="separate"/>
      </w:r>
      <w:r>
        <w:rPr>
          <w:rFonts w:hint="eastAsia"/>
          <w:sz w:val="24"/>
          <w:lang w:val="en-US" w:eastAsia="zh-CN"/>
        </w:rPr>
        <w:t xml:space="preserve">2.2.1 </w:t>
      </w:r>
      <w:r>
        <w:rPr>
          <w:rFonts w:hint="eastAsia"/>
          <w:sz w:val="24"/>
        </w:rPr>
        <w:t>项目地理位置及交通情况</w:t>
      </w:r>
      <w:r>
        <w:rPr>
          <w:sz w:val="24"/>
        </w:rPr>
        <w:tab/>
      </w:r>
      <w:r>
        <w:rPr>
          <w:sz w:val="24"/>
        </w:rPr>
        <w:fldChar w:fldCharType="begin"/>
      </w:r>
      <w:r>
        <w:rPr>
          <w:sz w:val="24"/>
        </w:rPr>
        <w:instrText xml:space="preserve"> PAGEREF _Toc27316 \h </w:instrText>
      </w:r>
      <w:r>
        <w:rPr>
          <w:sz w:val="24"/>
        </w:rPr>
        <w:fldChar w:fldCharType="separate"/>
      </w:r>
      <w:r>
        <w:rPr>
          <w:sz w:val="24"/>
        </w:rPr>
        <w:t>16</w:t>
      </w:r>
      <w:r>
        <w:rPr>
          <w:sz w:val="24"/>
        </w:rPr>
        <w:fldChar w:fldCharType="end"/>
      </w:r>
      <w:r>
        <w:rPr>
          <w:color w:val="auto"/>
          <w:sz w:val="24"/>
        </w:rPr>
        <w:fldChar w:fldCharType="end"/>
      </w:r>
    </w:p>
    <w:p w14:paraId="71A389A6">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_Toc27571 </w:instrText>
      </w:r>
      <w:r>
        <w:rPr>
          <w:sz w:val="24"/>
        </w:rPr>
        <w:fldChar w:fldCharType="separate"/>
      </w:r>
      <w:r>
        <w:rPr>
          <w:rFonts w:hint="eastAsia"/>
          <w:sz w:val="24"/>
          <w:lang w:val="en-US" w:eastAsia="zh-CN"/>
        </w:rPr>
        <w:t xml:space="preserve">2.2.2 </w:t>
      </w:r>
      <w:r>
        <w:rPr>
          <w:rFonts w:hint="eastAsia"/>
          <w:sz w:val="24"/>
        </w:rPr>
        <w:t>周边环境</w:t>
      </w:r>
      <w:r>
        <w:rPr>
          <w:sz w:val="24"/>
        </w:rPr>
        <w:tab/>
      </w:r>
      <w:r>
        <w:rPr>
          <w:sz w:val="24"/>
        </w:rPr>
        <w:fldChar w:fldCharType="begin"/>
      </w:r>
      <w:r>
        <w:rPr>
          <w:sz w:val="24"/>
        </w:rPr>
        <w:instrText xml:space="preserve"> PAGEREF _Toc27571 \h </w:instrText>
      </w:r>
      <w:r>
        <w:rPr>
          <w:sz w:val="24"/>
        </w:rPr>
        <w:fldChar w:fldCharType="separate"/>
      </w:r>
      <w:r>
        <w:rPr>
          <w:sz w:val="24"/>
        </w:rPr>
        <w:t>17</w:t>
      </w:r>
      <w:r>
        <w:rPr>
          <w:sz w:val="24"/>
        </w:rPr>
        <w:fldChar w:fldCharType="end"/>
      </w:r>
      <w:r>
        <w:rPr>
          <w:color w:val="auto"/>
          <w:sz w:val="24"/>
        </w:rPr>
        <w:fldChar w:fldCharType="end"/>
      </w:r>
    </w:p>
    <w:p w14:paraId="575A4487">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_Toc13505 </w:instrText>
      </w:r>
      <w:r>
        <w:rPr>
          <w:sz w:val="24"/>
        </w:rPr>
        <w:fldChar w:fldCharType="separate"/>
      </w:r>
      <w:r>
        <w:rPr>
          <w:rFonts w:hint="eastAsia"/>
          <w:sz w:val="24"/>
          <w:lang w:val="en-US" w:eastAsia="zh-CN"/>
        </w:rPr>
        <w:t xml:space="preserve">2.2.3 </w:t>
      </w:r>
      <w:r>
        <w:rPr>
          <w:rFonts w:hint="eastAsia"/>
          <w:sz w:val="24"/>
        </w:rPr>
        <w:t>气象条件</w:t>
      </w:r>
      <w:r>
        <w:rPr>
          <w:sz w:val="24"/>
        </w:rPr>
        <w:tab/>
      </w:r>
      <w:r>
        <w:rPr>
          <w:sz w:val="24"/>
        </w:rPr>
        <w:fldChar w:fldCharType="begin"/>
      </w:r>
      <w:r>
        <w:rPr>
          <w:sz w:val="24"/>
        </w:rPr>
        <w:instrText xml:space="preserve"> PAGEREF _Toc13505 \h </w:instrText>
      </w:r>
      <w:r>
        <w:rPr>
          <w:sz w:val="24"/>
        </w:rPr>
        <w:fldChar w:fldCharType="separate"/>
      </w:r>
      <w:r>
        <w:rPr>
          <w:sz w:val="24"/>
        </w:rPr>
        <w:t>19</w:t>
      </w:r>
      <w:r>
        <w:rPr>
          <w:sz w:val="24"/>
        </w:rPr>
        <w:fldChar w:fldCharType="end"/>
      </w:r>
      <w:r>
        <w:rPr>
          <w:color w:val="auto"/>
          <w:sz w:val="24"/>
        </w:rPr>
        <w:fldChar w:fldCharType="end"/>
      </w:r>
    </w:p>
    <w:p w14:paraId="72D504E9">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_Toc28322 </w:instrText>
      </w:r>
      <w:r>
        <w:rPr>
          <w:sz w:val="24"/>
        </w:rPr>
        <w:fldChar w:fldCharType="separate"/>
      </w:r>
      <w:r>
        <w:rPr>
          <w:rFonts w:hint="eastAsia"/>
          <w:sz w:val="24"/>
          <w:lang w:val="en-US" w:eastAsia="zh-CN"/>
        </w:rPr>
        <w:t xml:space="preserve">2.2.4 </w:t>
      </w:r>
      <w:r>
        <w:rPr>
          <w:rFonts w:hint="eastAsia"/>
          <w:sz w:val="24"/>
        </w:rPr>
        <w:t>地形地貌</w:t>
      </w:r>
      <w:r>
        <w:rPr>
          <w:sz w:val="24"/>
        </w:rPr>
        <w:tab/>
      </w:r>
      <w:r>
        <w:rPr>
          <w:sz w:val="24"/>
        </w:rPr>
        <w:fldChar w:fldCharType="begin"/>
      </w:r>
      <w:r>
        <w:rPr>
          <w:sz w:val="24"/>
        </w:rPr>
        <w:instrText xml:space="preserve"> PAGEREF _Toc28322 \h </w:instrText>
      </w:r>
      <w:r>
        <w:rPr>
          <w:sz w:val="24"/>
        </w:rPr>
        <w:fldChar w:fldCharType="separate"/>
      </w:r>
      <w:r>
        <w:rPr>
          <w:sz w:val="24"/>
        </w:rPr>
        <w:t>20</w:t>
      </w:r>
      <w:r>
        <w:rPr>
          <w:sz w:val="24"/>
        </w:rPr>
        <w:fldChar w:fldCharType="end"/>
      </w:r>
      <w:r>
        <w:rPr>
          <w:color w:val="auto"/>
          <w:sz w:val="24"/>
        </w:rPr>
        <w:fldChar w:fldCharType="end"/>
      </w:r>
    </w:p>
    <w:p w14:paraId="31CF037F">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_Toc22095 </w:instrText>
      </w:r>
      <w:r>
        <w:rPr>
          <w:sz w:val="24"/>
        </w:rPr>
        <w:fldChar w:fldCharType="separate"/>
      </w:r>
      <w:r>
        <w:rPr>
          <w:rFonts w:hint="eastAsia"/>
          <w:sz w:val="24"/>
          <w:lang w:val="en-US" w:eastAsia="zh-CN"/>
        </w:rPr>
        <w:t xml:space="preserve">2.2.5 </w:t>
      </w:r>
      <w:r>
        <w:rPr>
          <w:rFonts w:hint="eastAsia"/>
          <w:sz w:val="24"/>
        </w:rPr>
        <w:t>水文</w:t>
      </w:r>
      <w:r>
        <w:rPr>
          <w:sz w:val="24"/>
        </w:rPr>
        <w:tab/>
      </w:r>
      <w:r>
        <w:rPr>
          <w:sz w:val="24"/>
        </w:rPr>
        <w:fldChar w:fldCharType="begin"/>
      </w:r>
      <w:r>
        <w:rPr>
          <w:sz w:val="24"/>
        </w:rPr>
        <w:instrText xml:space="preserve"> PAGEREF _Toc22095 \h </w:instrText>
      </w:r>
      <w:r>
        <w:rPr>
          <w:sz w:val="24"/>
        </w:rPr>
        <w:fldChar w:fldCharType="separate"/>
      </w:r>
      <w:r>
        <w:rPr>
          <w:sz w:val="24"/>
        </w:rPr>
        <w:t>20</w:t>
      </w:r>
      <w:r>
        <w:rPr>
          <w:sz w:val="24"/>
        </w:rPr>
        <w:fldChar w:fldCharType="end"/>
      </w:r>
      <w:r>
        <w:rPr>
          <w:color w:val="auto"/>
          <w:sz w:val="24"/>
        </w:rPr>
        <w:fldChar w:fldCharType="end"/>
      </w:r>
    </w:p>
    <w:p w14:paraId="50A149D1">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_Toc8710 </w:instrText>
      </w:r>
      <w:r>
        <w:rPr>
          <w:sz w:val="24"/>
        </w:rPr>
        <w:fldChar w:fldCharType="separate"/>
      </w:r>
      <w:r>
        <w:rPr>
          <w:rFonts w:hint="eastAsia"/>
          <w:sz w:val="24"/>
          <w:lang w:val="en-US" w:eastAsia="zh-CN"/>
        </w:rPr>
        <w:t xml:space="preserve">2.2.6 </w:t>
      </w:r>
      <w:r>
        <w:rPr>
          <w:rFonts w:hint="eastAsia"/>
          <w:sz w:val="24"/>
        </w:rPr>
        <w:t>地震</w:t>
      </w:r>
      <w:r>
        <w:rPr>
          <w:sz w:val="24"/>
        </w:rPr>
        <w:tab/>
      </w:r>
      <w:r>
        <w:rPr>
          <w:sz w:val="24"/>
        </w:rPr>
        <w:fldChar w:fldCharType="begin"/>
      </w:r>
      <w:r>
        <w:rPr>
          <w:sz w:val="24"/>
        </w:rPr>
        <w:instrText xml:space="preserve"> PAGEREF _Toc8710 \h </w:instrText>
      </w:r>
      <w:r>
        <w:rPr>
          <w:sz w:val="24"/>
        </w:rPr>
        <w:fldChar w:fldCharType="separate"/>
      </w:r>
      <w:r>
        <w:rPr>
          <w:sz w:val="24"/>
        </w:rPr>
        <w:t>21</w:t>
      </w:r>
      <w:r>
        <w:rPr>
          <w:sz w:val="24"/>
        </w:rPr>
        <w:fldChar w:fldCharType="end"/>
      </w:r>
      <w:r>
        <w:rPr>
          <w:color w:val="auto"/>
          <w:sz w:val="24"/>
        </w:rPr>
        <w:fldChar w:fldCharType="end"/>
      </w:r>
    </w:p>
    <w:p w14:paraId="295A8086">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_Toc11929 </w:instrText>
      </w:r>
      <w:r>
        <w:rPr>
          <w:sz w:val="24"/>
        </w:rPr>
        <w:fldChar w:fldCharType="separate"/>
      </w:r>
      <w:r>
        <w:rPr>
          <w:rFonts w:hint="eastAsia"/>
          <w:sz w:val="24"/>
        </w:rPr>
        <w:t>2.</w:t>
      </w:r>
      <w:r>
        <w:rPr>
          <w:rFonts w:hint="eastAsia"/>
          <w:sz w:val="24"/>
          <w:lang w:val="en-US" w:eastAsia="zh-CN"/>
        </w:rPr>
        <w:t xml:space="preserve">3 </w:t>
      </w:r>
      <w:r>
        <w:rPr>
          <w:rFonts w:hint="eastAsia"/>
          <w:sz w:val="24"/>
        </w:rPr>
        <w:t>地质情况</w:t>
      </w:r>
      <w:r>
        <w:rPr>
          <w:sz w:val="24"/>
        </w:rPr>
        <w:tab/>
      </w:r>
      <w:r>
        <w:rPr>
          <w:sz w:val="24"/>
        </w:rPr>
        <w:fldChar w:fldCharType="begin"/>
      </w:r>
      <w:r>
        <w:rPr>
          <w:sz w:val="24"/>
        </w:rPr>
        <w:instrText xml:space="preserve"> PAGEREF _Toc11929 \h </w:instrText>
      </w:r>
      <w:r>
        <w:rPr>
          <w:sz w:val="24"/>
        </w:rPr>
        <w:fldChar w:fldCharType="separate"/>
      </w:r>
      <w:r>
        <w:rPr>
          <w:sz w:val="24"/>
        </w:rPr>
        <w:t>21</w:t>
      </w:r>
      <w:r>
        <w:rPr>
          <w:sz w:val="24"/>
        </w:rPr>
        <w:fldChar w:fldCharType="end"/>
      </w:r>
      <w:r>
        <w:rPr>
          <w:color w:val="auto"/>
          <w:sz w:val="24"/>
        </w:rPr>
        <w:fldChar w:fldCharType="end"/>
      </w:r>
    </w:p>
    <w:p w14:paraId="60B4190C">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_Toc4583 </w:instrText>
      </w:r>
      <w:r>
        <w:rPr>
          <w:sz w:val="24"/>
        </w:rPr>
        <w:fldChar w:fldCharType="separate"/>
      </w:r>
      <w:r>
        <w:rPr>
          <w:rFonts w:hint="eastAsia"/>
          <w:sz w:val="24"/>
        </w:rPr>
        <w:t>2.</w:t>
      </w:r>
      <w:r>
        <w:rPr>
          <w:rFonts w:hint="eastAsia"/>
          <w:sz w:val="24"/>
          <w:lang w:val="en-US" w:eastAsia="zh-CN"/>
        </w:rPr>
        <w:t>3</w:t>
      </w:r>
      <w:r>
        <w:rPr>
          <w:rFonts w:hint="eastAsia"/>
          <w:sz w:val="24"/>
        </w:rPr>
        <w:t>.1</w:t>
      </w:r>
      <w:r>
        <w:rPr>
          <w:rFonts w:hint="eastAsia"/>
          <w:sz w:val="24"/>
          <w:lang w:val="en-US" w:eastAsia="zh-CN"/>
        </w:rPr>
        <w:t xml:space="preserve"> </w:t>
      </w:r>
      <w:r>
        <w:rPr>
          <w:rFonts w:hint="eastAsia"/>
          <w:sz w:val="24"/>
        </w:rPr>
        <w:t>地质构造</w:t>
      </w:r>
      <w:r>
        <w:rPr>
          <w:sz w:val="24"/>
        </w:rPr>
        <w:tab/>
      </w:r>
      <w:r>
        <w:rPr>
          <w:sz w:val="24"/>
        </w:rPr>
        <w:fldChar w:fldCharType="begin"/>
      </w:r>
      <w:r>
        <w:rPr>
          <w:sz w:val="24"/>
        </w:rPr>
        <w:instrText xml:space="preserve"> PAGEREF _Toc4583 \h </w:instrText>
      </w:r>
      <w:r>
        <w:rPr>
          <w:sz w:val="24"/>
        </w:rPr>
        <w:fldChar w:fldCharType="separate"/>
      </w:r>
      <w:r>
        <w:rPr>
          <w:sz w:val="24"/>
        </w:rPr>
        <w:t>21</w:t>
      </w:r>
      <w:r>
        <w:rPr>
          <w:sz w:val="24"/>
        </w:rPr>
        <w:fldChar w:fldCharType="end"/>
      </w:r>
      <w:r>
        <w:rPr>
          <w:color w:val="auto"/>
          <w:sz w:val="24"/>
        </w:rPr>
        <w:fldChar w:fldCharType="end"/>
      </w:r>
    </w:p>
    <w:p w14:paraId="2AE116FD">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_Toc1112 </w:instrText>
      </w:r>
      <w:r>
        <w:rPr>
          <w:sz w:val="24"/>
        </w:rPr>
        <w:fldChar w:fldCharType="separate"/>
      </w:r>
      <w:r>
        <w:rPr>
          <w:rFonts w:hint="eastAsia"/>
          <w:sz w:val="24"/>
        </w:rPr>
        <w:t>2.</w:t>
      </w:r>
      <w:r>
        <w:rPr>
          <w:rFonts w:hint="eastAsia"/>
          <w:sz w:val="24"/>
          <w:lang w:val="en-US" w:eastAsia="zh-CN"/>
        </w:rPr>
        <w:t>3</w:t>
      </w:r>
      <w:r>
        <w:rPr>
          <w:rFonts w:hint="eastAsia"/>
          <w:sz w:val="24"/>
        </w:rPr>
        <w:t>.2</w:t>
      </w:r>
      <w:r>
        <w:rPr>
          <w:rFonts w:hint="eastAsia"/>
          <w:sz w:val="24"/>
          <w:lang w:val="en-US" w:eastAsia="zh-CN"/>
        </w:rPr>
        <w:t xml:space="preserve"> </w:t>
      </w:r>
      <w:r>
        <w:rPr>
          <w:rFonts w:hint="eastAsia"/>
          <w:sz w:val="24"/>
        </w:rPr>
        <w:t>不良地质作用</w:t>
      </w:r>
      <w:r>
        <w:rPr>
          <w:sz w:val="24"/>
        </w:rPr>
        <w:tab/>
      </w:r>
      <w:r>
        <w:rPr>
          <w:sz w:val="24"/>
        </w:rPr>
        <w:fldChar w:fldCharType="begin"/>
      </w:r>
      <w:r>
        <w:rPr>
          <w:sz w:val="24"/>
        </w:rPr>
        <w:instrText xml:space="preserve"> PAGEREF _Toc1112 \h </w:instrText>
      </w:r>
      <w:r>
        <w:rPr>
          <w:sz w:val="24"/>
        </w:rPr>
        <w:fldChar w:fldCharType="separate"/>
      </w:r>
      <w:r>
        <w:rPr>
          <w:sz w:val="24"/>
        </w:rPr>
        <w:t>22</w:t>
      </w:r>
      <w:r>
        <w:rPr>
          <w:sz w:val="24"/>
        </w:rPr>
        <w:fldChar w:fldCharType="end"/>
      </w:r>
      <w:r>
        <w:rPr>
          <w:color w:val="auto"/>
          <w:sz w:val="24"/>
        </w:rPr>
        <w:fldChar w:fldCharType="end"/>
      </w:r>
    </w:p>
    <w:p w14:paraId="0D33062E">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_Toc29095 </w:instrText>
      </w:r>
      <w:r>
        <w:rPr>
          <w:sz w:val="24"/>
        </w:rPr>
        <w:fldChar w:fldCharType="separate"/>
      </w:r>
      <w:r>
        <w:rPr>
          <w:rFonts w:hint="eastAsia"/>
          <w:sz w:val="24"/>
          <w:lang w:val="en-US" w:eastAsia="zh-CN"/>
        </w:rPr>
        <w:t xml:space="preserve">2.4 </w:t>
      </w:r>
      <w:r>
        <w:rPr>
          <w:rFonts w:hint="eastAsia"/>
          <w:sz w:val="24"/>
        </w:rPr>
        <w:t>原有设施利用及改建</w:t>
      </w:r>
      <w:r>
        <w:rPr>
          <w:sz w:val="24"/>
        </w:rPr>
        <w:tab/>
      </w:r>
      <w:r>
        <w:rPr>
          <w:sz w:val="24"/>
        </w:rPr>
        <w:fldChar w:fldCharType="begin"/>
      </w:r>
      <w:r>
        <w:rPr>
          <w:sz w:val="24"/>
        </w:rPr>
        <w:instrText xml:space="preserve"> PAGEREF _Toc29095 \h </w:instrText>
      </w:r>
      <w:r>
        <w:rPr>
          <w:sz w:val="24"/>
        </w:rPr>
        <w:fldChar w:fldCharType="separate"/>
      </w:r>
      <w:r>
        <w:rPr>
          <w:sz w:val="24"/>
        </w:rPr>
        <w:t>22</w:t>
      </w:r>
      <w:r>
        <w:rPr>
          <w:sz w:val="24"/>
        </w:rPr>
        <w:fldChar w:fldCharType="end"/>
      </w:r>
      <w:r>
        <w:rPr>
          <w:color w:val="auto"/>
          <w:sz w:val="24"/>
        </w:rPr>
        <w:fldChar w:fldCharType="end"/>
      </w:r>
    </w:p>
    <w:p w14:paraId="6F681F75">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_Toc20170 </w:instrText>
      </w:r>
      <w:r>
        <w:rPr>
          <w:sz w:val="24"/>
        </w:rPr>
        <w:fldChar w:fldCharType="separate"/>
      </w:r>
      <w:r>
        <w:rPr>
          <w:rFonts w:hint="eastAsia"/>
          <w:sz w:val="24"/>
          <w:lang w:val="en-US" w:eastAsia="zh-CN"/>
        </w:rPr>
        <w:t>2.5 建设方案</w:t>
      </w:r>
      <w:r>
        <w:rPr>
          <w:sz w:val="24"/>
        </w:rPr>
        <w:tab/>
      </w:r>
      <w:r>
        <w:rPr>
          <w:sz w:val="24"/>
        </w:rPr>
        <w:fldChar w:fldCharType="begin"/>
      </w:r>
      <w:r>
        <w:rPr>
          <w:sz w:val="24"/>
        </w:rPr>
        <w:instrText xml:space="preserve"> PAGEREF _Toc20170 \h </w:instrText>
      </w:r>
      <w:r>
        <w:rPr>
          <w:sz w:val="24"/>
        </w:rPr>
        <w:fldChar w:fldCharType="separate"/>
      </w:r>
      <w:r>
        <w:rPr>
          <w:sz w:val="24"/>
        </w:rPr>
        <w:t>22</w:t>
      </w:r>
      <w:r>
        <w:rPr>
          <w:sz w:val="24"/>
        </w:rPr>
        <w:fldChar w:fldCharType="end"/>
      </w:r>
      <w:r>
        <w:rPr>
          <w:color w:val="auto"/>
          <w:sz w:val="24"/>
        </w:rPr>
        <w:fldChar w:fldCharType="end"/>
      </w:r>
    </w:p>
    <w:p w14:paraId="369DBC87">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_Toc12129 </w:instrText>
      </w:r>
      <w:r>
        <w:rPr>
          <w:sz w:val="24"/>
        </w:rPr>
        <w:fldChar w:fldCharType="separate"/>
      </w:r>
      <w:r>
        <w:rPr>
          <w:rFonts w:hint="eastAsia"/>
          <w:sz w:val="24"/>
          <w:lang w:val="en-US" w:eastAsia="zh-CN"/>
        </w:rPr>
        <w:t>2.5.1 生产规模</w:t>
      </w:r>
      <w:r>
        <w:rPr>
          <w:sz w:val="24"/>
        </w:rPr>
        <w:tab/>
      </w:r>
      <w:r>
        <w:rPr>
          <w:sz w:val="24"/>
        </w:rPr>
        <w:fldChar w:fldCharType="begin"/>
      </w:r>
      <w:r>
        <w:rPr>
          <w:sz w:val="24"/>
        </w:rPr>
        <w:instrText xml:space="preserve"> PAGEREF _Toc12129 \h </w:instrText>
      </w:r>
      <w:r>
        <w:rPr>
          <w:sz w:val="24"/>
        </w:rPr>
        <w:fldChar w:fldCharType="separate"/>
      </w:r>
      <w:r>
        <w:rPr>
          <w:sz w:val="24"/>
        </w:rPr>
        <w:t>22</w:t>
      </w:r>
      <w:r>
        <w:rPr>
          <w:sz w:val="24"/>
        </w:rPr>
        <w:fldChar w:fldCharType="end"/>
      </w:r>
      <w:r>
        <w:rPr>
          <w:color w:val="auto"/>
          <w:sz w:val="24"/>
        </w:rPr>
        <w:fldChar w:fldCharType="end"/>
      </w:r>
    </w:p>
    <w:p w14:paraId="1D1CDA0B">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_Toc12300 </w:instrText>
      </w:r>
      <w:r>
        <w:rPr>
          <w:sz w:val="24"/>
        </w:rPr>
        <w:fldChar w:fldCharType="separate"/>
      </w:r>
      <w:r>
        <w:rPr>
          <w:rFonts w:hint="eastAsia"/>
          <w:sz w:val="24"/>
          <w:lang w:val="en-US" w:eastAsia="zh-CN"/>
        </w:rPr>
        <w:t>2.5.2 产品方案</w:t>
      </w:r>
      <w:r>
        <w:rPr>
          <w:sz w:val="24"/>
        </w:rPr>
        <w:tab/>
      </w:r>
      <w:r>
        <w:rPr>
          <w:sz w:val="24"/>
        </w:rPr>
        <w:fldChar w:fldCharType="begin"/>
      </w:r>
      <w:r>
        <w:rPr>
          <w:sz w:val="24"/>
        </w:rPr>
        <w:instrText xml:space="preserve"> PAGEREF _Toc12300 \h </w:instrText>
      </w:r>
      <w:r>
        <w:rPr>
          <w:sz w:val="24"/>
        </w:rPr>
        <w:fldChar w:fldCharType="separate"/>
      </w:r>
      <w:r>
        <w:rPr>
          <w:sz w:val="24"/>
        </w:rPr>
        <w:t>22</w:t>
      </w:r>
      <w:r>
        <w:rPr>
          <w:sz w:val="24"/>
        </w:rPr>
        <w:fldChar w:fldCharType="end"/>
      </w:r>
      <w:r>
        <w:rPr>
          <w:color w:val="auto"/>
          <w:sz w:val="24"/>
        </w:rPr>
        <w:fldChar w:fldCharType="end"/>
      </w:r>
    </w:p>
    <w:p w14:paraId="616369FD">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_Toc26474 </w:instrText>
      </w:r>
      <w:r>
        <w:rPr>
          <w:sz w:val="24"/>
        </w:rPr>
        <w:fldChar w:fldCharType="separate"/>
      </w:r>
      <w:r>
        <w:rPr>
          <w:rFonts w:hint="eastAsia"/>
          <w:sz w:val="24"/>
          <w:lang w:val="en-US" w:eastAsia="zh-CN"/>
        </w:rPr>
        <w:t>2.5.3 劳动定员和工作制度</w:t>
      </w:r>
      <w:r>
        <w:rPr>
          <w:sz w:val="24"/>
        </w:rPr>
        <w:tab/>
      </w:r>
      <w:r>
        <w:rPr>
          <w:sz w:val="24"/>
        </w:rPr>
        <w:fldChar w:fldCharType="begin"/>
      </w:r>
      <w:r>
        <w:rPr>
          <w:sz w:val="24"/>
        </w:rPr>
        <w:instrText xml:space="preserve"> PAGEREF _Toc26474 \h </w:instrText>
      </w:r>
      <w:r>
        <w:rPr>
          <w:sz w:val="24"/>
        </w:rPr>
        <w:fldChar w:fldCharType="separate"/>
      </w:r>
      <w:r>
        <w:rPr>
          <w:sz w:val="24"/>
        </w:rPr>
        <w:t>23</w:t>
      </w:r>
      <w:r>
        <w:rPr>
          <w:sz w:val="24"/>
        </w:rPr>
        <w:fldChar w:fldCharType="end"/>
      </w:r>
      <w:r>
        <w:rPr>
          <w:color w:val="auto"/>
          <w:sz w:val="24"/>
        </w:rPr>
        <w:fldChar w:fldCharType="end"/>
      </w:r>
    </w:p>
    <w:p w14:paraId="2E170334">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_Toc29476 </w:instrText>
      </w:r>
      <w:r>
        <w:rPr>
          <w:sz w:val="24"/>
        </w:rPr>
        <w:fldChar w:fldCharType="separate"/>
      </w:r>
      <w:r>
        <w:rPr>
          <w:rFonts w:hint="eastAsia"/>
          <w:sz w:val="24"/>
        </w:rPr>
        <w:t>2.</w:t>
      </w:r>
      <w:r>
        <w:rPr>
          <w:rFonts w:hint="eastAsia"/>
          <w:sz w:val="24"/>
          <w:lang w:val="en-US" w:eastAsia="zh-CN"/>
        </w:rPr>
        <w:t xml:space="preserve">6 </w:t>
      </w:r>
      <w:r>
        <w:rPr>
          <w:rFonts w:hint="eastAsia"/>
          <w:sz w:val="24"/>
        </w:rPr>
        <w:t>总平面布置</w:t>
      </w:r>
      <w:r>
        <w:rPr>
          <w:sz w:val="24"/>
        </w:rPr>
        <w:tab/>
      </w:r>
      <w:r>
        <w:rPr>
          <w:sz w:val="24"/>
        </w:rPr>
        <w:fldChar w:fldCharType="begin"/>
      </w:r>
      <w:r>
        <w:rPr>
          <w:sz w:val="24"/>
        </w:rPr>
        <w:instrText xml:space="preserve"> PAGEREF _Toc29476 \h </w:instrText>
      </w:r>
      <w:r>
        <w:rPr>
          <w:sz w:val="24"/>
        </w:rPr>
        <w:fldChar w:fldCharType="separate"/>
      </w:r>
      <w:r>
        <w:rPr>
          <w:sz w:val="24"/>
        </w:rPr>
        <w:t>23</w:t>
      </w:r>
      <w:r>
        <w:rPr>
          <w:sz w:val="24"/>
        </w:rPr>
        <w:fldChar w:fldCharType="end"/>
      </w:r>
      <w:r>
        <w:rPr>
          <w:color w:val="auto"/>
          <w:sz w:val="24"/>
        </w:rPr>
        <w:fldChar w:fldCharType="end"/>
      </w:r>
    </w:p>
    <w:p w14:paraId="4EB7D4D9">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_Toc24746 </w:instrText>
      </w:r>
      <w:r>
        <w:rPr>
          <w:sz w:val="24"/>
        </w:rPr>
        <w:fldChar w:fldCharType="separate"/>
      </w:r>
      <w:r>
        <w:rPr>
          <w:rFonts w:hint="eastAsia"/>
          <w:sz w:val="24"/>
          <w:lang w:val="en-US" w:eastAsia="zh-CN"/>
        </w:rPr>
        <w:t>2.7 主要原辅料</w:t>
      </w:r>
      <w:r>
        <w:rPr>
          <w:sz w:val="24"/>
        </w:rPr>
        <w:tab/>
      </w:r>
      <w:r>
        <w:rPr>
          <w:sz w:val="24"/>
        </w:rPr>
        <w:fldChar w:fldCharType="begin"/>
      </w:r>
      <w:r>
        <w:rPr>
          <w:sz w:val="24"/>
        </w:rPr>
        <w:instrText xml:space="preserve"> PAGEREF _Toc24746 \h </w:instrText>
      </w:r>
      <w:r>
        <w:rPr>
          <w:sz w:val="24"/>
        </w:rPr>
        <w:fldChar w:fldCharType="separate"/>
      </w:r>
      <w:r>
        <w:rPr>
          <w:sz w:val="24"/>
        </w:rPr>
        <w:t>26</w:t>
      </w:r>
      <w:r>
        <w:rPr>
          <w:sz w:val="24"/>
        </w:rPr>
        <w:fldChar w:fldCharType="end"/>
      </w:r>
      <w:r>
        <w:rPr>
          <w:color w:val="auto"/>
          <w:sz w:val="24"/>
        </w:rPr>
        <w:fldChar w:fldCharType="end"/>
      </w:r>
    </w:p>
    <w:p w14:paraId="245B07DA">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_Toc13161 </w:instrText>
      </w:r>
      <w:r>
        <w:rPr>
          <w:sz w:val="24"/>
        </w:rPr>
        <w:fldChar w:fldCharType="separate"/>
      </w:r>
      <w:r>
        <w:rPr>
          <w:rFonts w:hint="eastAsia"/>
          <w:sz w:val="24"/>
          <w:lang w:val="en-US" w:eastAsia="zh-CN"/>
        </w:rPr>
        <w:t>2.8 工艺流程</w:t>
      </w:r>
      <w:r>
        <w:rPr>
          <w:sz w:val="24"/>
        </w:rPr>
        <w:tab/>
      </w:r>
      <w:r>
        <w:rPr>
          <w:sz w:val="24"/>
        </w:rPr>
        <w:fldChar w:fldCharType="begin"/>
      </w:r>
      <w:r>
        <w:rPr>
          <w:sz w:val="24"/>
        </w:rPr>
        <w:instrText xml:space="preserve"> PAGEREF _Toc13161 \h </w:instrText>
      </w:r>
      <w:r>
        <w:rPr>
          <w:sz w:val="24"/>
        </w:rPr>
        <w:fldChar w:fldCharType="separate"/>
      </w:r>
      <w:r>
        <w:rPr>
          <w:sz w:val="24"/>
        </w:rPr>
        <w:t>27</w:t>
      </w:r>
      <w:r>
        <w:rPr>
          <w:sz w:val="24"/>
        </w:rPr>
        <w:fldChar w:fldCharType="end"/>
      </w:r>
      <w:r>
        <w:rPr>
          <w:color w:val="auto"/>
          <w:sz w:val="24"/>
        </w:rPr>
        <w:fldChar w:fldCharType="end"/>
      </w:r>
    </w:p>
    <w:p w14:paraId="7D991058">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_Toc16614 </w:instrText>
      </w:r>
      <w:r>
        <w:rPr>
          <w:sz w:val="24"/>
        </w:rPr>
        <w:fldChar w:fldCharType="separate"/>
      </w:r>
      <w:r>
        <w:rPr>
          <w:rFonts w:hint="eastAsia"/>
          <w:sz w:val="24"/>
          <w:lang w:val="en-US" w:eastAsia="zh-CN"/>
        </w:rPr>
        <w:t xml:space="preserve">2.9 </w:t>
      </w:r>
      <w:r>
        <w:rPr>
          <w:rFonts w:hint="eastAsia"/>
          <w:sz w:val="24"/>
        </w:rPr>
        <w:t>主要设备</w:t>
      </w:r>
      <w:r>
        <w:rPr>
          <w:sz w:val="24"/>
        </w:rPr>
        <w:tab/>
      </w:r>
      <w:r>
        <w:rPr>
          <w:sz w:val="24"/>
        </w:rPr>
        <w:fldChar w:fldCharType="begin"/>
      </w:r>
      <w:r>
        <w:rPr>
          <w:sz w:val="24"/>
        </w:rPr>
        <w:instrText xml:space="preserve"> PAGEREF _Toc16614 \h </w:instrText>
      </w:r>
      <w:r>
        <w:rPr>
          <w:sz w:val="24"/>
        </w:rPr>
        <w:fldChar w:fldCharType="separate"/>
      </w:r>
      <w:r>
        <w:rPr>
          <w:sz w:val="24"/>
        </w:rPr>
        <w:t>28</w:t>
      </w:r>
      <w:r>
        <w:rPr>
          <w:sz w:val="24"/>
        </w:rPr>
        <w:fldChar w:fldCharType="end"/>
      </w:r>
      <w:r>
        <w:rPr>
          <w:color w:val="auto"/>
          <w:sz w:val="24"/>
        </w:rPr>
        <w:fldChar w:fldCharType="end"/>
      </w:r>
    </w:p>
    <w:p w14:paraId="7E7EC54D">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_Toc16434 </w:instrText>
      </w:r>
      <w:r>
        <w:rPr>
          <w:sz w:val="24"/>
        </w:rPr>
        <w:fldChar w:fldCharType="separate"/>
      </w:r>
      <w:r>
        <w:rPr>
          <w:rFonts w:hint="eastAsia"/>
          <w:sz w:val="24"/>
          <w:lang w:val="en-US" w:eastAsia="zh-CN"/>
        </w:rPr>
        <w:t xml:space="preserve">2.10 </w:t>
      </w:r>
      <w:r>
        <w:rPr>
          <w:rFonts w:hint="eastAsia"/>
          <w:sz w:val="24"/>
        </w:rPr>
        <w:t>辅助设施</w:t>
      </w:r>
      <w:r>
        <w:rPr>
          <w:sz w:val="24"/>
        </w:rPr>
        <w:tab/>
      </w:r>
      <w:r>
        <w:rPr>
          <w:sz w:val="24"/>
        </w:rPr>
        <w:fldChar w:fldCharType="begin"/>
      </w:r>
      <w:r>
        <w:rPr>
          <w:sz w:val="24"/>
        </w:rPr>
        <w:instrText xml:space="preserve"> PAGEREF _Toc16434 \h </w:instrText>
      </w:r>
      <w:r>
        <w:rPr>
          <w:sz w:val="24"/>
        </w:rPr>
        <w:fldChar w:fldCharType="separate"/>
      </w:r>
      <w:r>
        <w:rPr>
          <w:sz w:val="24"/>
        </w:rPr>
        <w:t>32</w:t>
      </w:r>
      <w:r>
        <w:rPr>
          <w:sz w:val="24"/>
        </w:rPr>
        <w:fldChar w:fldCharType="end"/>
      </w:r>
      <w:r>
        <w:rPr>
          <w:color w:val="auto"/>
          <w:sz w:val="24"/>
        </w:rPr>
        <w:fldChar w:fldCharType="end"/>
      </w:r>
    </w:p>
    <w:p w14:paraId="4D0F0DCF">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_Toc24627 </w:instrText>
      </w:r>
      <w:r>
        <w:rPr>
          <w:sz w:val="24"/>
        </w:rPr>
        <w:fldChar w:fldCharType="separate"/>
      </w:r>
      <w:r>
        <w:rPr>
          <w:rFonts w:hint="eastAsia"/>
          <w:sz w:val="24"/>
          <w:lang w:val="en-US" w:eastAsia="zh-CN"/>
        </w:rPr>
        <w:t xml:space="preserve">2.11 </w:t>
      </w:r>
      <w:r>
        <w:rPr>
          <w:rFonts w:hint="eastAsia"/>
          <w:sz w:val="24"/>
        </w:rPr>
        <w:t>临时堆场</w:t>
      </w:r>
      <w:r>
        <w:rPr>
          <w:sz w:val="24"/>
        </w:rPr>
        <w:tab/>
      </w:r>
      <w:r>
        <w:rPr>
          <w:sz w:val="24"/>
        </w:rPr>
        <w:fldChar w:fldCharType="begin"/>
      </w:r>
      <w:r>
        <w:rPr>
          <w:sz w:val="24"/>
        </w:rPr>
        <w:instrText xml:space="preserve"> PAGEREF _Toc24627 \h </w:instrText>
      </w:r>
      <w:r>
        <w:rPr>
          <w:sz w:val="24"/>
        </w:rPr>
        <w:fldChar w:fldCharType="separate"/>
      </w:r>
      <w:r>
        <w:rPr>
          <w:sz w:val="24"/>
        </w:rPr>
        <w:t>33</w:t>
      </w:r>
      <w:r>
        <w:rPr>
          <w:sz w:val="24"/>
        </w:rPr>
        <w:fldChar w:fldCharType="end"/>
      </w:r>
      <w:r>
        <w:rPr>
          <w:color w:val="auto"/>
          <w:sz w:val="24"/>
        </w:rPr>
        <w:fldChar w:fldCharType="end"/>
      </w:r>
    </w:p>
    <w:p w14:paraId="651C9FF6">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_Toc9968 </w:instrText>
      </w:r>
      <w:r>
        <w:rPr>
          <w:sz w:val="24"/>
        </w:rPr>
        <w:fldChar w:fldCharType="separate"/>
      </w:r>
      <w:r>
        <w:rPr>
          <w:rFonts w:hint="eastAsia"/>
          <w:sz w:val="24"/>
          <w:lang w:val="en-US" w:eastAsia="zh-CN"/>
        </w:rPr>
        <w:t xml:space="preserve">2.12 </w:t>
      </w:r>
      <w:r>
        <w:rPr>
          <w:rFonts w:hint="eastAsia"/>
          <w:sz w:val="24"/>
        </w:rPr>
        <w:t>回水池</w:t>
      </w:r>
      <w:r>
        <w:rPr>
          <w:sz w:val="24"/>
        </w:rPr>
        <w:tab/>
      </w:r>
      <w:r>
        <w:rPr>
          <w:sz w:val="24"/>
        </w:rPr>
        <w:fldChar w:fldCharType="begin"/>
      </w:r>
      <w:r>
        <w:rPr>
          <w:sz w:val="24"/>
        </w:rPr>
        <w:instrText xml:space="preserve"> PAGEREF _Toc9968 \h </w:instrText>
      </w:r>
      <w:r>
        <w:rPr>
          <w:sz w:val="24"/>
        </w:rPr>
        <w:fldChar w:fldCharType="separate"/>
      </w:r>
      <w:r>
        <w:rPr>
          <w:sz w:val="24"/>
        </w:rPr>
        <w:t>34</w:t>
      </w:r>
      <w:r>
        <w:rPr>
          <w:sz w:val="24"/>
        </w:rPr>
        <w:fldChar w:fldCharType="end"/>
      </w:r>
      <w:r>
        <w:rPr>
          <w:color w:val="auto"/>
          <w:sz w:val="24"/>
        </w:rPr>
        <w:fldChar w:fldCharType="end"/>
      </w:r>
    </w:p>
    <w:p w14:paraId="5BFD1CBF">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_Toc7465 </w:instrText>
      </w:r>
      <w:r>
        <w:rPr>
          <w:sz w:val="24"/>
        </w:rPr>
        <w:fldChar w:fldCharType="separate"/>
      </w:r>
      <w:r>
        <w:rPr>
          <w:rFonts w:hint="eastAsia"/>
          <w:sz w:val="24"/>
          <w:lang w:val="en-US" w:eastAsia="zh-CN"/>
        </w:rPr>
        <w:t xml:space="preserve">2.13 </w:t>
      </w:r>
      <w:r>
        <w:rPr>
          <w:rFonts w:hint="eastAsia"/>
          <w:sz w:val="24"/>
        </w:rPr>
        <w:t>尾矿设施</w:t>
      </w:r>
      <w:r>
        <w:rPr>
          <w:sz w:val="24"/>
        </w:rPr>
        <w:tab/>
      </w:r>
      <w:r>
        <w:rPr>
          <w:sz w:val="24"/>
        </w:rPr>
        <w:fldChar w:fldCharType="begin"/>
      </w:r>
      <w:r>
        <w:rPr>
          <w:sz w:val="24"/>
        </w:rPr>
        <w:instrText xml:space="preserve"> PAGEREF _Toc7465 \h </w:instrText>
      </w:r>
      <w:r>
        <w:rPr>
          <w:sz w:val="24"/>
        </w:rPr>
        <w:fldChar w:fldCharType="separate"/>
      </w:r>
      <w:r>
        <w:rPr>
          <w:sz w:val="24"/>
        </w:rPr>
        <w:t>34</w:t>
      </w:r>
      <w:r>
        <w:rPr>
          <w:sz w:val="24"/>
        </w:rPr>
        <w:fldChar w:fldCharType="end"/>
      </w:r>
      <w:r>
        <w:rPr>
          <w:color w:val="auto"/>
          <w:sz w:val="24"/>
        </w:rPr>
        <w:fldChar w:fldCharType="end"/>
      </w:r>
    </w:p>
    <w:p w14:paraId="08553619">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_Toc24349 </w:instrText>
      </w:r>
      <w:r>
        <w:rPr>
          <w:sz w:val="24"/>
        </w:rPr>
        <w:fldChar w:fldCharType="separate"/>
      </w:r>
      <w:r>
        <w:rPr>
          <w:rFonts w:hint="eastAsia"/>
          <w:sz w:val="24"/>
          <w:lang w:val="en-US" w:eastAsia="zh-CN"/>
        </w:rPr>
        <w:t xml:space="preserve">2.14 </w:t>
      </w:r>
      <w:r>
        <w:rPr>
          <w:rFonts w:hint="eastAsia"/>
          <w:sz w:val="24"/>
        </w:rPr>
        <w:t>配套工程</w:t>
      </w:r>
      <w:r>
        <w:rPr>
          <w:sz w:val="24"/>
        </w:rPr>
        <w:tab/>
      </w:r>
      <w:r>
        <w:rPr>
          <w:sz w:val="24"/>
        </w:rPr>
        <w:fldChar w:fldCharType="begin"/>
      </w:r>
      <w:r>
        <w:rPr>
          <w:sz w:val="24"/>
        </w:rPr>
        <w:instrText xml:space="preserve"> PAGEREF _Toc24349 \h </w:instrText>
      </w:r>
      <w:r>
        <w:rPr>
          <w:sz w:val="24"/>
        </w:rPr>
        <w:fldChar w:fldCharType="separate"/>
      </w:r>
      <w:r>
        <w:rPr>
          <w:sz w:val="24"/>
        </w:rPr>
        <w:t>34</w:t>
      </w:r>
      <w:r>
        <w:rPr>
          <w:sz w:val="24"/>
        </w:rPr>
        <w:fldChar w:fldCharType="end"/>
      </w:r>
      <w:r>
        <w:rPr>
          <w:color w:val="auto"/>
          <w:sz w:val="24"/>
        </w:rPr>
        <w:fldChar w:fldCharType="end"/>
      </w:r>
    </w:p>
    <w:p w14:paraId="0D63A578">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_Toc24468 </w:instrText>
      </w:r>
      <w:r>
        <w:rPr>
          <w:sz w:val="24"/>
        </w:rPr>
        <w:fldChar w:fldCharType="separate"/>
      </w:r>
      <w:r>
        <w:rPr>
          <w:rFonts w:hint="eastAsia"/>
          <w:sz w:val="24"/>
          <w:lang w:val="en-US" w:eastAsia="zh-CN"/>
        </w:rPr>
        <w:t>2.14.1 设计概况</w:t>
      </w:r>
      <w:r>
        <w:rPr>
          <w:sz w:val="24"/>
        </w:rPr>
        <w:tab/>
      </w:r>
      <w:r>
        <w:rPr>
          <w:sz w:val="24"/>
        </w:rPr>
        <w:fldChar w:fldCharType="begin"/>
      </w:r>
      <w:r>
        <w:rPr>
          <w:sz w:val="24"/>
        </w:rPr>
        <w:instrText xml:space="preserve"> PAGEREF _Toc24468 \h </w:instrText>
      </w:r>
      <w:r>
        <w:rPr>
          <w:sz w:val="24"/>
        </w:rPr>
        <w:fldChar w:fldCharType="separate"/>
      </w:r>
      <w:r>
        <w:rPr>
          <w:sz w:val="24"/>
        </w:rPr>
        <w:t>34</w:t>
      </w:r>
      <w:r>
        <w:rPr>
          <w:sz w:val="24"/>
        </w:rPr>
        <w:fldChar w:fldCharType="end"/>
      </w:r>
      <w:r>
        <w:rPr>
          <w:color w:val="auto"/>
          <w:sz w:val="24"/>
        </w:rPr>
        <w:fldChar w:fldCharType="end"/>
      </w:r>
    </w:p>
    <w:p w14:paraId="3BF2E466">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_Toc11946 </w:instrText>
      </w:r>
      <w:r>
        <w:rPr>
          <w:sz w:val="24"/>
        </w:rPr>
        <w:fldChar w:fldCharType="separate"/>
      </w:r>
      <w:r>
        <w:rPr>
          <w:rFonts w:hint="eastAsia"/>
          <w:sz w:val="24"/>
          <w:lang w:val="en-US" w:eastAsia="zh-CN"/>
        </w:rPr>
        <w:t>2.14.2 建设概况</w:t>
      </w:r>
      <w:r>
        <w:rPr>
          <w:sz w:val="24"/>
        </w:rPr>
        <w:tab/>
      </w:r>
      <w:r>
        <w:rPr>
          <w:sz w:val="24"/>
        </w:rPr>
        <w:fldChar w:fldCharType="begin"/>
      </w:r>
      <w:r>
        <w:rPr>
          <w:sz w:val="24"/>
        </w:rPr>
        <w:instrText xml:space="preserve"> PAGEREF _Toc11946 \h </w:instrText>
      </w:r>
      <w:r>
        <w:rPr>
          <w:sz w:val="24"/>
        </w:rPr>
        <w:fldChar w:fldCharType="separate"/>
      </w:r>
      <w:r>
        <w:rPr>
          <w:sz w:val="24"/>
        </w:rPr>
        <w:t>40</w:t>
      </w:r>
      <w:r>
        <w:rPr>
          <w:sz w:val="24"/>
        </w:rPr>
        <w:fldChar w:fldCharType="end"/>
      </w:r>
      <w:r>
        <w:rPr>
          <w:color w:val="auto"/>
          <w:sz w:val="24"/>
        </w:rPr>
        <w:fldChar w:fldCharType="end"/>
      </w:r>
    </w:p>
    <w:p w14:paraId="7BE7A78F">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_Toc9643 </w:instrText>
      </w:r>
      <w:r>
        <w:rPr>
          <w:sz w:val="24"/>
        </w:rPr>
        <w:fldChar w:fldCharType="separate"/>
      </w:r>
      <w:r>
        <w:rPr>
          <w:rFonts w:hint="eastAsia"/>
          <w:sz w:val="24"/>
          <w:lang w:val="en-US" w:eastAsia="zh-CN"/>
        </w:rPr>
        <w:t>2.15 药剂设施</w:t>
      </w:r>
      <w:r>
        <w:rPr>
          <w:sz w:val="24"/>
        </w:rPr>
        <w:tab/>
      </w:r>
      <w:r>
        <w:rPr>
          <w:sz w:val="24"/>
        </w:rPr>
        <w:fldChar w:fldCharType="begin"/>
      </w:r>
      <w:r>
        <w:rPr>
          <w:sz w:val="24"/>
        </w:rPr>
        <w:instrText xml:space="preserve"> PAGEREF _Toc9643 \h </w:instrText>
      </w:r>
      <w:r>
        <w:rPr>
          <w:sz w:val="24"/>
        </w:rPr>
        <w:fldChar w:fldCharType="separate"/>
      </w:r>
      <w:r>
        <w:rPr>
          <w:sz w:val="24"/>
        </w:rPr>
        <w:t>41</w:t>
      </w:r>
      <w:r>
        <w:rPr>
          <w:sz w:val="24"/>
        </w:rPr>
        <w:fldChar w:fldCharType="end"/>
      </w:r>
      <w:r>
        <w:rPr>
          <w:color w:val="auto"/>
          <w:sz w:val="24"/>
        </w:rPr>
        <w:fldChar w:fldCharType="end"/>
      </w:r>
    </w:p>
    <w:p w14:paraId="18E73498">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_Toc21198 </w:instrText>
      </w:r>
      <w:r>
        <w:rPr>
          <w:sz w:val="24"/>
        </w:rPr>
        <w:fldChar w:fldCharType="separate"/>
      </w:r>
      <w:r>
        <w:rPr>
          <w:rFonts w:hint="eastAsia"/>
          <w:sz w:val="24"/>
        </w:rPr>
        <w:t>2</w:t>
      </w:r>
      <w:r>
        <w:rPr>
          <w:rFonts w:hint="eastAsia"/>
          <w:sz w:val="24"/>
          <w:lang w:val="en-US" w:eastAsia="zh-CN"/>
        </w:rPr>
        <w:t>.</w:t>
      </w:r>
      <w:r>
        <w:rPr>
          <w:rFonts w:hint="eastAsia"/>
          <w:sz w:val="24"/>
        </w:rPr>
        <w:t>1</w:t>
      </w:r>
      <w:r>
        <w:rPr>
          <w:rFonts w:hint="eastAsia"/>
          <w:sz w:val="24"/>
          <w:lang w:val="en-US" w:eastAsia="zh-CN"/>
        </w:rPr>
        <w:t xml:space="preserve">6 </w:t>
      </w:r>
      <w:r>
        <w:rPr>
          <w:rFonts w:hint="eastAsia"/>
          <w:sz w:val="24"/>
        </w:rPr>
        <w:t>安全管理</w:t>
      </w:r>
      <w:r>
        <w:rPr>
          <w:sz w:val="24"/>
        </w:rPr>
        <w:tab/>
      </w:r>
      <w:r>
        <w:rPr>
          <w:sz w:val="24"/>
        </w:rPr>
        <w:fldChar w:fldCharType="begin"/>
      </w:r>
      <w:r>
        <w:rPr>
          <w:sz w:val="24"/>
        </w:rPr>
        <w:instrText xml:space="preserve"> PAGEREF _Toc21198 \h </w:instrText>
      </w:r>
      <w:r>
        <w:rPr>
          <w:sz w:val="24"/>
        </w:rPr>
        <w:fldChar w:fldCharType="separate"/>
      </w:r>
      <w:r>
        <w:rPr>
          <w:sz w:val="24"/>
        </w:rPr>
        <w:t>41</w:t>
      </w:r>
      <w:r>
        <w:rPr>
          <w:sz w:val="24"/>
        </w:rPr>
        <w:fldChar w:fldCharType="end"/>
      </w:r>
      <w:r>
        <w:rPr>
          <w:color w:val="auto"/>
          <w:sz w:val="24"/>
        </w:rPr>
        <w:fldChar w:fldCharType="end"/>
      </w:r>
    </w:p>
    <w:p w14:paraId="256888A5">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_Toc6176 </w:instrText>
      </w:r>
      <w:r>
        <w:rPr>
          <w:sz w:val="24"/>
        </w:rPr>
        <w:fldChar w:fldCharType="separate"/>
      </w:r>
      <w:r>
        <w:rPr>
          <w:rFonts w:hint="eastAsia"/>
          <w:sz w:val="24"/>
          <w:lang w:eastAsia="zh-CN"/>
        </w:rPr>
        <w:t>2.16.</w:t>
      </w:r>
      <w:r>
        <w:rPr>
          <w:rFonts w:hint="eastAsia"/>
          <w:sz w:val="24"/>
        </w:rPr>
        <w:t>1</w:t>
      </w:r>
      <w:r>
        <w:rPr>
          <w:rFonts w:hint="eastAsia"/>
          <w:sz w:val="24"/>
          <w:lang w:val="en-US" w:eastAsia="zh-CN"/>
        </w:rPr>
        <w:t xml:space="preserve"> </w:t>
      </w:r>
      <w:r>
        <w:rPr>
          <w:rFonts w:hint="eastAsia"/>
          <w:sz w:val="24"/>
        </w:rPr>
        <w:t>安全生产管理机构</w:t>
      </w:r>
      <w:r>
        <w:rPr>
          <w:sz w:val="24"/>
        </w:rPr>
        <w:tab/>
      </w:r>
      <w:r>
        <w:rPr>
          <w:sz w:val="24"/>
        </w:rPr>
        <w:fldChar w:fldCharType="begin"/>
      </w:r>
      <w:r>
        <w:rPr>
          <w:sz w:val="24"/>
        </w:rPr>
        <w:instrText xml:space="preserve"> PAGEREF _Toc6176 \h </w:instrText>
      </w:r>
      <w:r>
        <w:rPr>
          <w:sz w:val="24"/>
        </w:rPr>
        <w:fldChar w:fldCharType="separate"/>
      </w:r>
      <w:r>
        <w:rPr>
          <w:sz w:val="24"/>
        </w:rPr>
        <w:t>41</w:t>
      </w:r>
      <w:r>
        <w:rPr>
          <w:sz w:val="24"/>
        </w:rPr>
        <w:fldChar w:fldCharType="end"/>
      </w:r>
      <w:r>
        <w:rPr>
          <w:color w:val="auto"/>
          <w:sz w:val="24"/>
        </w:rPr>
        <w:fldChar w:fldCharType="end"/>
      </w:r>
    </w:p>
    <w:p w14:paraId="18AEADB6">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_Toc6249 </w:instrText>
      </w:r>
      <w:r>
        <w:rPr>
          <w:sz w:val="24"/>
        </w:rPr>
        <w:fldChar w:fldCharType="separate"/>
      </w:r>
      <w:r>
        <w:rPr>
          <w:rFonts w:hint="eastAsia"/>
          <w:sz w:val="24"/>
          <w:lang w:eastAsia="zh-CN"/>
        </w:rPr>
        <w:t>2.16.</w:t>
      </w:r>
      <w:r>
        <w:rPr>
          <w:rFonts w:hint="eastAsia"/>
          <w:sz w:val="24"/>
        </w:rPr>
        <w:t>2安全教育培训及人员持证情况</w:t>
      </w:r>
      <w:r>
        <w:rPr>
          <w:sz w:val="24"/>
        </w:rPr>
        <w:tab/>
      </w:r>
      <w:r>
        <w:rPr>
          <w:sz w:val="24"/>
        </w:rPr>
        <w:fldChar w:fldCharType="begin"/>
      </w:r>
      <w:r>
        <w:rPr>
          <w:sz w:val="24"/>
        </w:rPr>
        <w:instrText xml:space="preserve"> PAGEREF _Toc6249 \h </w:instrText>
      </w:r>
      <w:r>
        <w:rPr>
          <w:sz w:val="24"/>
        </w:rPr>
        <w:fldChar w:fldCharType="separate"/>
      </w:r>
      <w:r>
        <w:rPr>
          <w:sz w:val="24"/>
        </w:rPr>
        <w:t>42</w:t>
      </w:r>
      <w:r>
        <w:rPr>
          <w:sz w:val="24"/>
        </w:rPr>
        <w:fldChar w:fldCharType="end"/>
      </w:r>
      <w:r>
        <w:rPr>
          <w:color w:val="auto"/>
          <w:sz w:val="24"/>
        </w:rPr>
        <w:fldChar w:fldCharType="end"/>
      </w:r>
    </w:p>
    <w:p w14:paraId="152127BA">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_Toc17281 </w:instrText>
      </w:r>
      <w:r>
        <w:rPr>
          <w:sz w:val="24"/>
        </w:rPr>
        <w:fldChar w:fldCharType="separate"/>
      </w:r>
      <w:r>
        <w:rPr>
          <w:rFonts w:hint="eastAsia"/>
          <w:sz w:val="24"/>
          <w:lang w:eastAsia="zh-CN"/>
        </w:rPr>
        <w:t>2.16.</w:t>
      </w:r>
      <w:r>
        <w:rPr>
          <w:rFonts w:hint="eastAsia"/>
          <w:sz w:val="24"/>
        </w:rPr>
        <w:t>3安全生产责任制、安全管理制度及安全操作规程</w:t>
      </w:r>
      <w:r>
        <w:rPr>
          <w:sz w:val="24"/>
        </w:rPr>
        <w:tab/>
      </w:r>
      <w:r>
        <w:rPr>
          <w:sz w:val="24"/>
        </w:rPr>
        <w:fldChar w:fldCharType="begin"/>
      </w:r>
      <w:r>
        <w:rPr>
          <w:sz w:val="24"/>
        </w:rPr>
        <w:instrText xml:space="preserve"> PAGEREF _Toc17281 \h </w:instrText>
      </w:r>
      <w:r>
        <w:rPr>
          <w:sz w:val="24"/>
        </w:rPr>
        <w:fldChar w:fldCharType="separate"/>
      </w:r>
      <w:r>
        <w:rPr>
          <w:sz w:val="24"/>
        </w:rPr>
        <w:t>42</w:t>
      </w:r>
      <w:r>
        <w:rPr>
          <w:sz w:val="24"/>
        </w:rPr>
        <w:fldChar w:fldCharType="end"/>
      </w:r>
      <w:r>
        <w:rPr>
          <w:color w:val="auto"/>
          <w:sz w:val="24"/>
        </w:rPr>
        <w:fldChar w:fldCharType="end"/>
      </w:r>
    </w:p>
    <w:p w14:paraId="38E2E479">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_Toc10323 </w:instrText>
      </w:r>
      <w:r>
        <w:rPr>
          <w:sz w:val="24"/>
        </w:rPr>
        <w:fldChar w:fldCharType="separate"/>
      </w:r>
      <w:r>
        <w:rPr>
          <w:rFonts w:hint="eastAsia"/>
          <w:sz w:val="24"/>
          <w:lang w:val="en-US" w:eastAsia="zh-CN"/>
        </w:rPr>
        <w:t xml:space="preserve">2.16.4 </w:t>
      </w:r>
      <w:r>
        <w:rPr>
          <w:rFonts w:hint="eastAsia"/>
          <w:sz w:val="24"/>
        </w:rPr>
        <w:t>安全管理档案</w:t>
      </w:r>
      <w:r>
        <w:rPr>
          <w:sz w:val="24"/>
        </w:rPr>
        <w:tab/>
      </w:r>
      <w:r>
        <w:rPr>
          <w:sz w:val="24"/>
        </w:rPr>
        <w:fldChar w:fldCharType="begin"/>
      </w:r>
      <w:r>
        <w:rPr>
          <w:sz w:val="24"/>
        </w:rPr>
        <w:instrText xml:space="preserve"> PAGEREF _Toc10323 \h </w:instrText>
      </w:r>
      <w:r>
        <w:rPr>
          <w:sz w:val="24"/>
        </w:rPr>
        <w:fldChar w:fldCharType="separate"/>
      </w:r>
      <w:r>
        <w:rPr>
          <w:sz w:val="24"/>
        </w:rPr>
        <w:t>44</w:t>
      </w:r>
      <w:r>
        <w:rPr>
          <w:sz w:val="24"/>
        </w:rPr>
        <w:fldChar w:fldCharType="end"/>
      </w:r>
      <w:r>
        <w:rPr>
          <w:color w:val="auto"/>
          <w:sz w:val="24"/>
        </w:rPr>
        <w:fldChar w:fldCharType="end"/>
      </w:r>
    </w:p>
    <w:p w14:paraId="02A26FBF">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_Toc18877 </w:instrText>
      </w:r>
      <w:r>
        <w:rPr>
          <w:sz w:val="24"/>
        </w:rPr>
        <w:fldChar w:fldCharType="separate"/>
      </w:r>
      <w:r>
        <w:rPr>
          <w:rFonts w:hint="eastAsia"/>
          <w:sz w:val="24"/>
          <w:lang w:eastAsia="zh-CN"/>
        </w:rPr>
        <w:t>2.16.</w:t>
      </w:r>
      <w:r>
        <w:rPr>
          <w:rFonts w:hint="eastAsia"/>
          <w:sz w:val="24"/>
        </w:rPr>
        <w:t>5应急管理</w:t>
      </w:r>
      <w:r>
        <w:rPr>
          <w:sz w:val="24"/>
        </w:rPr>
        <w:tab/>
      </w:r>
      <w:r>
        <w:rPr>
          <w:sz w:val="24"/>
        </w:rPr>
        <w:fldChar w:fldCharType="begin"/>
      </w:r>
      <w:r>
        <w:rPr>
          <w:sz w:val="24"/>
        </w:rPr>
        <w:instrText xml:space="preserve"> PAGEREF _Toc18877 \h </w:instrText>
      </w:r>
      <w:r>
        <w:rPr>
          <w:sz w:val="24"/>
        </w:rPr>
        <w:fldChar w:fldCharType="separate"/>
      </w:r>
      <w:r>
        <w:rPr>
          <w:sz w:val="24"/>
        </w:rPr>
        <w:t>45</w:t>
      </w:r>
      <w:r>
        <w:rPr>
          <w:sz w:val="24"/>
        </w:rPr>
        <w:fldChar w:fldCharType="end"/>
      </w:r>
      <w:r>
        <w:rPr>
          <w:color w:val="auto"/>
          <w:sz w:val="24"/>
        </w:rPr>
        <w:fldChar w:fldCharType="end"/>
      </w:r>
    </w:p>
    <w:p w14:paraId="18AE14FB">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_Toc12112 </w:instrText>
      </w:r>
      <w:r>
        <w:rPr>
          <w:sz w:val="24"/>
        </w:rPr>
        <w:fldChar w:fldCharType="separate"/>
      </w:r>
      <w:r>
        <w:rPr>
          <w:rFonts w:hint="eastAsia"/>
          <w:sz w:val="24"/>
          <w:lang w:eastAsia="zh-CN"/>
        </w:rPr>
        <w:t>2.16.</w:t>
      </w:r>
      <w:r>
        <w:rPr>
          <w:rFonts w:hint="eastAsia"/>
          <w:sz w:val="24"/>
        </w:rPr>
        <w:t>6保险</w:t>
      </w:r>
      <w:r>
        <w:rPr>
          <w:sz w:val="24"/>
        </w:rPr>
        <w:tab/>
      </w:r>
      <w:r>
        <w:rPr>
          <w:sz w:val="24"/>
        </w:rPr>
        <w:fldChar w:fldCharType="begin"/>
      </w:r>
      <w:r>
        <w:rPr>
          <w:sz w:val="24"/>
        </w:rPr>
        <w:instrText xml:space="preserve"> PAGEREF _Toc12112 \h </w:instrText>
      </w:r>
      <w:r>
        <w:rPr>
          <w:sz w:val="24"/>
        </w:rPr>
        <w:fldChar w:fldCharType="separate"/>
      </w:r>
      <w:r>
        <w:rPr>
          <w:sz w:val="24"/>
        </w:rPr>
        <w:t>45</w:t>
      </w:r>
      <w:r>
        <w:rPr>
          <w:sz w:val="24"/>
        </w:rPr>
        <w:fldChar w:fldCharType="end"/>
      </w:r>
      <w:r>
        <w:rPr>
          <w:color w:val="auto"/>
          <w:sz w:val="24"/>
        </w:rPr>
        <w:fldChar w:fldCharType="end"/>
      </w:r>
    </w:p>
    <w:p w14:paraId="3D9CB8A6">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_Toc13523 </w:instrText>
      </w:r>
      <w:r>
        <w:rPr>
          <w:sz w:val="24"/>
        </w:rPr>
        <w:fldChar w:fldCharType="separate"/>
      </w:r>
      <w:r>
        <w:rPr>
          <w:rFonts w:hint="eastAsia"/>
          <w:sz w:val="24"/>
          <w:lang w:eastAsia="zh-CN"/>
        </w:rPr>
        <w:t>2.16.</w:t>
      </w:r>
      <w:r>
        <w:rPr>
          <w:rFonts w:hint="eastAsia"/>
          <w:sz w:val="24"/>
        </w:rPr>
        <w:t>7劳保用品</w:t>
      </w:r>
      <w:r>
        <w:rPr>
          <w:sz w:val="24"/>
        </w:rPr>
        <w:tab/>
      </w:r>
      <w:r>
        <w:rPr>
          <w:sz w:val="24"/>
        </w:rPr>
        <w:fldChar w:fldCharType="begin"/>
      </w:r>
      <w:r>
        <w:rPr>
          <w:sz w:val="24"/>
        </w:rPr>
        <w:instrText xml:space="preserve"> PAGEREF _Toc13523 \h </w:instrText>
      </w:r>
      <w:r>
        <w:rPr>
          <w:sz w:val="24"/>
        </w:rPr>
        <w:fldChar w:fldCharType="separate"/>
      </w:r>
      <w:r>
        <w:rPr>
          <w:sz w:val="24"/>
        </w:rPr>
        <w:t>45</w:t>
      </w:r>
      <w:r>
        <w:rPr>
          <w:sz w:val="24"/>
        </w:rPr>
        <w:fldChar w:fldCharType="end"/>
      </w:r>
      <w:r>
        <w:rPr>
          <w:color w:val="auto"/>
          <w:sz w:val="24"/>
        </w:rPr>
        <w:fldChar w:fldCharType="end"/>
      </w:r>
    </w:p>
    <w:p w14:paraId="2AE49DFC">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_Toc1668 </w:instrText>
      </w:r>
      <w:r>
        <w:rPr>
          <w:sz w:val="24"/>
        </w:rPr>
        <w:fldChar w:fldCharType="separate"/>
      </w:r>
      <w:r>
        <w:rPr>
          <w:rFonts w:hint="eastAsia"/>
          <w:sz w:val="24"/>
        </w:rPr>
        <w:t>2.1</w:t>
      </w:r>
      <w:r>
        <w:rPr>
          <w:rFonts w:hint="eastAsia"/>
          <w:sz w:val="24"/>
          <w:lang w:val="en-US" w:eastAsia="zh-CN"/>
        </w:rPr>
        <w:t xml:space="preserve">7 </w:t>
      </w:r>
      <w:r>
        <w:rPr>
          <w:rFonts w:hint="eastAsia"/>
          <w:sz w:val="24"/>
        </w:rPr>
        <w:t>安全设施投入</w:t>
      </w:r>
      <w:r>
        <w:rPr>
          <w:sz w:val="24"/>
        </w:rPr>
        <w:tab/>
      </w:r>
      <w:r>
        <w:rPr>
          <w:sz w:val="24"/>
        </w:rPr>
        <w:fldChar w:fldCharType="begin"/>
      </w:r>
      <w:r>
        <w:rPr>
          <w:sz w:val="24"/>
        </w:rPr>
        <w:instrText xml:space="preserve"> PAGEREF _Toc1668 \h </w:instrText>
      </w:r>
      <w:r>
        <w:rPr>
          <w:sz w:val="24"/>
        </w:rPr>
        <w:fldChar w:fldCharType="separate"/>
      </w:r>
      <w:r>
        <w:rPr>
          <w:sz w:val="24"/>
        </w:rPr>
        <w:t>45</w:t>
      </w:r>
      <w:r>
        <w:rPr>
          <w:sz w:val="24"/>
        </w:rPr>
        <w:fldChar w:fldCharType="end"/>
      </w:r>
      <w:r>
        <w:rPr>
          <w:color w:val="auto"/>
          <w:sz w:val="24"/>
        </w:rPr>
        <w:fldChar w:fldCharType="end"/>
      </w:r>
    </w:p>
    <w:p w14:paraId="278DD557">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_Toc7155 </w:instrText>
      </w:r>
      <w:r>
        <w:rPr>
          <w:sz w:val="24"/>
        </w:rPr>
        <w:fldChar w:fldCharType="separate"/>
      </w:r>
      <w:r>
        <w:rPr>
          <w:rFonts w:hint="eastAsia"/>
          <w:sz w:val="24"/>
        </w:rPr>
        <w:t>2.1</w:t>
      </w:r>
      <w:r>
        <w:rPr>
          <w:rFonts w:hint="eastAsia"/>
          <w:sz w:val="24"/>
          <w:lang w:val="en-US" w:eastAsia="zh-CN"/>
        </w:rPr>
        <w:t xml:space="preserve">8 </w:t>
      </w:r>
      <w:r>
        <w:rPr>
          <w:rFonts w:hint="eastAsia"/>
          <w:sz w:val="24"/>
        </w:rPr>
        <w:t>安全设施情况</w:t>
      </w:r>
      <w:r>
        <w:rPr>
          <w:sz w:val="24"/>
        </w:rPr>
        <w:tab/>
      </w:r>
      <w:r>
        <w:rPr>
          <w:sz w:val="24"/>
        </w:rPr>
        <w:fldChar w:fldCharType="begin"/>
      </w:r>
      <w:r>
        <w:rPr>
          <w:sz w:val="24"/>
        </w:rPr>
        <w:instrText xml:space="preserve"> PAGEREF _Toc7155 \h </w:instrText>
      </w:r>
      <w:r>
        <w:rPr>
          <w:sz w:val="24"/>
        </w:rPr>
        <w:fldChar w:fldCharType="separate"/>
      </w:r>
      <w:r>
        <w:rPr>
          <w:sz w:val="24"/>
        </w:rPr>
        <w:t>46</w:t>
      </w:r>
      <w:r>
        <w:rPr>
          <w:sz w:val="24"/>
        </w:rPr>
        <w:fldChar w:fldCharType="end"/>
      </w:r>
      <w:r>
        <w:rPr>
          <w:color w:val="auto"/>
          <w:sz w:val="24"/>
        </w:rPr>
        <w:fldChar w:fldCharType="end"/>
      </w:r>
    </w:p>
    <w:p w14:paraId="5894C51D">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_Toc26773 </w:instrText>
      </w:r>
      <w:r>
        <w:rPr>
          <w:sz w:val="24"/>
        </w:rPr>
        <w:fldChar w:fldCharType="separate"/>
      </w:r>
      <w:r>
        <w:rPr>
          <w:rFonts w:hint="eastAsia"/>
          <w:sz w:val="24"/>
        </w:rPr>
        <w:t>2.</w:t>
      </w:r>
      <w:r>
        <w:rPr>
          <w:rFonts w:hint="eastAsia"/>
          <w:sz w:val="24"/>
          <w:lang w:val="en-US" w:eastAsia="zh-CN"/>
        </w:rPr>
        <w:t>19</w:t>
      </w:r>
      <w:r>
        <w:rPr>
          <w:rFonts w:hint="eastAsia"/>
          <w:sz w:val="24"/>
        </w:rPr>
        <w:t xml:space="preserve"> 施工及监理概况</w:t>
      </w:r>
      <w:r>
        <w:rPr>
          <w:sz w:val="24"/>
        </w:rPr>
        <w:tab/>
      </w:r>
      <w:r>
        <w:rPr>
          <w:sz w:val="24"/>
        </w:rPr>
        <w:fldChar w:fldCharType="begin"/>
      </w:r>
      <w:r>
        <w:rPr>
          <w:sz w:val="24"/>
        </w:rPr>
        <w:instrText xml:space="preserve"> PAGEREF _Toc26773 \h </w:instrText>
      </w:r>
      <w:r>
        <w:rPr>
          <w:sz w:val="24"/>
        </w:rPr>
        <w:fldChar w:fldCharType="separate"/>
      </w:r>
      <w:r>
        <w:rPr>
          <w:sz w:val="24"/>
        </w:rPr>
        <w:t>47</w:t>
      </w:r>
      <w:r>
        <w:rPr>
          <w:sz w:val="24"/>
        </w:rPr>
        <w:fldChar w:fldCharType="end"/>
      </w:r>
      <w:r>
        <w:rPr>
          <w:color w:val="auto"/>
          <w:sz w:val="24"/>
        </w:rPr>
        <w:fldChar w:fldCharType="end"/>
      </w:r>
    </w:p>
    <w:p w14:paraId="768D208F">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_Toc5776 </w:instrText>
      </w:r>
      <w:r>
        <w:rPr>
          <w:sz w:val="24"/>
        </w:rPr>
        <w:fldChar w:fldCharType="separate"/>
      </w:r>
      <w:r>
        <w:rPr>
          <w:rFonts w:hint="eastAsia"/>
          <w:sz w:val="24"/>
        </w:rPr>
        <w:t>2.</w:t>
      </w:r>
      <w:r>
        <w:rPr>
          <w:rFonts w:hint="eastAsia"/>
          <w:sz w:val="24"/>
          <w:lang w:val="en-US" w:eastAsia="zh-CN"/>
        </w:rPr>
        <w:t>20</w:t>
      </w:r>
      <w:r>
        <w:rPr>
          <w:rFonts w:hint="eastAsia"/>
          <w:sz w:val="24"/>
        </w:rPr>
        <w:t xml:space="preserve"> 试运行情况</w:t>
      </w:r>
      <w:r>
        <w:rPr>
          <w:sz w:val="24"/>
        </w:rPr>
        <w:tab/>
      </w:r>
      <w:r>
        <w:rPr>
          <w:sz w:val="24"/>
        </w:rPr>
        <w:fldChar w:fldCharType="begin"/>
      </w:r>
      <w:r>
        <w:rPr>
          <w:sz w:val="24"/>
        </w:rPr>
        <w:instrText xml:space="preserve"> PAGEREF _Toc5776 \h </w:instrText>
      </w:r>
      <w:r>
        <w:rPr>
          <w:sz w:val="24"/>
        </w:rPr>
        <w:fldChar w:fldCharType="separate"/>
      </w:r>
      <w:r>
        <w:rPr>
          <w:sz w:val="24"/>
        </w:rPr>
        <w:t>48</w:t>
      </w:r>
      <w:r>
        <w:rPr>
          <w:sz w:val="24"/>
        </w:rPr>
        <w:fldChar w:fldCharType="end"/>
      </w:r>
      <w:r>
        <w:rPr>
          <w:color w:val="auto"/>
          <w:sz w:val="24"/>
        </w:rPr>
        <w:fldChar w:fldCharType="end"/>
      </w:r>
    </w:p>
    <w:p w14:paraId="6038D58B">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_Toc24806 </w:instrText>
      </w:r>
      <w:r>
        <w:rPr>
          <w:sz w:val="24"/>
        </w:rPr>
        <w:fldChar w:fldCharType="separate"/>
      </w:r>
      <w:r>
        <w:rPr>
          <w:rFonts w:hint="default"/>
          <w:sz w:val="24"/>
          <w:lang w:val="en-US" w:eastAsia="zh-CN"/>
        </w:rPr>
        <w:t>2.</w:t>
      </w:r>
      <w:r>
        <w:rPr>
          <w:rFonts w:hint="eastAsia"/>
          <w:sz w:val="24"/>
          <w:lang w:val="en-US" w:eastAsia="zh-CN"/>
        </w:rPr>
        <w:t>21</w:t>
      </w:r>
      <w:r>
        <w:rPr>
          <w:rFonts w:hint="default"/>
          <w:sz w:val="24"/>
          <w:lang w:val="en-US" w:eastAsia="zh-CN"/>
        </w:rPr>
        <w:t xml:space="preserve"> 建设项目情况照片</w:t>
      </w:r>
      <w:r>
        <w:rPr>
          <w:sz w:val="24"/>
        </w:rPr>
        <w:tab/>
      </w:r>
      <w:r>
        <w:rPr>
          <w:sz w:val="24"/>
        </w:rPr>
        <w:fldChar w:fldCharType="begin"/>
      </w:r>
      <w:r>
        <w:rPr>
          <w:sz w:val="24"/>
        </w:rPr>
        <w:instrText xml:space="preserve"> PAGEREF _Toc24806 \h </w:instrText>
      </w:r>
      <w:r>
        <w:rPr>
          <w:sz w:val="24"/>
        </w:rPr>
        <w:fldChar w:fldCharType="separate"/>
      </w:r>
      <w:r>
        <w:rPr>
          <w:sz w:val="24"/>
        </w:rPr>
        <w:t>49</w:t>
      </w:r>
      <w:r>
        <w:rPr>
          <w:sz w:val="24"/>
        </w:rPr>
        <w:fldChar w:fldCharType="end"/>
      </w:r>
      <w:r>
        <w:rPr>
          <w:color w:val="auto"/>
          <w:sz w:val="24"/>
        </w:rPr>
        <w:fldChar w:fldCharType="end"/>
      </w:r>
    </w:p>
    <w:p w14:paraId="78322CDE">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_Toc5442 </w:instrText>
      </w:r>
      <w:r>
        <w:rPr>
          <w:sz w:val="24"/>
        </w:rPr>
        <w:fldChar w:fldCharType="separate"/>
      </w:r>
      <w:r>
        <w:rPr>
          <w:rFonts w:hint="eastAsia"/>
          <w:sz w:val="24"/>
        </w:rPr>
        <w:t>3 危险、有害因素辨识与分析</w:t>
      </w:r>
      <w:r>
        <w:rPr>
          <w:sz w:val="24"/>
        </w:rPr>
        <w:tab/>
      </w:r>
      <w:r>
        <w:rPr>
          <w:sz w:val="24"/>
        </w:rPr>
        <w:fldChar w:fldCharType="begin"/>
      </w:r>
      <w:r>
        <w:rPr>
          <w:sz w:val="24"/>
        </w:rPr>
        <w:instrText xml:space="preserve"> PAGEREF _Toc5442 \h </w:instrText>
      </w:r>
      <w:r>
        <w:rPr>
          <w:sz w:val="24"/>
        </w:rPr>
        <w:fldChar w:fldCharType="separate"/>
      </w:r>
      <w:r>
        <w:rPr>
          <w:sz w:val="24"/>
        </w:rPr>
        <w:t>55</w:t>
      </w:r>
      <w:r>
        <w:rPr>
          <w:sz w:val="24"/>
        </w:rPr>
        <w:fldChar w:fldCharType="end"/>
      </w:r>
      <w:r>
        <w:rPr>
          <w:color w:val="auto"/>
          <w:sz w:val="24"/>
        </w:rPr>
        <w:fldChar w:fldCharType="end"/>
      </w:r>
    </w:p>
    <w:p w14:paraId="086CB531">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_Toc19846 </w:instrText>
      </w:r>
      <w:r>
        <w:rPr>
          <w:sz w:val="24"/>
        </w:rPr>
        <w:fldChar w:fldCharType="separate"/>
      </w:r>
      <w:r>
        <w:rPr>
          <w:rFonts w:hint="eastAsia"/>
          <w:sz w:val="24"/>
        </w:rPr>
        <w:t>3.1 主要物料危险、有害因素、有害程度分析</w:t>
      </w:r>
      <w:r>
        <w:rPr>
          <w:sz w:val="24"/>
        </w:rPr>
        <w:tab/>
      </w:r>
      <w:r>
        <w:rPr>
          <w:sz w:val="24"/>
        </w:rPr>
        <w:fldChar w:fldCharType="begin"/>
      </w:r>
      <w:r>
        <w:rPr>
          <w:sz w:val="24"/>
        </w:rPr>
        <w:instrText xml:space="preserve"> PAGEREF _Toc19846 \h </w:instrText>
      </w:r>
      <w:r>
        <w:rPr>
          <w:sz w:val="24"/>
        </w:rPr>
        <w:fldChar w:fldCharType="separate"/>
      </w:r>
      <w:r>
        <w:rPr>
          <w:sz w:val="24"/>
        </w:rPr>
        <w:t>55</w:t>
      </w:r>
      <w:r>
        <w:rPr>
          <w:sz w:val="24"/>
        </w:rPr>
        <w:fldChar w:fldCharType="end"/>
      </w:r>
      <w:r>
        <w:rPr>
          <w:color w:val="auto"/>
          <w:sz w:val="24"/>
        </w:rPr>
        <w:fldChar w:fldCharType="end"/>
      </w:r>
    </w:p>
    <w:p w14:paraId="36A2A840">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_Toc13920 </w:instrText>
      </w:r>
      <w:r>
        <w:rPr>
          <w:sz w:val="24"/>
        </w:rPr>
        <w:fldChar w:fldCharType="separate"/>
      </w:r>
      <w:r>
        <w:rPr>
          <w:rFonts w:hint="eastAsia"/>
          <w:sz w:val="24"/>
        </w:rPr>
        <w:t>3.1.1</w:t>
      </w:r>
      <w:r>
        <w:rPr>
          <w:rFonts w:hint="eastAsia"/>
          <w:sz w:val="24"/>
          <w:lang w:val="en-US" w:eastAsia="zh-CN"/>
        </w:rPr>
        <w:t xml:space="preserve"> </w:t>
      </w:r>
      <w:r>
        <w:rPr>
          <w:rFonts w:hint="eastAsia"/>
          <w:sz w:val="24"/>
        </w:rPr>
        <w:t>危险化学品辨识</w:t>
      </w:r>
      <w:r>
        <w:rPr>
          <w:sz w:val="24"/>
        </w:rPr>
        <w:tab/>
      </w:r>
      <w:r>
        <w:rPr>
          <w:sz w:val="24"/>
        </w:rPr>
        <w:fldChar w:fldCharType="begin"/>
      </w:r>
      <w:r>
        <w:rPr>
          <w:sz w:val="24"/>
        </w:rPr>
        <w:instrText xml:space="preserve"> PAGEREF _Toc13920 \h </w:instrText>
      </w:r>
      <w:r>
        <w:rPr>
          <w:sz w:val="24"/>
        </w:rPr>
        <w:fldChar w:fldCharType="separate"/>
      </w:r>
      <w:r>
        <w:rPr>
          <w:sz w:val="24"/>
        </w:rPr>
        <w:t>55</w:t>
      </w:r>
      <w:r>
        <w:rPr>
          <w:sz w:val="24"/>
        </w:rPr>
        <w:fldChar w:fldCharType="end"/>
      </w:r>
      <w:r>
        <w:rPr>
          <w:color w:val="auto"/>
          <w:sz w:val="24"/>
        </w:rPr>
        <w:fldChar w:fldCharType="end"/>
      </w:r>
    </w:p>
    <w:p w14:paraId="1E588693">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_Toc20943 </w:instrText>
      </w:r>
      <w:r>
        <w:rPr>
          <w:sz w:val="24"/>
        </w:rPr>
        <w:fldChar w:fldCharType="separate"/>
      </w:r>
      <w:r>
        <w:rPr>
          <w:rFonts w:hint="eastAsia"/>
          <w:sz w:val="24"/>
        </w:rPr>
        <w:t>3.1.2</w:t>
      </w:r>
      <w:r>
        <w:rPr>
          <w:rFonts w:hint="eastAsia"/>
          <w:sz w:val="24"/>
          <w:lang w:val="en-US" w:eastAsia="zh-CN"/>
        </w:rPr>
        <w:t xml:space="preserve"> </w:t>
      </w:r>
      <w:r>
        <w:rPr>
          <w:rFonts w:hint="eastAsia"/>
          <w:sz w:val="24"/>
        </w:rPr>
        <w:t>危险、有害物质的主要危险特性</w:t>
      </w:r>
      <w:r>
        <w:rPr>
          <w:sz w:val="24"/>
        </w:rPr>
        <w:tab/>
      </w:r>
      <w:r>
        <w:rPr>
          <w:sz w:val="24"/>
        </w:rPr>
        <w:fldChar w:fldCharType="begin"/>
      </w:r>
      <w:r>
        <w:rPr>
          <w:sz w:val="24"/>
        </w:rPr>
        <w:instrText xml:space="preserve"> PAGEREF _Toc20943 \h </w:instrText>
      </w:r>
      <w:r>
        <w:rPr>
          <w:sz w:val="24"/>
        </w:rPr>
        <w:fldChar w:fldCharType="separate"/>
      </w:r>
      <w:r>
        <w:rPr>
          <w:sz w:val="24"/>
        </w:rPr>
        <w:t>56</w:t>
      </w:r>
      <w:r>
        <w:rPr>
          <w:sz w:val="24"/>
        </w:rPr>
        <w:fldChar w:fldCharType="end"/>
      </w:r>
      <w:r>
        <w:rPr>
          <w:color w:val="auto"/>
          <w:sz w:val="24"/>
        </w:rPr>
        <w:fldChar w:fldCharType="end"/>
      </w:r>
    </w:p>
    <w:p w14:paraId="373CBA15">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_Toc7353 </w:instrText>
      </w:r>
      <w:r>
        <w:rPr>
          <w:sz w:val="24"/>
        </w:rPr>
        <w:fldChar w:fldCharType="separate"/>
      </w:r>
      <w:r>
        <w:rPr>
          <w:rFonts w:hint="eastAsia"/>
          <w:sz w:val="24"/>
          <w:lang w:val="en-US" w:eastAsia="zh-CN"/>
        </w:rPr>
        <w:t>3.2 场区布置、自然环境及周边环境安全影响分析</w:t>
      </w:r>
      <w:r>
        <w:rPr>
          <w:sz w:val="24"/>
        </w:rPr>
        <w:tab/>
      </w:r>
      <w:r>
        <w:rPr>
          <w:sz w:val="24"/>
        </w:rPr>
        <w:fldChar w:fldCharType="begin"/>
      </w:r>
      <w:r>
        <w:rPr>
          <w:sz w:val="24"/>
        </w:rPr>
        <w:instrText xml:space="preserve"> PAGEREF _Toc7353 \h </w:instrText>
      </w:r>
      <w:r>
        <w:rPr>
          <w:sz w:val="24"/>
        </w:rPr>
        <w:fldChar w:fldCharType="separate"/>
      </w:r>
      <w:r>
        <w:rPr>
          <w:sz w:val="24"/>
        </w:rPr>
        <w:t>70</w:t>
      </w:r>
      <w:r>
        <w:rPr>
          <w:sz w:val="24"/>
        </w:rPr>
        <w:fldChar w:fldCharType="end"/>
      </w:r>
      <w:r>
        <w:rPr>
          <w:color w:val="auto"/>
          <w:sz w:val="24"/>
        </w:rPr>
        <w:fldChar w:fldCharType="end"/>
      </w:r>
    </w:p>
    <w:p w14:paraId="15B01EA8">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_Toc18122 </w:instrText>
      </w:r>
      <w:r>
        <w:rPr>
          <w:sz w:val="24"/>
        </w:rPr>
        <w:fldChar w:fldCharType="separate"/>
      </w:r>
      <w:r>
        <w:rPr>
          <w:rFonts w:hint="eastAsia"/>
          <w:sz w:val="24"/>
          <w:lang w:val="en-US" w:eastAsia="zh-CN"/>
        </w:rPr>
        <w:t>3.2.1 厂址</w:t>
      </w:r>
      <w:r>
        <w:rPr>
          <w:rFonts w:hint="eastAsia"/>
          <w:sz w:val="24"/>
        </w:rPr>
        <w:t>及平面布置危险有害因素及程度分析</w:t>
      </w:r>
      <w:r>
        <w:rPr>
          <w:sz w:val="24"/>
        </w:rPr>
        <w:tab/>
      </w:r>
      <w:r>
        <w:rPr>
          <w:sz w:val="24"/>
        </w:rPr>
        <w:fldChar w:fldCharType="begin"/>
      </w:r>
      <w:r>
        <w:rPr>
          <w:sz w:val="24"/>
        </w:rPr>
        <w:instrText xml:space="preserve"> PAGEREF _Toc18122 \h </w:instrText>
      </w:r>
      <w:r>
        <w:rPr>
          <w:sz w:val="24"/>
        </w:rPr>
        <w:fldChar w:fldCharType="separate"/>
      </w:r>
      <w:r>
        <w:rPr>
          <w:sz w:val="24"/>
        </w:rPr>
        <w:t>70</w:t>
      </w:r>
      <w:r>
        <w:rPr>
          <w:sz w:val="24"/>
        </w:rPr>
        <w:fldChar w:fldCharType="end"/>
      </w:r>
      <w:r>
        <w:rPr>
          <w:color w:val="auto"/>
          <w:sz w:val="24"/>
        </w:rPr>
        <w:fldChar w:fldCharType="end"/>
      </w:r>
    </w:p>
    <w:p w14:paraId="0051820D">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_Toc16603 </w:instrText>
      </w:r>
      <w:r>
        <w:rPr>
          <w:sz w:val="24"/>
        </w:rPr>
        <w:fldChar w:fldCharType="separate"/>
      </w:r>
      <w:r>
        <w:rPr>
          <w:rFonts w:hint="eastAsia"/>
          <w:sz w:val="24"/>
        </w:rPr>
        <w:t>3.2.</w:t>
      </w:r>
      <w:r>
        <w:rPr>
          <w:rFonts w:hint="eastAsia"/>
          <w:sz w:val="24"/>
          <w:lang w:val="en-US" w:eastAsia="zh-CN"/>
        </w:rPr>
        <w:t xml:space="preserve">2 </w:t>
      </w:r>
      <w:r>
        <w:rPr>
          <w:rFonts w:hint="eastAsia"/>
          <w:sz w:val="24"/>
        </w:rPr>
        <w:t>自然环境安全影响分析</w:t>
      </w:r>
      <w:r>
        <w:rPr>
          <w:sz w:val="24"/>
        </w:rPr>
        <w:tab/>
      </w:r>
      <w:r>
        <w:rPr>
          <w:sz w:val="24"/>
        </w:rPr>
        <w:fldChar w:fldCharType="begin"/>
      </w:r>
      <w:r>
        <w:rPr>
          <w:sz w:val="24"/>
        </w:rPr>
        <w:instrText xml:space="preserve"> PAGEREF _Toc16603 \h </w:instrText>
      </w:r>
      <w:r>
        <w:rPr>
          <w:sz w:val="24"/>
        </w:rPr>
        <w:fldChar w:fldCharType="separate"/>
      </w:r>
      <w:r>
        <w:rPr>
          <w:sz w:val="24"/>
        </w:rPr>
        <w:t>71</w:t>
      </w:r>
      <w:r>
        <w:rPr>
          <w:sz w:val="24"/>
        </w:rPr>
        <w:fldChar w:fldCharType="end"/>
      </w:r>
      <w:r>
        <w:rPr>
          <w:color w:val="auto"/>
          <w:sz w:val="24"/>
        </w:rPr>
        <w:fldChar w:fldCharType="end"/>
      </w:r>
    </w:p>
    <w:p w14:paraId="42E60723">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_Toc24523 </w:instrText>
      </w:r>
      <w:r>
        <w:rPr>
          <w:sz w:val="24"/>
        </w:rPr>
        <w:fldChar w:fldCharType="separate"/>
      </w:r>
      <w:r>
        <w:rPr>
          <w:rFonts w:hint="eastAsia"/>
          <w:sz w:val="24"/>
        </w:rPr>
        <w:t>3.2.</w:t>
      </w:r>
      <w:r>
        <w:rPr>
          <w:rFonts w:hint="eastAsia"/>
          <w:sz w:val="24"/>
          <w:lang w:val="en-US" w:eastAsia="zh-CN"/>
        </w:rPr>
        <w:t xml:space="preserve">3 </w:t>
      </w:r>
      <w:r>
        <w:rPr>
          <w:rFonts w:hint="eastAsia"/>
          <w:sz w:val="24"/>
        </w:rPr>
        <w:t>选矿厂周边环境危险因素分析</w:t>
      </w:r>
      <w:r>
        <w:rPr>
          <w:sz w:val="24"/>
        </w:rPr>
        <w:tab/>
      </w:r>
      <w:r>
        <w:rPr>
          <w:sz w:val="24"/>
        </w:rPr>
        <w:fldChar w:fldCharType="begin"/>
      </w:r>
      <w:r>
        <w:rPr>
          <w:sz w:val="24"/>
        </w:rPr>
        <w:instrText xml:space="preserve"> PAGEREF _Toc24523 \h </w:instrText>
      </w:r>
      <w:r>
        <w:rPr>
          <w:sz w:val="24"/>
        </w:rPr>
        <w:fldChar w:fldCharType="separate"/>
      </w:r>
      <w:r>
        <w:rPr>
          <w:sz w:val="24"/>
        </w:rPr>
        <w:t>73</w:t>
      </w:r>
      <w:r>
        <w:rPr>
          <w:sz w:val="24"/>
        </w:rPr>
        <w:fldChar w:fldCharType="end"/>
      </w:r>
      <w:r>
        <w:rPr>
          <w:color w:val="auto"/>
          <w:sz w:val="24"/>
        </w:rPr>
        <w:fldChar w:fldCharType="end"/>
      </w:r>
    </w:p>
    <w:p w14:paraId="2F9349B8">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_Toc14788 </w:instrText>
      </w:r>
      <w:r>
        <w:rPr>
          <w:sz w:val="24"/>
        </w:rPr>
        <w:fldChar w:fldCharType="separate"/>
      </w:r>
      <w:r>
        <w:rPr>
          <w:rFonts w:hint="eastAsia"/>
          <w:sz w:val="24"/>
        </w:rPr>
        <w:t>3.3</w:t>
      </w:r>
      <w:r>
        <w:rPr>
          <w:rFonts w:hint="eastAsia"/>
          <w:sz w:val="24"/>
          <w:lang w:val="en-US" w:eastAsia="zh-CN"/>
        </w:rPr>
        <w:t xml:space="preserve"> </w:t>
      </w:r>
      <w:r>
        <w:rPr>
          <w:rFonts w:hint="eastAsia"/>
          <w:sz w:val="24"/>
        </w:rPr>
        <w:t>生产过程中的危险性分析</w:t>
      </w:r>
      <w:r>
        <w:rPr>
          <w:sz w:val="24"/>
        </w:rPr>
        <w:tab/>
      </w:r>
      <w:r>
        <w:rPr>
          <w:sz w:val="24"/>
        </w:rPr>
        <w:fldChar w:fldCharType="begin"/>
      </w:r>
      <w:r>
        <w:rPr>
          <w:sz w:val="24"/>
        </w:rPr>
        <w:instrText xml:space="preserve"> PAGEREF _Toc14788 \h </w:instrText>
      </w:r>
      <w:r>
        <w:rPr>
          <w:sz w:val="24"/>
        </w:rPr>
        <w:fldChar w:fldCharType="separate"/>
      </w:r>
      <w:r>
        <w:rPr>
          <w:sz w:val="24"/>
        </w:rPr>
        <w:t>74</w:t>
      </w:r>
      <w:r>
        <w:rPr>
          <w:sz w:val="24"/>
        </w:rPr>
        <w:fldChar w:fldCharType="end"/>
      </w:r>
      <w:r>
        <w:rPr>
          <w:color w:val="auto"/>
          <w:sz w:val="24"/>
        </w:rPr>
        <w:fldChar w:fldCharType="end"/>
      </w:r>
    </w:p>
    <w:p w14:paraId="7489161E">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_Toc11498 </w:instrText>
      </w:r>
      <w:r>
        <w:rPr>
          <w:sz w:val="24"/>
        </w:rPr>
        <w:fldChar w:fldCharType="separate"/>
      </w:r>
      <w:r>
        <w:rPr>
          <w:rFonts w:hint="eastAsia"/>
          <w:sz w:val="24"/>
        </w:rPr>
        <w:t>3.3.1</w:t>
      </w:r>
      <w:r>
        <w:rPr>
          <w:rFonts w:hint="eastAsia"/>
          <w:sz w:val="24"/>
          <w:lang w:val="en-US" w:eastAsia="zh-CN"/>
        </w:rPr>
        <w:t xml:space="preserve"> </w:t>
      </w:r>
      <w:r>
        <w:rPr>
          <w:rFonts w:hint="eastAsia"/>
          <w:sz w:val="24"/>
        </w:rPr>
        <w:t>机械伤害</w:t>
      </w:r>
      <w:r>
        <w:rPr>
          <w:sz w:val="24"/>
        </w:rPr>
        <w:tab/>
      </w:r>
      <w:r>
        <w:rPr>
          <w:sz w:val="24"/>
        </w:rPr>
        <w:fldChar w:fldCharType="begin"/>
      </w:r>
      <w:r>
        <w:rPr>
          <w:sz w:val="24"/>
        </w:rPr>
        <w:instrText xml:space="preserve"> PAGEREF _Toc11498 \h </w:instrText>
      </w:r>
      <w:r>
        <w:rPr>
          <w:sz w:val="24"/>
        </w:rPr>
        <w:fldChar w:fldCharType="separate"/>
      </w:r>
      <w:r>
        <w:rPr>
          <w:sz w:val="24"/>
        </w:rPr>
        <w:t>74</w:t>
      </w:r>
      <w:r>
        <w:rPr>
          <w:sz w:val="24"/>
        </w:rPr>
        <w:fldChar w:fldCharType="end"/>
      </w:r>
      <w:r>
        <w:rPr>
          <w:color w:val="auto"/>
          <w:sz w:val="24"/>
        </w:rPr>
        <w:fldChar w:fldCharType="end"/>
      </w:r>
    </w:p>
    <w:p w14:paraId="6E7D5453">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_Toc8184 </w:instrText>
      </w:r>
      <w:r>
        <w:rPr>
          <w:sz w:val="24"/>
        </w:rPr>
        <w:fldChar w:fldCharType="separate"/>
      </w:r>
      <w:r>
        <w:rPr>
          <w:rFonts w:hint="eastAsia"/>
          <w:sz w:val="24"/>
        </w:rPr>
        <w:t>3.3.2</w:t>
      </w:r>
      <w:r>
        <w:rPr>
          <w:rFonts w:hint="eastAsia"/>
          <w:sz w:val="24"/>
          <w:lang w:val="en-US" w:eastAsia="zh-CN"/>
        </w:rPr>
        <w:t xml:space="preserve"> </w:t>
      </w:r>
      <w:r>
        <w:rPr>
          <w:rFonts w:hint="eastAsia"/>
          <w:sz w:val="24"/>
        </w:rPr>
        <w:t>物体打击</w:t>
      </w:r>
      <w:r>
        <w:rPr>
          <w:sz w:val="24"/>
        </w:rPr>
        <w:tab/>
      </w:r>
      <w:r>
        <w:rPr>
          <w:sz w:val="24"/>
        </w:rPr>
        <w:fldChar w:fldCharType="begin"/>
      </w:r>
      <w:r>
        <w:rPr>
          <w:sz w:val="24"/>
        </w:rPr>
        <w:instrText xml:space="preserve"> PAGEREF _Toc8184 \h </w:instrText>
      </w:r>
      <w:r>
        <w:rPr>
          <w:sz w:val="24"/>
        </w:rPr>
        <w:fldChar w:fldCharType="separate"/>
      </w:r>
      <w:r>
        <w:rPr>
          <w:sz w:val="24"/>
        </w:rPr>
        <w:t>75</w:t>
      </w:r>
      <w:r>
        <w:rPr>
          <w:sz w:val="24"/>
        </w:rPr>
        <w:fldChar w:fldCharType="end"/>
      </w:r>
      <w:r>
        <w:rPr>
          <w:color w:val="auto"/>
          <w:sz w:val="24"/>
        </w:rPr>
        <w:fldChar w:fldCharType="end"/>
      </w:r>
    </w:p>
    <w:p w14:paraId="282B00ED">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_Toc12863 </w:instrText>
      </w:r>
      <w:r>
        <w:rPr>
          <w:sz w:val="24"/>
        </w:rPr>
        <w:fldChar w:fldCharType="separate"/>
      </w:r>
      <w:r>
        <w:rPr>
          <w:rFonts w:hint="eastAsia"/>
          <w:sz w:val="24"/>
        </w:rPr>
        <w:t>3.3.3</w:t>
      </w:r>
      <w:r>
        <w:rPr>
          <w:rFonts w:hint="eastAsia"/>
          <w:sz w:val="24"/>
          <w:lang w:val="en-US" w:eastAsia="zh-CN"/>
        </w:rPr>
        <w:t xml:space="preserve"> </w:t>
      </w:r>
      <w:r>
        <w:rPr>
          <w:rFonts w:hint="eastAsia"/>
          <w:sz w:val="24"/>
        </w:rPr>
        <w:t>高处坠落</w:t>
      </w:r>
      <w:r>
        <w:rPr>
          <w:sz w:val="24"/>
        </w:rPr>
        <w:tab/>
      </w:r>
      <w:r>
        <w:rPr>
          <w:sz w:val="24"/>
        </w:rPr>
        <w:fldChar w:fldCharType="begin"/>
      </w:r>
      <w:r>
        <w:rPr>
          <w:sz w:val="24"/>
        </w:rPr>
        <w:instrText xml:space="preserve"> PAGEREF _Toc12863 \h </w:instrText>
      </w:r>
      <w:r>
        <w:rPr>
          <w:sz w:val="24"/>
        </w:rPr>
        <w:fldChar w:fldCharType="separate"/>
      </w:r>
      <w:r>
        <w:rPr>
          <w:sz w:val="24"/>
        </w:rPr>
        <w:t>75</w:t>
      </w:r>
      <w:r>
        <w:rPr>
          <w:sz w:val="24"/>
        </w:rPr>
        <w:fldChar w:fldCharType="end"/>
      </w:r>
      <w:r>
        <w:rPr>
          <w:color w:val="auto"/>
          <w:sz w:val="24"/>
        </w:rPr>
        <w:fldChar w:fldCharType="end"/>
      </w:r>
    </w:p>
    <w:p w14:paraId="29EBBFCF">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_Toc1606 </w:instrText>
      </w:r>
      <w:r>
        <w:rPr>
          <w:sz w:val="24"/>
        </w:rPr>
        <w:fldChar w:fldCharType="separate"/>
      </w:r>
      <w:r>
        <w:rPr>
          <w:rFonts w:hint="eastAsia"/>
          <w:sz w:val="24"/>
        </w:rPr>
        <w:t>3.3.4</w:t>
      </w:r>
      <w:r>
        <w:rPr>
          <w:rFonts w:hint="eastAsia"/>
          <w:sz w:val="24"/>
          <w:lang w:val="en-US" w:eastAsia="zh-CN"/>
        </w:rPr>
        <w:t xml:space="preserve"> </w:t>
      </w:r>
      <w:r>
        <w:rPr>
          <w:rFonts w:hint="eastAsia"/>
          <w:sz w:val="24"/>
        </w:rPr>
        <w:t>触电</w:t>
      </w:r>
      <w:r>
        <w:rPr>
          <w:sz w:val="24"/>
        </w:rPr>
        <w:tab/>
      </w:r>
      <w:r>
        <w:rPr>
          <w:sz w:val="24"/>
        </w:rPr>
        <w:fldChar w:fldCharType="begin"/>
      </w:r>
      <w:r>
        <w:rPr>
          <w:sz w:val="24"/>
        </w:rPr>
        <w:instrText xml:space="preserve"> PAGEREF _Toc1606 \h </w:instrText>
      </w:r>
      <w:r>
        <w:rPr>
          <w:sz w:val="24"/>
        </w:rPr>
        <w:fldChar w:fldCharType="separate"/>
      </w:r>
      <w:r>
        <w:rPr>
          <w:sz w:val="24"/>
        </w:rPr>
        <w:t>77</w:t>
      </w:r>
      <w:r>
        <w:rPr>
          <w:sz w:val="24"/>
        </w:rPr>
        <w:fldChar w:fldCharType="end"/>
      </w:r>
      <w:r>
        <w:rPr>
          <w:color w:val="auto"/>
          <w:sz w:val="24"/>
        </w:rPr>
        <w:fldChar w:fldCharType="end"/>
      </w:r>
    </w:p>
    <w:p w14:paraId="03BAE1E0">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_Toc16912 </w:instrText>
      </w:r>
      <w:r>
        <w:rPr>
          <w:sz w:val="24"/>
        </w:rPr>
        <w:fldChar w:fldCharType="separate"/>
      </w:r>
      <w:r>
        <w:rPr>
          <w:rFonts w:hint="eastAsia"/>
          <w:sz w:val="24"/>
        </w:rPr>
        <w:t>3.3.5</w:t>
      </w:r>
      <w:r>
        <w:rPr>
          <w:rFonts w:hint="eastAsia"/>
          <w:sz w:val="24"/>
          <w:lang w:val="en-US" w:eastAsia="zh-CN"/>
        </w:rPr>
        <w:t xml:space="preserve"> </w:t>
      </w:r>
      <w:r>
        <w:rPr>
          <w:rFonts w:hint="eastAsia"/>
          <w:sz w:val="24"/>
        </w:rPr>
        <w:t>淹溺</w:t>
      </w:r>
      <w:r>
        <w:rPr>
          <w:sz w:val="24"/>
        </w:rPr>
        <w:tab/>
      </w:r>
      <w:r>
        <w:rPr>
          <w:sz w:val="24"/>
        </w:rPr>
        <w:fldChar w:fldCharType="begin"/>
      </w:r>
      <w:r>
        <w:rPr>
          <w:sz w:val="24"/>
        </w:rPr>
        <w:instrText xml:space="preserve"> PAGEREF _Toc16912 \h </w:instrText>
      </w:r>
      <w:r>
        <w:rPr>
          <w:sz w:val="24"/>
        </w:rPr>
        <w:fldChar w:fldCharType="separate"/>
      </w:r>
      <w:r>
        <w:rPr>
          <w:sz w:val="24"/>
        </w:rPr>
        <w:t>79</w:t>
      </w:r>
      <w:r>
        <w:rPr>
          <w:sz w:val="24"/>
        </w:rPr>
        <w:fldChar w:fldCharType="end"/>
      </w:r>
      <w:r>
        <w:rPr>
          <w:color w:val="auto"/>
          <w:sz w:val="24"/>
        </w:rPr>
        <w:fldChar w:fldCharType="end"/>
      </w:r>
    </w:p>
    <w:p w14:paraId="00EB3B27">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_Toc7624 </w:instrText>
      </w:r>
      <w:r>
        <w:rPr>
          <w:sz w:val="24"/>
        </w:rPr>
        <w:fldChar w:fldCharType="separate"/>
      </w:r>
      <w:r>
        <w:rPr>
          <w:rFonts w:hint="eastAsia"/>
          <w:sz w:val="24"/>
        </w:rPr>
        <w:t>3.3.6</w:t>
      </w:r>
      <w:r>
        <w:rPr>
          <w:rFonts w:hint="eastAsia"/>
          <w:sz w:val="24"/>
          <w:lang w:val="en-US" w:eastAsia="zh-CN"/>
        </w:rPr>
        <w:t xml:space="preserve"> </w:t>
      </w:r>
      <w:r>
        <w:rPr>
          <w:rFonts w:hint="eastAsia"/>
          <w:sz w:val="24"/>
        </w:rPr>
        <w:t>火灾</w:t>
      </w:r>
      <w:r>
        <w:rPr>
          <w:sz w:val="24"/>
        </w:rPr>
        <w:tab/>
      </w:r>
      <w:r>
        <w:rPr>
          <w:sz w:val="24"/>
        </w:rPr>
        <w:fldChar w:fldCharType="begin"/>
      </w:r>
      <w:r>
        <w:rPr>
          <w:sz w:val="24"/>
        </w:rPr>
        <w:instrText xml:space="preserve"> PAGEREF _Toc7624 \h </w:instrText>
      </w:r>
      <w:r>
        <w:rPr>
          <w:sz w:val="24"/>
        </w:rPr>
        <w:fldChar w:fldCharType="separate"/>
      </w:r>
      <w:r>
        <w:rPr>
          <w:sz w:val="24"/>
        </w:rPr>
        <w:t>80</w:t>
      </w:r>
      <w:r>
        <w:rPr>
          <w:sz w:val="24"/>
        </w:rPr>
        <w:fldChar w:fldCharType="end"/>
      </w:r>
      <w:r>
        <w:rPr>
          <w:color w:val="auto"/>
          <w:sz w:val="24"/>
        </w:rPr>
        <w:fldChar w:fldCharType="end"/>
      </w:r>
    </w:p>
    <w:p w14:paraId="3224A3A0">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_Toc31052 </w:instrText>
      </w:r>
      <w:r>
        <w:rPr>
          <w:sz w:val="24"/>
        </w:rPr>
        <w:fldChar w:fldCharType="separate"/>
      </w:r>
      <w:r>
        <w:rPr>
          <w:rFonts w:hint="eastAsia"/>
          <w:sz w:val="24"/>
        </w:rPr>
        <w:t>3.3.7</w:t>
      </w:r>
      <w:r>
        <w:rPr>
          <w:rFonts w:hint="eastAsia"/>
          <w:sz w:val="24"/>
          <w:lang w:val="en-US" w:eastAsia="zh-CN"/>
        </w:rPr>
        <w:t xml:space="preserve"> </w:t>
      </w:r>
      <w:r>
        <w:rPr>
          <w:rFonts w:hint="eastAsia"/>
          <w:sz w:val="24"/>
        </w:rPr>
        <w:t>车辆伤害</w:t>
      </w:r>
      <w:r>
        <w:rPr>
          <w:sz w:val="24"/>
        </w:rPr>
        <w:tab/>
      </w:r>
      <w:r>
        <w:rPr>
          <w:sz w:val="24"/>
        </w:rPr>
        <w:fldChar w:fldCharType="begin"/>
      </w:r>
      <w:r>
        <w:rPr>
          <w:sz w:val="24"/>
        </w:rPr>
        <w:instrText xml:space="preserve"> PAGEREF _Toc31052 \h </w:instrText>
      </w:r>
      <w:r>
        <w:rPr>
          <w:sz w:val="24"/>
        </w:rPr>
        <w:fldChar w:fldCharType="separate"/>
      </w:r>
      <w:r>
        <w:rPr>
          <w:sz w:val="24"/>
        </w:rPr>
        <w:t>82</w:t>
      </w:r>
      <w:r>
        <w:rPr>
          <w:sz w:val="24"/>
        </w:rPr>
        <w:fldChar w:fldCharType="end"/>
      </w:r>
      <w:r>
        <w:rPr>
          <w:color w:val="auto"/>
          <w:sz w:val="24"/>
        </w:rPr>
        <w:fldChar w:fldCharType="end"/>
      </w:r>
    </w:p>
    <w:p w14:paraId="65B7F9AE">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_Toc1767 </w:instrText>
      </w:r>
      <w:r>
        <w:rPr>
          <w:sz w:val="24"/>
        </w:rPr>
        <w:fldChar w:fldCharType="separate"/>
      </w:r>
      <w:r>
        <w:rPr>
          <w:rFonts w:hint="eastAsia"/>
          <w:sz w:val="24"/>
        </w:rPr>
        <w:t>3.3.8</w:t>
      </w:r>
      <w:r>
        <w:rPr>
          <w:rFonts w:hint="eastAsia"/>
          <w:sz w:val="24"/>
          <w:lang w:val="en-US" w:eastAsia="zh-CN"/>
        </w:rPr>
        <w:t xml:space="preserve"> 中毒和</w:t>
      </w:r>
      <w:r>
        <w:rPr>
          <w:rFonts w:hint="eastAsia"/>
          <w:sz w:val="24"/>
        </w:rPr>
        <w:t>窒息</w:t>
      </w:r>
      <w:r>
        <w:rPr>
          <w:sz w:val="24"/>
        </w:rPr>
        <w:tab/>
      </w:r>
      <w:r>
        <w:rPr>
          <w:sz w:val="24"/>
        </w:rPr>
        <w:fldChar w:fldCharType="begin"/>
      </w:r>
      <w:r>
        <w:rPr>
          <w:sz w:val="24"/>
        </w:rPr>
        <w:instrText xml:space="preserve"> PAGEREF _Toc1767 \h </w:instrText>
      </w:r>
      <w:r>
        <w:rPr>
          <w:sz w:val="24"/>
        </w:rPr>
        <w:fldChar w:fldCharType="separate"/>
      </w:r>
      <w:r>
        <w:rPr>
          <w:sz w:val="24"/>
        </w:rPr>
        <w:t>82</w:t>
      </w:r>
      <w:r>
        <w:rPr>
          <w:sz w:val="24"/>
        </w:rPr>
        <w:fldChar w:fldCharType="end"/>
      </w:r>
      <w:r>
        <w:rPr>
          <w:color w:val="auto"/>
          <w:sz w:val="24"/>
        </w:rPr>
        <w:fldChar w:fldCharType="end"/>
      </w:r>
    </w:p>
    <w:p w14:paraId="4D159FD8">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_Toc30990 </w:instrText>
      </w:r>
      <w:r>
        <w:rPr>
          <w:sz w:val="24"/>
        </w:rPr>
        <w:fldChar w:fldCharType="separate"/>
      </w:r>
      <w:r>
        <w:rPr>
          <w:rFonts w:hint="eastAsia"/>
          <w:sz w:val="24"/>
        </w:rPr>
        <w:t>3.3.9</w:t>
      </w:r>
      <w:r>
        <w:rPr>
          <w:rFonts w:hint="eastAsia"/>
          <w:sz w:val="24"/>
          <w:lang w:val="en-US" w:eastAsia="zh-CN"/>
        </w:rPr>
        <w:t xml:space="preserve"> </w:t>
      </w:r>
      <w:r>
        <w:rPr>
          <w:rFonts w:hint="eastAsia"/>
          <w:sz w:val="24"/>
        </w:rPr>
        <w:t>容器爆炸</w:t>
      </w:r>
      <w:r>
        <w:rPr>
          <w:sz w:val="24"/>
        </w:rPr>
        <w:tab/>
      </w:r>
      <w:r>
        <w:rPr>
          <w:sz w:val="24"/>
        </w:rPr>
        <w:fldChar w:fldCharType="begin"/>
      </w:r>
      <w:r>
        <w:rPr>
          <w:sz w:val="24"/>
        </w:rPr>
        <w:instrText xml:space="preserve"> PAGEREF _Toc30990 \h </w:instrText>
      </w:r>
      <w:r>
        <w:rPr>
          <w:sz w:val="24"/>
        </w:rPr>
        <w:fldChar w:fldCharType="separate"/>
      </w:r>
      <w:r>
        <w:rPr>
          <w:sz w:val="24"/>
        </w:rPr>
        <w:t>83</w:t>
      </w:r>
      <w:r>
        <w:rPr>
          <w:sz w:val="24"/>
        </w:rPr>
        <w:fldChar w:fldCharType="end"/>
      </w:r>
      <w:r>
        <w:rPr>
          <w:color w:val="auto"/>
          <w:sz w:val="24"/>
        </w:rPr>
        <w:fldChar w:fldCharType="end"/>
      </w:r>
    </w:p>
    <w:p w14:paraId="55170414">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_Toc8036 </w:instrText>
      </w:r>
      <w:r>
        <w:rPr>
          <w:sz w:val="24"/>
        </w:rPr>
        <w:fldChar w:fldCharType="separate"/>
      </w:r>
      <w:r>
        <w:rPr>
          <w:rFonts w:hint="eastAsia"/>
          <w:sz w:val="24"/>
        </w:rPr>
        <w:t>3.3.10</w:t>
      </w:r>
      <w:r>
        <w:rPr>
          <w:rFonts w:hint="eastAsia"/>
          <w:sz w:val="24"/>
          <w:lang w:val="en-US" w:eastAsia="zh-CN"/>
        </w:rPr>
        <w:t xml:space="preserve"> </w:t>
      </w:r>
      <w:r>
        <w:rPr>
          <w:rFonts w:hint="eastAsia"/>
          <w:sz w:val="24"/>
        </w:rPr>
        <w:t>化学腐蚀及化学灼伤</w:t>
      </w:r>
      <w:r>
        <w:rPr>
          <w:sz w:val="24"/>
        </w:rPr>
        <w:tab/>
      </w:r>
      <w:r>
        <w:rPr>
          <w:sz w:val="24"/>
        </w:rPr>
        <w:fldChar w:fldCharType="begin"/>
      </w:r>
      <w:r>
        <w:rPr>
          <w:sz w:val="24"/>
        </w:rPr>
        <w:instrText xml:space="preserve"> PAGEREF _Toc8036 \h </w:instrText>
      </w:r>
      <w:r>
        <w:rPr>
          <w:sz w:val="24"/>
        </w:rPr>
        <w:fldChar w:fldCharType="separate"/>
      </w:r>
      <w:r>
        <w:rPr>
          <w:sz w:val="24"/>
        </w:rPr>
        <w:t>83</w:t>
      </w:r>
      <w:r>
        <w:rPr>
          <w:sz w:val="24"/>
        </w:rPr>
        <w:fldChar w:fldCharType="end"/>
      </w:r>
      <w:r>
        <w:rPr>
          <w:color w:val="auto"/>
          <w:sz w:val="24"/>
        </w:rPr>
        <w:fldChar w:fldCharType="end"/>
      </w:r>
    </w:p>
    <w:p w14:paraId="01EC3FD1">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_Toc3318 </w:instrText>
      </w:r>
      <w:r>
        <w:rPr>
          <w:sz w:val="24"/>
        </w:rPr>
        <w:fldChar w:fldCharType="separate"/>
      </w:r>
      <w:r>
        <w:rPr>
          <w:rFonts w:hint="eastAsia"/>
          <w:sz w:val="24"/>
        </w:rPr>
        <w:t>3.3.1</w:t>
      </w:r>
      <w:r>
        <w:rPr>
          <w:rFonts w:hint="eastAsia"/>
          <w:sz w:val="24"/>
          <w:lang w:val="en-US" w:eastAsia="zh-CN"/>
        </w:rPr>
        <w:t xml:space="preserve">1 </w:t>
      </w:r>
      <w:r>
        <w:rPr>
          <w:rFonts w:hint="eastAsia"/>
          <w:sz w:val="24"/>
        </w:rPr>
        <w:t>坍塌、滑坡</w:t>
      </w:r>
      <w:r>
        <w:rPr>
          <w:sz w:val="24"/>
        </w:rPr>
        <w:tab/>
      </w:r>
      <w:r>
        <w:rPr>
          <w:sz w:val="24"/>
        </w:rPr>
        <w:fldChar w:fldCharType="begin"/>
      </w:r>
      <w:r>
        <w:rPr>
          <w:sz w:val="24"/>
        </w:rPr>
        <w:instrText xml:space="preserve"> PAGEREF _Toc3318 \h </w:instrText>
      </w:r>
      <w:r>
        <w:rPr>
          <w:sz w:val="24"/>
        </w:rPr>
        <w:fldChar w:fldCharType="separate"/>
      </w:r>
      <w:r>
        <w:rPr>
          <w:sz w:val="24"/>
        </w:rPr>
        <w:t>83</w:t>
      </w:r>
      <w:r>
        <w:rPr>
          <w:sz w:val="24"/>
        </w:rPr>
        <w:fldChar w:fldCharType="end"/>
      </w:r>
      <w:r>
        <w:rPr>
          <w:color w:val="auto"/>
          <w:sz w:val="24"/>
        </w:rPr>
        <w:fldChar w:fldCharType="end"/>
      </w:r>
    </w:p>
    <w:p w14:paraId="7E632F2D">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_Toc23984 </w:instrText>
      </w:r>
      <w:r>
        <w:rPr>
          <w:sz w:val="24"/>
        </w:rPr>
        <w:fldChar w:fldCharType="separate"/>
      </w:r>
      <w:r>
        <w:rPr>
          <w:rFonts w:hint="eastAsia"/>
          <w:sz w:val="24"/>
        </w:rPr>
        <w:t>3.3.1</w:t>
      </w:r>
      <w:r>
        <w:rPr>
          <w:rFonts w:hint="eastAsia"/>
          <w:sz w:val="24"/>
          <w:lang w:val="en-US" w:eastAsia="zh-CN"/>
        </w:rPr>
        <w:t xml:space="preserve">2 </w:t>
      </w:r>
      <w:r>
        <w:rPr>
          <w:rFonts w:hint="eastAsia"/>
          <w:sz w:val="24"/>
        </w:rPr>
        <w:t>设备、设施、工具、附件缺陷</w:t>
      </w:r>
      <w:r>
        <w:rPr>
          <w:sz w:val="24"/>
        </w:rPr>
        <w:tab/>
      </w:r>
      <w:r>
        <w:rPr>
          <w:sz w:val="24"/>
        </w:rPr>
        <w:fldChar w:fldCharType="begin"/>
      </w:r>
      <w:r>
        <w:rPr>
          <w:sz w:val="24"/>
        </w:rPr>
        <w:instrText xml:space="preserve"> PAGEREF _Toc23984 \h </w:instrText>
      </w:r>
      <w:r>
        <w:rPr>
          <w:sz w:val="24"/>
        </w:rPr>
        <w:fldChar w:fldCharType="separate"/>
      </w:r>
      <w:r>
        <w:rPr>
          <w:sz w:val="24"/>
        </w:rPr>
        <w:t>84</w:t>
      </w:r>
      <w:r>
        <w:rPr>
          <w:sz w:val="24"/>
        </w:rPr>
        <w:fldChar w:fldCharType="end"/>
      </w:r>
      <w:r>
        <w:rPr>
          <w:color w:val="auto"/>
          <w:sz w:val="24"/>
        </w:rPr>
        <w:fldChar w:fldCharType="end"/>
      </w:r>
    </w:p>
    <w:p w14:paraId="2ABDAA7D">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_Toc11681 </w:instrText>
      </w:r>
      <w:r>
        <w:rPr>
          <w:sz w:val="24"/>
        </w:rPr>
        <w:fldChar w:fldCharType="separate"/>
      </w:r>
      <w:r>
        <w:rPr>
          <w:rFonts w:hint="eastAsia"/>
          <w:sz w:val="24"/>
        </w:rPr>
        <w:t>3.3.1</w:t>
      </w:r>
      <w:r>
        <w:rPr>
          <w:rFonts w:hint="eastAsia"/>
          <w:sz w:val="24"/>
          <w:lang w:val="en-US" w:eastAsia="zh-CN"/>
        </w:rPr>
        <w:t xml:space="preserve">3 </w:t>
      </w:r>
      <w:r>
        <w:rPr>
          <w:rFonts w:hint="eastAsia"/>
          <w:sz w:val="24"/>
        </w:rPr>
        <w:t>其他危害</w:t>
      </w:r>
      <w:r>
        <w:rPr>
          <w:sz w:val="24"/>
        </w:rPr>
        <w:tab/>
      </w:r>
      <w:r>
        <w:rPr>
          <w:sz w:val="24"/>
        </w:rPr>
        <w:fldChar w:fldCharType="begin"/>
      </w:r>
      <w:r>
        <w:rPr>
          <w:sz w:val="24"/>
        </w:rPr>
        <w:instrText xml:space="preserve"> PAGEREF _Toc11681 \h </w:instrText>
      </w:r>
      <w:r>
        <w:rPr>
          <w:sz w:val="24"/>
        </w:rPr>
        <w:fldChar w:fldCharType="separate"/>
      </w:r>
      <w:r>
        <w:rPr>
          <w:sz w:val="24"/>
        </w:rPr>
        <w:t>84</w:t>
      </w:r>
      <w:r>
        <w:rPr>
          <w:sz w:val="24"/>
        </w:rPr>
        <w:fldChar w:fldCharType="end"/>
      </w:r>
      <w:r>
        <w:rPr>
          <w:color w:val="auto"/>
          <w:sz w:val="24"/>
        </w:rPr>
        <w:fldChar w:fldCharType="end"/>
      </w:r>
    </w:p>
    <w:p w14:paraId="4D7B0B03">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_Toc3108 </w:instrText>
      </w:r>
      <w:r>
        <w:rPr>
          <w:sz w:val="24"/>
        </w:rPr>
        <w:fldChar w:fldCharType="separate"/>
      </w:r>
      <w:r>
        <w:rPr>
          <w:rFonts w:hint="eastAsia"/>
          <w:sz w:val="24"/>
        </w:rPr>
        <w:t>3.3.1</w:t>
      </w:r>
      <w:r>
        <w:rPr>
          <w:rFonts w:hint="eastAsia"/>
          <w:sz w:val="24"/>
          <w:lang w:val="en-US" w:eastAsia="zh-CN"/>
        </w:rPr>
        <w:t xml:space="preserve">4 </w:t>
      </w:r>
      <w:r>
        <w:rPr>
          <w:rFonts w:hint="eastAsia"/>
          <w:sz w:val="24"/>
        </w:rPr>
        <w:t>放射源及危险特性</w:t>
      </w:r>
      <w:r>
        <w:rPr>
          <w:sz w:val="24"/>
        </w:rPr>
        <w:tab/>
      </w:r>
      <w:r>
        <w:rPr>
          <w:sz w:val="24"/>
        </w:rPr>
        <w:fldChar w:fldCharType="begin"/>
      </w:r>
      <w:r>
        <w:rPr>
          <w:sz w:val="24"/>
        </w:rPr>
        <w:instrText xml:space="preserve"> PAGEREF _Toc3108 \h </w:instrText>
      </w:r>
      <w:r>
        <w:rPr>
          <w:sz w:val="24"/>
        </w:rPr>
        <w:fldChar w:fldCharType="separate"/>
      </w:r>
      <w:r>
        <w:rPr>
          <w:sz w:val="24"/>
        </w:rPr>
        <w:t>86</w:t>
      </w:r>
      <w:r>
        <w:rPr>
          <w:sz w:val="24"/>
        </w:rPr>
        <w:fldChar w:fldCharType="end"/>
      </w:r>
      <w:r>
        <w:rPr>
          <w:color w:val="auto"/>
          <w:sz w:val="24"/>
        </w:rPr>
        <w:fldChar w:fldCharType="end"/>
      </w:r>
    </w:p>
    <w:p w14:paraId="3800AB03">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_Toc1926 </w:instrText>
      </w:r>
      <w:r>
        <w:rPr>
          <w:sz w:val="24"/>
        </w:rPr>
        <w:fldChar w:fldCharType="separate"/>
      </w:r>
      <w:r>
        <w:rPr>
          <w:rFonts w:hint="eastAsia"/>
          <w:sz w:val="24"/>
        </w:rPr>
        <w:t>3.4</w:t>
      </w:r>
      <w:r>
        <w:rPr>
          <w:rFonts w:hint="eastAsia"/>
          <w:sz w:val="24"/>
          <w:lang w:val="en-US" w:eastAsia="zh-CN"/>
        </w:rPr>
        <w:t xml:space="preserve"> </w:t>
      </w:r>
      <w:r>
        <w:rPr>
          <w:rFonts w:hint="eastAsia"/>
          <w:sz w:val="24"/>
        </w:rPr>
        <w:t>安全管理危险有害因素辨识与分析</w:t>
      </w:r>
      <w:r>
        <w:rPr>
          <w:sz w:val="24"/>
        </w:rPr>
        <w:tab/>
      </w:r>
      <w:r>
        <w:rPr>
          <w:sz w:val="24"/>
        </w:rPr>
        <w:fldChar w:fldCharType="begin"/>
      </w:r>
      <w:r>
        <w:rPr>
          <w:sz w:val="24"/>
        </w:rPr>
        <w:instrText xml:space="preserve"> PAGEREF _Toc1926 \h </w:instrText>
      </w:r>
      <w:r>
        <w:rPr>
          <w:sz w:val="24"/>
        </w:rPr>
        <w:fldChar w:fldCharType="separate"/>
      </w:r>
      <w:r>
        <w:rPr>
          <w:sz w:val="24"/>
        </w:rPr>
        <w:t>86</w:t>
      </w:r>
      <w:r>
        <w:rPr>
          <w:sz w:val="24"/>
        </w:rPr>
        <w:fldChar w:fldCharType="end"/>
      </w:r>
      <w:r>
        <w:rPr>
          <w:color w:val="auto"/>
          <w:sz w:val="24"/>
        </w:rPr>
        <w:fldChar w:fldCharType="end"/>
      </w:r>
    </w:p>
    <w:p w14:paraId="049DDE1A">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_Toc2773 </w:instrText>
      </w:r>
      <w:r>
        <w:rPr>
          <w:sz w:val="24"/>
        </w:rPr>
        <w:fldChar w:fldCharType="separate"/>
      </w:r>
      <w:r>
        <w:rPr>
          <w:rFonts w:hint="eastAsia"/>
          <w:sz w:val="24"/>
        </w:rPr>
        <w:t>3.5</w:t>
      </w:r>
      <w:r>
        <w:rPr>
          <w:rFonts w:hint="eastAsia"/>
          <w:sz w:val="24"/>
          <w:lang w:val="en-US" w:eastAsia="zh-CN"/>
        </w:rPr>
        <w:t xml:space="preserve"> </w:t>
      </w:r>
      <w:r>
        <w:rPr>
          <w:rFonts w:hint="eastAsia"/>
          <w:sz w:val="24"/>
        </w:rPr>
        <w:t>重大危险源辨识</w:t>
      </w:r>
      <w:r>
        <w:rPr>
          <w:sz w:val="24"/>
        </w:rPr>
        <w:tab/>
      </w:r>
      <w:r>
        <w:rPr>
          <w:sz w:val="24"/>
        </w:rPr>
        <w:fldChar w:fldCharType="begin"/>
      </w:r>
      <w:r>
        <w:rPr>
          <w:sz w:val="24"/>
        </w:rPr>
        <w:instrText xml:space="preserve"> PAGEREF _Toc2773 \h </w:instrText>
      </w:r>
      <w:r>
        <w:rPr>
          <w:sz w:val="24"/>
        </w:rPr>
        <w:fldChar w:fldCharType="separate"/>
      </w:r>
      <w:r>
        <w:rPr>
          <w:sz w:val="24"/>
        </w:rPr>
        <w:t>87</w:t>
      </w:r>
      <w:r>
        <w:rPr>
          <w:sz w:val="24"/>
        </w:rPr>
        <w:fldChar w:fldCharType="end"/>
      </w:r>
      <w:r>
        <w:rPr>
          <w:color w:val="auto"/>
          <w:sz w:val="24"/>
        </w:rPr>
        <w:fldChar w:fldCharType="end"/>
      </w:r>
    </w:p>
    <w:p w14:paraId="23209937">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_Toc12791 </w:instrText>
      </w:r>
      <w:r>
        <w:rPr>
          <w:sz w:val="24"/>
        </w:rPr>
        <w:fldChar w:fldCharType="separate"/>
      </w:r>
      <w:r>
        <w:rPr>
          <w:rFonts w:hint="eastAsia"/>
          <w:sz w:val="24"/>
        </w:rPr>
        <w:t>3.5.1</w:t>
      </w:r>
      <w:r>
        <w:rPr>
          <w:rFonts w:hint="eastAsia"/>
          <w:sz w:val="24"/>
          <w:lang w:val="en-US" w:eastAsia="zh-CN"/>
        </w:rPr>
        <w:t xml:space="preserve"> </w:t>
      </w:r>
      <w:r>
        <w:rPr>
          <w:rFonts w:hint="eastAsia"/>
          <w:sz w:val="24"/>
        </w:rPr>
        <w:t>重大危险源辨识方法介绍</w:t>
      </w:r>
      <w:r>
        <w:rPr>
          <w:sz w:val="24"/>
        </w:rPr>
        <w:tab/>
      </w:r>
      <w:r>
        <w:rPr>
          <w:sz w:val="24"/>
        </w:rPr>
        <w:fldChar w:fldCharType="begin"/>
      </w:r>
      <w:r>
        <w:rPr>
          <w:sz w:val="24"/>
        </w:rPr>
        <w:instrText xml:space="preserve"> PAGEREF _Toc12791 \h </w:instrText>
      </w:r>
      <w:r>
        <w:rPr>
          <w:sz w:val="24"/>
        </w:rPr>
        <w:fldChar w:fldCharType="separate"/>
      </w:r>
      <w:r>
        <w:rPr>
          <w:sz w:val="24"/>
        </w:rPr>
        <w:t>87</w:t>
      </w:r>
      <w:r>
        <w:rPr>
          <w:sz w:val="24"/>
        </w:rPr>
        <w:fldChar w:fldCharType="end"/>
      </w:r>
      <w:r>
        <w:rPr>
          <w:color w:val="auto"/>
          <w:sz w:val="24"/>
        </w:rPr>
        <w:fldChar w:fldCharType="end"/>
      </w:r>
    </w:p>
    <w:p w14:paraId="301D27BB">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_Toc13585 </w:instrText>
      </w:r>
      <w:r>
        <w:rPr>
          <w:sz w:val="24"/>
        </w:rPr>
        <w:fldChar w:fldCharType="separate"/>
      </w:r>
      <w:r>
        <w:rPr>
          <w:rFonts w:hint="eastAsia"/>
          <w:sz w:val="24"/>
        </w:rPr>
        <w:t>3.5.2</w:t>
      </w:r>
      <w:r>
        <w:rPr>
          <w:rFonts w:hint="eastAsia"/>
          <w:sz w:val="24"/>
          <w:lang w:val="en-US" w:eastAsia="zh-CN"/>
        </w:rPr>
        <w:t xml:space="preserve"> </w:t>
      </w:r>
      <w:r>
        <w:rPr>
          <w:rFonts w:hint="eastAsia"/>
          <w:sz w:val="24"/>
        </w:rPr>
        <w:t>重大危险源辨识</w:t>
      </w:r>
      <w:r>
        <w:rPr>
          <w:sz w:val="24"/>
        </w:rPr>
        <w:tab/>
      </w:r>
      <w:r>
        <w:rPr>
          <w:sz w:val="24"/>
        </w:rPr>
        <w:fldChar w:fldCharType="begin"/>
      </w:r>
      <w:r>
        <w:rPr>
          <w:sz w:val="24"/>
        </w:rPr>
        <w:instrText xml:space="preserve"> PAGEREF _Toc13585 \h </w:instrText>
      </w:r>
      <w:r>
        <w:rPr>
          <w:sz w:val="24"/>
        </w:rPr>
        <w:fldChar w:fldCharType="separate"/>
      </w:r>
      <w:r>
        <w:rPr>
          <w:sz w:val="24"/>
        </w:rPr>
        <w:t>88</w:t>
      </w:r>
      <w:r>
        <w:rPr>
          <w:sz w:val="24"/>
        </w:rPr>
        <w:fldChar w:fldCharType="end"/>
      </w:r>
      <w:r>
        <w:rPr>
          <w:color w:val="auto"/>
          <w:sz w:val="24"/>
        </w:rPr>
        <w:fldChar w:fldCharType="end"/>
      </w:r>
    </w:p>
    <w:p w14:paraId="1BC904F5">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_Toc24364 </w:instrText>
      </w:r>
      <w:r>
        <w:rPr>
          <w:sz w:val="24"/>
        </w:rPr>
        <w:fldChar w:fldCharType="separate"/>
      </w:r>
      <w:r>
        <w:rPr>
          <w:rFonts w:hint="eastAsia"/>
          <w:sz w:val="24"/>
        </w:rPr>
        <w:t>4 评价单元划分及评价方法选择</w:t>
      </w:r>
      <w:r>
        <w:rPr>
          <w:sz w:val="24"/>
        </w:rPr>
        <w:tab/>
      </w:r>
      <w:r>
        <w:rPr>
          <w:sz w:val="24"/>
        </w:rPr>
        <w:fldChar w:fldCharType="begin"/>
      </w:r>
      <w:r>
        <w:rPr>
          <w:sz w:val="24"/>
        </w:rPr>
        <w:instrText xml:space="preserve"> PAGEREF _Toc24364 \h </w:instrText>
      </w:r>
      <w:r>
        <w:rPr>
          <w:sz w:val="24"/>
        </w:rPr>
        <w:fldChar w:fldCharType="separate"/>
      </w:r>
      <w:r>
        <w:rPr>
          <w:sz w:val="24"/>
        </w:rPr>
        <w:t>90</w:t>
      </w:r>
      <w:r>
        <w:rPr>
          <w:sz w:val="24"/>
        </w:rPr>
        <w:fldChar w:fldCharType="end"/>
      </w:r>
      <w:r>
        <w:rPr>
          <w:color w:val="auto"/>
          <w:sz w:val="24"/>
        </w:rPr>
        <w:fldChar w:fldCharType="end"/>
      </w:r>
    </w:p>
    <w:p w14:paraId="0F9374C5">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_Toc12241 </w:instrText>
      </w:r>
      <w:r>
        <w:rPr>
          <w:sz w:val="24"/>
        </w:rPr>
        <w:fldChar w:fldCharType="separate"/>
      </w:r>
      <w:r>
        <w:rPr>
          <w:rFonts w:hint="eastAsia"/>
          <w:sz w:val="24"/>
        </w:rPr>
        <w:t>4.1 评价单元划分</w:t>
      </w:r>
      <w:r>
        <w:rPr>
          <w:sz w:val="24"/>
        </w:rPr>
        <w:tab/>
      </w:r>
      <w:r>
        <w:rPr>
          <w:sz w:val="24"/>
        </w:rPr>
        <w:fldChar w:fldCharType="begin"/>
      </w:r>
      <w:r>
        <w:rPr>
          <w:sz w:val="24"/>
        </w:rPr>
        <w:instrText xml:space="preserve"> PAGEREF _Toc12241 \h </w:instrText>
      </w:r>
      <w:r>
        <w:rPr>
          <w:sz w:val="24"/>
        </w:rPr>
        <w:fldChar w:fldCharType="separate"/>
      </w:r>
      <w:r>
        <w:rPr>
          <w:sz w:val="24"/>
        </w:rPr>
        <w:t>90</w:t>
      </w:r>
      <w:r>
        <w:rPr>
          <w:sz w:val="24"/>
        </w:rPr>
        <w:fldChar w:fldCharType="end"/>
      </w:r>
      <w:r>
        <w:rPr>
          <w:color w:val="auto"/>
          <w:sz w:val="24"/>
        </w:rPr>
        <w:fldChar w:fldCharType="end"/>
      </w:r>
    </w:p>
    <w:p w14:paraId="3670A6DA">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_Toc21872 </w:instrText>
      </w:r>
      <w:r>
        <w:rPr>
          <w:sz w:val="24"/>
        </w:rPr>
        <w:fldChar w:fldCharType="separate"/>
      </w:r>
      <w:r>
        <w:rPr>
          <w:rFonts w:hint="eastAsia"/>
          <w:sz w:val="24"/>
        </w:rPr>
        <w:t>4.1.1</w:t>
      </w:r>
      <w:r>
        <w:rPr>
          <w:rFonts w:hint="eastAsia"/>
          <w:sz w:val="24"/>
          <w:lang w:val="en-US" w:eastAsia="zh-CN"/>
        </w:rPr>
        <w:t xml:space="preserve"> </w:t>
      </w:r>
      <w:r>
        <w:rPr>
          <w:rFonts w:hint="eastAsia"/>
          <w:sz w:val="24"/>
        </w:rPr>
        <w:t>评价单元划分原则</w:t>
      </w:r>
      <w:r>
        <w:rPr>
          <w:sz w:val="24"/>
        </w:rPr>
        <w:tab/>
      </w:r>
      <w:r>
        <w:rPr>
          <w:sz w:val="24"/>
        </w:rPr>
        <w:fldChar w:fldCharType="begin"/>
      </w:r>
      <w:r>
        <w:rPr>
          <w:sz w:val="24"/>
        </w:rPr>
        <w:instrText xml:space="preserve"> PAGEREF _Toc21872 \h </w:instrText>
      </w:r>
      <w:r>
        <w:rPr>
          <w:sz w:val="24"/>
        </w:rPr>
        <w:fldChar w:fldCharType="separate"/>
      </w:r>
      <w:r>
        <w:rPr>
          <w:sz w:val="24"/>
        </w:rPr>
        <w:t>90</w:t>
      </w:r>
      <w:r>
        <w:rPr>
          <w:sz w:val="24"/>
        </w:rPr>
        <w:fldChar w:fldCharType="end"/>
      </w:r>
      <w:r>
        <w:rPr>
          <w:color w:val="auto"/>
          <w:sz w:val="24"/>
        </w:rPr>
        <w:fldChar w:fldCharType="end"/>
      </w:r>
    </w:p>
    <w:p w14:paraId="6D3C73C5">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_Toc20637 </w:instrText>
      </w:r>
      <w:r>
        <w:rPr>
          <w:sz w:val="24"/>
        </w:rPr>
        <w:fldChar w:fldCharType="separate"/>
      </w:r>
      <w:r>
        <w:rPr>
          <w:rFonts w:hint="eastAsia"/>
          <w:sz w:val="24"/>
        </w:rPr>
        <w:t>4.1.2</w:t>
      </w:r>
      <w:r>
        <w:rPr>
          <w:rFonts w:hint="eastAsia"/>
          <w:sz w:val="24"/>
          <w:lang w:val="en-US" w:eastAsia="zh-CN"/>
        </w:rPr>
        <w:t xml:space="preserve"> </w:t>
      </w:r>
      <w:r>
        <w:rPr>
          <w:rFonts w:hint="eastAsia"/>
          <w:sz w:val="24"/>
        </w:rPr>
        <w:t>评价单元的划分</w:t>
      </w:r>
      <w:r>
        <w:rPr>
          <w:sz w:val="24"/>
        </w:rPr>
        <w:tab/>
      </w:r>
      <w:r>
        <w:rPr>
          <w:sz w:val="24"/>
        </w:rPr>
        <w:fldChar w:fldCharType="begin"/>
      </w:r>
      <w:r>
        <w:rPr>
          <w:sz w:val="24"/>
        </w:rPr>
        <w:instrText xml:space="preserve"> PAGEREF _Toc20637 \h </w:instrText>
      </w:r>
      <w:r>
        <w:rPr>
          <w:sz w:val="24"/>
        </w:rPr>
        <w:fldChar w:fldCharType="separate"/>
      </w:r>
      <w:r>
        <w:rPr>
          <w:sz w:val="24"/>
        </w:rPr>
        <w:t>91</w:t>
      </w:r>
      <w:r>
        <w:rPr>
          <w:sz w:val="24"/>
        </w:rPr>
        <w:fldChar w:fldCharType="end"/>
      </w:r>
      <w:r>
        <w:rPr>
          <w:color w:val="auto"/>
          <w:sz w:val="24"/>
        </w:rPr>
        <w:fldChar w:fldCharType="end"/>
      </w:r>
    </w:p>
    <w:p w14:paraId="156452FC">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_Toc17129 </w:instrText>
      </w:r>
      <w:r>
        <w:rPr>
          <w:sz w:val="24"/>
        </w:rPr>
        <w:fldChar w:fldCharType="separate"/>
      </w:r>
      <w:r>
        <w:rPr>
          <w:rFonts w:hint="eastAsia"/>
          <w:sz w:val="24"/>
        </w:rPr>
        <w:t>4.2 评价方法的选择</w:t>
      </w:r>
      <w:r>
        <w:rPr>
          <w:sz w:val="24"/>
        </w:rPr>
        <w:tab/>
      </w:r>
      <w:r>
        <w:rPr>
          <w:sz w:val="24"/>
        </w:rPr>
        <w:fldChar w:fldCharType="begin"/>
      </w:r>
      <w:r>
        <w:rPr>
          <w:sz w:val="24"/>
        </w:rPr>
        <w:instrText xml:space="preserve"> PAGEREF _Toc17129 \h </w:instrText>
      </w:r>
      <w:r>
        <w:rPr>
          <w:sz w:val="24"/>
        </w:rPr>
        <w:fldChar w:fldCharType="separate"/>
      </w:r>
      <w:r>
        <w:rPr>
          <w:sz w:val="24"/>
        </w:rPr>
        <w:t>91</w:t>
      </w:r>
      <w:r>
        <w:rPr>
          <w:sz w:val="24"/>
        </w:rPr>
        <w:fldChar w:fldCharType="end"/>
      </w:r>
      <w:r>
        <w:rPr>
          <w:color w:val="auto"/>
          <w:sz w:val="24"/>
        </w:rPr>
        <w:fldChar w:fldCharType="end"/>
      </w:r>
    </w:p>
    <w:p w14:paraId="4C2C38E5">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_Toc2232 </w:instrText>
      </w:r>
      <w:r>
        <w:rPr>
          <w:sz w:val="24"/>
        </w:rPr>
        <w:fldChar w:fldCharType="separate"/>
      </w:r>
      <w:r>
        <w:rPr>
          <w:rFonts w:hint="eastAsia"/>
          <w:sz w:val="24"/>
        </w:rPr>
        <w:t>4.2.1</w:t>
      </w:r>
      <w:r>
        <w:rPr>
          <w:rFonts w:hint="eastAsia"/>
          <w:sz w:val="24"/>
          <w:lang w:val="en-US" w:eastAsia="zh-CN"/>
        </w:rPr>
        <w:t xml:space="preserve"> </w:t>
      </w:r>
      <w:r>
        <w:rPr>
          <w:rFonts w:hint="eastAsia"/>
          <w:sz w:val="24"/>
        </w:rPr>
        <w:t>评价方法选择</w:t>
      </w:r>
      <w:r>
        <w:rPr>
          <w:sz w:val="24"/>
        </w:rPr>
        <w:tab/>
      </w:r>
      <w:r>
        <w:rPr>
          <w:sz w:val="24"/>
        </w:rPr>
        <w:fldChar w:fldCharType="begin"/>
      </w:r>
      <w:r>
        <w:rPr>
          <w:sz w:val="24"/>
        </w:rPr>
        <w:instrText xml:space="preserve"> PAGEREF _Toc2232 \h </w:instrText>
      </w:r>
      <w:r>
        <w:rPr>
          <w:sz w:val="24"/>
        </w:rPr>
        <w:fldChar w:fldCharType="separate"/>
      </w:r>
      <w:r>
        <w:rPr>
          <w:sz w:val="24"/>
        </w:rPr>
        <w:t>91</w:t>
      </w:r>
      <w:r>
        <w:rPr>
          <w:sz w:val="24"/>
        </w:rPr>
        <w:fldChar w:fldCharType="end"/>
      </w:r>
      <w:r>
        <w:rPr>
          <w:color w:val="auto"/>
          <w:sz w:val="24"/>
        </w:rPr>
        <w:fldChar w:fldCharType="end"/>
      </w:r>
    </w:p>
    <w:p w14:paraId="1EF260CE">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_Toc18594 </w:instrText>
      </w:r>
      <w:r>
        <w:rPr>
          <w:sz w:val="24"/>
        </w:rPr>
        <w:fldChar w:fldCharType="separate"/>
      </w:r>
      <w:r>
        <w:rPr>
          <w:rFonts w:hint="eastAsia"/>
          <w:sz w:val="24"/>
        </w:rPr>
        <w:t>4.2.2</w:t>
      </w:r>
      <w:r>
        <w:rPr>
          <w:rFonts w:hint="eastAsia"/>
          <w:sz w:val="24"/>
          <w:lang w:val="en-US" w:eastAsia="zh-CN"/>
        </w:rPr>
        <w:t xml:space="preserve"> </w:t>
      </w:r>
      <w:r>
        <w:rPr>
          <w:rFonts w:hint="eastAsia"/>
          <w:sz w:val="24"/>
        </w:rPr>
        <w:t>评价方法简介</w:t>
      </w:r>
      <w:r>
        <w:rPr>
          <w:sz w:val="24"/>
        </w:rPr>
        <w:tab/>
      </w:r>
      <w:r>
        <w:rPr>
          <w:sz w:val="24"/>
        </w:rPr>
        <w:fldChar w:fldCharType="begin"/>
      </w:r>
      <w:r>
        <w:rPr>
          <w:sz w:val="24"/>
        </w:rPr>
        <w:instrText xml:space="preserve"> PAGEREF _Toc18594 \h </w:instrText>
      </w:r>
      <w:r>
        <w:rPr>
          <w:sz w:val="24"/>
        </w:rPr>
        <w:fldChar w:fldCharType="separate"/>
      </w:r>
      <w:r>
        <w:rPr>
          <w:sz w:val="24"/>
        </w:rPr>
        <w:t>91</w:t>
      </w:r>
      <w:r>
        <w:rPr>
          <w:sz w:val="24"/>
        </w:rPr>
        <w:fldChar w:fldCharType="end"/>
      </w:r>
      <w:r>
        <w:rPr>
          <w:color w:val="auto"/>
          <w:sz w:val="24"/>
        </w:rPr>
        <w:fldChar w:fldCharType="end"/>
      </w:r>
    </w:p>
    <w:p w14:paraId="64493BD4">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_Toc24210 </w:instrText>
      </w:r>
      <w:r>
        <w:rPr>
          <w:sz w:val="24"/>
        </w:rPr>
        <w:fldChar w:fldCharType="separate"/>
      </w:r>
      <w:r>
        <w:rPr>
          <w:rFonts w:hint="eastAsia"/>
          <w:sz w:val="24"/>
        </w:rPr>
        <w:t>5 定性、定量分析评价</w:t>
      </w:r>
      <w:r>
        <w:rPr>
          <w:sz w:val="24"/>
        </w:rPr>
        <w:tab/>
      </w:r>
      <w:r>
        <w:rPr>
          <w:sz w:val="24"/>
        </w:rPr>
        <w:fldChar w:fldCharType="begin"/>
      </w:r>
      <w:r>
        <w:rPr>
          <w:sz w:val="24"/>
        </w:rPr>
        <w:instrText xml:space="preserve"> PAGEREF _Toc24210 \h </w:instrText>
      </w:r>
      <w:r>
        <w:rPr>
          <w:sz w:val="24"/>
        </w:rPr>
        <w:fldChar w:fldCharType="separate"/>
      </w:r>
      <w:r>
        <w:rPr>
          <w:sz w:val="24"/>
        </w:rPr>
        <w:t>96</w:t>
      </w:r>
      <w:r>
        <w:rPr>
          <w:sz w:val="24"/>
        </w:rPr>
        <w:fldChar w:fldCharType="end"/>
      </w:r>
      <w:r>
        <w:rPr>
          <w:color w:val="auto"/>
          <w:sz w:val="24"/>
        </w:rPr>
        <w:fldChar w:fldCharType="end"/>
      </w:r>
    </w:p>
    <w:p w14:paraId="3452038B">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_Toc16044 </w:instrText>
      </w:r>
      <w:r>
        <w:rPr>
          <w:sz w:val="24"/>
        </w:rPr>
        <w:fldChar w:fldCharType="separate"/>
      </w:r>
      <w:r>
        <w:rPr>
          <w:rFonts w:hint="eastAsia"/>
          <w:sz w:val="24"/>
        </w:rPr>
        <w:t>5.1 建设程序单元分析评价</w:t>
      </w:r>
      <w:r>
        <w:rPr>
          <w:sz w:val="24"/>
        </w:rPr>
        <w:tab/>
      </w:r>
      <w:r>
        <w:rPr>
          <w:sz w:val="24"/>
        </w:rPr>
        <w:fldChar w:fldCharType="begin"/>
      </w:r>
      <w:r>
        <w:rPr>
          <w:sz w:val="24"/>
        </w:rPr>
        <w:instrText xml:space="preserve"> PAGEREF _Toc16044 \h </w:instrText>
      </w:r>
      <w:r>
        <w:rPr>
          <w:sz w:val="24"/>
        </w:rPr>
        <w:fldChar w:fldCharType="separate"/>
      </w:r>
      <w:r>
        <w:rPr>
          <w:sz w:val="24"/>
        </w:rPr>
        <w:t>96</w:t>
      </w:r>
      <w:r>
        <w:rPr>
          <w:sz w:val="24"/>
        </w:rPr>
        <w:fldChar w:fldCharType="end"/>
      </w:r>
      <w:r>
        <w:rPr>
          <w:color w:val="auto"/>
          <w:sz w:val="24"/>
        </w:rPr>
        <w:fldChar w:fldCharType="end"/>
      </w:r>
    </w:p>
    <w:p w14:paraId="12845371">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_Toc4041 </w:instrText>
      </w:r>
      <w:r>
        <w:rPr>
          <w:sz w:val="24"/>
        </w:rPr>
        <w:fldChar w:fldCharType="separate"/>
      </w:r>
      <w:r>
        <w:rPr>
          <w:rFonts w:hint="eastAsia"/>
          <w:sz w:val="24"/>
        </w:rPr>
        <w:t>5.1.1</w:t>
      </w:r>
      <w:r>
        <w:rPr>
          <w:rFonts w:hint="eastAsia"/>
          <w:sz w:val="24"/>
          <w:lang w:val="en-US" w:eastAsia="zh-CN"/>
        </w:rPr>
        <w:t xml:space="preserve"> </w:t>
      </w:r>
      <w:r>
        <w:rPr>
          <w:rFonts w:hint="eastAsia"/>
          <w:sz w:val="24"/>
        </w:rPr>
        <w:t>建设程序安全检查表</w:t>
      </w:r>
      <w:r>
        <w:rPr>
          <w:sz w:val="24"/>
        </w:rPr>
        <w:tab/>
      </w:r>
      <w:r>
        <w:rPr>
          <w:sz w:val="24"/>
        </w:rPr>
        <w:fldChar w:fldCharType="begin"/>
      </w:r>
      <w:r>
        <w:rPr>
          <w:sz w:val="24"/>
        </w:rPr>
        <w:instrText xml:space="preserve"> PAGEREF _Toc4041 \h </w:instrText>
      </w:r>
      <w:r>
        <w:rPr>
          <w:sz w:val="24"/>
        </w:rPr>
        <w:fldChar w:fldCharType="separate"/>
      </w:r>
      <w:r>
        <w:rPr>
          <w:sz w:val="24"/>
        </w:rPr>
        <w:t>96</w:t>
      </w:r>
      <w:r>
        <w:rPr>
          <w:sz w:val="24"/>
        </w:rPr>
        <w:fldChar w:fldCharType="end"/>
      </w:r>
      <w:r>
        <w:rPr>
          <w:color w:val="auto"/>
          <w:sz w:val="24"/>
        </w:rPr>
        <w:fldChar w:fldCharType="end"/>
      </w:r>
    </w:p>
    <w:p w14:paraId="095BFC1C">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_Toc671 </w:instrText>
      </w:r>
      <w:r>
        <w:rPr>
          <w:sz w:val="24"/>
        </w:rPr>
        <w:fldChar w:fldCharType="separate"/>
      </w:r>
      <w:r>
        <w:rPr>
          <w:rFonts w:hint="eastAsia"/>
          <w:sz w:val="24"/>
        </w:rPr>
        <w:t>5.1.2</w:t>
      </w:r>
      <w:r>
        <w:rPr>
          <w:rFonts w:hint="eastAsia"/>
          <w:sz w:val="24"/>
          <w:lang w:val="en-US" w:eastAsia="zh-CN"/>
        </w:rPr>
        <w:t xml:space="preserve"> </w:t>
      </w:r>
      <w:r>
        <w:rPr>
          <w:rFonts w:hint="eastAsia"/>
          <w:sz w:val="24"/>
        </w:rPr>
        <w:t>单元评价小结</w:t>
      </w:r>
      <w:r>
        <w:rPr>
          <w:sz w:val="24"/>
        </w:rPr>
        <w:tab/>
      </w:r>
      <w:r>
        <w:rPr>
          <w:sz w:val="24"/>
        </w:rPr>
        <w:fldChar w:fldCharType="begin"/>
      </w:r>
      <w:r>
        <w:rPr>
          <w:sz w:val="24"/>
        </w:rPr>
        <w:instrText xml:space="preserve"> PAGEREF _Toc671 \h </w:instrText>
      </w:r>
      <w:r>
        <w:rPr>
          <w:sz w:val="24"/>
        </w:rPr>
        <w:fldChar w:fldCharType="separate"/>
      </w:r>
      <w:r>
        <w:rPr>
          <w:sz w:val="24"/>
        </w:rPr>
        <w:t>98</w:t>
      </w:r>
      <w:r>
        <w:rPr>
          <w:sz w:val="24"/>
        </w:rPr>
        <w:fldChar w:fldCharType="end"/>
      </w:r>
      <w:r>
        <w:rPr>
          <w:color w:val="auto"/>
          <w:sz w:val="24"/>
        </w:rPr>
        <w:fldChar w:fldCharType="end"/>
      </w:r>
    </w:p>
    <w:p w14:paraId="7E66EDAB">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_Toc2121 </w:instrText>
      </w:r>
      <w:r>
        <w:rPr>
          <w:sz w:val="24"/>
        </w:rPr>
        <w:fldChar w:fldCharType="separate"/>
      </w:r>
      <w:r>
        <w:rPr>
          <w:rFonts w:hint="eastAsia"/>
          <w:sz w:val="24"/>
        </w:rPr>
        <w:t>5.2 厂址及总平面布置单元分析评价</w:t>
      </w:r>
      <w:r>
        <w:rPr>
          <w:sz w:val="24"/>
        </w:rPr>
        <w:tab/>
      </w:r>
      <w:r>
        <w:rPr>
          <w:sz w:val="24"/>
        </w:rPr>
        <w:fldChar w:fldCharType="begin"/>
      </w:r>
      <w:r>
        <w:rPr>
          <w:sz w:val="24"/>
        </w:rPr>
        <w:instrText xml:space="preserve"> PAGEREF _Toc2121 \h </w:instrText>
      </w:r>
      <w:r>
        <w:rPr>
          <w:sz w:val="24"/>
        </w:rPr>
        <w:fldChar w:fldCharType="separate"/>
      </w:r>
      <w:r>
        <w:rPr>
          <w:sz w:val="24"/>
        </w:rPr>
        <w:t>98</w:t>
      </w:r>
      <w:r>
        <w:rPr>
          <w:sz w:val="24"/>
        </w:rPr>
        <w:fldChar w:fldCharType="end"/>
      </w:r>
      <w:r>
        <w:rPr>
          <w:color w:val="auto"/>
          <w:sz w:val="24"/>
        </w:rPr>
        <w:fldChar w:fldCharType="end"/>
      </w:r>
    </w:p>
    <w:p w14:paraId="1BC6425A">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_Toc27324 </w:instrText>
      </w:r>
      <w:r>
        <w:rPr>
          <w:sz w:val="24"/>
        </w:rPr>
        <w:fldChar w:fldCharType="separate"/>
      </w:r>
      <w:r>
        <w:rPr>
          <w:rFonts w:hint="eastAsia"/>
          <w:sz w:val="24"/>
        </w:rPr>
        <w:t>5.2.1</w:t>
      </w:r>
      <w:r>
        <w:rPr>
          <w:rFonts w:hint="eastAsia"/>
          <w:sz w:val="24"/>
          <w:lang w:val="en-US" w:eastAsia="zh-CN"/>
        </w:rPr>
        <w:t xml:space="preserve"> </w:t>
      </w:r>
      <w:r>
        <w:rPr>
          <w:rFonts w:hint="eastAsia"/>
          <w:sz w:val="24"/>
        </w:rPr>
        <w:t>厂址及总平面布置安全检查表</w:t>
      </w:r>
      <w:r>
        <w:rPr>
          <w:sz w:val="24"/>
        </w:rPr>
        <w:tab/>
      </w:r>
      <w:r>
        <w:rPr>
          <w:sz w:val="24"/>
        </w:rPr>
        <w:fldChar w:fldCharType="begin"/>
      </w:r>
      <w:r>
        <w:rPr>
          <w:sz w:val="24"/>
        </w:rPr>
        <w:instrText xml:space="preserve"> PAGEREF _Toc27324 \h </w:instrText>
      </w:r>
      <w:r>
        <w:rPr>
          <w:sz w:val="24"/>
        </w:rPr>
        <w:fldChar w:fldCharType="separate"/>
      </w:r>
      <w:r>
        <w:rPr>
          <w:sz w:val="24"/>
        </w:rPr>
        <w:t>98</w:t>
      </w:r>
      <w:r>
        <w:rPr>
          <w:sz w:val="24"/>
        </w:rPr>
        <w:fldChar w:fldCharType="end"/>
      </w:r>
      <w:r>
        <w:rPr>
          <w:color w:val="auto"/>
          <w:sz w:val="24"/>
        </w:rPr>
        <w:fldChar w:fldCharType="end"/>
      </w:r>
    </w:p>
    <w:p w14:paraId="1F83B131">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_Toc32579 </w:instrText>
      </w:r>
      <w:r>
        <w:rPr>
          <w:sz w:val="24"/>
        </w:rPr>
        <w:fldChar w:fldCharType="separate"/>
      </w:r>
      <w:r>
        <w:rPr>
          <w:rFonts w:hint="eastAsia"/>
          <w:sz w:val="24"/>
        </w:rPr>
        <w:t>5.2.2 单元评价小结</w:t>
      </w:r>
      <w:r>
        <w:rPr>
          <w:sz w:val="24"/>
        </w:rPr>
        <w:tab/>
      </w:r>
      <w:r>
        <w:rPr>
          <w:sz w:val="24"/>
        </w:rPr>
        <w:fldChar w:fldCharType="begin"/>
      </w:r>
      <w:r>
        <w:rPr>
          <w:sz w:val="24"/>
        </w:rPr>
        <w:instrText xml:space="preserve"> PAGEREF _Toc32579 \h </w:instrText>
      </w:r>
      <w:r>
        <w:rPr>
          <w:sz w:val="24"/>
        </w:rPr>
        <w:fldChar w:fldCharType="separate"/>
      </w:r>
      <w:r>
        <w:rPr>
          <w:sz w:val="24"/>
        </w:rPr>
        <w:t>106</w:t>
      </w:r>
      <w:r>
        <w:rPr>
          <w:sz w:val="24"/>
        </w:rPr>
        <w:fldChar w:fldCharType="end"/>
      </w:r>
      <w:r>
        <w:rPr>
          <w:color w:val="auto"/>
          <w:sz w:val="24"/>
        </w:rPr>
        <w:fldChar w:fldCharType="end"/>
      </w:r>
    </w:p>
    <w:p w14:paraId="229744B9">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_Toc2938 </w:instrText>
      </w:r>
      <w:r>
        <w:rPr>
          <w:sz w:val="24"/>
        </w:rPr>
        <w:fldChar w:fldCharType="separate"/>
      </w:r>
      <w:r>
        <w:rPr>
          <w:rFonts w:hint="eastAsia"/>
          <w:sz w:val="24"/>
        </w:rPr>
        <w:t>5.3 生产工艺及设备单元分析评价</w:t>
      </w:r>
      <w:r>
        <w:rPr>
          <w:sz w:val="24"/>
        </w:rPr>
        <w:tab/>
      </w:r>
      <w:r>
        <w:rPr>
          <w:sz w:val="24"/>
        </w:rPr>
        <w:fldChar w:fldCharType="begin"/>
      </w:r>
      <w:r>
        <w:rPr>
          <w:sz w:val="24"/>
        </w:rPr>
        <w:instrText xml:space="preserve"> PAGEREF _Toc2938 \h </w:instrText>
      </w:r>
      <w:r>
        <w:rPr>
          <w:sz w:val="24"/>
        </w:rPr>
        <w:fldChar w:fldCharType="separate"/>
      </w:r>
      <w:r>
        <w:rPr>
          <w:sz w:val="24"/>
        </w:rPr>
        <w:t>106</w:t>
      </w:r>
      <w:r>
        <w:rPr>
          <w:sz w:val="24"/>
        </w:rPr>
        <w:fldChar w:fldCharType="end"/>
      </w:r>
      <w:r>
        <w:rPr>
          <w:color w:val="auto"/>
          <w:sz w:val="24"/>
        </w:rPr>
        <w:fldChar w:fldCharType="end"/>
      </w:r>
    </w:p>
    <w:p w14:paraId="18F36C1B">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_Toc20764 </w:instrText>
      </w:r>
      <w:r>
        <w:rPr>
          <w:sz w:val="24"/>
        </w:rPr>
        <w:fldChar w:fldCharType="separate"/>
      </w:r>
      <w:r>
        <w:rPr>
          <w:rFonts w:hint="eastAsia"/>
          <w:sz w:val="24"/>
        </w:rPr>
        <w:t>5.3.1</w:t>
      </w:r>
      <w:r>
        <w:rPr>
          <w:rFonts w:hint="eastAsia"/>
          <w:sz w:val="24"/>
          <w:lang w:val="en-US" w:eastAsia="zh-CN"/>
        </w:rPr>
        <w:t xml:space="preserve"> </w:t>
      </w:r>
      <w:r>
        <w:rPr>
          <w:rFonts w:hint="eastAsia"/>
          <w:sz w:val="24"/>
        </w:rPr>
        <w:t>生产工艺及设备安全检查表</w:t>
      </w:r>
      <w:r>
        <w:rPr>
          <w:sz w:val="24"/>
        </w:rPr>
        <w:tab/>
      </w:r>
      <w:r>
        <w:rPr>
          <w:sz w:val="24"/>
        </w:rPr>
        <w:fldChar w:fldCharType="begin"/>
      </w:r>
      <w:r>
        <w:rPr>
          <w:sz w:val="24"/>
        </w:rPr>
        <w:instrText xml:space="preserve"> PAGEREF _Toc20764 \h </w:instrText>
      </w:r>
      <w:r>
        <w:rPr>
          <w:sz w:val="24"/>
        </w:rPr>
        <w:fldChar w:fldCharType="separate"/>
      </w:r>
      <w:r>
        <w:rPr>
          <w:sz w:val="24"/>
        </w:rPr>
        <w:t>106</w:t>
      </w:r>
      <w:r>
        <w:rPr>
          <w:sz w:val="24"/>
        </w:rPr>
        <w:fldChar w:fldCharType="end"/>
      </w:r>
      <w:r>
        <w:rPr>
          <w:color w:val="auto"/>
          <w:sz w:val="24"/>
        </w:rPr>
        <w:fldChar w:fldCharType="end"/>
      </w:r>
    </w:p>
    <w:p w14:paraId="35B56853">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_Toc10837 </w:instrText>
      </w:r>
      <w:r>
        <w:rPr>
          <w:sz w:val="24"/>
        </w:rPr>
        <w:fldChar w:fldCharType="separate"/>
      </w:r>
      <w:r>
        <w:rPr>
          <w:rFonts w:hint="eastAsia"/>
          <w:sz w:val="24"/>
        </w:rPr>
        <w:t>5.3.2</w:t>
      </w:r>
      <w:r>
        <w:rPr>
          <w:rFonts w:hint="eastAsia"/>
          <w:sz w:val="24"/>
          <w:lang w:val="en-US" w:eastAsia="zh-CN"/>
        </w:rPr>
        <w:t xml:space="preserve"> </w:t>
      </w:r>
      <w:r>
        <w:rPr>
          <w:rFonts w:hint="eastAsia"/>
          <w:sz w:val="24"/>
        </w:rPr>
        <w:t>单元评价小结</w:t>
      </w:r>
      <w:r>
        <w:rPr>
          <w:sz w:val="24"/>
        </w:rPr>
        <w:tab/>
      </w:r>
      <w:r>
        <w:rPr>
          <w:sz w:val="24"/>
        </w:rPr>
        <w:fldChar w:fldCharType="begin"/>
      </w:r>
      <w:r>
        <w:rPr>
          <w:sz w:val="24"/>
        </w:rPr>
        <w:instrText xml:space="preserve"> PAGEREF _Toc10837 \h </w:instrText>
      </w:r>
      <w:r>
        <w:rPr>
          <w:sz w:val="24"/>
        </w:rPr>
        <w:fldChar w:fldCharType="separate"/>
      </w:r>
      <w:r>
        <w:rPr>
          <w:sz w:val="24"/>
        </w:rPr>
        <w:t>124</w:t>
      </w:r>
      <w:r>
        <w:rPr>
          <w:sz w:val="24"/>
        </w:rPr>
        <w:fldChar w:fldCharType="end"/>
      </w:r>
      <w:r>
        <w:rPr>
          <w:color w:val="auto"/>
          <w:sz w:val="24"/>
        </w:rPr>
        <w:fldChar w:fldCharType="end"/>
      </w:r>
    </w:p>
    <w:p w14:paraId="574AB262">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_Toc9595 </w:instrText>
      </w:r>
      <w:r>
        <w:rPr>
          <w:sz w:val="24"/>
        </w:rPr>
        <w:fldChar w:fldCharType="separate"/>
      </w:r>
      <w:r>
        <w:rPr>
          <w:rFonts w:hint="eastAsia"/>
          <w:sz w:val="24"/>
        </w:rPr>
        <w:t>5.4 公用工程及辅助设施</w:t>
      </w:r>
      <w:r>
        <w:rPr>
          <w:rFonts w:hint="eastAsia"/>
          <w:sz w:val="24"/>
          <w:lang w:val="en-US" w:eastAsia="zh-CN"/>
        </w:rPr>
        <w:t>单元</w:t>
      </w:r>
      <w:r>
        <w:rPr>
          <w:rFonts w:hint="eastAsia"/>
          <w:sz w:val="24"/>
        </w:rPr>
        <w:t>分析评价</w:t>
      </w:r>
      <w:r>
        <w:rPr>
          <w:sz w:val="24"/>
        </w:rPr>
        <w:tab/>
      </w:r>
      <w:r>
        <w:rPr>
          <w:sz w:val="24"/>
        </w:rPr>
        <w:fldChar w:fldCharType="begin"/>
      </w:r>
      <w:r>
        <w:rPr>
          <w:sz w:val="24"/>
        </w:rPr>
        <w:instrText xml:space="preserve"> PAGEREF _Toc9595 \h </w:instrText>
      </w:r>
      <w:r>
        <w:rPr>
          <w:sz w:val="24"/>
        </w:rPr>
        <w:fldChar w:fldCharType="separate"/>
      </w:r>
      <w:r>
        <w:rPr>
          <w:sz w:val="24"/>
        </w:rPr>
        <w:t>124</w:t>
      </w:r>
      <w:r>
        <w:rPr>
          <w:sz w:val="24"/>
        </w:rPr>
        <w:fldChar w:fldCharType="end"/>
      </w:r>
      <w:r>
        <w:rPr>
          <w:color w:val="auto"/>
          <w:sz w:val="24"/>
        </w:rPr>
        <w:fldChar w:fldCharType="end"/>
      </w:r>
    </w:p>
    <w:p w14:paraId="54CE32BC">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_Toc20487 </w:instrText>
      </w:r>
      <w:r>
        <w:rPr>
          <w:sz w:val="24"/>
        </w:rPr>
        <w:fldChar w:fldCharType="separate"/>
      </w:r>
      <w:r>
        <w:rPr>
          <w:rFonts w:hint="eastAsia"/>
          <w:sz w:val="24"/>
        </w:rPr>
        <w:t>5.4.1</w:t>
      </w:r>
      <w:r>
        <w:rPr>
          <w:rFonts w:hint="eastAsia"/>
          <w:sz w:val="24"/>
          <w:lang w:val="en-US" w:eastAsia="zh-CN"/>
        </w:rPr>
        <w:t xml:space="preserve"> </w:t>
      </w:r>
      <w:r>
        <w:rPr>
          <w:rFonts w:hint="eastAsia"/>
          <w:sz w:val="24"/>
        </w:rPr>
        <w:t>供配电系统分析评价</w:t>
      </w:r>
      <w:r>
        <w:rPr>
          <w:sz w:val="24"/>
        </w:rPr>
        <w:tab/>
      </w:r>
      <w:r>
        <w:rPr>
          <w:sz w:val="24"/>
        </w:rPr>
        <w:fldChar w:fldCharType="begin"/>
      </w:r>
      <w:r>
        <w:rPr>
          <w:sz w:val="24"/>
        </w:rPr>
        <w:instrText xml:space="preserve"> PAGEREF _Toc20487 \h </w:instrText>
      </w:r>
      <w:r>
        <w:rPr>
          <w:sz w:val="24"/>
        </w:rPr>
        <w:fldChar w:fldCharType="separate"/>
      </w:r>
      <w:r>
        <w:rPr>
          <w:sz w:val="24"/>
        </w:rPr>
        <w:t>124</w:t>
      </w:r>
      <w:r>
        <w:rPr>
          <w:sz w:val="24"/>
        </w:rPr>
        <w:fldChar w:fldCharType="end"/>
      </w:r>
      <w:r>
        <w:rPr>
          <w:color w:val="auto"/>
          <w:sz w:val="24"/>
        </w:rPr>
        <w:fldChar w:fldCharType="end"/>
      </w:r>
    </w:p>
    <w:p w14:paraId="55039449">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_Toc11037 </w:instrText>
      </w:r>
      <w:r>
        <w:rPr>
          <w:sz w:val="24"/>
        </w:rPr>
        <w:fldChar w:fldCharType="separate"/>
      </w:r>
      <w:r>
        <w:rPr>
          <w:rFonts w:hint="eastAsia"/>
          <w:sz w:val="24"/>
        </w:rPr>
        <w:t>5.4.2</w:t>
      </w:r>
      <w:r>
        <w:rPr>
          <w:rFonts w:hint="eastAsia"/>
          <w:sz w:val="24"/>
          <w:lang w:val="en-US" w:eastAsia="zh-CN"/>
        </w:rPr>
        <w:t xml:space="preserve"> </w:t>
      </w:r>
      <w:r>
        <w:rPr>
          <w:rFonts w:hint="eastAsia"/>
          <w:sz w:val="24"/>
        </w:rPr>
        <w:t>给排水系统分析评价</w:t>
      </w:r>
      <w:r>
        <w:rPr>
          <w:sz w:val="24"/>
        </w:rPr>
        <w:tab/>
      </w:r>
      <w:r>
        <w:rPr>
          <w:sz w:val="24"/>
        </w:rPr>
        <w:fldChar w:fldCharType="begin"/>
      </w:r>
      <w:r>
        <w:rPr>
          <w:sz w:val="24"/>
        </w:rPr>
        <w:instrText xml:space="preserve"> PAGEREF _Toc11037 \h </w:instrText>
      </w:r>
      <w:r>
        <w:rPr>
          <w:sz w:val="24"/>
        </w:rPr>
        <w:fldChar w:fldCharType="separate"/>
      </w:r>
      <w:r>
        <w:rPr>
          <w:sz w:val="24"/>
        </w:rPr>
        <w:t>129</w:t>
      </w:r>
      <w:r>
        <w:rPr>
          <w:sz w:val="24"/>
        </w:rPr>
        <w:fldChar w:fldCharType="end"/>
      </w:r>
      <w:r>
        <w:rPr>
          <w:color w:val="auto"/>
          <w:sz w:val="24"/>
        </w:rPr>
        <w:fldChar w:fldCharType="end"/>
      </w:r>
    </w:p>
    <w:p w14:paraId="2193691B">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_Toc15766 </w:instrText>
      </w:r>
      <w:r>
        <w:rPr>
          <w:sz w:val="24"/>
        </w:rPr>
        <w:fldChar w:fldCharType="separate"/>
      </w:r>
      <w:r>
        <w:rPr>
          <w:rFonts w:hint="eastAsia"/>
          <w:sz w:val="24"/>
        </w:rPr>
        <w:t>5.4.3</w:t>
      </w:r>
      <w:r>
        <w:rPr>
          <w:rFonts w:hint="eastAsia"/>
          <w:sz w:val="24"/>
          <w:lang w:val="en-US" w:eastAsia="zh-CN"/>
        </w:rPr>
        <w:t xml:space="preserve"> </w:t>
      </w:r>
      <w:r>
        <w:rPr>
          <w:rFonts w:hint="eastAsia"/>
          <w:sz w:val="24"/>
        </w:rPr>
        <w:t>消防设施分析评价</w:t>
      </w:r>
      <w:r>
        <w:rPr>
          <w:sz w:val="24"/>
        </w:rPr>
        <w:tab/>
      </w:r>
      <w:r>
        <w:rPr>
          <w:sz w:val="24"/>
        </w:rPr>
        <w:fldChar w:fldCharType="begin"/>
      </w:r>
      <w:r>
        <w:rPr>
          <w:sz w:val="24"/>
        </w:rPr>
        <w:instrText xml:space="preserve"> PAGEREF _Toc15766 \h </w:instrText>
      </w:r>
      <w:r>
        <w:rPr>
          <w:sz w:val="24"/>
        </w:rPr>
        <w:fldChar w:fldCharType="separate"/>
      </w:r>
      <w:r>
        <w:rPr>
          <w:sz w:val="24"/>
        </w:rPr>
        <w:t>131</w:t>
      </w:r>
      <w:r>
        <w:rPr>
          <w:sz w:val="24"/>
        </w:rPr>
        <w:fldChar w:fldCharType="end"/>
      </w:r>
      <w:r>
        <w:rPr>
          <w:color w:val="auto"/>
          <w:sz w:val="24"/>
        </w:rPr>
        <w:fldChar w:fldCharType="end"/>
      </w:r>
    </w:p>
    <w:p w14:paraId="4CA9827E">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_Toc16170 </w:instrText>
      </w:r>
      <w:r>
        <w:rPr>
          <w:sz w:val="24"/>
        </w:rPr>
        <w:fldChar w:fldCharType="separate"/>
      </w:r>
      <w:r>
        <w:rPr>
          <w:rFonts w:hint="eastAsia"/>
          <w:sz w:val="24"/>
        </w:rPr>
        <w:t>5.4.4</w:t>
      </w:r>
      <w:r>
        <w:rPr>
          <w:rFonts w:hint="eastAsia"/>
          <w:sz w:val="24"/>
          <w:lang w:val="en-US" w:eastAsia="zh-CN"/>
        </w:rPr>
        <w:t xml:space="preserve"> </w:t>
      </w:r>
      <w:r>
        <w:rPr>
          <w:rFonts w:hint="eastAsia"/>
          <w:sz w:val="24"/>
        </w:rPr>
        <w:t>通风、采光</w:t>
      </w:r>
      <w:r>
        <w:rPr>
          <w:sz w:val="24"/>
        </w:rPr>
        <w:tab/>
      </w:r>
      <w:r>
        <w:rPr>
          <w:sz w:val="24"/>
        </w:rPr>
        <w:fldChar w:fldCharType="begin"/>
      </w:r>
      <w:r>
        <w:rPr>
          <w:sz w:val="24"/>
        </w:rPr>
        <w:instrText xml:space="preserve"> PAGEREF _Toc16170 \h </w:instrText>
      </w:r>
      <w:r>
        <w:rPr>
          <w:sz w:val="24"/>
        </w:rPr>
        <w:fldChar w:fldCharType="separate"/>
      </w:r>
      <w:r>
        <w:rPr>
          <w:sz w:val="24"/>
        </w:rPr>
        <w:t>134</w:t>
      </w:r>
      <w:r>
        <w:rPr>
          <w:sz w:val="24"/>
        </w:rPr>
        <w:fldChar w:fldCharType="end"/>
      </w:r>
      <w:r>
        <w:rPr>
          <w:color w:val="auto"/>
          <w:sz w:val="24"/>
        </w:rPr>
        <w:fldChar w:fldCharType="end"/>
      </w:r>
    </w:p>
    <w:p w14:paraId="4C591B80">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_Toc25315 </w:instrText>
      </w:r>
      <w:r>
        <w:rPr>
          <w:sz w:val="24"/>
        </w:rPr>
        <w:fldChar w:fldCharType="separate"/>
      </w:r>
      <w:r>
        <w:rPr>
          <w:rFonts w:hint="eastAsia"/>
          <w:sz w:val="24"/>
        </w:rPr>
        <w:t>5.4.5</w:t>
      </w:r>
      <w:r>
        <w:rPr>
          <w:rFonts w:hint="eastAsia"/>
          <w:sz w:val="24"/>
          <w:lang w:val="en-US" w:eastAsia="zh-CN"/>
        </w:rPr>
        <w:t xml:space="preserve"> </w:t>
      </w:r>
      <w:r>
        <w:rPr>
          <w:rFonts w:hint="eastAsia"/>
          <w:sz w:val="24"/>
        </w:rPr>
        <w:t>单元评价小结</w:t>
      </w:r>
      <w:r>
        <w:rPr>
          <w:sz w:val="24"/>
        </w:rPr>
        <w:tab/>
      </w:r>
      <w:r>
        <w:rPr>
          <w:sz w:val="24"/>
        </w:rPr>
        <w:fldChar w:fldCharType="begin"/>
      </w:r>
      <w:r>
        <w:rPr>
          <w:sz w:val="24"/>
        </w:rPr>
        <w:instrText xml:space="preserve"> PAGEREF _Toc25315 \h </w:instrText>
      </w:r>
      <w:r>
        <w:rPr>
          <w:sz w:val="24"/>
        </w:rPr>
        <w:fldChar w:fldCharType="separate"/>
      </w:r>
      <w:r>
        <w:rPr>
          <w:sz w:val="24"/>
        </w:rPr>
        <w:t>135</w:t>
      </w:r>
      <w:r>
        <w:rPr>
          <w:sz w:val="24"/>
        </w:rPr>
        <w:fldChar w:fldCharType="end"/>
      </w:r>
      <w:r>
        <w:rPr>
          <w:color w:val="auto"/>
          <w:sz w:val="24"/>
        </w:rPr>
        <w:fldChar w:fldCharType="end"/>
      </w:r>
    </w:p>
    <w:p w14:paraId="17FAB35C">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_Toc17417 </w:instrText>
      </w:r>
      <w:r>
        <w:rPr>
          <w:sz w:val="24"/>
        </w:rPr>
        <w:fldChar w:fldCharType="separate"/>
      </w:r>
      <w:r>
        <w:rPr>
          <w:rFonts w:hint="eastAsia"/>
          <w:sz w:val="24"/>
        </w:rPr>
        <w:t>5.5 安全设施单元分析评价</w:t>
      </w:r>
      <w:r>
        <w:rPr>
          <w:sz w:val="24"/>
        </w:rPr>
        <w:tab/>
      </w:r>
      <w:r>
        <w:rPr>
          <w:sz w:val="24"/>
        </w:rPr>
        <w:fldChar w:fldCharType="begin"/>
      </w:r>
      <w:r>
        <w:rPr>
          <w:sz w:val="24"/>
        </w:rPr>
        <w:instrText xml:space="preserve"> PAGEREF _Toc17417 \h </w:instrText>
      </w:r>
      <w:r>
        <w:rPr>
          <w:sz w:val="24"/>
        </w:rPr>
        <w:fldChar w:fldCharType="separate"/>
      </w:r>
      <w:r>
        <w:rPr>
          <w:sz w:val="24"/>
        </w:rPr>
        <w:t>135</w:t>
      </w:r>
      <w:r>
        <w:rPr>
          <w:sz w:val="24"/>
        </w:rPr>
        <w:fldChar w:fldCharType="end"/>
      </w:r>
      <w:r>
        <w:rPr>
          <w:color w:val="auto"/>
          <w:sz w:val="24"/>
        </w:rPr>
        <w:fldChar w:fldCharType="end"/>
      </w:r>
    </w:p>
    <w:p w14:paraId="3D2CB534">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_Toc10907 </w:instrText>
      </w:r>
      <w:r>
        <w:rPr>
          <w:sz w:val="24"/>
        </w:rPr>
        <w:fldChar w:fldCharType="separate"/>
      </w:r>
      <w:r>
        <w:rPr>
          <w:rFonts w:hint="eastAsia"/>
          <w:sz w:val="24"/>
        </w:rPr>
        <w:t>5.5.1</w:t>
      </w:r>
      <w:r>
        <w:rPr>
          <w:rFonts w:hint="eastAsia"/>
          <w:sz w:val="24"/>
          <w:lang w:val="en-US" w:eastAsia="zh-CN"/>
        </w:rPr>
        <w:t xml:space="preserve"> </w:t>
      </w:r>
      <w:r>
        <w:rPr>
          <w:rFonts w:hint="eastAsia"/>
          <w:sz w:val="24"/>
        </w:rPr>
        <w:t>常规防护设施分析评价</w:t>
      </w:r>
      <w:r>
        <w:rPr>
          <w:sz w:val="24"/>
        </w:rPr>
        <w:tab/>
      </w:r>
      <w:r>
        <w:rPr>
          <w:sz w:val="24"/>
        </w:rPr>
        <w:fldChar w:fldCharType="begin"/>
      </w:r>
      <w:r>
        <w:rPr>
          <w:sz w:val="24"/>
        </w:rPr>
        <w:instrText xml:space="preserve"> PAGEREF _Toc10907 \h </w:instrText>
      </w:r>
      <w:r>
        <w:rPr>
          <w:sz w:val="24"/>
        </w:rPr>
        <w:fldChar w:fldCharType="separate"/>
      </w:r>
      <w:r>
        <w:rPr>
          <w:sz w:val="24"/>
        </w:rPr>
        <w:t>135</w:t>
      </w:r>
      <w:r>
        <w:rPr>
          <w:sz w:val="24"/>
        </w:rPr>
        <w:fldChar w:fldCharType="end"/>
      </w:r>
      <w:r>
        <w:rPr>
          <w:color w:val="auto"/>
          <w:sz w:val="24"/>
        </w:rPr>
        <w:fldChar w:fldCharType="end"/>
      </w:r>
    </w:p>
    <w:p w14:paraId="2D45F71F">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_Toc19467 </w:instrText>
      </w:r>
      <w:r>
        <w:rPr>
          <w:sz w:val="24"/>
        </w:rPr>
        <w:fldChar w:fldCharType="separate"/>
      </w:r>
      <w:r>
        <w:rPr>
          <w:rFonts w:hint="eastAsia"/>
          <w:sz w:val="24"/>
        </w:rPr>
        <w:t>5.5.2</w:t>
      </w:r>
      <w:r>
        <w:rPr>
          <w:rFonts w:hint="eastAsia"/>
          <w:sz w:val="24"/>
          <w:lang w:val="en-US" w:eastAsia="zh-CN"/>
        </w:rPr>
        <w:t xml:space="preserve"> </w:t>
      </w:r>
      <w:r>
        <w:rPr>
          <w:rFonts w:hint="eastAsia"/>
          <w:sz w:val="24"/>
        </w:rPr>
        <w:t>应急设施分析评价</w:t>
      </w:r>
      <w:r>
        <w:rPr>
          <w:sz w:val="24"/>
        </w:rPr>
        <w:tab/>
      </w:r>
      <w:r>
        <w:rPr>
          <w:sz w:val="24"/>
        </w:rPr>
        <w:fldChar w:fldCharType="begin"/>
      </w:r>
      <w:r>
        <w:rPr>
          <w:sz w:val="24"/>
        </w:rPr>
        <w:instrText xml:space="preserve"> PAGEREF _Toc19467 \h </w:instrText>
      </w:r>
      <w:r>
        <w:rPr>
          <w:sz w:val="24"/>
        </w:rPr>
        <w:fldChar w:fldCharType="separate"/>
      </w:r>
      <w:r>
        <w:rPr>
          <w:sz w:val="24"/>
        </w:rPr>
        <w:t>139</w:t>
      </w:r>
      <w:r>
        <w:rPr>
          <w:sz w:val="24"/>
        </w:rPr>
        <w:fldChar w:fldCharType="end"/>
      </w:r>
      <w:r>
        <w:rPr>
          <w:color w:val="auto"/>
          <w:sz w:val="24"/>
        </w:rPr>
        <w:fldChar w:fldCharType="end"/>
      </w:r>
    </w:p>
    <w:p w14:paraId="1714E069">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_Toc20148 </w:instrText>
      </w:r>
      <w:r>
        <w:rPr>
          <w:sz w:val="24"/>
        </w:rPr>
        <w:fldChar w:fldCharType="separate"/>
      </w:r>
      <w:r>
        <w:rPr>
          <w:rFonts w:hint="eastAsia"/>
          <w:sz w:val="24"/>
        </w:rPr>
        <w:t>5.5.3</w:t>
      </w:r>
      <w:r>
        <w:rPr>
          <w:rFonts w:hint="eastAsia"/>
          <w:sz w:val="24"/>
          <w:lang w:val="en-US" w:eastAsia="zh-CN"/>
        </w:rPr>
        <w:t xml:space="preserve"> </w:t>
      </w:r>
      <w:r>
        <w:rPr>
          <w:rFonts w:hint="eastAsia"/>
          <w:sz w:val="24"/>
        </w:rPr>
        <w:t>个体防护设施</w:t>
      </w:r>
      <w:r>
        <w:rPr>
          <w:sz w:val="24"/>
        </w:rPr>
        <w:tab/>
      </w:r>
      <w:r>
        <w:rPr>
          <w:sz w:val="24"/>
        </w:rPr>
        <w:fldChar w:fldCharType="begin"/>
      </w:r>
      <w:r>
        <w:rPr>
          <w:sz w:val="24"/>
        </w:rPr>
        <w:instrText xml:space="preserve"> PAGEREF _Toc20148 \h </w:instrText>
      </w:r>
      <w:r>
        <w:rPr>
          <w:sz w:val="24"/>
        </w:rPr>
        <w:fldChar w:fldCharType="separate"/>
      </w:r>
      <w:r>
        <w:rPr>
          <w:sz w:val="24"/>
        </w:rPr>
        <w:t>139</w:t>
      </w:r>
      <w:r>
        <w:rPr>
          <w:sz w:val="24"/>
        </w:rPr>
        <w:fldChar w:fldCharType="end"/>
      </w:r>
      <w:r>
        <w:rPr>
          <w:color w:val="auto"/>
          <w:sz w:val="24"/>
        </w:rPr>
        <w:fldChar w:fldCharType="end"/>
      </w:r>
    </w:p>
    <w:p w14:paraId="6677E60E">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_Toc7799 </w:instrText>
      </w:r>
      <w:r>
        <w:rPr>
          <w:sz w:val="24"/>
        </w:rPr>
        <w:fldChar w:fldCharType="separate"/>
      </w:r>
      <w:r>
        <w:rPr>
          <w:rFonts w:hint="eastAsia"/>
          <w:sz w:val="24"/>
        </w:rPr>
        <w:t>5.5.4</w:t>
      </w:r>
      <w:r>
        <w:rPr>
          <w:rFonts w:hint="eastAsia"/>
          <w:sz w:val="24"/>
          <w:lang w:val="en-US" w:eastAsia="zh-CN"/>
        </w:rPr>
        <w:t xml:space="preserve"> </w:t>
      </w:r>
      <w:r>
        <w:rPr>
          <w:rFonts w:hint="eastAsia"/>
          <w:sz w:val="24"/>
        </w:rPr>
        <w:t>单元评价小结</w:t>
      </w:r>
      <w:r>
        <w:rPr>
          <w:sz w:val="24"/>
        </w:rPr>
        <w:tab/>
      </w:r>
      <w:r>
        <w:rPr>
          <w:sz w:val="24"/>
        </w:rPr>
        <w:fldChar w:fldCharType="begin"/>
      </w:r>
      <w:r>
        <w:rPr>
          <w:sz w:val="24"/>
        </w:rPr>
        <w:instrText xml:space="preserve"> PAGEREF _Toc7799 \h </w:instrText>
      </w:r>
      <w:r>
        <w:rPr>
          <w:sz w:val="24"/>
        </w:rPr>
        <w:fldChar w:fldCharType="separate"/>
      </w:r>
      <w:r>
        <w:rPr>
          <w:sz w:val="24"/>
        </w:rPr>
        <w:t>139</w:t>
      </w:r>
      <w:r>
        <w:rPr>
          <w:sz w:val="24"/>
        </w:rPr>
        <w:fldChar w:fldCharType="end"/>
      </w:r>
      <w:r>
        <w:rPr>
          <w:color w:val="auto"/>
          <w:sz w:val="24"/>
        </w:rPr>
        <w:fldChar w:fldCharType="end"/>
      </w:r>
    </w:p>
    <w:p w14:paraId="7F6B89C9">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_Toc16870 </w:instrText>
      </w:r>
      <w:r>
        <w:rPr>
          <w:sz w:val="24"/>
        </w:rPr>
        <w:fldChar w:fldCharType="separate"/>
      </w:r>
      <w:r>
        <w:rPr>
          <w:rFonts w:hint="eastAsia"/>
          <w:sz w:val="24"/>
        </w:rPr>
        <w:t>5.6 安全管理单元分析评价</w:t>
      </w:r>
      <w:r>
        <w:rPr>
          <w:sz w:val="24"/>
        </w:rPr>
        <w:tab/>
      </w:r>
      <w:r>
        <w:rPr>
          <w:sz w:val="24"/>
        </w:rPr>
        <w:fldChar w:fldCharType="begin"/>
      </w:r>
      <w:r>
        <w:rPr>
          <w:sz w:val="24"/>
        </w:rPr>
        <w:instrText xml:space="preserve"> PAGEREF _Toc16870 \h </w:instrText>
      </w:r>
      <w:r>
        <w:rPr>
          <w:sz w:val="24"/>
        </w:rPr>
        <w:fldChar w:fldCharType="separate"/>
      </w:r>
      <w:r>
        <w:rPr>
          <w:sz w:val="24"/>
        </w:rPr>
        <w:t>141</w:t>
      </w:r>
      <w:r>
        <w:rPr>
          <w:sz w:val="24"/>
        </w:rPr>
        <w:fldChar w:fldCharType="end"/>
      </w:r>
      <w:r>
        <w:rPr>
          <w:color w:val="auto"/>
          <w:sz w:val="24"/>
        </w:rPr>
        <w:fldChar w:fldCharType="end"/>
      </w:r>
    </w:p>
    <w:p w14:paraId="73BB4C77">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_Toc4518 </w:instrText>
      </w:r>
      <w:r>
        <w:rPr>
          <w:sz w:val="24"/>
        </w:rPr>
        <w:fldChar w:fldCharType="separate"/>
      </w:r>
      <w:r>
        <w:rPr>
          <w:rFonts w:hint="eastAsia"/>
          <w:sz w:val="24"/>
        </w:rPr>
        <w:t>5.6.1</w:t>
      </w:r>
      <w:r>
        <w:rPr>
          <w:rFonts w:hint="eastAsia"/>
          <w:sz w:val="24"/>
          <w:lang w:val="en-US" w:eastAsia="zh-CN"/>
        </w:rPr>
        <w:t xml:space="preserve"> </w:t>
      </w:r>
      <w:r>
        <w:rPr>
          <w:rFonts w:hint="eastAsia"/>
          <w:sz w:val="24"/>
        </w:rPr>
        <w:t>安全生产管理检查表</w:t>
      </w:r>
      <w:r>
        <w:rPr>
          <w:sz w:val="24"/>
        </w:rPr>
        <w:tab/>
      </w:r>
      <w:r>
        <w:rPr>
          <w:sz w:val="24"/>
        </w:rPr>
        <w:fldChar w:fldCharType="begin"/>
      </w:r>
      <w:r>
        <w:rPr>
          <w:sz w:val="24"/>
        </w:rPr>
        <w:instrText xml:space="preserve"> PAGEREF _Toc4518 \h </w:instrText>
      </w:r>
      <w:r>
        <w:rPr>
          <w:sz w:val="24"/>
        </w:rPr>
        <w:fldChar w:fldCharType="separate"/>
      </w:r>
      <w:r>
        <w:rPr>
          <w:sz w:val="24"/>
        </w:rPr>
        <w:t>141</w:t>
      </w:r>
      <w:r>
        <w:rPr>
          <w:sz w:val="24"/>
        </w:rPr>
        <w:fldChar w:fldCharType="end"/>
      </w:r>
      <w:r>
        <w:rPr>
          <w:color w:val="auto"/>
          <w:sz w:val="24"/>
        </w:rPr>
        <w:fldChar w:fldCharType="end"/>
      </w:r>
    </w:p>
    <w:p w14:paraId="2F7926AE">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_Toc23986 </w:instrText>
      </w:r>
      <w:r>
        <w:rPr>
          <w:sz w:val="24"/>
        </w:rPr>
        <w:fldChar w:fldCharType="separate"/>
      </w:r>
      <w:r>
        <w:rPr>
          <w:rFonts w:hint="eastAsia"/>
          <w:sz w:val="24"/>
        </w:rPr>
        <w:t>5.6.2</w:t>
      </w:r>
      <w:r>
        <w:rPr>
          <w:rFonts w:hint="eastAsia"/>
          <w:sz w:val="24"/>
          <w:lang w:val="en-US" w:eastAsia="zh-CN"/>
        </w:rPr>
        <w:t xml:space="preserve"> </w:t>
      </w:r>
      <w:r>
        <w:rPr>
          <w:rFonts w:hint="eastAsia"/>
          <w:sz w:val="24"/>
        </w:rPr>
        <w:t>单元评价小结</w:t>
      </w:r>
      <w:r>
        <w:rPr>
          <w:sz w:val="24"/>
        </w:rPr>
        <w:tab/>
      </w:r>
      <w:r>
        <w:rPr>
          <w:sz w:val="24"/>
        </w:rPr>
        <w:fldChar w:fldCharType="begin"/>
      </w:r>
      <w:r>
        <w:rPr>
          <w:sz w:val="24"/>
        </w:rPr>
        <w:instrText xml:space="preserve"> PAGEREF _Toc23986 \h </w:instrText>
      </w:r>
      <w:r>
        <w:rPr>
          <w:sz w:val="24"/>
        </w:rPr>
        <w:fldChar w:fldCharType="separate"/>
      </w:r>
      <w:r>
        <w:rPr>
          <w:sz w:val="24"/>
        </w:rPr>
        <w:t>145</w:t>
      </w:r>
      <w:r>
        <w:rPr>
          <w:sz w:val="24"/>
        </w:rPr>
        <w:fldChar w:fldCharType="end"/>
      </w:r>
      <w:r>
        <w:rPr>
          <w:color w:val="auto"/>
          <w:sz w:val="24"/>
        </w:rPr>
        <w:fldChar w:fldCharType="end"/>
      </w:r>
    </w:p>
    <w:p w14:paraId="0D58826F">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_Toc19285 </w:instrText>
      </w:r>
      <w:r>
        <w:rPr>
          <w:sz w:val="24"/>
        </w:rPr>
        <w:fldChar w:fldCharType="separate"/>
      </w:r>
      <w:r>
        <w:rPr>
          <w:rFonts w:hint="eastAsia"/>
          <w:sz w:val="24"/>
        </w:rPr>
        <w:t>5.7 危险危害程度评价</w:t>
      </w:r>
      <w:r>
        <w:rPr>
          <w:sz w:val="24"/>
        </w:rPr>
        <w:tab/>
      </w:r>
      <w:r>
        <w:rPr>
          <w:sz w:val="24"/>
        </w:rPr>
        <w:fldChar w:fldCharType="begin"/>
      </w:r>
      <w:r>
        <w:rPr>
          <w:sz w:val="24"/>
        </w:rPr>
        <w:instrText xml:space="preserve"> PAGEREF _Toc19285 \h </w:instrText>
      </w:r>
      <w:r>
        <w:rPr>
          <w:sz w:val="24"/>
        </w:rPr>
        <w:fldChar w:fldCharType="separate"/>
      </w:r>
      <w:r>
        <w:rPr>
          <w:sz w:val="24"/>
        </w:rPr>
        <w:t>146</w:t>
      </w:r>
      <w:r>
        <w:rPr>
          <w:sz w:val="24"/>
        </w:rPr>
        <w:fldChar w:fldCharType="end"/>
      </w:r>
      <w:r>
        <w:rPr>
          <w:color w:val="auto"/>
          <w:sz w:val="24"/>
        </w:rPr>
        <w:fldChar w:fldCharType="end"/>
      </w:r>
    </w:p>
    <w:p w14:paraId="75309C45">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_Toc16899 </w:instrText>
      </w:r>
      <w:r>
        <w:rPr>
          <w:sz w:val="24"/>
        </w:rPr>
        <w:fldChar w:fldCharType="separate"/>
      </w:r>
      <w:r>
        <w:rPr>
          <w:rFonts w:hint="eastAsia"/>
          <w:sz w:val="24"/>
        </w:rPr>
        <w:t>5.7.1</w:t>
      </w:r>
      <w:r>
        <w:rPr>
          <w:rFonts w:hint="eastAsia"/>
          <w:sz w:val="24"/>
          <w:lang w:val="en-US" w:eastAsia="zh-CN"/>
        </w:rPr>
        <w:t xml:space="preserve"> </w:t>
      </w:r>
      <w:r>
        <w:rPr>
          <w:rFonts w:hint="eastAsia"/>
          <w:sz w:val="24"/>
        </w:rPr>
        <w:t>危险有害因素汇总</w:t>
      </w:r>
      <w:r>
        <w:rPr>
          <w:sz w:val="24"/>
        </w:rPr>
        <w:tab/>
      </w:r>
      <w:r>
        <w:rPr>
          <w:sz w:val="24"/>
        </w:rPr>
        <w:fldChar w:fldCharType="begin"/>
      </w:r>
      <w:r>
        <w:rPr>
          <w:sz w:val="24"/>
        </w:rPr>
        <w:instrText xml:space="preserve"> PAGEREF _Toc16899 \h </w:instrText>
      </w:r>
      <w:r>
        <w:rPr>
          <w:sz w:val="24"/>
        </w:rPr>
        <w:fldChar w:fldCharType="separate"/>
      </w:r>
      <w:r>
        <w:rPr>
          <w:sz w:val="24"/>
        </w:rPr>
        <w:t>146</w:t>
      </w:r>
      <w:r>
        <w:rPr>
          <w:sz w:val="24"/>
        </w:rPr>
        <w:fldChar w:fldCharType="end"/>
      </w:r>
      <w:r>
        <w:rPr>
          <w:color w:val="auto"/>
          <w:sz w:val="24"/>
        </w:rPr>
        <w:fldChar w:fldCharType="end"/>
      </w:r>
    </w:p>
    <w:p w14:paraId="49507837">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_Toc16486 </w:instrText>
      </w:r>
      <w:r>
        <w:rPr>
          <w:sz w:val="24"/>
        </w:rPr>
        <w:fldChar w:fldCharType="separate"/>
      </w:r>
      <w:r>
        <w:rPr>
          <w:rFonts w:hint="eastAsia"/>
          <w:sz w:val="24"/>
        </w:rPr>
        <w:t>5.7.2</w:t>
      </w:r>
      <w:r>
        <w:rPr>
          <w:rFonts w:hint="eastAsia"/>
          <w:sz w:val="24"/>
          <w:lang w:val="en-US" w:eastAsia="zh-CN"/>
        </w:rPr>
        <w:t xml:space="preserve"> </w:t>
      </w:r>
      <w:r>
        <w:rPr>
          <w:rFonts w:hint="eastAsia"/>
          <w:sz w:val="24"/>
        </w:rPr>
        <w:t>危险性分值计算</w:t>
      </w:r>
      <w:r>
        <w:rPr>
          <w:sz w:val="24"/>
        </w:rPr>
        <w:tab/>
      </w:r>
      <w:r>
        <w:rPr>
          <w:sz w:val="24"/>
        </w:rPr>
        <w:fldChar w:fldCharType="begin"/>
      </w:r>
      <w:r>
        <w:rPr>
          <w:sz w:val="24"/>
        </w:rPr>
        <w:instrText xml:space="preserve"> PAGEREF _Toc16486 \h </w:instrText>
      </w:r>
      <w:r>
        <w:rPr>
          <w:sz w:val="24"/>
        </w:rPr>
        <w:fldChar w:fldCharType="separate"/>
      </w:r>
      <w:r>
        <w:rPr>
          <w:sz w:val="24"/>
        </w:rPr>
        <w:t>146</w:t>
      </w:r>
      <w:r>
        <w:rPr>
          <w:sz w:val="24"/>
        </w:rPr>
        <w:fldChar w:fldCharType="end"/>
      </w:r>
      <w:r>
        <w:rPr>
          <w:color w:val="auto"/>
          <w:sz w:val="24"/>
        </w:rPr>
        <w:fldChar w:fldCharType="end"/>
      </w:r>
    </w:p>
    <w:p w14:paraId="7C878A6E">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_Toc31335 </w:instrText>
      </w:r>
      <w:r>
        <w:rPr>
          <w:sz w:val="24"/>
        </w:rPr>
        <w:fldChar w:fldCharType="separate"/>
      </w:r>
      <w:r>
        <w:rPr>
          <w:rFonts w:hint="eastAsia"/>
          <w:sz w:val="24"/>
        </w:rPr>
        <w:t>5.7.3</w:t>
      </w:r>
      <w:r>
        <w:rPr>
          <w:rFonts w:hint="eastAsia"/>
          <w:sz w:val="24"/>
          <w:lang w:val="en-US" w:eastAsia="zh-CN"/>
        </w:rPr>
        <w:t xml:space="preserve"> </w:t>
      </w:r>
      <w:r>
        <w:rPr>
          <w:rFonts w:hint="eastAsia"/>
          <w:sz w:val="24"/>
        </w:rPr>
        <w:t>危险危害程度分析</w:t>
      </w:r>
      <w:r>
        <w:rPr>
          <w:sz w:val="24"/>
        </w:rPr>
        <w:tab/>
      </w:r>
      <w:r>
        <w:rPr>
          <w:sz w:val="24"/>
        </w:rPr>
        <w:fldChar w:fldCharType="begin"/>
      </w:r>
      <w:r>
        <w:rPr>
          <w:sz w:val="24"/>
        </w:rPr>
        <w:instrText xml:space="preserve"> PAGEREF _Toc31335 \h </w:instrText>
      </w:r>
      <w:r>
        <w:rPr>
          <w:sz w:val="24"/>
        </w:rPr>
        <w:fldChar w:fldCharType="separate"/>
      </w:r>
      <w:r>
        <w:rPr>
          <w:sz w:val="24"/>
        </w:rPr>
        <w:t>146</w:t>
      </w:r>
      <w:r>
        <w:rPr>
          <w:sz w:val="24"/>
        </w:rPr>
        <w:fldChar w:fldCharType="end"/>
      </w:r>
      <w:r>
        <w:rPr>
          <w:color w:val="auto"/>
          <w:sz w:val="24"/>
        </w:rPr>
        <w:fldChar w:fldCharType="end"/>
      </w:r>
    </w:p>
    <w:p w14:paraId="72B0E0CB">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_Toc22421 </w:instrText>
      </w:r>
      <w:r>
        <w:rPr>
          <w:sz w:val="24"/>
        </w:rPr>
        <w:fldChar w:fldCharType="separate"/>
      </w:r>
      <w:r>
        <w:rPr>
          <w:rFonts w:hint="eastAsia"/>
          <w:sz w:val="24"/>
        </w:rPr>
        <w:t>5.7.4</w:t>
      </w:r>
      <w:r>
        <w:rPr>
          <w:rFonts w:hint="eastAsia"/>
          <w:sz w:val="24"/>
          <w:lang w:val="en-US" w:eastAsia="zh-CN"/>
        </w:rPr>
        <w:t xml:space="preserve"> </w:t>
      </w:r>
      <w:r>
        <w:rPr>
          <w:rFonts w:hint="eastAsia"/>
          <w:sz w:val="24"/>
        </w:rPr>
        <w:t>单元小结</w:t>
      </w:r>
      <w:r>
        <w:rPr>
          <w:sz w:val="24"/>
        </w:rPr>
        <w:tab/>
      </w:r>
      <w:r>
        <w:rPr>
          <w:sz w:val="24"/>
        </w:rPr>
        <w:fldChar w:fldCharType="begin"/>
      </w:r>
      <w:r>
        <w:rPr>
          <w:sz w:val="24"/>
        </w:rPr>
        <w:instrText xml:space="preserve"> PAGEREF _Toc22421 \h </w:instrText>
      </w:r>
      <w:r>
        <w:rPr>
          <w:sz w:val="24"/>
        </w:rPr>
        <w:fldChar w:fldCharType="separate"/>
      </w:r>
      <w:r>
        <w:rPr>
          <w:sz w:val="24"/>
        </w:rPr>
        <w:t>147</w:t>
      </w:r>
      <w:r>
        <w:rPr>
          <w:sz w:val="24"/>
        </w:rPr>
        <w:fldChar w:fldCharType="end"/>
      </w:r>
      <w:r>
        <w:rPr>
          <w:color w:val="auto"/>
          <w:sz w:val="24"/>
        </w:rPr>
        <w:fldChar w:fldCharType="end"/>
      </w:r>
    </w:p>
    <w:p w14:paraId="772E8CFE">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_Toc24171 </w:instrText>
      </w:r>
      <w:r>
        <w:rPr>
          <w:sz w:val="24"/>
        </w:rPr>
        <w:fldChar w:fldCharType="separate"/>
      </w:r>
      <w:r>
        <w:rPr>
          <w:rFonts w:hint="eastAsia"/>
          <w:sz w:val="24"/>
          <w:lang w:val="en-US" w:eastAsia="zh-CN"/>
        </w:rPr>
        <w:t xml:space="preserve">5.8 </w:t>
      </w:r>
      <w:r>
        <w:rPr>
          <w:rFonts w:hint="eastAsia"/>
          <w:sz w:val="24"/>
        </w:rPr>
        <w:t>重大生产安全事故隐患判定单元</w:t>
      </w:r>
      <w:r>
        <w:rPr>
          <w:sz w:val="24"/>
        </w:rPr>
        <w:tab/>
      </w:r>
      <w:r>
        <w:rPr>
          <w:sz w:val="24"/>
        </w:rPr>
        <w:fldChar w:fldCharType="begin"/>
      </w:r>
      <w:r>
        <w:rPr>
          <w:sz w:val="24"/>
        </w:rPr>
        <w:instrText xml:space="preserve"> PAGEREF _Toc24171 \h </w:instrText>
      </w:r>
      <w:r>
        <w:rPr>
          <w:sz w:val="24"/>
        </w:rPr>
        <w:fldChar w:fldCharType="separate"/>
      </w:r>
      <w:r>
        <w:rPr>
          <w:sz w:val="24"/>
        </w:rPr>
        <w:t>147</w:t>
      </w:r>
      <w:r>
        <w:rPr>
          <w:sz w:val="24"/>
        </w:rPr>
        <w:fldChar w:fldCharType="end"/>
      </w:r>
      <w:r>
        <w:rPr>
          <w:color w:val="auto"/>
          <w:sz w:val="24"/>
        </w:rPr>
        <w:fldChar w:fldCharType="end"/>
      </w:r>
    </w:p>
    <w:p w14:paraId="594A9A5E">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_Toc28402 </w:instrText>
      </w:r>
      <w:r>
        <w:rPr>
          <w:sz w:val="24"/>
        </w:rPr>
        <w:fldChar w:fldCharType="separate"/>
      </w:r>
      <w:r>
        <w:rPr>
          <w:rFonts w:hint="eastAsia"/>
          <w:sz w:val="24"/>
        </w:rPr>
        <w:t>6 安全对策措施及建议</w:t>
      </w:r>
      <w:r>
        <w:rPr>
          <w:sz w:val="24"/>
        </w:rPr>
        <w:tab/>
      </w:r>
      <w:r>
        <w:rPr>
          <w:sz w:val="24"/>
        </w:rPr>
        <w:fldChar w:fldCharType="begin"/>
      </w:r>
      <w:r>
        <w:rPr>
          <w:sz w:val="24"/>
        </w:rPr>
        <w:instrText xml:space="preserve"> PAGEREF _Toc28402 \h </w:instrText>
      </w:r>
      <w:r>
        <w:rPr>
          <w:sz w:val="24"/>
        </w:rPr>
        <w:fldChar w:fldCharType="separate"/>
      </w:r>
      <w:r>
        <w:rPr>
          <w:sz w:val="24"/>
        </w:rPr>
        <w:t>149</w:t>
      </w:r>
      <w:r>
        <w:rPr>
          <w:sz w:val="24"/>
        </w:rPr>
        <w:fldChar w:fldCharType="end"/>
      </w:r>
      <w:r>
        <w:rPr>
          <w:color w:val="auto"/>
          <w:sz w:val="24"/>
        </w:rPr>
        <w:fldChar w:fldCharType="end"/>
      </w:r>
    </w:p>
    <w:p w14:paraId="0DC2DD00">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_Toc3506 </w:instrText>
      </w:r>
      <w:r>
        <w:rPr>
          <w:sz w:val="24"/>
        </w:rPr>
        <w:fldChar w:fldCharType="separate"/>
      </w:r>
      <w:r>
        <w:rPr>
          <w:rFonts w:hint="eastAsia"/>
          <w:sz w:val="24"/>
        </w:rPr>
        <w:t>6.1 存在的主要问题、整改建议及整改情况</w:t>
      </w:r>
      <w:r>
        <w:rPr>
          <w:sz w:val="24"/>
        </w:rPr>
        <w:tab/>
      </w:r>
      <w:r>
        <w:rPr>
          <w:sz w:val="24"/>
        </w:rPr>
        <w:fldChar w:fldCharType="begin"/>
      </w:r>
      <w:r>
        <w:rPr>
          <w:sz w:val="24"/>
        </w:rPr>
        <w:instrText xml:space="preserve"> PAGEREF _Toc3506 \h </w:instrText>
      </w:r>
      <w:r>
        <w:rPr>
          <w:sz w:val="24"/>
        </w:rPr>
        <w:fldChar w:fldCharType="separate"/>
      </w:r>
      <w:r>
        <w:rPr>
          <w:sz w:val="24"/>
        </w:rPr>
        <w:t>149</w:t>
      </w:r>
      <w:r>
        <w:rPr>
          <w:sz w:val="24"/>
        </w:rPr>
        <w:fldChar w:fldCharType="end"/>
      </w:r>
      <w:r>
        <w:rPr>
          <w:color w:val="auto"/>
          <w:sz w:val="24"/>
        </w:rPr>
        <w:fldChar w:fldCharType="end"/>
      </w:r>
    </w:p>
    <w:p w14:paraId="5A379DD1">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_Toc16932 </w:instrText>
      </w:r>
      <w:r>
        <w:rPr>
          <w:sz w:val="24"/>
        </w:rPr>
        <w:fldChar w:fldCharType="separate"/>
      </w:r>
      <w:r>
        <w:rPr>
          <w:rFonts w:hint="eastAsia"/>
          <w:sz w:val="24"/>
        </w:rPr>
        <w:t>6.1.1</w:t>
      </w:r>
      <w:r>
        <w:rPr>
          <w:rFonts w:hint="eastAsia"/>
          <w:sz w:val="24"/>
          <w:lang w:val="en-US" w:eastAsia="zh-CN"/>
        </w:rPr>
        <w:t xml:space="preserve"> </w:t>
      </w:r>
      <w:r>
        <w:rPr>
          <w:rFonts w:hint="eastAsia"/>
          <w:sz w:val="24"/>
        </w:rPr>
        <w:t>存在的主要问题及整改建议</w:t>
      </w:r>
      <w:r>
        <w:rPr>
          <w:sz w:val="24"/>
        </w:rPr>
        <w:tab/>
      </w:r>
      <w:r>
        <w:rPr>
          <w:sz w:val="24"/>
        </w:rPr>
        <w:fldChar w:fldCharType="begin"/>
      </w:r>
      <w:r>
        <w:rPr>
          <w:sz w:val="24"/>
        </w:rPr>
        <w:instrText xml:space="preserve"> PAGEREF _Toc16932 \h </w:instrText>
      </w:r>
      <w:r>
        <w:rPr>
          <w:sz w:val="24"/>
        </w:rPr>
        <w:fldChar w:fldCharType="separate"/>
      </w:r>
      <w:r>
        <w:rPr>
          <w:sz w:val="24"/>
        </w:rPr>
        <w:t>149</w:t>
      </w:r>
      <w:r>
        <w:rPr>
          <w:sz w:val="24"/>
        </w:rPr>
        <w:fldChar w:fldCharType="end"/>
      </w:r>
      <w:r>
        <w:rPr>
          <w:color w:val="auto"/>
          <w:sz w:val="24"/>
        </w:rPr>
        <w:fldChar w:fldCharType="end"/>
      </w:r>
    </w:p>
    <w:p w14:paraId="4B263BEE">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_Toc11690 </w:instrText>
      </w:r>
      <w:r>
        <w:rPr>
          <w:sz w:val="24"/>
        </w:rPr>
        <w:fldChar w:fldCharType="separate"/>
      </w:r>
      <w:r>
        <w:rPr>
          <w:rFonts w:hint="default"/>
          <w:sz w:val="24"/>
          <w:lang w:val="en-US" w:eastAsia="zh-CN"/>
        </w:rPr>
        <w:t>6.1.2 现场存在问题整改情况</w:t>
      </w:r>
      <w:r>
        <w:rPr>
          <w:sz w:val="24"/>
        </w:rPr>
        <w:tab/>
      </w:r>
      <w:r>
        <w:rPr>
          <w:sz w:val="24"/>
        </w:rPr>
        <w:fldChar w:fldCharType="begin"/>
      </w:r>
      <w:r>
        <w:rPr>
          <w:sz w:val="24"/>
        </w:rPr>
        <w:instrText xml:space="preserve"> PAGEREF _Toc11690 \h </w:instrText>
      </w:r>
      <w:r>
        <w:rPr>
          <w:sz w:val="24"/>
        </w:rPr>
        <w:fldChar w:fldCharType="separate"/>
      </w:r>
      <w:r>
        <w:rPr>
          <w:sz w:val="24"/>
        </w:rPr>
        <w:t>151</w:t>
      </w:r>
      <w:r>
        <w:rPr>
          <w:sz w:val="24"/>
        </w:rPr>
        <w:fldChar w:fldCharType="end"/>
      </w:r>
      <w:r>
        <w:rPr>
          <w:color w:val="auto"/>
          <w:sz w:val="24"/>
        </w:rPr>
        <w:fldChar w:fldCharType="end"/>
      </w:r>
    </w:p>
    <w:p w14:paraId="5C321DC0">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_Toc24506 </w:instrText>
      </w:r>
      <w:r>
        <w:rPr>
          <w:sz w:val="24"/>
        </w:rPr>
        <w:fldChar w:fldCharType="separate"/>
      </w:r>
      <w:r>
        <w:rPr>
          <w:rFonts w:hint="default"/>
          <w:sz w:val="24"/>
          <w:lang w:val="en-US" w:eastAsia="zh-CN"/>
        </w:rPr>
        <w:t>6.2 主要安全对策措施与建议</w:t>
      </w:r>
      <w:r>
        <w:rPr>
          <w:sz w:val="24"/>
        </w:rPr>
        <w:tab/>
      </w:r>
      <w:r>
        <w:rPr>
          <w:sz w:val="24"/>
        </w:rPr>
        <w:fldChar w:fldCharType="begin"/>
      </w:r>
      <w:r>
        <w:rPr>
          <w:sz w:val="24"/>
        </w:rPr>
        <w:instrText xml:space="preserve"> PAGEREF _Toc24506 \h </w:instrText>
      </w:r>
      <w:r>
        <w:rPr>
          <w:sz w:val="24"/>
        </w:rPr>
        <w:fldChar w:fldCharType="separate"/>
      </w:r>
      <w:r>
        <w:rPr>
          <w:sz w:val="24"/>
        </w:rPr>
        <w:t>151</w:t>
      </w:r>
      <w:r>
        <w:rPr>
          <w:sz w:val="24"/>
        </w:rPr>
        <w:fldChar w:fldCharType="end"/>
      </w:r>
      <w:r>
        <w:rPr>
          <w:color w:val="auto"/>
          <w:sz w:val="24"/>
        </w:rPr>
        <w:fldChar w:fldCharType="end"/>
      </w:r>
    </w:p>
    <w:p w14:paraId="324049AB">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_Toc32274 </w:instrText>
      </w:r>
      <w:r>
        <w:rPr>
          <w:sz w:val="24"/>
        </w:rPr>
        <w:fldChar w:fldCharType="separate"/>
      </w:r>
      <w:r>
        <w:rPr>
          <w:rFonts w:hint="default"/>
          <w:sz w:val="24"/>
          <w:lang w:val="en-US" w:eastAsia="zh-CN"/>
        </w:rPr>
        <w:t>6.</w:t>
      </w:r>
      <w:r>
        <w:rPr>
          <w:rFonts w:hint="eastAsia"/>
          <w:sz w:val="24"/>
          <w:lang w:val="en-US" w:eastAsia="zh-CN"/>
        </w:rPr>
        <w:t>2.</w:t>
      </w:r>
      <w:r>
        <w:rPr>
          <w:rFonts w:hint="default"/>
          <w:sz w:val="24"/>
          <w:lang w:val="en-US" w:eastAsia="zh-CN"/>
        </w:rPr>
        <w:t>1 厂址及总平面布置单元安全对策措施建议</w:t>
      </w:r>
      <w:r>
        <w:rPr>
          <w:sz w:val="24"/>
        </w:rPr>
        <w:tab/>
      </w:r>
      <w:r>
        <w:rPr>
          <w:sz w:val="24"/>
        </w:rPr>
        <w:fldChar w:fldCharType="begin"/>
      </w:r>
      <w:r>
        <w:rPr>
          <w:sz w:val="24"/>
        </w:rPr>
        <w:instrText xml:space="preserve"> PAGEREF _Toc32274 \h </w:instrText>
      </w:r>
      <w:r>
        <w:rPr>
          <w:sz w:val="24"/>
        </w:rPr>
        <w:fldChar w:fldCharType="separate"/>
      </w:r>
      <w:r>
        <w:rPr>
          <w:sz w:val="24"/>
        </w:rPr>
        <w:t>151</w:t>
      </w:r>
      <w:r>
        <w:rPr>
          <w:sz w:val="24"/>
        </w:rPr>
        <w:fldChar w:fldCharType="end"/>
      </w:r>
      <w:r>
        <w:rPr>
          <w:color w:val="auto"/>
          <w:sz w:val="24"/>
        </w:rPr>
        <w:fldChar w:fldCharType="end"/>
      </w:r>
    </w:p>
    <w:p w14:paraId="516504A0">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_Toc3612 </w:instrText>
      </w:r>
      <w:r>
        <w:rPr>
          <w:sz w:val="24"/>
        </w:rPr>
        <w:fldChar w:fldCharType="separate"/>
      </w:r>
      <w:r>
        <w:rPr>
          <w:rFonts w:hint="default"/>
          <w:sz w:val="24"/>
          <w:lang w:val="en-US" w:eastAsia="zh-CN"/>
        </w:rPr>
        <w:t>6.2</w:t>
      </w:r>
      <w:r>
        <w:rPr>
          <w:rFonts w:hint="eastAsia"/>
          <w:sz w:val="24"/>
          <w:lang w:val="en-US" w:eastAsia="zh-CN"/>
        </w:rPr>
        <w:t>.2</w:t>
      </w:r>
      <w:r>
        <w:rPr>
          <w:rFonts w:hint="default"/>
          <w:sz w:val="24"/>
          <w:lang w:val="en-US" w:eastAsia="zh-CN"/>
        </w:rPr>
        <w:t xml:space="preserve"> </w:t>
      </w:r>
      <w:r>
        <w:rPr>
          <w:rFonts w:hint="eastAsia"/>
          <w:sz w:val="24"/>
          <w:lang w:val="en-US" w:eastAsia="zh-CN"/>
        </w:rPr>
        <w:t>生产</w:t>
      </w:r>
      <w:r>
        <w:rPr>
          <w:rFonts w:hint="default"/>
          <w:sz w:val="24"/>
          <w:lang w:val="en-US" w:eastAsia="zh-CN"/>
        </w:rPr>
        <w:t>工艺</w:t>
      </w:r>
      <w:r>
        <w:rPr>
          <w:rFonts w:hint="eastAsia"/>
          <w:sz w:val="24"/>
          <w:lang w:val="en-US" w:eastAsia="zh-CN"/>
        </w:rPr>
        <w:t>及设备</w:t>
      </w:r>
      <w:r>
        <w:rPr>
          <w:rFonts w:hint="default"/>
          <w:sz w:val="24"/>
          <w:lang w:val="en-US" w:eastAsia="zh-CN"/>
        </w:rPr>
        <w:t>单元安全对策措施建议</w:t>
      </w:r>
      <w:r>
        <w:rPr>
          <w:sz w:val="24"/>
        </w:rPr>
        <w:tab/>
      </w:r>
      <w:r>
        <w:rPr>
          <w:sz w:val="24"/>
        </w:rPr>
        <w:fldChar w:fldCharType="begin"/>
      </w:r>
      <w:r>
        <w:rPr>
          <w:sz w:val="24"/>
        </w:rPr>
        <w:instrText xml:space="preserve"> PAGEREF _Toc3612 \h </w:instrText>
      </w:r>
      <w:r>
        <w:rPr>
          <w:sz w:val="24"/>
        </w:rPr>
        <w:fldChar w:fldCharType="separate"/>
      </w:r>
      <w:r>
        <w:rPr>
          <w:sz w:val="24"/>
        </w:rPr>
        <w:t>153</w:t>
      </w:r>
      <w:r>
        <w:rPr>
          <w:sz w:val="24"/>
        </w:rPr>
        <w:fldChar w:fldCharType="end"/>
      </w:r>
      <w:r>
        <w:rPr>
          <w:color w:val="auto"/>
          <w:sz w:val="24"/>
        </w:rPr>
        <w:fldChar w:fldCharType="end"/>
      </w:r>
    </w:p>
    <w:p w14:paraId="47447942">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_Toc17085 </w:instrText>
      </w:r>
      <w:r>
        <w:rPr>
          <w:sz w:val="24"/>
        </w:rPr>
        <w:fldChar w:fldCharType="separate"/>
      </w:r>
      <w:r>
        <w:rPr>
          <w:rFonts w:hint="eastAsia"/>
          <w:sz w:val="24"/>
          <w:lang w:val="en-US" w:eastAsia="zh-CN"/>
        </w:rPr>
        <w:t>6.2.3 公用工程及辅助设施单元</w:t>
      </w:r>
      <w:r>
        <w:rPr>
          <w:rFonts w:hint="default"/>
          <w:sz w:val="24"/>
          <w:lang w:val="en-US" w:eastAsia="zh-CN"/>
        </w:rPr>
        <w:t>安全对策措施建议</w:t>
      </w:r>
      <w:r>
        <w:rPr>
          <w:sz w:val="24"/>
        </w:rPr>
        <w:tab/>
      </w:r>
      <w:r>
        <w:rPr>
          <w:sz w:val="24"/>
        </w:rPr>
        <w:fldChar w:fldCharType="begin"/>
      </w:r>
      <w:r>
        <w:rPr>
          <w:sz w:val="24"/>
        </w:rPr>
        <w:instrText xml:space="preserve"> PAGEREF _Toc17085 \h </w:instrText>
      </w:r>
      <w:r>
        <w:rPr>
          <w:sz w:val="24"/>
        </w:rPr>
        <w:fldChar w:fldCharType="separate"/>
      </w:r>
      <w:r>
        <w:rPr>
          <w:sz w:val="24"/>
        </w:rPr>
        <w:t>158</w:t>
      </w:r>
      <w:r>
        <w:rPr>
          <w:sz w:val="24"/>
        </w:rPr>
        <w:fldChar w:fldCharType="end"/>
      </w:r>
      <w:r>
        <w:rPr>
          <w:color w:val="auto"/>
          <w:sz w:val="24"/>
        </w:rPr>
        <w:fldChar w:fldCharType="end"/>
      </w:r>
    </w:p>
    <w:p w14:paraId="3BC14E8E">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_Toc17616 </w:instrText>
      </w:r>
      <w:r>
        <w:rPr>
          <w:sz w:val="24"/>
        </w:rPr>
        <w:fldChar w:fldCharType="separate"/>
      </w:r>
      <w:r>
        <w:rPr>
          <w:rFonts w:hint="default"/>
          <w:sz w:val="24"/>
          <w:lang w:val="en-US" w:eastAsia="zh-CN"/>
        </w:rPr>
        <w:t>6.</w:t>
      </w:r>
      <w:r>
        <w:rPr>
          <w:rFonts w:hint="eastAsia"/>
          <w:sz w:val="24"/>
          <w:lang w:val="en-US" w:eastAsia="zh-CN"/>
        </w:rPr>
        <w:t>2.5</w:t>
      </w:r>
      <w:r>
        <w:rPr>
          <w:rFonts w:hint="default"/>
          <w:sz w:val="24"/>
          <w:lang w:val="en-US" w:eastAsia="zh-CN"/>
        </w:rPr>
        <w:t xml:space="preserve"> </w:t>
      </w:r>
      <w:r>
        <w:rPr>
          <w:rFonts w:hint="eastAsia"/>
          <w:sz w:val="24"/>
          <w:lang w:val="en-US" w:eastAsia="zh-CN"/>
        </w:rPr>
        <w:t>安全设施单元</w:t>
      </w:r>
      <w:r>
        <w:rPr>
          <w:rFonts w:hint="default"/>
          <w:sz w:val="24"/>
          <w:lang w:val="en-US" w:eastAsia="zh-CN"/>
        </w:rPr>
        <w:t>安全对策措施与建议</w:t>
      </w:r>
      <w:r>
        <w:rPr>
          <w:sz w:val="24"/>
        </w:rPr>
        <w:tab/>
      </w:r>
      <w:r>
        <w:rPr>
          <w:sz w:val="24"/>
        </w:rPr>
        <w:fldChar w:fldCharType="begin"/>
      </w:r>
      <w:r>
        <w:rPr>
          <w:sz w:val="24"/>
        </w:rPr>
        <w:instrText xml:space="preserve"> PAGEREF _Toc17616 \h </w:instrText>
      </w:r>
      <w:r>
        <w:rPr>
          <w:sz w:val="24"/>
        </w:rPr>
        <w:fldChar w:fldCharType="separate"/>
      </w:r>
      <w:r>
        <w:rPr>
          <w:sz w:val="24"/>
        </w:rPr>
        <w:t>165</w:t>
      </w:r>
      <w:r>
        <w:rPr>
          <w:sz w:val="24"/>
        </w:rPr>
        <w:fldChar w:fldCharType="end"/>
      </w:r>
      <w:r>
        <w:rPr>
          <w:color w:val="auto"/>
          <w:sz w:val="24"/>
        </w:rPr>
        <w:fldChar w:fldCharType="end"/>
      </w:r>
    </w:p>
    <w:p w14:paraId="6825382D">
      <w:pPr>
        <w:pStyle w:val="11"/>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_Toc13345 </w:instrText>
      </w:r>
      <w:r>
        <w:rPr>
          <w:sz w:val="24"/>
        </w:rPr>
        <w:fldChar w:fldCharType="separate"/>
      </w:r>
      <w:r>
        <w:rPr>
          <w:rFonts w:hint="default"/>
          <w:sz w:val="24"/>
          <w:lang w:val="en-US" w:eastAsia="zh-CN"/>
        </w:rPr>
        <w:t>6.</w:t>
      </w:r>
      <w:r>
        <w:rPr>
          <w:rFonts w:hint="eastAsia"/>
          <w:sz w:val="24"/>
          <w:lang w:val="en-US" w:eastAsia="zh-CN"/>
        </w:rPr>
        <w:t>2.6</w:t>
      </w:r>
      <w:r>
        <w:rPr>
          <w:rFonts w:hint="default"/>
          <w:sz w:val="24"/>
          <w:lang w:val="en-US" w:eastAsia="zh-CN"/>
        </w:rPr>
        <w:t xml:space="preserve"> 安全管理单元安全对策措施建议</w:t>
      </w:r>
      <w:r>
        <w:rPr>
          <w:sz w:val="24"/>
        </w:rPr>
        <w:tab/>
      </w:r>
      <w:r>
        <w:rPr>
          <w:sz w:val="24"/>
        </w:rPr>
        <w:fldChar w:fldCharType="begin"/>
      </w:r>
      <w:r>
        <w:rPr>
          <w:sz w:val="24"/>
        </w:rPr>
        <w:instrText xml:space="preserve"> PAGEREF _Toc13345 \h </w:instrText>
      </w:r>
      <w:r>
        <w:rPr>
          <w:sz w:val="24"/>
        </w:rPr>
        <w:fldChar w:fldCharType="separate"/>
      </w:r>
      <w:r>
        <w:rPr>
          <w:sz w:val="24"/>
        </w:rPr>
        <w:t>168</w:t>
      </w:r>
      <w:r>
        <w:rPr>
          <w:sz w:val="24"/>
        </w:rPr>
        <w:fldChar w:fldCharType="end"/>
      </w:r>
      <w:r>
        <w:rPr>
          <w:color w:val="auto"/>
          <w:sz w:val="24"/>
        </w:rPr>
        <w:fldChar w:fldCharType="end"/>
      </w:r>
    </w:p>
    <w:p w14:paraId="145DF3DF">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_Toc17722 </w:instrText>
      </w:r>
      <w:r>
        <w:rPr>
          <w:sz w:val="24"/>
        </w:rPr>
        <w:fldChar w:fldCharType="separate"/>
      </w:r>
      <w:r>
        <w:rPr>
          <w:rFonts w:hint="default"/>
          <w:sz w:val="24"/>
          <w:lang w:val="en-US" w:eastAsia="zh-CN"/>
        </w:rPr>
        <w:t>7 安全验收评价结论</w:t>
      </w:r>
      <w:r>
        <w:rPr>
          <w:sz w:val="24"/>
        </w:rPr>
        <w:tab/>
      </w:r>
      <w:r>
        <w:rPr>
          <w:sz w:val="24"/>
        </w:rPr>
        <w:fldChar w:fldCharType="begin"/>
      </w:r>
      <w:r>
        <w:rPr>
          <w:sz w:val="24"/>
        </w:rPr>
        <w:instrText xml:space="preserve"> PAGEREF _Toc17722 \h </w:instrText>
      </w:r>
      <w:r>
        <w:rPr>
          <w:sz w:val="24"/>
        </w:rPr>
        <w:fldChar w:fldCharType="separate"/>
      </w:r>
      <w:r>
        <w:rPr>
          <w:sz w:val="24"/>
        </w:rPr>
        <w:t>175</w:t>
      </w:r>
      <w:r>
        <w:rPr>
          <w:sz w:val="24"/>
        </w:rPr>
        <w:fldChar w:fldCharType="end"/>
      </w:r>
      <w:r>
        <w:rPr>
          <w:color w:val="auto"/>
          <w:sz w:val="24"/>
        </w:rPr>
        <w:fldChar w:fldCharType="end"/>
      </w:r>
    </w:p>
    <w:p w14:paraId="55F2230C">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_Toc30142 </w:instrText>
      </w:r>
      <w:r>
        <w:rPr>
          <w:sz w:val="24"/>
        </w:rPr>
        <w:fldChar w:fldCharType="separate"/>
      </w:r>
      <w:r>
        <w:rPr>
          <w:rFonts w:hint="default"/>
          <w:sz w:val="24"/>
          <w:lang w:val="en-US" w:eastAsia="zh-CN"/>
        </w:rPr>
        <w:t>7.1 存在的主要危险、有害因素</w:t>
      </w:r>
      <w:r>
        <w:rPr>
          <w:sz w:val="24"/>
        </w:rPr>
        <w:tab/>
      </w:r>
      <w:r>
        <w:rPr>
          <w:sz w:val="24"/>
        </w:rPr>
        <w:fldChar w:fldCharType="begin"/>
      </w:r>
      <w:r>
        <w:rPr>
          <w:sz w:val="24"/>
        </w:rPr>
        <w:instrText xml:space="preserve"> PAGEREF _Toc30142 \h </w:instrText>
      </w:r>
      <w:r>
        <w:rPr>
          <w:sz w:val="24"/>
        </w:rPr>
        <w:fldChar w:fldCharType="separate"/>
      </w:r>
      <w:r>
        <w:rPr>
          <w:sz w:val="24"/>
        </w:rPr>
        <w:t>175</w:t>
      </w:r>
      <w:r>
        <w:rPr>
          <w:sz w:val="24"/>
        </w:rPr>
        <w:fldChar w:fldCharType="end"/>
      </w:r>
      <w:r>
        <w:rPr>
          <w:color w:val="auto"/>
          <w:sz w:val="24"/>
        </w:rPr>
        <w:fldChar w:fldCharType="end"/>
      </w:r>
    </w:p>
    <w:p w14:paraId="5421BDED">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_Toc30202 </w:instrText>
      </w:r>
      <w:r>
        <w:rPr>
          <w:sz w:val="24"/>
        </w:rPr>
        <w:fldChar w:fldCharType="separate"/>
      </w:r>
      <w:r>
        <w:rPr>
          <w:rFonts w:hint="default"/>
          <w:sz w:val="24"/>
          <w:lang w:val="en-US" w:eastAsia="zh-CN"/>
        </w:rPr>
        <w:t>7.2</w:t>
      </w:r>
      <w:r>
        <w:rPr>
          <w:rFonts w:hint="eastAsia"/>
          <w:sz w:val="24"/>
          <w:lang w:val="en-US" w:eastAsia="zh-CN"/>
        </w:rPr>
        <w:t xml:space="preserve"> </w:t>
      </w:r>
      <w:r>
        <w:rPr>
          <w:rFonts w:hint="default"/>
          <w:sz w:val="24"/>
          <w:lang w:val="en-US" w:eastAsia="zh-CN"/>
        </w:rPr>
        <w:t>单元评价综述</w:t>
      </w:r>
      <w:r>
        <w:rPr>
          <w:sz w:val="24"/>
        </w:rPr>
        <w:tab/>
      </w:r>
      <w:r>
        <w:rPr>
          <w:sz w:val="24"/>
        </w:rPr>
        <w:fldChar w:fldCharType="begin"/>
      </w:r>
      <w:r>
        <w:rPr>
          <w:sz w:val="24"/>
        </w:rPr>
        <w:instrText xml:space="preserve"> PAGEREF _Toc30202 \h </w:instrText>
      </w:r>
      <w:r>
        <w:rPr>
          <w:sz w:val="24"/>
        </w:rPr>
        <w:fldChar w:fldCharType="separate"/>
      </w:r>
      <w:r>
        <w:rPr>
          <w:sz w:val="24"/>
        </w:rPr>
        <w:t>176</w:t>
      </w:r>
      <w:r>
        <w:rPr>
          <w:sz w:val="24"/>
        </w:rPr>
        <w:fldChar w:fldCharType="end"/>
      </w:r>
      <w:r>
        <w:rPr>
          <w:color w:val="auto"/>
          <w:sz w:val="24"/>
        </w:rPr>
        <w:fldChar w:fldCharType="end"/>
      </w:r>
    </w:p>
    <w:p w14:paraId="61631A95">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_Toc18527 </w:instrText>
      </w:r>
      <w:r>
        <w:rPr>
          <w:sz w:val="24"/>
        </w:rPr>
        <w:fldChar w:fldCharType="separate"/>
      </w:r>
      <w:r>
        <w:rPr>
          <w:rFonts w:hint="default"/>
          <w:sz w:val="24"/>
          <w:lang w:val="en-US" w:eastAsia="zh-CN"/>
        </w:rPr>
        <w:t>7.3</w:t>
      </w:r>
      <w:r>
        <w:rPr>
          <w:rFonts w:hint="eastAsia"/>
          <w:sz w:val="24"/>
          <w:lang w:val="en-US" w:eastAsia="zh-CN"/>
        </w:rPr>
        <w:t xml:space="preserve"> </w:t>
      </w:r>
      <w:r>
        <w:rPr>
          <w:rFonts w:hint="default"/>
          <w:sz w:val="24"/>
          <w:lang w:val="en-US" w:eastAsia="zh-CN"/>
        </w:rPr>
        <w:t>评价结论</w:t>
      </w:r>
      <w:r>
        <w:rPr>
          <w:sz w:val="24"/>
        </w:rPr>
        <w:tab/>
      </w:r>
      <w:r>
        <w:rPr>
          <w:sz w:val="24"/>
        </w:rPr>
        <w:fldChar w:fldCharType="begin"/>
      </w:r>
      <w:r>
        <w:rPr>
          <w:sz w:val="24"/>
        </w:rPr>
        <w:instrText xml:space="preserve"> PAGEREF _Toc18527 \h </w:instrText>
      </w:r>
      <w:r>
        <w:rPr>
          <w:sz w:val="24"/>
        </w:rPr>
        <w:fldChar w:fldCharType="separate"/>
      </w:r>
      <w:r>
        <w:rPr>
          <w:sz w:val="24"/>
        </w:rPr>
        <w:t>177</w:t>
      </w:r>
      <w:r>
        <w:rPr>
          <w:sz w:val="24"/>
        </w:rPr>
        <w:fldChar w:fldCharType="end"/>
      </w:r>
      <w:r>
        <w:rPr>
          <w:color w:val="auto"/>
          <w:sz w:val="24"/>
        </w:rPr>
        <w:fldChar w:fldCharType="end"/>
      </w:r>
    </w:p>
    <w:p w14:paraId="4CF78292">
      <w:pPr>
        <w:pStyle w:val="14"/>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_Toc32402 </w:instrText>
      </w:r>
      <w:r>
        <w:rPr>
          <w:sz w:val="24"/>
        </w:rPr>
        <w:fldChar w:fldCharType="separate"/>
      </w:r>
      <w:r>
        <w:rPr>
          <w:rFonts w:hint="eastAsia"/>
          <w:sz w:val="24"/>
          <w:lang w:val="en-US" w:eastAsia="zh-CN"/>
        </w:rPr>
        <w:t xml:space="preserve">9 </w:t>
      </w:r>
      <w:r>
        <w:rPr>
          <w:rFonts w:hint="eastAsia"/>
          <w:sz w:val="24"/>
        </w:rPr>
        <w:t>附件</w:t>
      </w:r>
      <w:r>
        <w:rPr>
          <w:rFonts w:hint="eastAsia"/>
          <w:sz w:val="24"/>
          <w:lang w:val="en-US" w:eastAsia="zh-CN"/>
        </w:rPr>
        <w:t>和附图</w:t>
      </w:r>
      <w:r>
        <w:rPr>
          <w:sz w:val="24"/>
        </w:rPr>
        <w:tab/>
      </w:r>
      <w:r>
        <w:rPr>
          <w:sz w:val="24"/>
        </w:rPr>
        <w:fldChar w:fldCharType="begin"/>
      </w:r>
      <w:r>
        <w:rPr>
          <w:sz w:val="24"/>
        </w:rPr>
        <w:instrText xml:space="preserve"> PAGEREF _Toc32402 \h </w:instrText>
      </w:r>
      <w:r>
        <w:rPr>
          <w:sz w:val="24"/>
        </w:rPr>
        <w:fldChar w:fldCharType="separate"/>
      </w:r>
      <w:r>
        <w:rPr>
          <w:sz w:val="24"/>
        </w:rPr>
        <w:t>179</w:t>
      </w:r>
      <w:r>
        <w:rPr>
          <w:sz w:val="24"/>
        </w:rPr>
        <w:fldChar w:fldCharType="end"/>
      </w:r>
      <w:r>
        <w:rPr>
          <w:color w:val="auto"/>
          <w:sz w:val="24"/>
        </w:rPr>
        <w:fldChar w:fldCharType="end"/>
      </w:r>
    </w:p>
    <w:p w14:paraId="175274D3">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sz w:val="24"/>
        </w:rPr>
      </w:pPr>
      <w:r>
        <w:rPr>
          <w:color w:val="auto"/>
          <w:sz w:val="24"/>
        </w:rPr>
        <w:fldChar w:fldCharType="begin"/>
      </w:r>
      <w:r>
        <w:rPr>
          <w:sz w:val="24"/>
        </w:rPr>
        <w:instrText xml:space="preserve"> HYPERLINK \l _Toc8131 </w:instrText>
      </w:r>
      <w:r>
        <w:rPr>
          <w:sz w:val="24"/>
        </w:rPr>
        <w:fldChar w:fldCharType="separate"/>
      </w:r>
      <w:r>
        <w:rPr>
          <w:rFonts w:hint="eastAsia"/>
          <w:sz w:val="24"/>
          <w:lang w:val="en-US" w:eastAsia="zh-CN"/>
        </w:rPr>
        <w:t>9.1 附件</w:t>
      </w:r>
      <w:r>
        <w:rPr>
          <w:sz w:val="24"/>
        </w:rPr>
        <w:tab/>
      </w:r>
      <w:r>
        <w:rPr>
          <w:sz w:val="24"/>
        </w:rPr>
        <w:fldChar w:fldCharType="begin"/>
      </w:r>
      <w:r>
        <w:rPr>
          <w:sz w:val="24"/>
        </w:rPr>
        <w:instrText xml:space="preserve"> PAGEREF _Toc8131 \h </w:instrText>
      </w:r>
      <w:r>
        <w:rPr>
          <w:sz w:val="24"/>
        </w:rPr>
        <w:fldChar w:fldCharType="separate"/>
      </w:r>
      <w:r>
        <w:rPr>
          <w:sz w:val="24"/>
        </w:rPr>
        <w:t>179</w:t>
      </w:r>
      <w:r>
        <w:rPr>
          <w:sz w:val="24"/>
        </w:rPr>
        <w:fldChar w:fldCharType="end"/>
      </w:r>
      <w:r>
        <w:rPr>
          <w:color w:val="auto"/>
          <w:sz w:val="24"/>
        </w:rPr>
        <w:fldChar w:fldCharType="end"/>
      </w:r>
    </w:p>
    <w:p w14:paraId="6FF2D82A">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pPr>
      <w:r>
        <w:rPr>
          <w:color w:val="auto"/>
          <w:sz w:val="24"/>
        </w:rPr>
        <w:fldChar w:fldCharType="begin"/>
      </w:r>
      <w:r>
        <w:rPr>
          <w:sz w:val="24"/>
        </w:rPr>
        <w:instrText xml:space="preserve"> HYPERLINK \l _Toc19717 </w:instrText>
      </w:r>
      <w:r>
        <w:rPr>
          <w:sz w:val="24"/>
        </w:rPr>
        <w:fldChar w:fldCharType="separate"/>
      </w:r>
      <w:r>
        <w:rPr>
          <w:rFonts w:hint="eastAsia"/>
          <w:sz w:val="24"/>
          <w:lang w:val="en-US" w:eastAsia="zh-CN"/>
        </w:rPr>
        <w:t>9.2 附图</w:t>
      </w:r>
      <w:r>
        <w:rPr>
          <w:sz w:val="24"/>
        </w:rPr>
        <w:tab/>
      </w:r>
      <w:r>
        <w:rPr>
          <w:sz w:val="24"/>
        </w:rPr>
        <w:fldChar w:fldCharType="begin"/>
      </w:r>
      <w:r>
        <w:rPr>
          <w:sz w:val="24"/>
        </w:rPr>
        <w:instrText xml:space="preserve"> PAGEREF _Toc19717 \h </w:instrText>
      </w:r>
      <w:r>
        <w:rPr>
          <w:sz w:val="24"/>
        </w:rPr>
        <w:fldChar w:fldCharType="separate"/>
      </w:r>
      <w:r>
        <w:rPr>
          <w:sz w:val="24"/>
        </w:rPr>
        <w:t>180</w:t>
      </w:r>
      <w:r>
        <w:rPr>
          <w:sz w:val="24"/>
        </w:rPr>
        <w:fldChar w:fldCharType="end"/>
      </w:r>
      <w:r>
        <w:rPr>
          <w:color w:val="auto"/>
          <w:sz w:val="24"/>
        </w:rPr>
        <w:fldChar w:fldCharType="end"/>
      </w:r>
    </w:p>
    <w:p w14:paraId="78F474AB">
      <w:pPr>
        <w:keepNext w:val="0"/>
        <w:keepLines w:val="0"/>
        <w:pageBreakBefore w:val="0"/>
        <w:widowControl w:val="0"/>
        <w:kinsoku/>
        <w:wordWrap/>
        <w:overflowPunct/>
        <w:topLinePunct w:val="0"/>
        <w:autoSpaceDE/>
        <w:autoSpaceDN/>
        <w:bidi w:val="0"/>
        <w:adjustRightInd/>
        <w:snapToGrid/>
        <w:ind w:firstLine="0" w:firstLineChars="0"/>
        <w:rPr>
          <w:color w:val="auto"/>
        </w:rPr>
      </w:pPr>
      <w:r>
        <w:rPr>
          <w:color w:val="auto"/>
        </w:rPr>
        <w:fldChar w:fldCharType="end"/>
      </w:r>
    </w:p>
    <w:p w14:paraId="0A7F6376">
      <w:pPr>
        <w:rPr>
          <w:color w:val="auto"/>
        </w:rPr>
        <w:sectPr>
          <w:headerReference r:id="rId8" w:type="default"/>
          <w:footerReference r:id="rId9" w:type="default"/>
          <w:pgSz w:w="11905" w:h="16838"/>
          <w:pgMar w:top="1417" w:right="1134" w:bottom="1134" w:left="1587" w:header="850" w:footer="992" w:gutter="0"/>
          <w:pgBorders>
            <w:top w:val="thinThickSmallGap" w:color="auto" w:sz="12" w:space="1"/>
            <w:left w:val="none" w:sz="0" w:space="0"/>
            <w:bottom w:val="thickThinSmallGap" w:color="auto" w:sz="12" w:space="1"/>
            <w:right w:val="none" w:sz="0" w:space="0"/>
          </w:pgBorders>
          <w:pgNumType w:fmt="upperRoman" w:start="1"/>
          <w:cols w:space="0" w:num="1"/>
          <w:rtlGutter w:val="0"/>
          <w:docGrid w:type="lines" w:linePitch="386" w:charSpace="0"/>
        </w:sectPr>
      </w:pPr>
    </w:p>
    <w:p w14:paraId="6BF107A3">
      <w:pPr>
        <w:pStyle w:val="2"/>
        <w:bidi w:val="0"/>
        <w:rPr>
          <w:rFonts w:hint="eastAsia"/>
          <w:color w:val="auto"/>
        </w:rPr>
      </w:pPr>
      <w:bookmarkStart w:id="0" w:name="_Toc13465"/>
      <w:r>
        <w:rPr>
          <w:rFonts w:hint="eastAsia"/>
          <w:color w:val="auto"/>
        </w:rPr>
        <w:t>1</w:t>
      </w:r>
      <w:r>
        <w:rPr>
          <w:rFonts w:hint="eastAsia"/>
          <w:color w:val="auto"/>
          <w:lang w:val="en-US" w:eastAsia="zh-CN"/>
        </w:rPr>
        <w:t xml:space="preserve"> </w:t>
      </w:r>
      <w:r>
        <w:rPr>
          <w:rFonts w:hint="eastAsia"/>
          <w:color w:val="auto"/>
        </w:rPr>
        <w:t>编制说明</w:t>
      </w:r>
      <w:bookmarkEnd w:id="0"/>
    </w:p>
    <w:p w14:paraId="2740C1B8">
      <w:pPr>
        <w:pStyle w:val="3"/>
        <w:bidi w:val="0"/>
        <w:rPr>
          <w:rFonts w:hint="eastAsia"/>
          <w:color w:val="auto"/>
        </w:rPr>
      </w:pPr>
      <w:bookmarkStart w:id="1" w:name="_Toc22492"/>
      <w:r>
        <w:rPr>
          <w:rFonts w:hint="eastAsia"/>
          <w:color w:val="auto"/>
        </w:rPr>
        <w:t>1.1</w:t>
      </w:r>
      <w:r>
        <w:rPr>
          <w:rFonts w:hint="eastAsia"/>
          <w:color w:val="auto"/>
          <w:lang w:val="en-US" w:eastAsia="zh-CN"/>
        </w:rPr>
        <w:t xml:space="preserve"> </w:t>
      </w:r>
      <w:r>
        <w:rPr>
          <w:rFonts w:hint="eastAsia"/>
          <w:color w:val="auto"/>
        </w:rPr>
        <w:t>评价目的及范围</w:t>
      </w:r>
      <w:bookmarkEnd w:id="1"/>
    </w:p>
    <w:p w14:paraId="060565ED">
      <w:pPr>
        <w:pStyle w:val="4"/>
        <w:bidi w:val="0"/>
        <w:rPr>
          <w:rFonts w:hint="eastAsia"/>
          <w:color w:val="auto"/>
        </w:rPr>
      </w:pPr>
      <w:bookmarkStart w:id="2" w:name="_Toc3982"/>
      <w:r>
        <w:rPr>
          <w:rFonts w:hint="eastAsia"/>
          <w:color w:val="auto"/>
        </w:rPr>
        <w:t>1.1.1</w:t>
      </w:r>
      <w:r>
        <w:rPr>
          <w:rFonts w:hint="eastAsia"/>
          <w:color w:val="auto"/>
          <w:lang w:val="en-US" w:eastAsia="zh-CN"/>
        </w:rPr>
        <w:t xml:space="preserve"> </w:t>
      </w:r>
      <w:r>
        <w:rPr>
          <w:rFonts w:hint="eastAsia"/>
          <w:color w:val="auto"/>
        </w:rPr>
        <w:t>评价目的</w:t>
      </w:r>
      <w:bookmarkEnd w:id="2"/>
    </w:p>
    <w:p w14:paraId="51B6F2A2">
      <w:pPr>
        <w:bidi w:val="0"/>
        <w:rPr>
          <w:rFonts w:hint="eastAsia"/>
          <w:color w:val="auto"/>
        </w:rPr>
      </w:pPr>
      <w:r>
        <w:rPr>
          <w:rFonts w:hint="eastAsia"/>
          <w:color w:val="auto"/>
        </w:rPr>
        <w:t>为贯彻“安全第一、预防为主、综合治理”的方针，通过评价查找其存在的危险、有害因素并确定危险程度，提出合理可行的安全对策措施及建议。</w:t>
      </w:r>
    </w:p>
    <w:p w14:paraId="78752263">
      <w:pPr>
        <w:bidi w:val="0"/>
        <w:rPr>
          <w:rFonts w:hint="eastAsia"/>
          <w:color w:val="auto"/>
        </w:rPr>
      </w:pPr>
      <w:r>
        <w:rPr>
          <w:rFonts w:hint="eastAsia"/>
          <w:color w:val="auto"/>
        </w:rPr>
        <w:t>1、促进实现系统本质安全化生产；</w:t>
      </w:r>
    </w:p>
    <w:p w14:paraId="29CA459B">
      <w:pPr>
        <w:bidi w:val="0"/>
        <w:rPr>
          <w:rFonts w:hint="eastAsia"/>
          <w:color w:val="auto"/>
        </w:rPr>
      </w:pPr>
      <w:r>
        <w:rPr>
          <w:rFonts w:hint="eastAsia"/>
          <w:color w:val="auto"/>
        </w:rPr>
        <w:t>2、实现系统全过程安全控制；</w:t>
      </w:r>
    </w:p>
    <w:p w14:paraId="130BB97F">
      <w:pPr>
        <w:bidi w:val="0"/>
        <w:rPr>
          <w:rFonts w:hint="eastAsia"/>
          <w:color w:val="auto"/>
        </w:rPr>
      </w:pPr>
      <w:r>
        <w:rPr>
          <w:rFonts w:hint="eastAsia"/>
          <w:color w:val="auto"/>
        </w:rPr>
        <w:t>3、建立系统安全最优方案，为管理者提供安全管理依据；</w:t>
      </w:r>
    </w:p>
    <w:p w14:paraId="251DC577">
      <w:pPr>
        <w:bidi w:val="0"/>
        <w:rPr>
          <w:rFonts w:hint="eastAsia"/>
          <w:color w:val="auto"/>
        </w:rPr>
      </w:pPr>
      <w:r>
        <w:rPr>
          <w:rFonts w:hint="eastAsia"/>
          <w:color w:val="auto"/>
        </w:rPr>
        <w:t>4、为实现安全技术、安全管理的标准化和科学化创造条件；</w:t>
      </w:r>
    </w:p>
    <w:p w14:paraId="7AFE1C74">
      <w:pPr>
        <w:bidi w:val="0"/>
        <w:rPr>
          <w:rFonts w:hint="eastAsia"/>
          <w:color w:val="auto"/>
        </w:rPr>
      </w:pPr>
      <w:r>
        <w:rPr>
          <w:rFonts w:hint="eastAsia"/>
          <w:color w:val="auto"/>
        </w:rPr>
        <w:t>5、为应急管理部门提供监督依据。</w:t>
      </w:r>
    </w:p>
    <w:p w14:paraId="602DCF11">
      <w:pPr>
        <w:pStyle w:val="4"/>
        <w:bidi w:val="0"/>
        <w:rPr>
          <w:rFonts w:hint="eastAsia"/>
          <w:color w:val="auto"/>
        </w:rPr>
      </w:pPr>
      <w:bookmarkStart w:id="3" w:name="_Toc18941"/>
      <w:r>
        <w:rPr>
          <w:rFonts w:hint="eastAsia"/>
          <w:color w:val="auto"/>
        </w:rPr>
        <w:t>1.1.2</w:t>
      </w:r>
      <w:r>
        <w:rPr>
          <w:rFonts w:hint="eastAsia"/>
          <w:color w:val="auto"/>
          <w:lang w:val="en-US" w:eastAsia="zh-CN"/>
        </w:rPr>
        <w:t xml:space="preserve"> </w:t>
      </w:r>
      <w:r>
        <w:rPr>
          <w:rFonts w:hint="eastAsia"/>
          <w:color w:val="auto"/>
        </w:rPr>
        <w:t>评价范围</w:t>
      </w:r>
      <w:bookmarkEnd w:id="3"/>
    </w:p>
    <w:p w14:paraId="0507E742">
      <w:pPr>
        <w:bidi w:val="0"/>
        <w:rPr>
          <w:rFonts w:hint="eastAsia"/>
          <w:color w:val="auto"/>
        </w:rPr>
      </w:pPr>
      <w:r>
        <w:rPr>
          <w:rFonts w:hint="eastAsia"/>
          <w:color w:val="auto"/>
        </w:rPr>
        <w:t>根据</w:t>
      </w:r>
      <w:r>
        <w:rPr>
          <w:rFonts w:hint="eastAsia"/>
          <w:color w:val="auto"/>
          <w:lang w:eastAsia="zh-CN"/>
        </w:rPr>
        <w:t>武定发荣矿业有限责任公司</w:t>
      </w:r>
      <w:r>
        <w:rPr>
          <w:rFonts w:hint="eastAsia"/>
          <w:color w:val="auto"/>
        </w:rPr>
        <w:t>与辽宁诺诚安全科技有限公司签订的安全验收评价技术服务合同和安全评价委托书的约定，本次安全评价的范围为</w:t>
      </w:r>
      <w:r>
        <w:rPr>
          <w:rFonts w:hint="eastAsia"/>
          <w:color w:val="auto"/>
          <w:lang w:eastAsia="zh-CN"/>
        </w:rPr>
        <w:t>武定发荣矿业有限责任公司猫街大炉箐繁茂采选厂技术改造项目</w:t>
      </w:r>
      <w:r>
        <w:rPr>
          <w:rFonts w:hint="eastAsia"/>
          <w:color w:val="auto"/>
        </w:rPr>
        <w:t>的总图布置、生产装置、物料储运与使用、公用工程及辅助设施及综合安全管理，</w:t>
      </w:r>
      <w:r>
        <w:rPr>
          <w:rFonts w:hint="eastAsia"/>
          <w:color w:val="auto"/>
          <w:lang w:val="en-US" w:eastAsia="zh-CN"/>
        </w:rPr>
        <w:t>停用设备、</w:t>
      </w:r>
      <w:r>
        <w:rPr>
          <w:rFonts w:hint="eastAsia"/>
          <w:color w:val="auto"/>
        </w:rPr>
        <w:t>职业病及职业病防治、环保、地质灾害评估等问题不在本次安全评价范围内，但在评价过程中会有所提及。</w:t>
      </w:r>
    </w:p>
    <w:p w14:paraId="29EB7C1F">
      <w:pPr>
        <w:pStyle w:val="4"/>
        <w:bidi w:val="0"/>
        <w:rPr>
          <w:rFonts w:hint="eastAsia"/>
          <w:color w:val="auto"/>
        </w:rPr>
      </w:pPr>
      <w:bookmarkStart w:id="4" w:name="_Toc25678"/>
      <w:r>
        <w:rPr>
          <w:rFonts w:hint="eastAsia"/>
          <w:color w:val="auto"/>
        </w:rPr>
        <w:t>1.1.3</w:t>
      </w:r>
      <w:r>
        <w:rPr>
          <w:rFonts w:hint="eastAsia"/>
          <w:color w:val="auto"/>
          <w:lang w:val="en-US" w:eastAsia="zh-CN"/>
        </w:rPr>
        <w:t xml:space="preserve"> </w:t>
      </w:r>
      <w:r>
        <w:rPr>
          <w:rFonts w:hint="eastAsia"/>
          <w:color w:val="auto"/>
        </w:rPr>
        <w:t>评价原则</w:t>
      </w:r>
      <w:bookmarkEnd w:id="4"/>
    </w:p>
    <w:p w14:paraId="5E924641">
      <w:pPr>
        <w:bidi w:val="0"/>
        <w:rPr>
          <w:rFonts w:hint="eastAsia"/>
          <w:color w:val="auto"/>
        </w:rPr>
      </w:pPr>
      <w:r>
        <w:rPr>
          <w:rFonts w:hint="eastAsia"/>
          <w:color w:val="auto"/>
        </w:rPr>
        <w:t>安全评价基本原则是具备国家规定资质的安全评价机构科学、公正和合法的自主开展安全评价。</w:t>
      </w:r>
    </w:p>
    <w:p w14:paraId="3B7BCC27">
      <w:pPr>
        <w:bidi w:val="0"/>
        <w:rPr>
          <w:rFonts w:hint="eastAsia"/>
          <w:color w:val="auto"/>
        </w:rPr>
      </w:pPr>
      <w:r>
        <w:rPr>
          <w:rFonts w:hint="eastAsia"/>
          <w:color w:val="auto"/>
        </w:rPr>
        <w:t>以该项目具体情况为基础，以国家安全法规及有关技术标准为依据，对评价项目安全生产进行全面、仔细、深入分析，由此作出科学、客观、公正的安全评价结论。</w:t>
      </w:r>
    </w:p>
    <w:p w14:paraId="70A81DE5">
      <w:pPr>
        <w:bidi w:val="0"/>
        <w:rPr>
          <w:rFonts w:hint="eastAsia"/>
          <w:color w:val="auto"/>
        </w:rPr>
      </w:pPr>
      <w:r>
        <w:rPr>
          <w:rFonts w:hint="eastAsia"/>
          <w:color w:val="auto"/>
        </w:rPr>
        <w:t>在对该公司进行</w:t>
      </w:r>
      <w:r>
        <w:rPr>
          <w:rFonts w:hint="eastAsia"/>
          <w:color w:val="auto"/>
          <w:lang w:eastAsia="zh-CN"/>
        </w:rPr>
        <w:t>安全验收评价</w:t>
      </w:r>
      <w:r>
        <w:rPr>
          <w:rFonts w:hint="eastAsia"/>
          <w:color w:val="auto"/>
        </w:rPr>
        <w:t>工作中，始终坚持以下原则：</w:t>
      </w:r>
    </w:p>
    <w:p w14:paraId="1C4A70CD">
      <w:pPr>
        <w:bidi w:val="0"/>
        <w:rPr>
          <w:rFonts w:hint="eastAsia"/>
          <w:color w:val="auto"/>
        </w:rPr>
      </w:pPr>
      <w:r>
        <w:rPr>
          <w:rFonts w:hint="eastAsia"/>
          <w:color w:val="auto"/>
        </w:rPr>
        <w:t>1、严格执行国家现行有关法律、法规、标准和规范的要求，对该公司进行科学、客观、公正、独立的评价；</w:t>
      </w:r>
    </w:p>
    <w:p w14:paraId="10C257B2">
      <w:pPr>
        <w:bidi w:val="0"/>
        <w:rPr>
          <w:rFonts w:hint="eastAsia"/>
          <w:color w:val="auto"/>
        </w:rPr>
      </w:pPr>
      <w:r>
        <w:rPr>
          <w:rFonts w:hint="eastAsia"/>
          <w:color w:val="auto"/>
        </w:rPr>
        <w:t>2、采用可靠、适用的评价技术和评价方法对项目进行定性、定量评价，遵循针对性、技术可行性、经济合理性、可操作性的原则，提出消除或减弱危险、有害因素的技术和管理对策措施建议；</w:t>
      </w:r>
    </w:p>
    <w:p w14:paraId="775611B6">
      <w:pPr>
        <w:bidi w:val="0"/>
        <w:rPr>
          <w:rFonts w:hint="eastAsia"/>
          <w:color w:val="auto"/>
        </w:rPr>
      </w:pPr>
      <w:r>
        <w:rPr>
          <w:rFonts w:hint="eastAsia"/>
          <w:color w:val="auto"/>
        </w:rPr>
        <w:t>3、真实、准确地做出评价结论，并对在当时条件下做出的安全评价结果承担法律责任；</w:t>
      </w:r>
    </w:p>
    <w:p w14:paraId="0585DDAF">
      <w:pPr>
        <w:bidi w:val="0"/>
        <w:rPr>
          <w:color w:val="auto"/>
        </w:rPr>
      </w:pPr>
      <w:r>
        <w:rPr>
          <w:rFonts w:hint="eastAsia"/>
          <w:color w:val="auto"/>
        </w:rPr>
        <w:t>4、遵纪守法、恪守职业道德、诚实守信，对被评价公司的技术和商业秘密保密。</w:t>
      </w:r>
    </w:p>
    <w:p w14:paraId="39238DB6">
      <w:pPr>
        <w:pStyle w:val="3"/>
        <w:bidi w:val="0"/>
        <w:rPr>
          <w:rFonts w:hint="eastAsia"/>
          <w:color w:val="auto"/>
        </w:rPr>
      </w:pPr>
      <w:bookmarkStart w:id="5" w:name="_Toc11759"/>
      <w:r>
        <w:rPr>
          <w:rFonts w:hint="eastAsia"/>
          <w:color w:val="auto"/>
        </w:rPr>
        <w:t>1.2</w:t>
      </w:r>
      <w:r>
        <w:rPr>
          <w:rFonts w:hint="eastAsia"/>
          <w:color w:val="auto"/>
          <w:lang w:val="en-US" w:eastAsia="zh-CN"/>
        </w:rPr>
        <w:t xml:space="preserve"> </w:t>
      </w:r>
      <w:r>
        <w:rPr>
          <w:rFonts w:hint="eastAsia"/>
          <w:color w:val="auto"/>
        </w:rPr>
        <w:t>评价依据</w:t>
      </w:r>
      <w:bookmarkEnd w:id="5"/>
    </w:p>
    <w:p w14:paraId="06034865">
      <w:pPr>
        <w:bidi w:val="0"/>
        <w:rPr>
          <w:rFonts w:hint="eastAsia"/>
          <w:color w:val="auto"/>
        </w:rPr>
      </w:pPr>
      <w:r>
        <w:rPr>
          <w:rFonts w:hint="eastAsia"/>
          <w:color w:val="auto"/>
        </w:rPr>
        <w:t>本次评价主要依据以下国家有关安全生产方面的法律、法规、规章、规范性文件、标准、规范。</w:t>
      </w:r>
    </w:p>
    <w:p w14:paraId="2A7DFB46">
      <w:pPr>
        <w:pStyle w:val="4"/>
        <w:bidi w:val="0"/>
        <w:rPr>
          <w:rFonts w:hint="eastAsia"/>
          <w:color w:val="auto"/>
        </w:rPr>
      </w:pPr>
      <w:bookmarkStart w:id="6" w:name="_Toc26366"/>
      <w:r>
        <w:rPr>
          <w:rFonts w:hint="eastAsia"/>
          <w:color w:val="auto"/>
        </w:rPr>
        <w:t>1.2.1</w:t>
      </w:r>
      <w:r>
        <w:rPr>
          <w:rFonts w:hint="eastAsia"/>
          <w:color w:val="auto"/>
          <w:lang w:val="en-US" w:eastAsia="zh-CN"/>
        </w:rPr>
        <w:t xml:space="preserve"> </w:t>
      </w:r>
      <w:r>
        <w:rPr>
          <w:rFonts w:hint="eastAsia"/>
          <w:color w:val="auto"/>
        </w:rPr>
        <w:t>国家法律</w:t>
      </w:r>
      <w:bookmarkEnd w:id="6"/>
    </w:p>
    <w:p w14:paraId="65AE5421">
      <w:pPr>
        <w:bidi w:val="0"/>
        <w:rPr>
          <w:rFonts w:hint="eastAsia"/>
          <w:color w:val="auto"/>
        </w:rPr>
      </w:pPr>
      <w:r>
        <w:rPr>
          <w:rFonts w:hint="eastAsia"/>
          <w:color w:val="auto"/>
        </w:rPr>
        <w:t>1</w:t>
      </w:r>
      <w:r>
        <w:rPr>
          <w:rFonts w:hint="eastAsia"/>
          <w:color w:val="auto"/>
          <w:lang w:eastAsia="zh-CN"/>
        </w:rPr>
        <w:t>、</w:t>
      </w:r>
      <w:r>
        <w:rPr>
          <w:rFonts w:hint="eastAsia"/>
          <w:color w:val="auto"/>
        </w:rPr>
        <w:t>《中华人民共和国安全生产法》（中华人民共和国主席令第88号公布，根据2021年6月10日第十三届全国人民代表大会常务委员会第二十九次会议《关于修改〈中华人民共和国安全生产法〉的决定》第三次修正，自2021年9月1日起施行）；</w:t>
      </w:r>
    </w:p>
    <w:p w14:paraId="5B9B6314">
      <w:pPr>
        <w:bidi w:val="0"/>
        <w:rPr>
          <w:rFonts w:hint="eastAsia"/>
          <w:color w:val="auto"/>
        </w:rPr>
      </w:pPr>
      <w:r>
        <w:rPr>
          <w:rFonts w:hint="eastAsia"/>
          <w:color w:val="auto"/>
        </w:rPr>
        <w:t>2</w:t>
      </w:r>
      <w:r>
        <w:rPr>
          <w:rFonts w:hint="eastAsia"/>
          <w:color w:val="auto"/>
          <w:lang w:eastAsia="zh-CN"/>
        </w:rPr>
        <w:t>、</w:t>
      </w:r>
      <w:r>
        <w:rPr>
          <w:rFonts w:hint="eastAsia"/>
          <w:color w:val="auto"/>
        </w:rPr>
        <w:t>《中华人民共和国消防法》（1998年4月29日第九届全国人民代表大会常务委员会第二次会议通过；2008年10月28日第十一届全国人民代表大会常务委员会第五次会议第一次修订，2019年4月23日第十三届全国人民代表大会常务委员会第十次会议《全国人民代表大会常务委员会关于修改〈中华人民共和国建筑法〉等八部法律的决定》第二次修订；2021年4月29日第十三届全国人民代表大会常务委员会第二十八次会议通过的《全国人民代表大会常务委员会关于修改〈中华人民共和国道路交通安全法〉等八部法律的决定》第三次修正）；</w:t>
      </w:r>
    </w:p>
    <w:p w14:paraId="7360A77F">
      <w:pPr>
        <w:bidi w:val="0"/>
        <w:rPr>
          <w:rFonts w:hint="eastAsia"/>
          <w:color w:val="auto"/>
        </w:rPr>
      </w:pPr>
      <w:r>
        <w:rPr>
          <w:rFonts w:hint="eastAsia"/>
          <w:color w:val="auto"/>
        </w:rPr>
        <w:t>3</w:t>
      </w:r>
      <w:r>
        <w:rPr>
          <w:rFonts w:hint="eastAsia"/>
          <w:color w:val="auto"/>
          <w:lang w:eastAsia="zh-CN"/>
        </w:rPr>
        <w:t>、</w:t>
      </w:r>
      <w:r>
        <w:rPr>
          <w:rFonts w:hint="eastAsia"/>
          <w:color w:val="auto"/>
        </w:rPr>
        <w:t>《中华人民共和国职业病防治法》（中华人民共和国主席令[2018]第二十四号，2018年12月29日施行）；</w:t>
      </w:r>
    </w:p>
    <w:p w14:paraId="0AA3290A">
      <w:pPr>
        <w:bidi w:val="0"/>
        <w:rPr>
          <w:rFonts w:hint="eastAsia"/>
          <w:color w:val="auto"/>
        </w:rPr>
      </w:pPr>
      <w:r>
        <w:rPr>
          <w:rFonts w:hint="eastAsia"/>
          <w:color w:val="auto"/>
        </w:rPr>
        <w:t>4</w:t>
      </w:r>
      <w:r>
        <w:rPr>
          <w:rFonts w:hint="eastAsia"/>
          <w:color w:val="auto"/>
          <w:lang w:eastAsia="zh-CN"/>
        </w:rPr>
        <w:t>、</w:t>
      </w:r>
      <w:r>
        <w:rPr>
          <w:rFonts w:hint="eastAsia"/>
          <w:color w:val="auto"/>
        </w:rPr>
        <w:t>《中华人民共和国环境保护法》（中华人民共和国主席令[2014]第九号，2015年1月1日实施）；</w:t>
      </w:r>
    </w:p>
    <w:p w14:paraId="50E68B55">
      <w:pPr>
        <w:bidi w:val="0"/>
        <w:rPr>
          <w:rFonts w:hint="eastAsia"/>
          <w:color w:val="auto"/>
        </w:rPr>
      </w:pPr>
      <w:r>
        <w:rPr>
          <w:rFonts w:hint="eastAsia"/>
          <w:color w:val="auto"/>
        </w:rPr>
        <w:t>5</w:t>
      </w:r>
      <w:r>
        <w:rPr>
          <w:rFonts w:hint="eastAsia"/>
          <w:color w:val="auto"/>
          <w:lang w:eastAsia="zh-CN"/>
        </w:rPr>
        <w:t>、</w:t>
      </w:r>
      <w:r>
        <w:rPr>
          <w:rFonts w:hint="eastAsia"/>
          <w:color w:val="auto"/>
        </w:rPr>
        <w:t>《中华人民共和国防震减灾法》（中华人民共和国主席令[200</w:t>
      </w:r>
      <w:r>
        <w:rPr>
          <w:rFonts w:hint="eastAsia"/>
          <w:color w:val="auto"/>
          <w:lang w:val="en-US" w:eastAsia="zh-CN"/>
        </w:rPr>
        <w:t>8</w:t>
      </w:r>
      <w:r>
        <w:rPr>
          <w:rFonts w:hint="eastAsia"/>
          <w:color w:val="auto"/>
        </w:rPr>
        <w:t>]第七号，中华人民共和国第十一届全国人民代表大会常务委员会第六次会议修订通过，自2009年5月1日起施行）；</w:t>
      </w:r>
    </w:p>
    <w:p w14:paraId="7E57D520">
      <w:pPr>
        <w:bidi w:val="0"/>
        <w:rPr>
          <w:rFonts w:hint="eastAsia"/>
          <w:color w:val="auto"/>
        </w:rPr>
      </w:pPr>
      <w:r>
        <w:rPr>
          <w:rFonts w:hint="eastAsia"/>
          <w:color w:val="auto"/>
        </w:rPr>
        <w:t>6</w:t>
      </w:r>
      <w:r>
        <w:rPr>
          <w:rFonts w:hint="eastAsia"/>
          <w:color w:val="auto"/>
          <w:lang w:eastAsia="zh-CN"/>
        </w:rPr>
        <w:t>、</w:t>
      </w:r>
      <w:r>
        <w:rPr>
          <w:rFonts w:hint="eastAsia"/>
          <w:color w:val="auto"/>
        </w:rPr>
        <w:t>《中华人民共和国突发事件应对法》（中华人民共和国主席令[2007]第六十九号，2024年6月28日第十四届全国人民代表大会常务委员会第十次会议修订</w:t>
      </w:r>
      <w:r>
        <w:rPr>
          <w:rFonts w:hint="eastAsia"/>
          <w:color w:val="auto"/>
          <w:lang w:eastAsia="zh-CN"/>
        </w:rPr>
        <w:t>，自2024年11月1日起施行</w:t>
      </w:r>
      <w:r>
        <w:rPr>
          <w:rFonts w:hint="eastAsia"/>
          <w:color w:val="auto"/>
        </w:rPr>
        <w:t>）；</w:t>
      </w:r>
    </w:p>
    <w:p w14:paraId="00473DD1">
      <w:pPr>
        <w:bidi w:val="0"/>
        <w:rPr>
          <w:rFonts w:hint="eastAsia"/>
          <w:color w:val="auto"/>
        </w:rPr>
      </w:pPr>
      <w:r>
        <w:rPr>
          <w:rFonts w:hint="eastAsia"/>
          <w:color w:val="auto"/>
        </w:rPr>
        <w:t>7</w:t>
      </w:r>
      <w:r>
        <w:rPr>
          <w:rFonts w:hint="eastAsia"/>
          <w:color w:val="auto"/>
          <w:lang w:eastAsia="zh-CN"/>
        </w:rPr>
        <w:t>、</w:t>
      </w:r>
      <w:r>
        <w:rPr>
          <w:rFonts w:hint="eastAsia"/>
          <w:color w:val="auto"/>
        </w:rPr>
        <w:t>《中华人民共和国特种设备安全法》（中华人民共和国主席令[2013]第四号，2014年1月1日实施）；</w:t>
      </w:r>
    </w:p>
    <w:p w14:paraId="4247A635">
      <w:pPr>
        <w:bidi w:val="0"/>
        <w:rPr>
          <w:rFonts w:hint="eastAsia"/>
          <w:color w:val="auto"/>
        </w:rPr>
      </w:pPr>
      <w:r>
        <w:rPr>
          <w:rFonts w:hint="eastAsia"/>
          <w:color w:val="auto"/>
        </w:rPr>
        <w:t>8</w:t>
      </w:r>
      <w:r>
        <w:rPr>
          <w:rFonts w:hint="eastAsia"/>
          <w:color w:val="auto"/>
          <w:lang w:eastAsia="zh-CN"/>
        </w:rPr>
        <w:t>、</w:t>
      </w:r>
      <w:r>
        <w:rPr>
          <w:rFonts w:hint="eastAsia"/>
          <w:color w:val="auto"/>
        </w:rPr>
        <w:t>《中华人民共和国气象法（2016年版）》（中华人民共和国主席令第23号，中华人民共和国主席令[2016]第五十七号修订，2016年11月7日）；</w:t>
      </w:r>
    </w:p>
    <w:p w14:paraId="3514C23A">
      <w:pPr>
        <w:bidi w:val="0"/>
        <w:rPr>
          <w:rFonts w:hint="eastAsia"/>
          <w:color w:val="auto"/>
        </w:rPr>
      </w:pPr>
      <w:r>
        <w:rPr>
          <w:rFonts w:hint="eastAsia"/>
          <w:color w:val="auto"/>
        </w:rPr>
        <w:t>9</w:t>
      </w:r>
      <w:r>
        <w:rPr>
          <w:rFonts w:hint="eastAsia"/>
          <w:color w:val="auto"/>
          <w:lang w:eastAsia="zh-CN"/>
        </w:rPr>
        <w:t>、</w:t>
      </w:r>
      <w:r>
        <w:rPr>
          <w:rFonts w:hint="eastAsia"/>
          <w:color w:val="auto"/>
        </w:rPr>
        <w:t>《中华人民共和国建筑法》（中华人民共和国主席令第91号，2019年4月23日第十三届全国人民代表大会常务委员会第十次会议《关于修改〈中华人民共和国建筑法〉等八部法律的决定》第二次修正）；</w:t>
      </w:r>
    </w:p>
    <w:p w14:paraId="786513B3">
      <w:pPr>
        <w:bidi w:val="0"/>
        <w:rPr>
          <w:rFonts w:hint="eastAsia"/>
          <w:color w:val="auto"/>
        </w:rPr>
      </w:pPr>
      <w:r>
        <w:rPr>
          <w:rFonts w:hint="eastAsia"/>
          <w:color w:val="auto"/>
        </w:rPr>
        <w:t>10</w:t>
      </w:r>
      <w:r>
        <w:rPr>
          <w:rFonts w:hint="eastAsia"/>
          <w:color w:val="auto"/>
          <w:lang w:eastAsia="zh-CN"/>
        </w:rPr>
        <w:t>、</w:t>
      </w:r>
      <w:r>
        <w:rPr>
          <w:rFonts w:hint="eastAsia"/>
          <w:color w:val="auto"/>
        </w:rPr>
        <w:t>《中华人民共和国劳动法》（中华人民共和国主席令第28号，1995年1月1日施行；2009年中华人民共和国主席令第18号修改，2009年8月27日施行，2018年12月29日第十三届全国人民代表大会常务委员会第七次会议修改）。</w:t>
      </w:r>
    </w:p>
    <w:p w14:paraId="73033554">
      <w:pPr>
        <w:pStyle w:val="4"/>
        <w:bidi w:val="0"/>
        <w:rPr>
          <w:rFonts w:hint="eastAsia"/>
          <w:color w:val="auto"/>
        </w:rPr>
      </w:pPr>
      <w:bookmarkStart w:id="7" w:name="_Toc6887"/>
      <w:r>
        <w:rPr>
          <w:rFonts w:hint="eastAsia"/>
          <w:color w:val="auto"/>
        </w:rPr>
        <w:t>1.2.2</w:t>
      </w:r>
      <w:r>
        <w:rPr>
          <w:rFonts w:hint="eastAsia"/>
          <w:color w:val="auto"/>
          <w:lang w:val="en-US" w:eastAsia="zh-CN"/>
        </w:rPr>
        <w:t xml:space="preserve"> </w:t>
      </w:r>
      <w:r>
        <w:rPr>
          <w:rFonts w:hint="eastAsia"/>
          <w:color w:val="auto"/>
        </w:rPr>
        <w:t>行政法规</w:t>
      </w:r>
      <w:bookmarkEnd w:id="7"/>
    </w:p>
    <w:p w14:paraId="18002EE6">
      <w:pPr>
        <w:bidi w:val="0"/>
        <w:rPr>
          <w:rFonts w:hint="eastAsia"/>
          <w:color w:val="auto"/>
        </w:rPr>
      </w:pPr>
      <w:r>
        <w:rPr>
          <w:rFonts w:hint="eastAsia"/>
          <w:color w:val="auto"/>
        </w:rPr>
        <w:t>1</w:t>
      </w:r>
      <w:r>
        <w:rPr>
          <w:rFonts w:hint="eastAsia"/>
          <w:color w:val="auto"/>
          <w:lang w:eastAsia="zh-CN"/>
        </w:rPr>
        <w:t>、</w:t>
      </w:r>
      <w:r>
        <w:rPr>
          <w:rFonts w:hint="eastAsia"/>
          <w:color w:val="auto"/>
        </w:rPr>
        <w:t>《中共中央国务院关于推进安全生产领域改革发展的意见》（中共中央国务院，自2016年12月18日起施行）；</w:t>
      </w:r>
    </w:p>
    <w:p w14:paraId="72F393E8">
      <w:pPr>
        <w:bidi w:val="0"/>
        <w:rPr>
          <w:rFonts w:hint="eastAsia"/>
          <w:color w:val="auto"/>
        </w:rPr>
      </w:pPr>
      <w:r>
        <w:rPr>
          <w:rFonts w:hint="eastAsia"/>
          <w:color w:val="auto"/>
        </w:rPr>
        <w:t>2</w:t>
      </w:r>
      <w:r>
        <w:rPr>
          <w:rFonts w:hint="eastAsia"/>
          <w:color w:val="auto"/>
          <w:lang w:eastAsia="zh-CN"/>
        </w:rPr>
        <w:t>、</w:t>
      </w:r>
      <w:r>
        <w:rPr>
          <w:rFonts w:hint="eastAsia"/>
          <w:color w:val="auto"/>
        </w:rPr>
        <w:t>《特种设备安全监察条例》（中华人民共和国国务院令[2009]第549号，2009年5月1日起施行）；</w:t>
      </w:r>
    </w:p>
    <w:p w14:paraId="54E22BB7">
      <w:pPr>
        <w:bidi w:val="0"/>
        <w:rPr>
          <w:rFonts w:hint="eastAsia"/>
          <w:color w:val="auto"/>
        </w:rPr>
      </w:pPr>
      <w:r>
        <w:rPr>
          <w:rFonts w:hint="eastAsia"/>
          <w:color w:val="auto"/>
        </w:rPr>
        <w:t>3</w:t>
      </w:r>
      <w:r>
        <w:rPr>
          <w:rFonts w:hint="eastAsia"/>
          <w:color w:val="auto"/>
          <w:lang w:eastAsia="zh-CN"/>
        </w:rPr>
        <w:t>、</w:t>
      </w:r>
      <w:r>
        <w:rPr>
          <w:rFonts w:hint="eastAsia"/>
          <w:color w:val="auto"/>
        </w:rPr>
        <w:t>《工伤保险条例》（中华人民共和国国务院令[2010]第586号，2011年1月1日实施）；</w:t>
      </w:r>
    </w:p>
    <w:p w14:paraId="246F36A7">
      <w:pPr>
        <w:bidi w:val="0"/>
        <w:rPr>
          <w:rFonts w:hint="eastAsia"/>
          <w:color w:val="auto"/>
        </w:rPr>
      </w:pPr>
      <w:r>
        <w:rPr>
          <w:rFonts w:hint="eastAsia"/>
          <w:color w:val="auto"/>
        </w:rPr>
        <w:t>4</w:t>
      </w:r>
      <w:r>
        <w:rPr>
          <w:rFonts w:hint="eastAsia"/>
          <w:color w:val="auto"/>
          <w:lang w:eastAsia="zh-CN"/>
        </w:rPr>
        <w:t>、</w:t>
      </w:r>
      <w:r>
        <w:rPr>
          <w:rFonts w:hint="eastAsia"/>
          <w:color w:val="auto"/>
        </w:rPr>
        <w:t>《建设工程安全生产管理条例》（中华人民共和国国务院令[2003]第393号，2004年2月1日起施行）；</w:t>
      </w:r>
    </w:p>
    <w:p w14:paraId="016430A0">
      <w:pPr>
        <w:bidi w:val="0"/>
        <w:rPr>
          <w:rFonts w:hint="eastAsia"/>
          <w:color w:val="auto"/>
        </w:rPr>
      </w:pPr>
      <w:r>
        <w:rPr>
          <w:rFonts w:hint="eastAsia"/>
          <w:color w:val="auto"/>
        </w:rPr>
        <w:t>5</w:t>
      </w:r>
      <w:r>
        <w:rPr>
          <w:rFonts w:hint="eastAsia"/>
          <w:color w:val="auto"/>
          <w:lang w:eastAsia="zh-CN"/>
        </w:rPr>
        <w:t>、</w:t>
      </w:r>
      <w:r>
        <w:rPr>
          <w:rFonts w:hint="eastAsia"/>
          <w:color w:val="auto"/>
        </w:rPr>
        <w:t>《生产安全事故报告和调查处理条例》（中华人民共和国国务院令[2007]第493号，2007年6月1日起施行）；</w:t>
      </w:r>
    </w:p>
    <w:p w14:paraId="3DA6BB86">
      <w:pPr>
        <w:bidi w:val="0"/>
        <w:rPr>
          <w:rFonts w:hint="eastAsia"/>
          <w:color w:val="auto"/>
        </w:rPr>
      </w:pPr>
      <w:r>
        <w:rPr>
          <w:rFonts w:hint="eastAsia"/>
          <w:color w:val="auto"/>
        </w:rPr>
        <w:t>6</w:t>
      </w:r>
      <w:r>
        <w:rPr>
          <w:rFonts w:hint="eastAsia"/>
          <w:color w:val="auto"/>
          <w:lang w:eastAsia="zh-CN"/>
        </w:rPr>
        <w:t>、</w:t>
      </w:r>
      <w:r>
        <w:rPr>
          <w:rFonts w:hint="eastAsia"/>
          <w:color w:val="auto"/>
        </w:rPr>
        <w:t>《建设工程质量管理条例（2019修正）》（中华人民共和国国务院令[2017]第687号修订）；</w:t>
      </w:r>
    </w:p>
    <w:p w14:paraId="6789C176">
      <w:pPr>
        <w:bidi w:val="0"/>
        <w:rPr>
          <w:rFonts w:hint="eastAsia"/>
          <w:color w:val="auto"/>
        </w:rPr>
      </w:pPr>
      <w:r>
        <w:rPr>
          <w:rFonts w:hint="eastAsia"/>
          <w:color w:val="auto"/>
        </w:rPr>
        <w:t>7</w:t>
      </w:r>
      <w:r>
        <w:rPr>
          <w:rFonts w:hint="eastAsia"/>
          <w:color w:val="auto"/>
          <w:lang w:eastAsia="zh-CN"/>
        </w:rPr>
        <w:t>、</w:t>
      </w:r>
      <w:r>
        <w:rPr>
          <w:rFonts w:hint="eastAsia"/>
          <w:color w:val="auto"/>
        </w:rPr>
        <w:t>《生产安全事故应急条例》（中华人民共和国国务院令第708号，2019年4月1日施行）；</w:t>
      </w:r>
    </w:p>
    <w:p w14:paraId="60156D34">
      <w:pPr>
        <w:bidi w:val="0"/>
        <w:rPr>
          <w:rFonts w:hint="eastAsia" w:eastAsia="宋体"/>
          <w:color w:val="auto"/>
          <w:lang w:eastAsia="zh-CN"/>
        </w:rPr>
      </w:pPr>
      <w:r>
        <w:rPr>
          <w:rFonts w:hint="eastAsia"/>
          <w:color w:val="auto"/>
        </w:rPr>
        <w:t>8</w:t>
      </w:r>
      <w:r>
        <w:rPr>
          <w:rFonts w:hint="eastAsia"/>
          <w:color w:val="auto"/>
          <w:lang w:eastAsia="zh-CN"/>
        </w:rPr>
        <w:t>、</w:t>
      </w:r>
      <w:r>
        <w:rPr>
          <w:rFonts w:hint="eastAsia"/>
          <w:color w:val="auto"/>
        </w:rPr>
        <w:t>《劳动保障监察条例》（中华人民共和国国务院令[2004]第423号，自2004年12月1日起施行）</w:t>
      </w:r>
      <w:r>
        <w:rPr>
          <w:rFonts w:hint="eastAsia"/>
          <w:color w:val="auto"/>
          <w:lang w:eastAsia="zh-CN"/>
        </w:rPr>
        <w:t>。</w:t>
      </w:r>
    </w:p>
    <w:p w14:paraId="74BAB9F2">
      <w:pPr>
        <w:pStyle w:val="4"/>
        <w:bidi w:val="0"/>
        <w:rPr>
          <w:rFonts w:hint="eastAsia"/>
          <w:color w:val="auto"/>
        </w:rPr>
      </w:pPr>
      <w:bookmarkStart w:id="8" w:name="_Toc16155"/>
      <w:r>
        <w:rPr>
          <w:rFonts w:hint="eastAsia"/>
          <w:color w:val="auto"/>
        </w:rPr>
        <w:t>1.2.3</w:t>
      </w:r>
      <w:r>
        <w:rPr>
          <w:rFonts w:hint="eastAsia"/>
          <w:color w:val="auto"/>
          <w:lang w:val="en-US" w:eastAsia="zh-CN"/>
        </w:rPr>
        <w:t xml:space="preserve"> </w:t>
      </w:r>
      <w:r>
        <w:rPr>
          <w:rFonts w:hint="eastAsia"/>
          <w:color w:val="auto"/>
        </w:rPr>
        <w:t>部门规章</w:t>
      </w:r>
      <w:bookmarkEnd w:id="8"/>
    </w:p>
    <w:p w14:paraId="7587D952">
      <w:pPr>
        <w:bidi w:val="0"/>
        <w:rPr>
          <w:rFonts w:hint="eastAsia"/>
          <w:color w:val="auto"/>
        </w:rPr>
      </w:pPr>
      <w:r>
        <w:rPr>
          <w:rFonts w:hint="eastAsia"/>
          <w:color w:val="auto"/>
        </w:rPr>
        <w:t>1</w:t>
      </w:r>
      <w:r>
        <w:rPr>
          <w:rFonts w:hint="eastAsia"/>
          <w:color w:val="auto"/>
          <w:lang w:eastAsia="zh-CN"/>
        </w:rPr>
        <w:t>、</w:t>
      </w:r>
      <w:r>
        <w:rPr>
          <w:rFonts w:hint="eastAsia"/>
          <w:color w:val="auto"/>
        </w:rPr>
        <w:t>《建设项目安全设施“三同时”监督管理办法》（原国家安全生产监管总局令[2010]第36号，原国家安全生产监管总局令[2015]第77号修订，2015年5月1日起实施）；</w:t>
      </w:r>
    </w:p>
    <w:p w14:paraId="1C6C9C26">
      <w:pPr>
        <w:bidi w:val="0"/>
        <w:rPr>
          <w:rFonts w:hint="eastAsia"/>
          <w:color w:val="auto"/>
        </w:rPr>
      </w:pPr>
      <w:r>
        <w:rPr>
          <w:rFonts w:hint="eastAsia"/>
          <w:color w:val="auto"/>
          <w:lang w:val="en-US" w:eastAsia="zh-CN"/>
        </w:rPr>
        <w:t>2</w:t>
      </w:r>
      <w:r>
        <w:rPr>
          <w:rFonts w:hint="eastAsia"/>
          <w:color w:val="auto"/>
          <w:lang w:eastAsia="zh-CN"/>
        </w:rPr>
        <w:t>、</w:t>
      </w:r>
      <w:r>
        <w:rPr>
          <w:rFonts w:hint="eastAsia"/>
          <w:color w:val="auto"/>
        </w:rPr>
        <w:t>《国家安全监管总局关于废止和修改劳动防护用品和安全培训等领域十部规章的决定》（原国家安全生产监督管理总局令[2015]第80号，2015年7月1日实施）；</w:t>
      </w:r>
    </w:p>
    <w:p w14:paraId="68804B9B">
      <w:pPr>
        <w:bidi w:val="0"/>
        <w:rPr>
          <w:rFonts w:hint="eastAsia"/>
          <w:color w:val="auto"/>
        </w:rPr>
      </w:pPr>
      <w:r>
        <w:rPr>
          <w:rFonts w:hint="eastAsia"/>
          <w:color w:val="auto"/>
          <w:lang w:val="en-US" w:eastAsia="zh-CN"/>
        </w:rPr>
        <w:t>3</w:t>
      </w:r>
      <w:r>
        <w:rPr>
          <w:rFonts w:hint="eastAsia"/>
          <w:color w:val="auto"/>
          <w:lang w:eastAsia="zh-CN"/>
        </w:rPr>
        <w:t>、</w:t>
      </w:r>
      <w:r>
        <w:rPr>
          <w:rFonts w:hint="eastAsia"/>
          <w:color w:val="auto"/>
        </w:rPr>
        <w:t>《国务院办公厅关于印发消防安全责任制实施办法的通知》（国办发〔2017〕87号）；</w:t>
      </w:r>
    </w:p>
    <w:p w14:paraId="6A65F297">
      <w:pPr>
        <w:bidi w:val="0"/>
        <w:rPr>
          <w:rFonts w:hint="eastAsia"/>
          <w:color w:val="auto"/>
        </w:rPr>
      </w:pPr>
      <w:r>
        <w:rPr>
          <w:rFonts w:hint="eastAsia"/>
          <w:color w:val="auto"/>
          <w:lang w:val="en-US" w:eastAsia="zh-CN"/>
        </w:rPr>
        <w:t>4</w:t>
      </w:r>
      <w:r>
        <w:rPr>
          <w:rFonts w:hint="eastAsia"/>
          <w:color w:val="auto"/>
          <w:lang w:eastAsia="zh-CN"/>
        </w:rPr>
        <w:t>、</w:t>
      </w:r>
      <w:r>
        <w:rPr>
          <w:rFonts w:hint="eastAsia"/>
          <w:color w:val="auto"/>
        </w:rPr>
        <w:t>《生产经营单位安全培训规定》（原国家安全生产监督管理总局令第3号，根据80号令修改，2015年7月1日起实施）；</w:t>
      </w:r>
    </w:p>
    <w:p w14:paraId="5FBFE3A8">
      <w:pPr>
        <w:bidi w:val="0"/>
        <w:rPr>
          <w:rFonts w:hint="eastAsia"/>
          <w:color w:val="auto"/>
        </w:rPr>
      </w:pPr>
      <w:r>
        <w:rPr>
          <w:rFonts w:hint="eastAsia"/>
          <w:color w:val="auto"/>
          <w:lang w:val="en-US" w:eastAsia="zh-CN"/>
        </w:rPr>
        <w:t>5</w:t>
      </w:r>
      <w:r>
        <w:rPr>
          <w:rFonts w:hint="eastAsia"/>
          <w:color w:val="auto"/>
          <w:lang w:eastAsia="zh-CN"/>
        </w:rPr>
        <w:t>、</w:t>
      </w:r>
      <w:r>
        <w:rPr>
          <w:rFonts w:hint="eastAsia"/>
          <w:color w:val="auto"/>
        </w:rPr>
        <w:t>《生产安全事故应急预案管理办法》（原国家安全生产监督管理总局令第88号，中华人民共和国应急管理部令第2号修改，自2019年9月1日起施行）；</w:t>
      </w:r>
    </w:p>
    <w:p w14:paraId="68E6DCF7">
      <w:pPr>
        <w:bidi w:val="0"/>
        <w:rPr>
          <w:rFonts w:hint="eastAsia"/>
          <w:color w:val="auto"/>
        </w:rPr>
      </w:pPr>
      <w:r>
        <w:rPr>
          <w:rFonts w:hint="eastAsia"/>
          <w:color w:val="auto"/>
          <w:lang w:val="en-US" w:eastAsia="zh-CN"/>
        </w:rPr>
        <w:t>6</w:t>
      </w:r>
      <w:r>
        <w:rPr>
          <w:rFonts w:hint="eastAsia"/>
          <w:color w:val="auto"/>
          <w:lang w:eastAsia="zh-CN"/>
        </w:rPr>
        <w:t>、</w:t>
      </w:r>
      <w:r>
        <w:rPr>
          <w:rFonts w:hint="eastAsia"/>
          <w:color w:val="auto"/>
        </w:rPr>
        <w:t>《工作场所职业卫生管理规定》（中华人民共和国国家卫生健康委员会令第5号</w:t>
      </w:r>
      <w:r>
        <w:rPr>
          <w:rFonts w:hint="eastAsia"/>
          <w:color w:val="auto"/>
          <w:lang w:eastAsia="zh-CN"/>
        </w:rPr>
        <w:t>，自2021年2月1日起施行</w:t>
      </w:r>
      <w:r>
        <w:rPr>
          <w:rFonts w:hint="eastAsia"/>
          <w:color w:val="auto"/>
        </w:rPr>
        <w:t>）；</w:t>
      </w:r>
    </w:p>
    <w:p w14:paraId="7182E3A0">
      <w:pPr>
        <w:bidi w:val="0"/>
        <w:rPr>
          <w:rFonts w:hint="eastAsia"/>
          <w:color w:val="auto"/>
        </w:rPr>
      </w:pPr>
      <w:r>
        <w:rPr>
          <w:rFonts w:hint="eastAsia"/>
          <w:color w:val="auto"/>
          <w:lang w:val="en-US" w:eastAsia="zh-CN"/>
        </w:rPr>
        <w:t>7</w:t>
      </w:r>
      <w:r>
        <w:rPr>
          <w:rFonts w:hint="eastAsia"/>
          <w:color w:val="auto"/>
          <w:lang w:eastAsia="zh-CN"/>
        </w:rPr>
        <w:t>、</w:t>
      </w:r>
      <w:r>
        <w:rPr>
          <w:rFonts w:hint="eastAsia"/>
          <w:color w:val="auto"/>
        </w:rPr>
        <w:t>《职业病分类和目录》（国卫疾控发[2013]48号）；</w:t>
      </w:r>
    </w:p>
    <w:p w14:paraId="093BD8F3">
      <w:pPr>
        <w:bidi w:val="0"/>
        <w:rPr>
          <w:rFonts w:hint="eastAsia"/>
          <w:color w:val="auto"/>
        </w:rPr>
      </w:pPr>
      <w:r>
        <w:rPr>
          <w:rFonts w:hint="eastAsia"/>
          <w:color w:val="auto"/>
          <w:lang w:val="en-US" w:eastAsia="zh-CN"/>
        </w:rPr>
        <w:t>8</w:t>
      </w:r>
      <w:r>
        <w:rPr>
          <w:rFonts w:hint="eastAsia"/>
          <w:color w:val="auto"/>
          <w:lang w:eastAsia="zh-CN"/>
        </w:rPr>
        <w:t>、</w:t>
      </w:r>
      <w:r>
        <w:rPr>
          <w:rFonts w:hint="eastAsia"/>
          <w:color w:val="auto"/>
        </w:rPr>
        <w:t>《特种作业人员安全技术培训考核管理规定》（原国家安全生产监督管理总局令[2010]第30号，国家安全生产监督管理总局令[2015]第80号，2015年7月1日施行）；</w:t>
      </w:r>
    </w:p>
    <w:p w14:paraId="47A21140">
      <w:pPr>
        <w:bidi w:val="0"/>
        <w:rPr>
          <w:rFonts w:hint="eastAsia"/>
          <w:color w:val="auto"/>
        </w:rPr>
      </w:pPr>
      <w:r>
        <w:rPr>
          <w:rFonts w:hint="eastAsia"/>
          <w:color w:val="auto"/>
          <w:lang w:val="en-US" w:eastAsia="zh-CN"/>
        </w:rPr>
        <w:t>9</w:t>
      </w:r>
      <w:r>
        <w:rPr>
          <w:rFonts w:hint="eastAsia"/>
          <w:color w:val="auto"/>
          <w:lang w:eastAsia="zh-CN"/>
        </w:rPr>
        <w:t>、</w:t>
      </w:r>
      <w:r>
        <w:rPr>
          <w:rFonts w:hint="eastAsia"/>
          <w:color w:val="auto"/>
        </w:rPr>
        <w:t>《安全生产培训管理办法》（原国家安全生产监督管理总局令第44号，国家安全生产监督管理总局令[2015]第80号令修订，自2015年7月1日起施行）；</w:t>
      </w:r>
    </w:p>
    <w:p w14:paraId="24DBCB1E">
      <w:pPr>
        <w:bidi w:val="0"/>
        <w:rPr>
          <w:rFonts w:hint="eastAsia"/>
          <w:color w:val="auto"/>
        </w:rPr>
      </w:pPr>
      <w:r>
        <w:rPr>
          <w:rFonts w:hint="eastAsia"/>
          <w:color w:val="auto"/>
        </w:rPr>
        <w:t>1</w:t>
      </w:r>
      <w:r>
        <w:rPr>
          <w:rFonts w:hint="eastAsia"/>
          <w:color w:val="auto"/>
          <w:lang w:val="en-US" w:eastAsia="zh-CN"/>
        </w:rPr>
        <w:t>0</w:t>
      </w:r>
      <w:r>
        <w:rPr>
          <w:rFonts w:hint="eastAsia"/>
          <w:color w:val="auto"/>
          <w:lang w:eastAsia="zh-CN"/>
        </w:rPr>
        <w:t>、</w:t>
      </w:r>
      <w:r>
        <w:rPr>
          <w:rFonts w:hint="eastAsia"/>
          <w:color w:val="auto"/>
        </w:rPr>
        <w:t>《产业结构调整指导目录（2024年本）》经2023年12月1日第6次委务会议审议通过，自2024年2月1日起施行；</w:t>
      </w:r>
    </w:p>
    <w:p w14:paraId="34C899D0">
      <w:pPr>
        <w:bidi w:val="0"/>
        <w:rPr>
          <w:rFonts w:hint="eastAsia"/>
          <w:color w:val="auto"/>
        </w:rPr>
      </w:pPr>
      <w:r>
        <w:rPr>
          <w:rFonts w:hint="eastAsia"/>
          <w:color w:val="auto"/>
        </w:rPr>
        <w:t>1</w:t>
      </w:r>
      <w:r>
        <w:rPr>
          <w:rFonts w:hint="eastAsia"/>
          <w:color w:val="auto"/>
          <w:lang w:val="en-US" w:eastAsia="zh-CN"/>
        </w:rPr>
        <w:t>1</w:t>
      </w:r>
      <w:r>
        <w:rPr>
          <w:rFonts w:hint="eastAsia"/>
          <w:color w:val="auto"/>
          <w:lang w:eastAsia="zh-CN"/>
        </w:rPr>
        <w:t>、</w:t>
      </w:r>
      <w:r>
        <w:rPr>
          <w:rFonts w:hint="eastAsia"/>
          <w:color w:val="auto"/>
        </w:rPr>
        <w:t>《关于印发&lt;企业安全生产费用提取和使用管理办法&gt;的通知》（财资〔2022〕136号）；</w:t>
      </w:r>
    </w:p>
    <w:p w14:paraId="1AF2353B">
      <w:pPr>
        <w:bidi w:val="0"/>
        <w:rPr>
          <w:rFonts w:hint="eastAsia"/>
          <w:color w:val="auto"/>
        </w:rPr>
      </w:pPr>
      <w:r>
        <w:rPr>
          <w:rFonts w:hint="eastAsia"/>
          <w:color w:val="auto"/>
        </w:rPr>
        <w:t>1</w:t>
      </w:r>
      <w:r>
        <w:rPr>
          <w:rFonts w:hint="eastAsia"/>
          <w:color w:val="auto"/>
          <w:lang w:val="en-US" w:eastAsia="zh-CN"/>
        </w:rPr>
        <w:t>2</w:t>
      </w:r>
      <w:r>
        <w:rPr>
          <w:rFonts w:hint="eastAsia"/>
          <w:color w:val="auto"/>
          <w:lang w:eastAsia="zh-CN"/>
        </w:rPr>
        <w:t>、</w:t>
      </w:r>
      <w:r>
        <w:rPr>
          <w:rFonts w:hint="eastAsia"/>
          <w:color w:val="auto"/>
        </w:rPr>
        <w:t>《工贸企业有限空间作业安全规定》（应急管理部令第13号，自2024年1月1日起施行）；</w:t>
      </w:r>
    </w:p>
    <w:p w14:paraId="721E1EB5">
      <w:pPr>
        <w:bidi w:val="0"/>
        <w:rPr>
          <w:rFonts w:hint="eastAsia"/>
          <w:color w:val="auto"/>
        </w:rPr>
      </w:pPr>
      <w:r>
        <w:rPr>
          <w:rFonts w:hint="eastAsia"/>
          <w:color w:val="auto"/>
        </w:rPr>
        <w:t>1</w:t>
      </w:r>
      <w:r>
        <w:rPr>
          <w:rFonts w:hint="eastAsia"/>
          <w:color w:val="auto"/>
          <w:lang w:val="en-US" w:eastAsia="zh-CN"/>
        </w:rPr>
        <w:t>3</w:t>
      </w:r>
      <w:r>
        <w:rPr>
          <w:rFonts w:hint="eastAsia"/>
          <w:color w:val="auto"/>
          <w:lang w:eastAsia="zh-CN"/>
        </w:rPr>
        <w:t>、</w:t>
      </w:r>
      <w:r>
        <w:rPr>
          <w:rFonts w:hint="eastAsia"/>
          <w:color w:val="auto"/>
        </w:rPr>
        <w:t>《仓库防火安全管理规则》（公安部令第6号，1990年4月10日起实施）；</w:t>
      </w:r>
    </w:p>
    <w:p w14:paraId="5DBBBE2B">
      <w:pPr>
        <w:bidi w:val="0"/>
        <w:rPr>
          <w:rFonts w:hint="eastAsia"/>
          <w:color w:val="auto"/>
        </w:rPr>
      </w:pPr>
      <w:r>
        <w:rPr>
          <w:rFonts w:hint="eastAsia"/>
          <w:color w:val="auto"/>
        </w:rPr>
        <w:t>1</w:t>
      </w:r>
      <w:r>
        <w:rPr>
          <w:rFonts w:hint="eastAsia"/>
          <w:color w:val="auto"/>
          <w:lang w:val="en-US" w:eastAsia="zh-CN"/>
        </w:rPr>
        <w:t>4</w:t>
      </w:r>
      <w:r>
        <w:rPr>
          <w:rFonts w:hint="eastAsia"/>
          <w:color w:val="auto"/>
          <w:lang w:eastAsia="zh-CN"/>
        </w:rPr>
        <w:t>、</w:t>
      </w:r>
      <w:r>
        <w:rPr>
          <w:rFonts w:hint="eastAsia"/>
          <w:color w:val="auto"/>
        </w:rPr>
        <w:t>《住房和城乡建设部关于修改〈建设工程消防设计审查验收管理暂行规定〉的决定》经2023年7月24日第2次部务会议审议通过，自2023年10月30日起施行；</w:t>
      </w:r>
    </w:p>
    <w:p w14:paraId="1A0A27C8">
      <w:pPr>
        <w:bidi w:val="0"/>
        <w:rPr>
          <w:rFonts w:hint="eastAsia"/>
          <w:color w:val="auto"/>
        </w:rPr>
      </w:pPr>
      <w:r>
        <w:rPr>
          <w:rFonts w:hint="eastAsia"/>
          <w:color w:val="auto"/>
        </w:rPr>
        <w:t>1</w:t>
      </w:r>
      <w:r>
        <w:rPr>
          <w:rFonts w:hint="eastAsia"/>
          <w:color w:val="auto"/>
          <w:lang w:val="en-US" w:eastAsia="zh-CN"/>
        </w:rPr>
        <w:t>5</w:t>
      </w:r>
      <w:r>
        <w:rPr>
          <w:rFonts w:hint="eastAsia"/>
          <w:color w:val="auto"/>
          <w:lang w:eastAsia="zh-CN"/>
        </w:rPr>
        <w:t>、</w:t>
      </w:r>
      <w:r>
        <w:rPr>
          <w:rFonts w:hint="eastAsia"/>
          <w:color w:val="auto"/>
        </w:rPr>
        <w:t>《工贸企业重大事故隐患判定标准》（中华人民共和国应急管理部令第10号）；</w:t>
      </w:r>
    </w:p>
    <w:p w14:paraId="44C9B8BA">
      <w:pPr>
        <w:bidi w:val="0"/>
        <w:rPr>
          <w:rFonts w:hint="eastAsia"/>
          <w:color w:val="auto"/>
        </w:rPr>
      </w:pPr>
      <w:r>
        <w:rPr>
          <w:rFonts w:hint="eastAsia"/>
          <w:color w:val="auto"/>
        </w:rPr>
        <w:t>1</w:t>
      </w:r>
      <w:r>
        <w:rPr>
          <w:rFonts w:hint="eastAsia"/>
          <w:color w:val="auto"/>
          <w:lang w:val="en-US" w:eastAsia="zh-CN"/>
        </w:rPr>
        <w:t>6</w:t>
      </w:r>
      <w:r>
        <w:rPr>
          <w:rFonts w:hint="eastAsia"/>
          <w:color w:val="auto"/>
          <w:lang w:eastAsia="zh-CN"/>
        </w:rPr>
        <w:t>、</w:t>
      </w:r>
      <w:r>
        <w:rPr>
          <w:rFonts w:hint="eastAsia"/>
          <w:color w:val="auto"/>
        </w:rPr>
        <w:t>应急管理部办公厅关于印发《有限空间作业安全指导手册》和4个专题系列折页的通知（应急厅函[2020]299号）；</w:t>
      </w:r>
    </w:p>
    <w:p w14:paraId="4DDF88D1">
      <w:pPr>
        <w:bidi w:val="0"/>
        <w:rPr>
          <w:rFonts w:hint="eastAsia"/>
          <w:color w:val="auto"/>
        </w:rPr>
      </w:pPr>
      <w:r>
        <w:rPr>
          <w:rFonts w:hint="eastAsia"/>
          <w:color w:val="auto"/>
        </w:rPr>
        <w:t>1</w:t>
      </w:r>
      <w:r>
        <w:rPr>
          <w:rFonts w:hint="eastAsia"/>
          <w:color w:val="auto"/>
          <w:lang w:val="en-US" w:eastAsia="zh-CN"/>
        </w:rPr>
        <w:t>7</w:t>
      </w:r>
      <w:r>
        <w:rPr>
          <w:rFonts w:hint="eastAsia"/>
          <w:color w:val="auto"/>
          <w:lang w:eastAsia="zh-CN"/>
        </w:rPr>
        <w:t>、</w:t>
      </w:r>
      <w:r>
        <w:rPr>
          <w:rFonts w:hint="eastAsia"/>
          <w:color w:val="auto"/>
        </w:rPr>
        <w:t>《国务院安委会办公室关于印发标本兼治遏制重特大事故工作指南的通知》（安委办[2016]3号）；</w:t>
      </w:r>
    </w:p>
    <w:p w14:paraId="47410B07">
      <w:pPr>
        <w:bidi w:val="0"/>
        <w:rPr>
          <w:rFonts w:hint="eastAsia"/>
          <w:color w:val="auto"/>
        </w:rPr>
      </w:pPr>
      <w:r>
        <w:rPr>
          <w:rFonts w:hint="eastAsia"/>
          <w:color w:val="auto"/>
          <w:lang w:val="en-US" w:eastAsia="zh-CN"/>
        </w:rPr>
        <w:t>18</w:t>
      </w:r>
      <w:r>
        <w:rPr>
          <w:rFonts w:hint="eastAsia"/>
          <w:color w:val="auto"/>
          <w:lang w:eastAsia="zh-CN"/>
        </w:rPr>
        <w:t>、</w:t>
      </w:r>
      <w:r>
        <w:rPr>
          <w:rFonts w:hint="eastAsia"/>
          <w:color w:val="auto"/>
        </w:rPr>
        <w:t>《国务院安委会办公室关于实施遏制重特大事故工作指南构建双重预防机制的意见》（安委办[2016]11号）。</w:t>
      </w:r>
    </w:p>
    <w:p w14:paraId="5832B2A9">
      <w:pPr>
        <w:pStyle w:val="4"/>
        <w:bidi w:val="0"/>
        <w:rPr>
          <w:rFonts w:hint="eastAsia"/>
          <w:color w:val="auto"/>
        </w:rPr>
      </w:pPr>
      <w:bookmarkStart w:id="9" w:name="_Toc15137"/>
      <w:r>
        <w:rPr>
          <w:rFonts w:hint="eastAsia"/>
          <w:color w:val="auto"/>
        </w:rPr>
        <w:t>1.2.4</w:t>
      </w:r>
      <w:r>
        <w:rPr>
          <w:rFonts w:hint="default"/>
          <w:color w:val="auto"/>
        </w:rPr>
        <w:t xml:space="preserve"> </w:t>
      </w:r>
      <w:r>
        <w:rPr>
          <w:rFonts w:hint="eastAsia"/>
          <w:color w:val="auto"/>
        </w:rPr>
        <w:t>地方性法规及文件</w:t>
      </w:r>
      <w:bookmarkEnd w:id="9"/>
    </w:p>
    <w:p w14:paraId="2DD91770">
      <w:pPr>
        <w:bidi w:val="0"/>
        <w:rPr>
          <w:rFonts w:hint="eastAsia"/>
          <w:color w:val="auto"/>
        </w:rPr>
      </w:pPr>
      <w:r>
        <w:rPr>
          <w:rFonts w:hint="eastAsia"/>
          <w:color w:val="auto"/>
        </w:rPr>
        <w:t>1</w:t>
      </w:r>
      <w:r>
        <w:rPr>
          <w:rFonts w:hint="default"/>
          <w:color w:val="auto"/>
        </w:rPr>
        <w:t>、</w:t>
      </w:r>
      <w:r>
        <w:rPr>
          <w:rFonts w:hint="eastAsia"/>
          <w:color w:val="auto"/>
        </w:rPr>
        <w:t>《云南省安全生产条例》（2017年11月30日云南省第十二届人民代表大会常务委员会第三十八次会议通过，2018年1月1日起施行）；</w:t>
      </w:r>
    </w:p>
    <w:p w14:paraId="76A13282">
      <w:pPr>
        <w:bidi w:val="0"/>
        <w:rPr>
          <w:rFonts w:hint="eastAsia"/>
          <w:color w:val="auto"/>
        </w:rPr>
      </w:pPr>
      <w:r>
        <w:rPr>
          <w:rFonts w:hint="eastAsia"/>
          <w:color w:val="auto"/>
        </w:rPr>
        <w:t>2</w:t>
      </w:r>
      <w:r>
        <w:rPr>
          <w:rFonts w:hint="default"/>
          <w:color w:val="auto"/>
        </w:rPr>
        <w:t>、</w:t>
      </w:r>
      <w:r>
        <w:rPr>
          <w:rFonts w:hint="eastAsia"/>
          <w:color w:val="auto"/>
        </w:rPr>
        <w:t>《云南省消防条例》（2010年9月30日云南省第十一届人民代表大会常务委员会第十九次会议通过，根据2020年11月25日云南省第十三届人民代表大会常务委员会第二十一次会议《云南省人民代表大会常务委员会关于修改部分地方性法规的决定》修正）；</w:t>
      </w:r>
    </w:p>
    <w:p w14:paraId="634101F4">
      <w:pPr>
        <w:bidi w:val="0"/>
        <w:rPr>
          <w:rFonts w:hint="eastAsia"/>
          <w:color w:val="auto"/>
        </w:rPr>
      </w:pPr>
      <w:r>
        <w:rPr>
          <w:rFonts w:hint="eastAsia"/>
          <w:color w:val="auto"/>
        </w:rPr>
        <w:t>3</w:t>
      </w:r>
      <w:r>
        <w:rPr>
          <w:rFonts w:hint="default"/>
          <w:color w:val="auto"/>
        </w:rPr>
        <w:t>、</w:t>
      </w:r>
      <w:r>
        <w:rPr>
          <w:rFonts w:hint="eastAsia"/>
          <w:color w:val="auto"/>
        </w:rPr>
        <w:t>《云南省生产安全事故报告和调查处理规定》</w:t>
      </w:r>
      <w:r>
        <w:rPr>
          <w:rFonts w:hint="eastAsia"/>
          <w:color w:val="auto"/>
          <w:lang w:eastAsia="zh-CN"/>
        </w:rPr>
        <w:t>（</w:t>
      </w:r>
      <w:r>
        <w:rPr>
          <w:rFonts w:hint="eastAsia"/>
          <w:color w:val="auto"/>
        </w:rPr>
        <w:t>云南省政府令第155号</w:t>
      </w:r>
      <w:r>
        <w:rPr>
          <w:rFonts w:hint="eastAsia"/>
          <w:color w:val="auto"/>
          <w:lang w:eastAsia="zh-CN"/>
        </w:rPr>
        <w:t>）</w:t>
      </w:r>
      <w:r>
        <w:rPr>
          <w:rFonts w:hint="eastAsia"/>
          <w:color w:val="auto"/>
        </w:rPr>
        <w:t>；</w:t>
      </w:r>
    </w:p>
    <w:p w14:paraId="4315CA2B">
      <w:pPr>
        <w:bidi w:val="0"/>
        <w:rPr>
          <w:rFonts w:hint="eastAsia"/>
          <w:color w:val="auto"/>
        </w:rPr>
      </w:pPr>
      <w:r>
        <w:rPr>
          <w:rFonts w:hint="eastAsia"/>
          <w:color w:val="auto"/>
        </w:rPr>
        <w:t>4</w:t>
      </w:r>
      <w:r>
        <w:rPr>
          <w:rFonts w:hint="default"/>
          <w:color w:val="auto"/>
        </w:rPr>
        <w:t>、</w:t>
      </w:r>
      <w:r>
        <w:rPr>
          <w:rFonts w:hint="eastAsia"/>
          <w:color w:val="auto"/>
        </w:rPr>
        <w:t>《云南省人民政府贯彻落实国务院关于进一步加强企业安全生产工作通知的实施意见》（云政发〔2010〕157号）；</w:t>
      </w:r>
    </w:p>
    <w:p w14:paraId="1E44C7B5">
      <w:pPr>
        <w:bidi w:val="0"/>
        <w:rPr>
          <w:rFonts w:hint="eastAsia"/>
          <w:color w:val="auto"/>
        </w:rPr>
      </w:pPr>
      <w:r>
        <w:rPr>
          <w:rFonts w:hint="eastAsia"/>
          <w:color w:val="auto"/>
        </w:rPr>
        <w:t>5</w:t>
      </w:r>
      <w:r>
        <w:rPr>
          <w:rFonts w:hint="default"/>
          <w:color w:val="auto"/>
        </w:rPr>
        <w:t>、</w:t>
      </w:r>
      <w:r>
        <w:rPr>
          <w:rFonts w:hint="eastAsia"/>
          <w:color w:val="auto"/>
        </w:rPr>
        <w:t>《云南省应急管理厅关于印发云南省企业安全生产标准化建设定级实施办法的通知》（云应急〔2023〕6号）；</w:t>
      </w:r>
    </w:p>
    <w:p w14:paraId="0C67E9A9">
      <w:pPr>
        <w:bidi w:val="0"/>
        <w:rPr>
          <w:rFonts w:hint="eastAsia"/>
          <w:color w:val="auto"/>
        </w:rPr>
      </w:pPr>
      <w:r>
        <w:rPr>
          <w:rFonts w:hint="eastAsia"/>
          <w:color w:val="auto"/>
          <w:lang w:val="en-US" w:eastAsia="zh-CN"/>
        </w:rPr>
        <w:t>6</w:t>
      </w:r>
      <w:r>
        <w:rPr>
          <w:rFonts w:hint="default"/>
          <w:color w:val="auto"/>
        </w:rPr>
        <w:t>、</w:t>
      </w:r>
      <w:r>
        <w:rPr>
          <w:rFonts w:hint="eastAsia"/>
          <w:color w:val="auto"/>
        </w:rPr>
        <w:t>《云南省安全生产监督管理局关于进一步加强工贸行业有限空间作业安全生产工作的通知》（云安监管函〔2016〕85号）；</w:t>
      </w:r>
    </w:p>
    <w:p w14:paraId="28F4C7B8">
      <w:pPr>
        <w:bidi w:val="0"/>
        <w:rPr>
          <w:rFonts w:hint="eastAsia"/>
          <w:color w:val="auto"/>
        </w:rPr>
      </w:pPr>
      <w:r>
        <w:rPr>
          <w:rFonts w:hint="eastAsia"/>
          <w:color w:val="auto"/>
          <w:lang w:val="en-US" w:eastAsia="zh-CN"/>
        </w:rPr>
        <w:t>7</w:t>
      </w:r>
      <w:r>
        <w:rPr>
          <w:rFonts w:hint="default"/>
          <w:color w:val="auto"/>
        </w:rPr>
        <w:t>、</w:t>
      </w:r>
      <w:r>
        <w:rPr>
          <w:rFonts w:hint="eastAsia"/>
          <w:color w:val="auto"/>
        </w:rPr>
        <w:t>《云南省应急管理厅关于在重点工贸企业开展安全生产动态巡查和预警工作的通知》（云应急〔2020〕10号）；</w:t>
      </w:r>
    </w:p>
    <w:p w14:paraId="288E3C85">
      <w:pPr>
        <w:bidi w:val="0"/>
        <w:rPr>
          <w:rFonts w:hint="eastAsia"/>
          <w:color w:val="auto"/>
        </w:rPr>
      </w:pPr>
      <w:r>
        <w:rPr>
          <w:rFonts w:hint="eastAsia"/>
          <w:color w:val="auto"/>
          <w:lang w:val="en-US" w:eastAsia="zh-CN"/>
        </w:rPr>
        <w:t>8</w:t>
      </w:r>
      <w:r>
        <w:rPr>
          <w:rFonts w:hint="default"/>
          <w:color w:val="auto"/>
        </w:rPr>
        <w:t>、</w:t>
      </w:r>
      <w:r>
        <w:rPr>
          <w:rFonts w:hint="eastAsia"/>
          <w:color w:val="auto"/>
        </w:rPr>
        <w:t>《云南省安全生产委员会办公室关于印发＜云南省工贸行业安全生产综合治理实施方案＞的通知》（云安办〔2020〕16号）；</w:t>
      </w:r>
    </w:p>
    <w:p w14:paraId="0FA6F29F">
      <w:pPr>
        <w:bidi w:val="0"/>
        <w:rPr>
          <w:rFonts w:hint="eastAsia"/>
          <w:color w:val="auto"/>
        </w:rPr>
      </w:pPr>
      <w:r>
        <w:rPr>
          <w:rFonts w:hint="eastAsia"/>
          <w:color w:val="auto"/>
          <w:lang w:val="en-US" w:eastAsia="zh-CN"/>
        </w:rPr>
        <w:t>9</w:t>
      </w:r>
      <w:r>
        <w:rPr>
          <w:rFonts w:hint="default"/>
          <w:color w:val="auto"/>
        </w:rPr>
        <w:t>、</w:t>
      </w:r>
      <w:r>
        <w:rPr>
          <w:rFonts w:hint="eastAsia"/>
          <w:color w:val="auto"/>
        </w:rPr>
        <w:t>《云南省应急管理厅关于学习使用&lt;有限空间作业安全指导手册&gt;和4个专题系列折页的通知》（云应急函〔2020〕238号）；</w:t>
      </w:r>
    </w:p>
    <w:p w14:paraId="0E425AA4">
      <w:pPr>
        <w:bidi w:val="0"/>
        <w:rPr>
          <w:rFonts w:hint="eastAsia"/>
          <w:color w:val="auto"/>
        </w:rPr>
      </w:pPr>
      <w:r>
        <w:rPr>
          <w:rFonts w:hint="eastAsia"/>
          <w:color w:val="auto"/>
        </w:rPr>
        <w:t>1</w:t>
      </w:r>
      <w:r>
        <w:rPr>
          <w:rFonts w:hint="eastAsia"/>
          <w:color w:val="auto"/>
          <w:lang w:val="en-US" w:eastAsia="zh-CN"/>
        </w:rPr>
        <w:t>0</w:t>
      </w:r>
      <w:r>
        <w:rPr>
          <w:rFonts w:hint="default"/>
          <w:color w:val="auto"/>
        </w:rPr>
        <w:t>、</w:t>
      </w:r>
      <w:r>
        <w:rPr>
          <w:rFonts w:hint="eastAsia"/>
          <w:color w:val="auto"/>
        </w:rPr>
        <w:t>《云南安全生产委员会关于建立完善安全风险分级管控和隐患排查治理双重预防机制的指导意见》（云安〔2021〕3号）；</w:t>
      </w:r>
    </w:p>
    <w:p w14:paraId="26E19CFE">
      <w:pPr>
        <w:bidi w:val="0"/>
        <w:rPr>
          <w:rFonts w:hint="eastAsia"/>
          <w:color w:val="auto"/>
        </w:rPr>
      </w:pPr>
      <w:r>
        <w:rPr>
          <w:rFonts w:hint="eastAsia"/>
          <w:color w:val="auto"/>
        </w:rPr>
        <w:t>1</w:t>
      </w:r>
      <w:r>
        <w:rPr>
          <w:rFonts w:hint="eastAsia"/>
          <w:color w:val="auto"/>
          <w:lang w:val="en-US" w:eastAsia="zh-CN"/>
        </w:rPr>
        <w:t>1</w:t>
      </w:r>
      <w:r>
        <w:rPr>
          <w:rFonts w:hint="default"/>
          <w:color w:val="auto"/>
        </w:rPr>
        <w:t>、</w:t>
      </w:r>
      <w:r>
        <w:rPr>
          <w:rFonts w:hint="eastAsia"/>
          <w:color w:val="auto"/>
        </w:rPr>
        <w:t>《云南省工贸行业企业安全风险源点定性定量判别参考标准指南（试行）》（云应急〔2022〕8号）。</w:t>
      </w:r>
    </w:p>
    <w:p w14:paraId="5355462C">
      <w:pPr>
        <w:pStyle w:val="4"/>
        <w:bidi w:val="0"/>
        <w:rPr>
          <w:rFonts w:hint="eastAsia"/>
          <w:color w:val="auto"/>
        </w:rPr>
      </w:pPr>
      <w:bookmarkStart w:id="10" w:name="_Toc21466"/>
      <w:r>
        <w:rPr>
          <w:rFonts w:hint="eastAsia"/>
          <w:color w:val="auto"/>
        </w:rPr>
        <w:t>1.2.5</w:t>
      </w:r>
      <w:r>
        <w:rPr>
          <w:rFonts w:hint="default"/>
          <w:color w:val="auto"/>
        </w:rPr>
        <w:t xml:space="preserve"> </w:t>
      </w:r>
      <w:r>
        <w:rPr>
          <w:rFonts w:hint="eastAsia"/>
          <w:color w:val="auto"/>
        </w:rPr>
        <w:t>标准规范</w:t>
      </w:r>
      <w:bookmarkEnd w:id="10"/>
    </w:p>
    <w:p w14:paraId="1C1CF75E">
      <w:pPr>
        <w:bidi w:val="0"/>
        <w:rPr>
          <w:rFonts w:hint="eastAsia" w:eastAsia="宋体"/>
          <w:color w:val="auto"/>
          <w:lang w:val="en-US" w:eastAsia="zh-CN"/>
        </w:rPr>
      </w:pPr>
      <w:r>
        <w:rPr>
          <w:rFonts w:hint="eastAsia"/>
          <w:color w:val="auto"/>
          <w:lang w:val="en-US" w:eastAsia="zh-CN"/>
        </w:rPr>
        <w:t>1、《选矿安全规程》（GB/T 18152-2000）；</w:t>
      </w:r>
    </w:p>
    <w:p w14:paraId="269A8F37">
      <w:pPr>
        <w:bidi w:val="0"/>
        <w:rPr>
          <w:rFonts w:hint="eastAsia"/>
          <w:color w:val="auto"/>
        </w:rPr>
      </w:pPr>
      <w:r>
        <w:rPr>
          <w:rFonts w:hint="eastAsia"/>
          <w:color w:val="auto"/>
          <w:lang w:val="en-US" w:eastAsia="zh-CN"/>
        </w:rPr>
        <w:t>2</w:t>
      </w:r>
      <w:r>
        <w:rPr>
          <w:rFonts w:hint="default"/>
          <w:color w:val="auto"/>
        </w:rPr>
        <w:t>、</w:t>
      </w:r>
      <w:r>
        <w:rPr>
          <w:rFonts w:hint="eastAsia"/>
          <w:color w:val="auto"/>
        </w:rPr>
        <w:t>《工业企业总平面设计规范》（GB 50187-2012，2012年08月01日实施）；</w:t>
      </w:r>
    </w:p>
    <w:p w14:paraId="79EAA09E">
      <w:pPr>
        <w:bidi w:val="0"/>
        <w:rPr>
          <w:rFonts w:hint="eastAsia"/>
          <w:color w:val="auto"/>
        </w:rPr>
      </w:pPr>
      <w:r>
        <w:rPr>
          <w:rFonts w:hint="eastAsia"/>
          <w:color w:val="auto"/>
          <w:lang w:val="en-US" w:eastAsia="zh-CN"/>
        </w:rPr>
        <w:t>3</w:t>
      </w:r>
      <w:r>
        <w:rPr>
          <w:rFonts w:hint="default"/>
          <w:color w:val="auto"/>
        </w:rPr>
        <w:t>、</w:t>
      </w:r>
      <w:r>
        <w:rPr>
          <w:rFonts w:hint="eastAsia"/>
          <w:color w:val="auto"/>
        </w:rPr>
        <w:t>《工业企业设计卫生标准》（GB Z 1-2010，2010年8月1日施行）；</w:t>
      </w:r>
    </w:p>
    <w:p w14:paraId="60DFC97D">
      <w:pPr>
        <w:bidi w:val="0"/>
        <w:rPr>
          <w:rFonts w:hint="eastAsia"/>
          <w:color w:val="auto"/>
        </w:rPr>
      </w:pPr>
      <w:r>
        <w:rPr>
          <w:rFonts w:hint="eastAsia"/>
          <w:color w:val="auto"/>
          <w:lang w:val="en-US" w:eastAsia="zh-CN"/>
        </w:rPr>
        <w:t>4</w:t>
      </w:r>
      <w:r>
        <w:rPr>
          <w:rFonts w:hint="default"/>
          <w:color w:val="auto"/>
        </w:rPr>
        <w:t>、</w:t>
      </w:r>
      <w:r>
        <w:rPr>
          <w:rFonts w:hint="eastAsia"/>
          <w:color w:val="auto"/>
        </w:rPr>
        <w:t>《工业企业噪声控制设计规范》（GB /T 50087-2013，2014年06月01日实施）；</w:t>
      </w:r>
    </w:p>
    <w:p w14:paraId="4FC2C285">
      <w:pPr>
        <w:bidi w:val="0"/>
        <w:rPr>
          <w:rFonts w:hint="eastAsia"/>
          <w:color w:val="auto"/>
        </w:rPr>
      </w:pPr>
      <w:r>
        <w:rPr>
          <w:rFonts w:hint="eastAsia"/>
          <w:color w:val="auto"/>
          <w:lang w:val="en-US" w:eastAsia="zh-CN"/>
        </w:rPr>
        <w:t>5、</w:t>
      </w:r>
      <w:r>
        <w:rPr>
          <w:rFonts w:hint="eastAsia"/>
          <w:color w:val="auto"/>
        </w:rPr>
        <w:t>《工业建筑防腐蚀设计规范》（GB /T 50046-2018，2019年03月01日实施）；</w:t>
      </w:r>
    </w:p>
    <w:p w14:paraId="308D2E83">
      <w:pPr>
        <w:bidi w:val="0"/>
        <w:rPr>
          <w:rFonts w:hint="eastAsia"/>
          <w:color w:val="auto"/>
        </w:rPr>
      </w:pPr>
      <w:r>
        <w:rPr>
          <w:rFonts w:hint="eastAsia"/>
          <w:color w:val="auto"/>
          <w:lang w:val="en-US" w:eastAsia="zh-CN"/>
        </w:rPr>
        <w:t>6</w:t>
      </w:r>
      <w:r>
        <w:rPr>
          <w:rFonts w:hint="default"/>
          <w:color w:val="auto"/>
        </w:rPr>
        <w:t>、</w:t>
      </w:r>
      <w:r>
        <w:rPr>
          <w:rFonts w:hint="eastAsia"/>
          <w:color w:val="auto"/>
        </w:rPr>
        <w:t>《建筑设计防火规范》（2018版）（GB 0016-2014，2015年05月01日实施）；</w:t>
      </w:r>
    </w:p>
    <w:p w14:paraId="75259708">
      <w:pPr>
        <w:bidi w:val="0"/>
        <w:rPr>
          <w:rFonts w:hint="eastAsia"/>
          <w:color w:val="auto"/>
        </w:rPr>
      </w:pPr>
      <w:r>
        <w:rPr>
          <w:rFonts w:hint="eastAsia"/>
          <w:color w:val="auto"/>
          <w:lang w:val="en-US" w:eastAsia="zh-CN"/>
        </w:rPr>
        <w:t>7</w:t>
      </w:r>
      <w:r>
        <w:rPr>
          <w:rFonts w:hint="default"/>
          <w:color w:val="auto"/>
        </w:rPr>
        <w:t>、</w:t>
      </w:r>
      <w:r>
        <w:rPr>
          <w:rFonts w:hint="eastAsia"/>
          <w:color w:val="auto"/>
        </w:rPr>
        <w:t>《建筑防火通用规范》（GB 55037-2022</w:t>
      </w:r>
      <w:r>
        <w:rPr>
          <w:rFonts w:hint="eastAsia"/>
          <w:color w:val="auto"/>
          <w:lang w:eastAsia="zh-CN"/>
        </w:rPr>
        <w:t>，</w:t>
      </w:r>
      <w:r>
        <w:rPr>
          <w:rFonts w:hint="eastAsia"/>
          <w:color w:val="auto"/>
          <w:lang w:val="en-US" w:eastAsia="zh-CN"/>
        </w:rPr>
        <w:t>2023年06月01日实施</w:t>
      </w:r>
      <w:r>
        <w:rPr>
          <w:rFonts w:hint="eastAsia"/>
          <w:color w:val="auto"/>
        </w:rPr>
        <w:t>）；</w:t>
      </w:r>
    </w:p>
    <w:p w14:paraId="3005C451">
      <w:pPr>
        <w:bidi w:val="0"/>
        <w:rPr>
          <w:rFonts w:hint="eastAsia"/>
          <w:color w:val="auto"/>
        </w:rPr>
      </w:pPr>
      <w:r>
        <w:rPr>
          <w:rFonts w:hint="eastAsia"/>
          <w:color w:val="auto"/>
          <w:lang w:val="en-US" w:eastAsia="zh-CN"/>
        </w:rPr>
        <w:t>8</w:t>
      </w:r>
      <w:r>
        <w:rPr>
          <w:rFonts w:hint="default"/>
          <w:color w:val="auto"/>
        </w:rPr>
        <w:t>、</w:t>
      </w:r>
      <w:r>
        <w:rPr>
          <w:rFonts w:hint="eastAsia"/>
          <w:color w:val="auto"/>
        </w:rPr>
        <w:t>《建筑物防雷设计规范》（GB 50057-2010，2011年10月01日实施）；</w:t>
      </w:r>
    </w:p>
    <w:p w14:paraId="58740D1E">
      <w:pPr>
        <w:bidi w:val="0"/>
        <w:rPr>
          <w:rFonts w:hint="eastAsia"/>
          <w:color w:val="auto"/>
        </w:rPr>
      </w:pPr>
      <w:r>
        <w:rPr>
          <w:rFonts w:hint="eastAsia"/>
          <w:color w:val="auto"/>
          <w:lang w:val="en-US" w:eastAsia="zh-CN"/>
        </w:rPr>
        <w:t>9</w:t>
      </w:r>
      <w:r>
        <w:rPr>
          <w:rFonts w:hint="default"/>
          <w:color w:val="auto"/>
        </w:rPr>
        <w:t>、</w:t>
      </w:r>
      <w:r>
        <w:rPr>
          <w:rFonts w:hint="eastAsia"/>
          <w:color w:val="auto"/>
        </w:rPr>
        <w:t>《建筑照明设计标准》（GB</w:t>
      </w:r>
      <w:r>
        <w:rPr>
          <w:rFonts w:hint="eastAsia"/>
          <w:color w:val="auto"/>
          <w:lang w:val="en-US" w:eastAsia="zh-CN"/>
        </w:rPr>
        <w:t>/T</w:t>
      </w:r>
      <w:r>
        <w:rPr>
          <w:rFonts w:hint="eastAsia"/>
          <w:color w:val="auto"/>
        </w:rPr>
        <w:t xml:space="preserve"> 50034-20</w:t>
      </w:r>
      <w:r>
        <w:rPr>
          <w:rFonts w:hint="eastAsia"/>
          <w:color w:val="auto"/>
          <w:lang w:val="en-US" w:eastAsia="zh-CN"/>
        </w:rPr>
        <w:t>24</w:t>
      </w:r>
      <w:r>
        <w:rPr>
          <w:rFonts w:hint="eastAsia"/>
          <w:color w:val="auto"/>
        </w:rPr>
        <w:t>，20</w:t>
      </w:r>
      <w:r>
        <w:rPr>
          <w:rFonts w:hint="eastAsia"/>
          <w:color w:val="auto"/>
          <w:lang w:val="en-US" w:eastAsia="zh-CN"/>
        </w:rPr>
        <w:t>24</w:t>
      </w:r>
      <w:r>
        <w:rPr>
          <w:rFonts w:hint="eastAsia"/>
          <w:color w:val="auto"/>
        </w:rPr>
        <w:t>年0</w:t>
      </w:r>
      <w:r>
        <w:rPr>
          <w:rFonts w:hint="eastAsia"/>
          <w:color w:val="auto"/>
          <w:lang w:val="en-US" w:eastAsia="zh-CN"/>
        </w:rPr>
        <w:t>8</w:t>
      </w:r>
      <w:r>
        <w:rPr>
          <w:rFonts w:hint="eastAsia"/>
          <w:color w:val="auto"/>
        </w:rPr>
        <w:t>月01日实施）；</w:t>
      </w:r>
    </w:p>
    <w:p w14:paraId="0B9E3CFA">
      <w:pPr>
        <w:bidi w:val="0"/>
        <w:rPr>
          <w:rFonts w:hint="eastAsia"/>
          <w:color w:val="auto"/>
        </w:rPr>
      </w:pPr>
      <w:r>
        <w:rPr>
          <w:rFonts w:hint="eastAsia"/>
          <w:color w:val="auto"/>
          <w:lang w:val="en-US" w:eastAsia="zh-CN"/>
        </w:rPr>
        <w:t>10</w:t>
      </w:r>
      <w:r>
        <w:rPr>
          <w:rFonts w:hint="default"/>
          <w:color w:val="auto"/>
        </w:rPr>
        <w:t>、</w:t>
      </w:r>
      <w:r>
        <w:rPr>
          <w:rFonts w:hint="eastAsia"/>
          <w:color w:val="auto"/>
        </w:rPr>
        <w:t>《建筑抗震设计</w:t>
      </w:r>
      <w:r>
        <w:rPr>
          <w:rFonts w:hint="eastAsia"/>
          <w:color w:val="auto"/>
          <w:lang w:val="en-US" w:eastAsia="zh-CN"/>
        </w:rPr>
        <w:t>标准</w:t>
      </w:r>
      <w:r>
        <w:rPr>
          <w:rFonts w:hint="eastAsia"/>
          <w:color w:val="auto"/>
        </w:rPr>
        <w:t>（20</w:t>
      </w:r>
      <w:r>
        <w:rPr>
          <w:rFonts w:hint="eastAsia"/>
          <w:color w:val="auto"/>
          <w:lang w:val="en-US" w:eastAsia="zh-CN"/>
        </w:rPr>
        <w:t>24</w:t>
      </w:r>
      <w:r>
        <w:rPr>
          <w:rFonts w:hint="eastAsia"/>
          <w:color w:val="auto"/>
        </w:rPr>
        <w:t>年版）》（GB</w:t>
      </w:r>
      <w:r>
        <w:rPr>
          <w:rFonts w:hint="eastAsia"/>
          <w:color w:val="auto"/>
          <w:lang w:val="en-US" w:eastAsia="zh-CN"/>
        </w:rPr>
        <w:t>/T</w:t>
      </w:r>
      <w:r>
        <w:rPr>
          <w:rFonts w:hint="eastAsia"/>
          <w:color w:val="auto"/>
        </w:rPr>
        <w:t xml:space="preserve"> 50011-2010，20</w:t>
      </w:r>
      <w:r>
        <w:rPr>
          <w:rFonts w:hint="eastAsia"/>
          <w:color w:val="auto"/>
          <w:lang w:val="en-US" w:eastAsia="zh-CN"/>
        </w:rPr>
        <w:t>24</w:t>
      </w:r>
      <w:r>
        <w:rPr>
          <w:rFonts w:hint="eastAsia"/>
          <w:color w:val="auto"/>
        </w:rPr>
        <w:t>年</w:t>
      </w:r>
      <w:r>
        <w:rPr>
          <w:rFonts w:hint="eastAsia"/>
          <w:color w:val="auto"/>
          <w:lang w:val="en-US" w:eastAsia="zh-CN"/>
        </w:rPr>
        <w:t>0</w:t>
      </w:r>
      <w:r>
        <w:rPr>
          <w:rFonts w:hint="eastAsia"/>
          <w:color w:val="auto"/>
        </w:rPr>
        <w:t>8月</w:t>
      </w:r>
      <w:r>
        <w:rPr>
          <w:rFonts w:hint="eastAsia"/>
          <w:color w:val="auto"/>
          <w:lang w:val="en-US" w:eastAsia="zh-CN"/>
        </w:rPr>
        <w:t>0</w:t>
      </w:r>
      <w:r>
        <w:rPr>
          <w:rFonts w:hint="eastAsia"/>
          <w:color w:val="auto"/>
        </w:rPr>
        <w:t>1日实施）；</w:t>
      </w:r>
    </w:p>
    <w:p w14:paraId="25DD3DC8">
      <w:pPr>
        <w:bidi w:val="0"/>
        <w:rPr>
          <w:rFonts w:hint="eastAsia"/>
          <w:color w:val="auto"/>
        </w:rPr>
      </w:pPr>
      <w:r>
        <w:rPr>
          <w:rFonts w:hint="eastAsia"/>
          <w:color w:val="auto"/>
        </w:rPr>
        <w:t>1</w:t>
      </w:r>
      <w:r>
        <w:rPr>
          <w:rFonts w:hint="eastAsia"/>
          <w:color w:val="auto"/>
          <w:lang w:val="en-US" w:eastAsia="zh-CN"/>
        </w:rPr>
        <w:t>1</w:t>
      </w:r>
      <w:r>
        <w:rPr>
          <w:rFonts w:hint="default"/>
          <w:color w:val="auto"/>
        </w:rPr>
        <w:t>、</w:t>
      </w:r>
      <w:r>
        <w:rPr>
          <w:rFonts w:hint="eastAsia"/>
          <w:color w:val="auto"/>
        </w:rPr>
        <w:t>《企业职工伤亡事故分类标准》（GB 6441-1986，1987年2月1日实施）；</w:t>
      </w:r>
    </w:p>
    <w:p w14:paraId="39EA1766">
      <w:pPr>
        <w:bidi w:val="0"/>
        <w:rPr>
          <w:rFonts w:hint="eastAsia"/>
          <w:color w:val="auto"/>
        </w:rPr>
      </w:pPr>
      <w:r>
        <w:rPr>
          <w:rFonts w:hint="eastAsia"/>
          <w:color w:val="auto"/>
        </w:rPr>
        <w:t>1</w:t>
      </w:r>
      <w:r>
        <w:rPr>
          <w:rFonts w:hint="eastAsia"/>
          <w:color w:val="auto"/>
          <w:lang w:val="en-US" w:eastAsia="zh-CN"/>
        </w:rPr>
        <w:t>2</w:t>
      </w:r>
      <w:r>
        <w:rPr>
          <w:rFonts w:hint="default"/>
          <w:color w:val="auto"/>
        </w:rPr>
        <w:t>、</w:t>
      </w:r>
      <w:r>
        <w:rPr>
          <w:rFonts w:hint="eastAsia"/>
          <w:color w:val="auto"/>
        </w:rPr>
        <w:t>《危险化学品重大危险源辨识》（GB 18218-2018，2019年3月01日实施）；</w:t>
      </w:r>
    </w:p>
    <w:p w14:paraId="043E85AA">
      <w:pPr>
        <w:bidi w:val="0"/>
        <w:rPr>
          <w:rFonts w:hint="eastAsia"/>
          <w:color w:val="auto"/>
        </w:rPr>
      </w:pPr>
      <w:r>
        <w:rPr>
          <w:rFonts w:hint="eastAsia"/>
          <w:color w:val="auto"/>
        </w:rPr>
        <w:t>1</w:t>
      </w:r>
      <w:r>
        <w:rPr>
          <w:rFonts w:hint="eastAsia"/>
          <w:color w:val="auto"/>
          <w:lang w:val="en-US" w:eastAsia="zh-CN"/>
        </w:rPr>
        <w:t>3</w:t>
      </w:r>
      <w:r>
        <w:rPr>
          <w:rFonts w:hint="default"/>
          <w:color w:val="auto"/>
        </w:rPr>
        <w:t>、</w:t>
      </w:r>
      <w:r>
        <w:rPr>
          <w:rFonts w:hint="eastAsia"/>
          <w:color w:val="auto"/>
        </w:rPr>
        <w:t>《生产设备安全卫生设计总则》（GB 5083-</w:t>
      </w:r>
      <w:r>
        <w:rPr>
          <w:rFonts w:hint="eastAsia"/>
          <w:color w:val="auto"/>
          <w:lang w:val="en-US" w:eastAsia="zh-CN"/>
        </w:rPr>
        <w:t>2023</w:t>
      </w:r>
      <w:r>
        <w:rPr>
          <w:rFonts w:hint="eastAsia"/>
          <w:color w:val="auto"/>
        </w:rPr>
        <w:t>，</w:t>
      </w:r>
      <w:r>
        <w:rPr>
          <w:rFonts w:hint="eastAsia"/>
          <w:color w:val="auto"/>
          <w:lang w:val="en-US" w:eastAsia="zh-CN"/>
        </w:rPr>
        <w:t>2025</w:t>
      </w:r>
      <w:r>
        <w:rPr>
          <w:rFonts w:hint="eastAsia"/>
          <w:color w:val="auto"/>
        </w:rPr>
        <w:t>年</w:t>
      </w:r>
      <w:r>
        <w:rPr>
          <w:rFonts w:hint="eastAsia"/>
          <w:color w:val="auto"/>
          <w:lang w:val="en-US" w:eastAsia="zh-CN"/>
        </w:rPr>
        <w:t>1</w:t>
      </w:r>
      <w:r>
        <w:rPr>
          <w:rFonts w:hint="eastAsia"/>
          <w:color w:val="auto"/>
        </w:rPr>
        <w:t>月1日实施）；</w:t>
      </w:r>
    </w:p>
    <w:p w14:paraId="2B220C94">
      <w:pPr>
        <w:bidi w:val="0"/>
        <w:rPr>
          <w:rFonts w:hint="eastAsia"/>
          <w:color w:val="auto"/>
        </w:rPr>
      </w:pPr>
      <w:r>
        <w:rPr>
          <w:rFonts w:hint="eastAsia"/>
          <w:color w:val="auto"/>
        </w:rPr>
        <w:t>1</w:t>
      </w:r>
      <w:r>
        <w:rPr>
          <w:rFonts w:hint="eastAsia"/>
          <w:color w:val="auto"/>
          <w:lang w:val="en-US" w:eastAsia="zh-CN"/>
        </w:rPr>
        <w:t>4</w:t>
      </w:r>
      <w:r>
        <w:rPr>
          <w:rFonts w:hint="default"/>
          <w:color w:val="auto"/>
        </w:rPr>
        <w:t>、</w:t>
      </w:r>
      <w:r>
        <w:rPr>
          <w:rFonts w:hint="eastAsia"/>
          <w:color w:val="auto"/>
        </w:rPr>
        <w:t>《生产过程安全卫生要求总则》（GB /T 12801-2008，2009年10月01日实施）；</w:t>
      </w:r>
    </w:p>
    <w:p w14:paraId="217B7547">
      <w:pPr>
        <w:bidi w:val="0"/>
        <w:rPr>
          <w:rFonts w:hint="eastAsia"/>
          <w:color w:val="auto"/>
        </w:rPr>
      </w:pPr>
      <w:r>
        <w:rPr>
          <w:rFonts w:hint="eastAsia"/>
          <w:color w:val="auto"/>
        </w:rPr>
        <w:t>1</w:t>
      </w:r>
      <w:r>
        <w:rPr>
          <w:rFonts w:hint="eastAsia"/>
          <w:color w:val="auto"/>
          <w:lang w:val="en-US" w:eastAsia="zh-CN"/>
        </w:rPr>
        <w:t>5</w:t>
      </w:r>
      <w:r>
        <w:rPr>
          <w:rFonts w:hint="default"/>
          <w:color w:val="auto"/>
        </w:rPr>
        <w:t>、</w:t>
      </w:r>
      <w:r>
        <w:rPr>
          <w:rFonts w:hint="eastAsia"/>
          <w:color w:val="auto"/>
        </w:rPr>
        <w:t>《厂矿道路设计规范》（GB J 22-1987，1988年8月1日实施）；</w:t>
      </w:r>
    </w:p>
    <w:p w14:paraId="2FC9F6B7">
      <w:pPr>
        <w:bidi w:val="0"/>
        <w:rPr>
          <w:rFonts w:hint="eastAsia"/>
          <w:color w:val="auto"/>
        </w:rPr>
      </w:pPr>
      <w:r>
        <w:rPr>
          <w:rFonts w:hint="eastAsia"/>
          <w:color w:val="auto"/>
        </w:rPr>
        <w:t>1</w:t>
      </w:r>
      <w:r>
        <w:rPr>
          <w:rFonts w:hint="eastAsia"/>
          <w:color w:val="auto"/>
          <w:lang w:val="en-US" w:eastAsia="zh-CN"/>
        </w:rPr>
        <w:t>6</w:t>
      </w:r>
      <w:r>
        <w:rPr>
          <w:rFonts w:hint="default"/>
          <w:color w:val="auto"/>
        </w:rPr>
        <w:t>、</w:t>
      </w:r>
      <w:r>
        <w:rPr>
          <w:rFonts w:hint="eastAsia"/>
          <w:color w:val="auto"/>
        </w:rPr>
        <w:t>《工业企业厂内铁路、道路运输安全规程》（GB 4387-2008，2009年10月01日实施）；</w:t>
      </w:r>
    </w:p>
    <w:p w14:paraId="0CA727D3">
      <w:pPr>
        <w:bidi w:val="0"/>
        <w:rPr>
          <w:rFonts w:hint="eastAsia"/>
          <w:color w:val="auto"/>
        </w:rPr>
      </w:pPr>
      <w:r>
        <w:rPr>
          <w:rFonts w:hint="eastAsia"/>
          <w:color w:val="auto"/>
        </w:rPr>
        <w:t>1</w:t>
      </w:r>
      <w:r>
        <w:rPr>
          <w:rFonts w:hint="eastAsia"/>
          <w:color w:val="auto"/>
          <w:lang w:val="en-US" w:eastAsia="zh-CN"/>
        </w:rPr>
        <w:t>7</w:t>
      </w:r>
      <w:r>
        <w:rPr>
          <w:rFonts w:hint="default"/>
          <w:color w:val="auto"/>
        </w:rPr>
        <w:t>、</w:t>
      </w:r>
      <w:r>
        <w:rPr>
          <w:rFonts w:hint="eastAsia"/>
          <w:color w:val="auto"/>
        </w:rPr>
        <w:t>《安全标志及其使用导则》（GB 2894-2008，2009年10月01日实施）；</w:t>
      </w:r>
    </w:p>
    <w:p w14:paraId="689025C8">
      <w:pPr>
        <w:bidi w:val="0"/>
        <w:rPr>
          <w:rFonts w:hint="eastAsia"/>
          <w:color w:val="auto"/>
        </w:rPr>
      </w:pPr>
      <w:r>
        <w:rPr>
          <w:rFonts w:hint="eastAsia"/>
          <w:color w:val="auto"/>
        </w:rPr>
        <w:t>1</w:t>
      </w:r>
      <w:r>
        <w:rPr>
          <w:rFonts w:hint="eastAsia"/>
          <w:color w:val="auto"/>
          <w:lang w:val="en-US" w:eastAsia="zh-CN"/>
        </w:rPr>
        <w:t>8</w:t>
      </w:r>
      <w:r>
        <w:rPr>
          <w:rFonts w:hint="default"/>
          <w:color w:val="auto"/>
        </w:rPr>
        <w:t>、</w:t>
      </w:r>
      <w:r>
        <w:rPr>
          <w:rFonts w:hint="eastAsia"/>
          <w:color w:val="auto"/>
        </w:rPr>
        <w:t>《安全色》（GB 2893-2008，2009年10月01日实施）；</w:t>
      </w:r>
    </w:p>
    <w:p w14:paraId="78BD2D06">
      <w:pPr>
        <w:bidi w:val="0"/>
        <w:rPr>
          <w:rFonts w:hint="eastAsia"/>
          <w:color w:val="auto"/>
        </w:rPr>
      </w:pPr>
      <w:r>
        <w:rPr>
          <w:rFonts w:hint="eastAsia"/>
          <w:color w:val="auto"/>
        </w:rPr>
        <w:t>1</w:t>
      </w:r>
      <w:r>
        <w:rPr>
          <w:rFonts w:hint="eastAsia"/>
          <w:color w:val="auto"/>
          <w:lang w:val="en-US" w:eastAsia="zh-CN"/>
        </w:rPr>
        <w:t>9</w:t>
      </w:r>
      <w:r>
        <w:rPr>
          <w:rFonts w:hint="default"/>
          <w:color w:val="auto"/>
        </w:rPr>
        <w:t>、</w:t>
      </w:r>
      <w:r>
        <w:rPr>
          <w:rFonts w:hint="eastAsia"/>
          <w:color w:val="auto"/>
        </w:rPr>
        <w:t>《个体防护装备配备规范 第1部分：总则》（GB 39800.1-2020，2020年12月24日发布，2022年1月1日实施）；</w:t>
      </w:r>
    </w:p>
    <w:p w14:paraId="4CFEECB6">
      <w:pPr>
        <w:bidi w:val="0"/>
        <w:rPr>
          <w:rFonts w:hint="eastAsia"/>
          <w:color w:val="auto"/>
        </w:rPr>
      </w:pPr>
      <w:r>
        <w:rPr>
          <w:rFonts w:hint="eastAsia"/>
          <w:color w:val="auto"/>
          <w:lang w:val="en-US" w:eastAsia="zh-CN"/>
        </w:rPr>
        <w:t>20</w:t>
      </w:r>
      <w:r>
        <w:rPr>
          <w:rFonts w:hint="default"/>
          <w:color w:val="auto"/>
        </w:rPr>
        <w:t>、</w:t>
      </w:r>
      <w:r>
        <w:rPr>
          <w:rFonts w:hint="eastAsia"/>
          <w:color w:val="auto"/>
        </w:rPr>
        <w:t>《用电安全导则》（GB /T 13869-2017，2018年07月01日实施）；</w:t>
      </w:r>
    </w:p>
    <w:p w14:paraId="3040A847">
      <w:pPr>
        <w:bidi w:val="0"/>
        <w:rPr>
          <w:rFonts w:hint="eastAsia"/>
          <w:color w:val="auto"/>
        </w:rPr>
      </w:pPr>
      <w:r>
        <w:rPr>
          <w:rFonts w:hint="eastAsia"/>
          <w:color w:val="auto"/>
        </w:rPr>
        <w:t>2</w:t>
      </w:r>
      <w:r>
        <w:rPr>
          <w:rFonts w:hint="eastAsia"/>
          <w:color w:val="auto"/>
          <w:lang w:val="en-US" w:eastAsia="zh-CN"/>
        </w:rPr>
        <w:t>1</w:t>
      </w:r>
      <w:r>
        <w:rPr>
          <w:rFonts w:hint="default"/>
          <w:color w:val="auto"/>
        </w:rPr>
        <w:t>、</w:t>
      </w:r>
      <w:r>
        <w:rPr>
          <w:rFonts w:hint="eastAsia"/>
          <w:color w:val="auto"/>
        </w:rPr>
        <w:t>《电气设备安全设计导则》（GB /T 25295-2010，2011年5月1日实施）；</w:t>
      </w:r>
    </w:p>
    <w:p w14:paraId="6D8083DB">
      <w:pPr>
        <w:bidi w:val="0"/>
        <w:rPr>
          <w:rFonts w:hint="eastAsia"/>
          <w:color w:val="auto"/>
        </w:rPr>
      </w:pPr>
      <w:r>
        <w:rPr>
          <w:rFonts w:hint="eastAsia"/>
          <w:color w:val="auto"/>
        </w:rPr>
        <w:t>2</w:t>
      </w:r>
      <w:r>
        <w:rPr>
          <w:rFonts w:hint="eastAsia"/>
          <w:color w:val="auto"/>
          <w:lang w:val="en-US" w:eastAsia="zh-CN"/>
        </w:rPr>
        <w:t>2</w:t>
      </w:r>
      <w:r>
        <w:rPr>
          <w:rFonts w:hint="default"/>
          <w:color w:val="auto"/>
        </w:rPr>
        <w:t>、</w:t>
      </w:r>
      <w:r>
        <w:rPr>
          <w:rFonts w:hint="eastAsia"/>
          <w:color w:val="auto"/>
        </w:rPr>
        <w:t>《电击防护装置和设备的通用部分》（GB /T 17045-2020，2020年10月01日实施）；</w:t>
      </w:r>
    </w:p>
    <w:p w14:paraId="6610FB79">
      <w:pPr>
        <w:bidi w:val="0"/>
        <w:rPr>
          <w:rFonts w:hint="eastAsia"/>
          <w:color w:val="auto"/>
        </w:rPr>
      </w:pPr>
      <w:r>
        <w:rPr>
          <w:rFonts w:hint="eastAsia"/>
          <w:color w:val="auto"/>
        </w:rPr>
        <w:t>2</w:t>
      </w:r>
      <w:r>
        <w:rPr>
          <w:rFonts w:hint="eastAsia"/>
          <w:color w:val="auto"/>
          <w:lang w:val="en-US" w:eastAsia="zh-CN"/>
        </w:rPr>
        <w:t>3</w:t>
      </w:r>
      <w:r>
        <w:rPr>
          <w:rFonts w:hint="default"/>
          <w:color w:val="auto"/>
        </w:rPr>
        <w:t>、</w:t>
      </w:r>
      <w:r>
        <w:rPr>
          <w:rFonts w:hint="eastAsia"/>
          <w:color w:val="auto"/>
        </w:rPr>
        <w:t>《建筑电气工程施工质量验收规范》（GB 50303-2015，2016年8月1日实施）；</w:t>
      </w:r>
    </w:p>
    <w:p w14:paraId="47685F6B">
      <w:pPr>
        <w:bidi w:val="0"/>
        <w:rPr>
          <w:rFonts w:hint="eastAsia"/>
          <w:color w:val="auto"/>
        </w:rPr>
      </w:pPr>
      <w:r>
        <w:rPr>
          <w:rFonts w:hint="eastAsia"/>
          <w:color w:val="auto"/>
        </w:rPr>
        <w:t>2</w:t>
      </w:r>
      <w:r>
        <w:rPr>
          <w:rFonts w:hint="eastAsia"/>
          <w:color w:val="auto"/>
          <w:lang w:val="en-US" w:eastAsia="zh-CN"/>
        </w:rPr>
        <w:t>4</w:t>
      </w:r>
      <w:r>
        <w:rPr>
          <w:rFonts w:hint="default"/>
          <w:color w:val="auto"/>
        </w:rPr>
        <w:t>、</w:t>
      </w:r>
      <w:r>
        <w:rPr>
          <w:rFonts w:hint="eastAsia"/>
          <w:color w:val="auto"/>
        </w:rPr>
        <w:t>《电气装置安装工程 电缆线路施工及验收标准》（GB 50168-2018，2019年5月1日实施）；</w:t>
      </w:r>
    </w:p>
    <w:p w14:paraId="32B2A8A0">
      <w:pPr>
        <w:bidi w:val="0"/>
        <w:rPr>
          <w:rFonts w:hint="eastAsia"/>
          <w:color w:val="auto"/>
        </w:rPr>
      </w:pPr>
      <w:r>
        <w:rPr>
          <w:rFonts w:hint="eastAsia"/>
          <w:color w:val="auto"/>
        </w:rPr>
        <w:t>2</w:t>
      </w:r>
      <w:r>
        <w:rPr>
          <w:rFonts w:hint="eastAsia"/>
          <w:color w:val="auto"/>
          <w:lang w:val="en-US" w:eastAsia="zh-CN"/>
        </w:rPr>
        <w:t>5</w:t>
      </w:r>
      <w:r>
        <w:rPr>
          <w:rFonts w:hint="default"/>
          <w:color w:val="auto"/>
        </w:rPr>
        <w:t>、</w:t>
      </w:r>
      <w:r>
        <w:rPr>
          <w:rFonts w:hint="eastAsia"/>
          <w:color w:val="auto"/>
        </w:rPr>
        <w:t>《电气装置安装工程接地装置施工及验收规范》（GB 50169-2016，2017年4月1日实施）；</w:t>
      </w:r>
    </w:p>
    <w:p w14:paraId="75BE82E5">
      <w:pPr>
        <w:bidi w:val="0"/>
        <w:rPr>
          <w:rFonts w:hint="eastAsia"/>
          <w:color w:val="auto"/>
        </w:rPr>
      </w:pPr>
      <w:r>
        <w:rPr>
          <w:rFonts w:hint="eastAsia"/>
          <w:color w:val="auto"/>
        </w:rPr>
        <w:t>2</w:t>
      </w:r>
      <w:r>
        <w:rPr>
          <w:rFonts w:hint="eastAsia"/>
          <w:color w:val="auto"/>
          <w:lang w:val="en-US" w:eastAsia="zh-CN"/>
        </w:rPr>
        <w:t>6</w:t>
      </w:r>
      <w:r>
        <w:rPr>
          <w:rFonts w:hint="default"/>
          <w:color w:val="auto"/>
        </w:rPr>
        <w:t>、</w:t>
      </w:r>
      <w:r>
        <w:rPr>
          <w:rFonts w:hint="eastAsia"/>
          <w:color w:val="auto"/>
        </w:rPr>
        <w:t>《建筑采光设计标准》（GB /T 50033-2013，2013年5月1日实施；</w:t>
      </w:r>
    </w:p>
    <w:p w14:paraId="0A5C6EFB">
      <w:pPr>
        <w:bidi w:val="0"/>
        <w:rPr>
          <w:rFonts w:hint="eastAsia"/>
          <w:color w:val="auto"/>
        </w:rPr>
      </w:pPr>
      <w:r>
        <w:rPr>
          <w:rFonts w:hint="eastAsia"/>
          <w:color w:val="auto"/>
        </w:rPr>
        <w:t>2</w:t>
      </w:r>
      <w:r>
        <w:rPr>
          <w:rFonts w:hint="eastAsia"/>
          <w:color w:val="auto"/>
          <w:lang w:val="en-US" w:eastAsia="zh-CN"/>
        </w:rPr>
        <w:t>7</w:t>
      </w:r>
      <w:r>
        <w:rPr>
          <w:rFonts w:hint="default"/>
          <w:color w:val="auto"/>
        </w:rPr>
        <w:t>、</w:t>
      </w:r>
      <w:r>
        <w:rPr>
          <w:rFonts w:hint="eastAsia"/>
          <w:color w:val="auto"/>
        </w:rPr>
        <w:t>《危险货物分类和品名编号》（GB 6944-2012，2012年12月1日实施）；</w:t>
      </w:r>
    </w:p>
    <w:p w14:paraId="21A56BD6">
      <w:pPr>
        <w:bidi w:val="0"/>
        <w:rPr>
          <w:rFonts w:hint="eastAsia"/>
          <w:color w:val="auto"/>
        </w:rPr>
      </w:pPr>
      <w:r>
        <w:rPr>
          <w:rFonts w:hint="eastAsia"/>
          <w:color w:val="auto"/>
        </w:rPr>
        <w:t>2</w:t>
      </w:r>
      <w:r>
        <w:rPr>
          <w:rFonts w:hint="eastAsia"/>
          <w:color w:val="auto"/>
          <w:lang w:val="en-US" w:eastAsia="zh-CN"/>
        </w:rPr>
        <w:t>8</w:t>
      </w:r>
      <w:r>
        <w:rPr>
          <w:rFonts w:hint="default"/>
          <w:color w:val="auto"/>
        </w:rPr>
        <w:t>、</w:t>
      </w:r>
      <w:r>
        <w:rPr>
          <w:rFonts w:hint="eastAsia"/>
          <w:color w:val="auto"/>
        </w:rPr>
        <w:t>《工作场所有害因素职业接触限值第一部分：化学有害因素》（GB Z2.1-2019，第1号修改单，2022年11月28日实施）；</w:t>
      </w:r>
    </w:p>
    <w:p w14:paraId="56579987">
      <w:pPr>
        <w:bidi w:val="0"/>
        <w:rPr>
          <w:rFonts w:hint="eastAsia"/>
          <w:color w:val="auto"/>
        </w:rPr>
      </w:pPr>
      <w:r>
        <w:rPr>
          <w:rFonts w:hint="eastAsia"/>
          <w:color w:val="auto"/>
        </w:rPr>
        <w:t>2</w:t>
      </w:r>
      <w:r>
        <w:rPr>
          <w:rFonts w:hint="eastAsia"/>
          <w:color w:val="auto"/>
          <w:lang w:val="en-US" w:eastAsia="zh-CN"/>
        </w:rPr>
        <w:t>9</w:t>
      </w:r>
      <w:r>
        <w:rPr>
          <w:rFonts w:hint="default"/>
          <w:color w:val="auto"/>
        </w:rPr>
        <w:t>、</w:t>
      </w:r>
      <w:r>
        <w:rPr>
          <w:rFonts w:hint="eastAsia"/>
          <w:color w:val="auto"/>
        </w:rPr>
        <w:t>《工作场所有害因素职业接触限值第二部分：物理因素》（GB Z2.2-2007，2007年11月1日实施）；</w:t>
      </w:r>
    </w:p>
    <w:p w14:paraId="606C7271">
      <w:pPr>
        <w:bidi w:val="0"/>
        <w:rPr>
          <w:rFonts w:hint="eastAsia"/>
          <w:color w:val="auto"/>
        </w:rPr>
      </w:pPr>
      <w:r>
        <w:rPr>
          <w:rFonts w:hint="eastAsia"/>
          <w:color w:val="auto"/>
          <w:lang w:val="en-US" w:eastAsia="zh-CN"/>
        </w:rPr>
        <w:t>30</w:t>
      </w:r>
      <w:r>
        <w:rPr>
          <w:rFonts w:hint="default"/>
          <w:color w:val="auto"/>
        </w:rPr>
        <w:t>、</w:t>
      </w:r>
      <w:r>
        <w:rPr>
          <w:rFonts w:hint="eastAsia"/>
          <w:color w:val="auto"/>
        </w:rPr>
        <w:t>《机械安全 生产设备安全通则》（GB /T 35076-2018</w:t>
      </w:r>
      <w:r>
        <w:rPr>
          <w:rFonts w:hint="eastAsia"/>
          <w:color w:val="auto"/>
          <w:lang w:eastAsia="zh-CN"/>
        </w:rPr>
        <w:t>，</w:t>
      </w:r>
      <w:r>
        <w:rPr>
          <w:rFonts w:hint="eastAsia"/>
          <w:color w:val="auto"/>
          <w:lang w:val="en-US" w:eastAsia="zh-CN"/>
        </w:rPr>
        <w:t>2018年12月01日实施</w:t>
      </w:r>
      <w:r>
        <w:rPr>
          <w:rFonts w:hint="eastAsia"/>
          <w:color w:val="auto"/>
        </w:rPr>
        <w:t>）；</w:t>
      </w:r>
    </w:p>
    <w:p w14:paraId="45AFB5C5">
      <w:pPr>
        <w:bidi w:val="0"/>
        <w:rPr>
          <w:rFonts w:hint="eastAsia"/>
          <w:color w:val="auto"/>
        </w:rPr>
      </w:pPr>
      <w:r>
        <w:rPr>
          <w:rFonts w:hint="eastAsia"/>
          <w:color w:val="auto"/>
        </w:rPr>
        <w:t>3</w:t>
      </w:r>
      <w:r>
        <w:rPr>
          <w:rFonts w:hint="eastAsia"/>
          <w:color w:val="auto"/>
          <w:lang w:val="en-US" w:eastAsia="zh-CN"/>
        </w:rPr>
        <w:t>1</w:t>
      </w:r>
      <w:r>
        <w:rPr>
          <w:rFonts w:hint="default"/>
          <w:color w:val="auto"/>
        </w:rPr>
        <w:t>、</w:t>
      </w:r>
      <w:r>
        <w:rPr>
          <w:rFonts w:hint="eastAsia"/>
          <w:color w:val="auto"/>
        </w:rPr>
        <w:t>《机械安全防护装置固定式和活动式防护装置设计与制造一般要求》（GB /T 8196-2018，2019年07月01日实施）；</w:t>
      </w:r>
    </w:p>
    <w:p w14:paraId="7427CB5F">
      <w:pPr>
        <w:bidi w:val="0"/>
        <w:rPr>
          <w:rFonts w:hint="eastAsia"/>
          <w:color w:val="auto"/>
        </w:rPr>
      </w:pPr>
      <w:r>
        <w:rPr>
          <w:rFonts w:hint="eastAsia"/>
          <w:color w:val="auto"/>
        </w:rPr>
        <w:t>3</w:t>
      </w:r>
      <w:r>
        <w:rPr>
          <w:rFonts w:hint="eastAsia"/>
          <w:color w:val="auto"/>
          <w:lang w:val="en-US" w:eastAsia="zh-CN"/>
        </w:rPr>
        <w:t>2</w:t>
      </w:r>
      <w:r>
        <w:rPr>
          <w:rFonts w:hint="default"/>
          <w:color w:val="auto"/>
        </w:rPr>
        <w:t>、</w:t>
      </w:r>
      <w:r>
        <w:rPr>
          <w:rFonts w:hint="eastAsia"/>
          <w:color w:val="auto"/>
        </w:rPr>
        <w:t>《固定式钢梯及平台安全要求》（GB 4053.1~3-2009，2009年12月1日实施）；</w:t>
      </w:r>
    </w:p>
    <w:p w14:paraId="66646AF1">
      <w:pPr>
        <w:bidi w:val="0"/>
        <w:rPr>
          <w:rFonts w:hint="eastAsia"/>
          <w:color w:val="auto"/>
        </w:rPr>
      </w:pPr>
      <w:r>
        <w:rPr>
          <w:rFonts w:hint="eastAsia"/>
          <w:color w:val="auto"/>
        </w:rPr>
        <w:t>3</w:t>
      </w:r>
      <w:r>
        <w:rPr>
          <w:rFonts w:hint="eastAsia"/>
          <w:color w:val="auto"/>
          <w:lang w:val="en-US" w:eastAsia="zh-CN"/>
        </w:rPr>
        <w:t>3</w:t>
      </w:r>
      <w:r>
        <w:rPr>
          <w:rFonts w:hint="default"/>
          <w:color w:val="auto"/>
        </w:rPr>
        <w:t>、</w:t>
      </w:r>
      <w:r>
        <w:rPr>
          <w:rFonts w:hint="eastAsia"/>
          <w:color w:val="auto"/>
        </w:rPr>
        <w:t>《焊接与切割安全》（GB 9448-1999，2000年5月1日实施）；</w:t>
      </w:r>
    </w:p>
    <w:p w14:paraId="2431E87E">
      <w:pPr>
        <w:bidi w:val="0"/>
        <w:rPr>
          <w:rFonts w:hint="eastAsia"/>
          <w:color w:val="auto"/>
        </w:rPr>
      </w:pPr>
      <w:r>
        <w:rPr>
          <w:rFonts w:hint="eastAsia"/>
          <w:color w:val="auto"/>
        </w:rPr>
        <w:t>3</w:t>
      </w:r>
      <w:r>
        <w:rPr>
          <w:rFonts w:hint="eastAsia"/>
          <w:color w:val="auto"/>
          <w:lang w:val="en-US" w:eastAsia="zh-CN"/>
        </w:rPr>
        <w:t>4</w:t>
      </w:r>
      <w:r>
        <w:rPr>
          <w:rFonts w:hint="default"/>
          <w:color w:val="auto"/>
        </w:rPr>
        <w:t>、</w:t>
      </w:r>
      <w:r>
        <w:rPr>
          <w:rFonts w:hint="eastAsia"/>
          <w:color w:val="auto"/>
        </w:rPr>
        <w:t>《室外排水设计标准》（GB 50014-2021，2021年10月1日实施）；</w:t>
      </w:r>
    </w:p>
    <w:p w14:paraId="4919D3F1">
      <w:pPr>
        <w:bidi w:val="0"/>
        <w:rPr>
          <w:rFonts w:hint="eastAsia"/>
          <w:color w:val="auto"/>
        </w:rPr>
      </w:pPr>
      <w:r>
        <w:rPr>
          <w:rFonts w:hint="eastAsia"/>
          <w:color w:val="auto"/>
        </w:rPr>
        <w:t>3</w:t>
      </w:r>
      <w:r>
        <w:rPr>
          <w:rFonts w:hint="eastAsia"/>
          <w:color w:val="auto"/>
          <w:lang w:val="en-US" w:eastAsia="zh-CN"/>
        </w:rPr>
        <w:t>5</w:t>
      </w:r>
      <w:r>
        <w:rPr>
          <w:rFonts w:hint="default"/>
          <w:color w:val="auto"/>
        </w:rPr>
        <w:t>、</w:t>
      </w:r>
      <w:r>
        <w:rPr>
          <w:rFonts w:hint="eastAsia"/>
          <w:color w:val="auto"/>
        </w:rPr>
        <w:t>《室外给水设计标准》（GB 0013-2018，2019年8月1日实施）；</w:t>
      </w:r>
    </w:p>
    <w:p w14:paraId="1522F759">
      <w:pPr>
        <w:bidi w:val="0"/>
        <w:rPr>
          <w:rFonts w:hint="eastAsia"/>
          <w:color w:val="auto"/>
        </w:rPr>
      </w:pPr>
      <w:r>
        <w:rPr>
          <w:rFonts w:hint="eastAsia"/>
          <w:color w:val="auto"/>
        </w:rPr>
        <w:t>3</w:t>
      </w:r>
      <w:r>
        <w:rPr>
          <w:rFonts w:hint="eastAsia"/>
          <w:color w:val="auto"/>
          <w:lang w:val="en-US" w:eastAsia="zh-CN"/>
        </w:rPr>
        <w:t>6</w:t>
      </w:r>
      <w:r>
        <w:rPr>
          <w:rFonts w:hint="default"/>
          <w:color w:val="auto"/>
        </w:rPr>
        <w:t>、</w:t>
      </w:r>
      <w:r>
        <w:rPr>
          <w:rFonts w:hint="eastAsia"/>
          <w:color w:val="auto"/>
        </w:rPr>
        <w:t>《生产经营单位生产安全事故应急预案编制导则》（GB /T 29639-2020，2021年4月1日实施）；</w:t>
      </w:r>
    </w:p>
    <w:p w14:paraId="334C19BD">
      <w:pPr>
        <w:bidi w:val="0"/>
        <w:rPr>
          <w:rFonts w:hint="eastAsia"/>
          <w:color w:val="auto"/>
        </w:rPr>
      </w:pPr>
      <w:r>
        <w:rPr>
          <w:rFonts w:hint="eastAsia"/>
          <w:color w:val="auto"/>
        </w:rPr>
        <w:t>3</w:t>
      </w:r>
      <w:r>
        <w:rPr>
          <w:rFonts w:hint="eastAsia"/>
          <w:color w:val="auto"/>
          <w:lang w:val="en-US" w:eastAsia="zh-CN"/>
        </w:rPr>
        <w:t>7</w:t>
      </w:r>
      <w:r>
        <w:rPr>
          <w:rFonts w:hint="default"/>
          <w:color w:val="auto"/>
        </w:rPr>
        <w:t>、</w:t>
      </w:r>
      <w:r>
        <w:rPr>
          <w:rFonts w:hint="eastAsia"/>
          <w:color w:val="auto"/>
        </w:rPr>
        <w:t>《缺氧危险作业安全规程》（GB 8958-2006，2006年12月1日实施）；</w:t>
      </w:r>
    </w:p>
    <w:p w14:paraId="7D89C766">
      <w:pPr>
        <w:bidi w:val="0"/>
        <w:rPr>
          <w:rFonts w:hint="eastAsia"/>
          <w:color w:val="auto"/>
        </w:rPr>
      </w:pPr>
      <w:r>
        <w:rPr>
          <w:rFonts w:hint="eastAsia"/>
          <w:color w:val="auto"/>
        </w:rPr>
        <w:t>3</w:t>
      </w:r>
      <w:r>
        <w:rPr>
          <w:rFonts w:hint="eastAsia"/>
          <w:color w:val="auto"/>
          <w:lang w:val="en-US" w:eastAsia="zh-CN"/>
        </w:rPr>
        <w:t>8</w:t>
      </w:r>
      <w:r>
        <w:rPr>
          <w:rFonts w:hint="default"/>
          <w:color w:val="auto"/>
        </w:rPr>
        <w:t>、</w:t>
      </w:r>
      <w:r>
        <w:rPr>
          <w:rFonts w:hint="eastAsia"/>
          <w:color w:val="auto"/>
        </w:rPr>
        <w:t>《生产过程危险和有害因素分类与代码》（GB /T 13861-2022，2022年10月1日实施）；</w:t>
      </w:r>
    </w:p>
    <w:p w14:paraId="43AE7CD1">
      <w:pPr>
        <w:bidi w:val="0"/>
        <w:rPr>
          <w:rFonts w:hint="eastAsia"/>
          <w:color w:val="auto"/>
        </w:rPr>
      </w:pPr>
      <w:r>
        <w:rPr>
          <w:rFonts w:hint="eastAsia"/>
          <w:color w:val="auto"/>
        </w:rPr>
        <w:t>3</w:t>
      </w:r>
      <w:r>
        <w:rPr>
          <w:rFonts w:hint="eastAsia"/>
          <w:color w:val="auto"/>
          <w:lang w:val="en-US" w:eastAsia="zh-CN"/>
        </w:rPr>
        <w:t>9</w:t>
      </w:r>
      <w:r>
        <w:rPr>
          <w:rFonts w:hint="default"/>
          <w:color w:val="auto"/>
        </w:rPr>
        <w:t>、</w:t>
      </w:r>
      <w:r>
        <w:rPr>
          <w:rFonts w:hint="eastAsia"/>
          <w:color w:val="auto"/>
        </w:rPr>
        <w:t>《手持式电动工具的管理、使用、检查和维修安全技术规程》（GB /T 3787-2017）；</w:t>
      </w:r>
    </w:p>
    <w:p w14:paraId="6B56A82F">
      <w:pPr>
        <w:bidi w:val="0"/>
        <w:rPr>
          <w:rFonts w:hint="eastAsia"/>
          <w:color w:val="auto"/>
        </w:rPr>
      </w:pPr>
      <w:r>
        <w:rPr>
          <w:rFonts w:hint="eastAsia"/>
          <w:color w:val="auto"/>
          <w:lang w:val="en-US" w:eastAsia="zh-CN"/>
        </w:rPr>
        <w:t>40</w:t>
      </w:r>
      <w:r>
        <w:rPr>
          <w:rFonts w:hint="default"/>
          <w:color w:val="auto"/>
        </w:rPr>
        <w:t>、</w:t>
      </w:r>
      <w:r>
        <w:rPr>
          <w:rFonts w:hint="eastAsia"/>
          <w:color w:val="auto"/>
        </w:rPr>
        <w:t>《破碎设备 安全要求》（GB 18452-2001，2002年4月1日实施）；</w:t>
      </w:r>
    </w:p>
    <w:p w14:paraId="6AFA1D77">
      <w:pPr>
        <w:bidi w:val="0"/>
        <w:rPr>
          <w:rFonts w:hint="eastAsia"/>
          <w:color w:val="auto"/>
        </w:rPr>
      </w:pPr>
      <w:r>
        <w:rPr>
          <w:rFonts w:hint="eastAsia"/>
          <w:color w:val="auto"/>
        </w:rPr>
        <w:t>4</w:t>
      </w:r>
      <w:r>
        <w:rPr>
          <w:rFonts w:hint="eastAsia"/>
          <w:color w:val="auto"/>
          <w:lang w:val="en-US" w:eastAsia="zh-CN"/>
        </w:rPr>
        <w:t>1</w:t>
      </w:r>
      <w:r>
        <w:rPr>
          <w:rFonts w:hint="default"/>
          <w:color w:val="auto"/>
        </w:rPr>
        <w:t>、</w:t>
      </w:r>
      <w:r>
        <w:rPr>
          <w:rFonts w:hint="eastAsia"/>
          <w:color w:val="auto"/>
        </w:rPr>
        <w:t>《带式输送机》（GB /T 10595-2017，2018年7月1日实施）；</w:t>
      </w:r>
    </w:p>
    <w:p w14:paraId="3448FA3E">
      <w:pPr>
        <w:bidi w:val="0"/>
        <w:rPr>
          <w:rFonts w:hint="eastAsia"/>
          <w:color w:val="auto"/>
        </w:rPr>
      </w:pPr>
      <w:r>
        <w:rPr>
          <w:rFonts w:hint="eastAsia"/>
          <w:color w:val="auto"/>
        </w:rPr>
        <w:t>4</w:t>
      </w:r>
      <w:r>
        <w:rPr>
          <w:rFonts w:hint="eastAsia"/>
          <w:color w:val="auto"/>
          <w:lang w:val="en-US" w:eastAsia="zh-CN"/>
        </w:rPr>
        <w:t>2</w:t>
      </w:r>
      <w:r>
        <w:rPr>
          <w:rFonts w:hint="default"/>
          <w:color w:val="auto"/>
        </w:rPr>
        <w:t>、</w:t>
      </w:r>
      <w:r>
        <w:rPr>
          <w:rFonts w:hint="eastAsia"/>
          <w:color w:val="auto"/>
        </w:rPr>
        <w:t>《带式输送机安全规范》（GB 14784-2013，2014年7月1日实施）；</w:t>
      </w:r>
    </w:p>
    <w:p w14:paraId="150B27A2">
      <w:pPr>
        <w:bidi w:val="0"/>
        <w:rPr>
          <w:rFonts w:hint="eastAsia"/>
          <w:color w:val="auto"/>
        </w:rPr>
      </w:pPr>
      <w:r>
        <w:rPr>
          <w:rFonts w:hint="eastAsia"/>
          <w:color w:val="auto"/>
        </w:rPr>
        <w:t>4</w:t>
      </w:r>
      <w:r>
        <w:rPr>
          <w:rFonts w:hint="eastAsia"/>
          <w:color w:val="auto"/>
          <w:lang w:val="en-US" w:eastAsia="zh-CN"/>
        </w:rPr>
        <w:t>3</w:t>
      </w:r>
      <w:r>
        <w:rPr>
          <w:rFonts w:hint="default"/>
          <w:color w:val="auto"/>
        </w:rPr>
        <w:t>、</w:t>
      </w:r>
      <w:r>
        <w:rPr>
          <w:rFonts w:hint="eastAsia"/>
          <w:color w:val="auto"/>
        </w:rPr>
        <w:t>《带式输送机工程技术标准》（GB 50431-2020，中华人民共和国住房和城乡建设部2020年第147号，2021年3月1日实施）；</w:t>
      </w:r>
    </w:p>
    <w:p w14:paraId="4EF8D8F9">
      <w:pPr>
        <w:bidi w:val="0"/>
        <w:rPr>
          <w:rFonts w:hint="eastAsia"/>
          <w:color w:val="auto"/>
        </w:rPr>
      </w:pPr>
      <w:r>
        <w:rPr>
          <w:rFonts w:hint="eastAsia"/>
          <w:color w:val="auto"/>
        </w:rPr>
        <w:t>4</w:t>
      </w:r>
      <w:r>
        <w:rPr>
          <w:rFonts w:hint="eastAsia"/>
          <w:color w:val="auto"/>
          <w:lang w:val="en-US" w:eastAsia="zh-CN"/>
        </w:rPr>
        <w:t>4</w:t>
      </w:r>
      <w:r>
        <w:rPr>
          <w:rFonts w:hint="default"/>
          <w:color w:val="auto"/>
        </w:rPr>
        <w:t>、</w:t>
      </w:r>
      <w:r>
        <w:rPr>
          <w:rFonts w:hint="eastAsia"/>
          <w:color w:val="auto"/>
        </w:rPr>
        <w:t>《建筑灭火器配置设计规范》（GB 50140-2005，中华人民共和国建设部</w:t>
      </w:r>
      <w:r>
        <w:rPr>
          <w:rFonts w:hint="eastAsia"/>
          <w:color w:val="auto"/>
          <w:lang w:val="en-US" w:eastAsia="zh-CN"/>
        </w:rPr>
        <w:t xml:space="preserve"> </w:t>
      </w:r>
      <w:r>
        <w:rPr>
          <w:rFonts w:hint="eastAsia"/>
          <w:color w:val="auto"/>
        </w:rPr>
        <w:t>中华人民共和国国家质量监督检验检疫总局，2005年10月1日实行）；</w:t>
      </w:r>
    </w:p>
    <w:p w14:paraId="1737AF37">
      <w:pPr>
        <w:bidi w:val="0"/>
        <w:rPr>
          <w:rFonts w:hint="eastAsia"/>
          <w:color w:val="auto"/>
        </w:rPr>
      </w:pPr>
      <w:r>
        <w:rPr>
          <w:rFonts w:hint="eastAsia"/>
          <w:color w:val="auto"/>
        </w:rPr>
        <w:t>4</w:t>
      </w:r>
      <w:r>
        <w:rPr>
          <w:rFonts w:hint="eastAsia"/>
          <w:color w:val="auto"/>
          <w:lang w:val="en-US" w:eastAsia="zh-CN"/>
        </w:rPr>
        <w:t>5</w:t>
      </w:r>
      <w:r>
        <w:rPr>
          <w:rFonts w:hint="default"/>
          <w:color w:val="auto"/>
        </w:rPr>
        <w:t>、</w:t>
      </w:r>
      <w:r>
        <w:rPr>
          <w:rFonts w:hint="eastAsia"/>
          <w:color w:val="auto"/>
        </w:rPr>
        <w:t>《消防给水及消火栓系统技术规范》（GB 50974-2014，中华人民共和国住房和城乡建设部，2014年10月1日实行）；</w:t>
      </w:r>
    </w:p>
    <w:p w14:paraId="373C86A8">
      <w:pPr>
        <w:bidi w:val="0"/>
        <w:rPr>
          <w:rFonts w:hint="eastAsia"/>
          <w:color w:val="auto"/>
        </w:rPr>
      </w:pPr>
      <w:r>
        <w:rPr>
          <w:rFonts w:hint="eastAsia"/>
          <w:color w:val="auto"/>
        </w:rPr>
        <w:t>4</w:t>
      </w:r>
      <w:r>
        <w:rPr>
          <w:rFonts w:hint="eastAsia"/>
          <w:color w:val="auto"/>
          <w:lang w:val="en-US" w:eastAsia="zh-CN"/>
        </w:rPr>
        <w:t>6</w:t>
      </w:r>
      <w:r>
        <w:rPr>
          <w:rFonts w:hint="default"/>
          <w:color w:val="auto"/>
        </w:rPr>
        <w:t>、</w:t>
      </w:r>
      <w:r>
        <w:rPr>
          <w:rFonts w:hint="eastAsia"/>
          <w:color w:val="auto"/>
        </w:rPr>
        <w:t>《消防应急照明和疏散指示系统》（GB 17945-2010，中华人民共和国国家质量监督检验检疫总局 中国国家标准化管理委员会，2011年5月1日实行）；</w:t>
      </w:r>
    </w:p>
    <w:p w14:paraId="4846F253">
      <w:pPr>
        <w:bidi w:val="0"/>
        <w:rPr>
          <w:rFonts w:hint="eastAsia"/>
          <w:color w:val="auto"/>
        </w:rPr>
      </w:pPr>
      <w:r>
        <w:rPr>
          <w:rFonts w:hint="eastAsia"/>
          <w:color w:val="auto"/>
        </w:rPr>
        <w:t>4</w:t>
      </w:r>
      <w:r>
        <w:rPr>
          <w:rFonts w:hint="eastAsia"/>
          <w:color w:val="auto"/>
          <w:lang w:val="en-US" w:eastAsia="zh-CN"/>
        </w:rPr>
        <w:t>7</w:t>
      </w:r>
      <w:r>
        <w:rPr>
          <w:rFonts w:hint="default"/>
          <w:color w:val="auto"/>
        </w:rPr>
        <w:t>、</w:t>
      </w:r>
      <w:r>
        <w:rPr>
          <w:rFonts w:hint="eastAsia"/>
          <w:color w:val="auto"/>
        </w:rPr>
        <w:t>《高处作业分级》（GB /T 3608-2008，中华人民共和国国家质量监督检验检疫总局 中国国家标准化管理委员会，2009年6月1日实行）；</w:t>
      </w:r>
    </w:p>
    <w:p w14:paraId="04B2E47E">
      <w:pPr>
        <w:bidi w:val="0"/>
        <w:rPr>
          <w:rFonts w:hint="eastAsia"/>
          <w:color w:val="auto"/>
        </w:rPr>
      </w:pPr>
      <w:r>
        <w:rPr>
          <w:rFonts w:hint="eastAsia"/>
          <w:color w:val="auto"/>
        </w:rPr>
        <w:t>4</w:t>
      </w:r>
      <w:r>
        <w:rPr>
          <w:rFonts w:hint="eastAsia"/>
          <w:color w:val="auto"/>
          <w:lang w:val="en-US" w:eastAsia="zh-CN"/>
        </w:rPr>
        <w:t>8</w:t>
      </w:r>
      <w:r>
        <w:rPr>
          <w:rFonts w:hint="default"/>
          <w:color w:val="auto"/>
        </w:rPr>
        <w:t>、</w:t>
      </w:r>
      <w:r>
        <w:rPr>
          <w:rFonts w:hint="eastAsia"/>
          <w:color w:val="auto"/>
        </w:rPr>
        <w:t>《固定式钢梯及平台安全要求第2部分：钢斜梯》（GB 4053.1-2009，2009年12月1日实行）；</w:t>
      </w:r>
    </w:p>
    <w:p w14:paraId="6882D5BD">
      <w:pPr>
        <w:bidi w:val="0"/>
        <w:rPr>
          <w:rFonts w:hint="eastAsia" w:eastAsia="宋体"/>
          <w:color w:val="auto"/>
          <w:lang w:eastAsia="zh-CN"/>
        </w:rPr>
      </w:pPr>
      <w:r>
        <w:rPr>
          <w:rFonts w:hint="eastAsia"/>
          <w:color w:val="auto"/>
          <w:lang w:val="en-US" w:eastAsia="zh-CN"/>
        </w:rPr>
        <w:t>49、</w:t>
      </w:r>
      <w:r>
        <w:rPr>
          <w:rFonts w:hint="eastAsia"/>
          <w:color w:val="auto"/>
        </w:rPr>
        <w:t>《有色金属选矿厂工艺设计规范》（GB 50782-2012）</w:t>
      </w:r>
      <w:r>
        <w:rPr>
          <w:rFonts w:hint="eastAsia"/>
          <w:color w:val="auto"/>
          <w:lang w:eastAsia="zh-CN"/>
        </w:rPr>
        <w:t>；</w:t>
      </w:r>
    </w:p>
    <w:p w14:paraId="0A81D12D">
      <w:pPr>
        <w:bidi w:val="0"/>
        <w:rPr>
          <w:rFonts w:hint="eastAsia" w:eastAsia="宋体"/>
          <w:color w:val="auto"/>
          <w:lang w:eastAsia="zh-CN"/>
        </w:rPr>
      </w:pPr>
      <w:r>
        <w:rPr>
          <w:rFonts w:hint="eastAsia"/>
          <w:color w:val="auto"/>
          <w:lang w:val="en-US" w:eastAsia="zh-CN"/>
        </w:rPr>
        <w:t>50、</w:t>
      </w:r>
      <w:r>
        <w:rPr>
          <w:rFonts w:hint="eastAsia"/>
          <w:color w:val="auto"/>
        </w:rPr>
        <w:t>《密闭空间作业职业危害防护规范》（GBZ/T 205-2007）</w:t>
      </w:r>
      <w:r>
        <w:rPr>
          <w:rFonts w:hint="eastAsia"/>
          <w:color w:val="auto"/>
          <w:lang w:eastAsia="zh-CN"/>
        </w:rPr>
        <w:t>；</w:t>
      </w:r>
    </w:p>
    <w:p w14:paraId="209CB2BE">
      <w:pPr>
        <w:bidi w:val="0"/>
        <w:rPr>
          <w:rFonts w:hint="eastAsia" w:eastAsia="宋体"/>
          <w:color w:val="auto"/>
          <w:lang w:eastAsia="zh-CN"/>
        </w:rPr>
      </w:pPr>
      <w:r>
        <w:rPr>
          <w:rFonts w:hint="eastAsia"/>
          <w:color w:val="auto"/>
          <w:lang w:val="en-US" w:eastAsia="zh-CN"/>
        </w:rPr>
        <w:t>51、</w:t>
      </w:r>
      <w:r>
        <w:rPr>
          <w:rFonts w:hint="eastAsia"/>
          <w:color w:val="auto"/>
        </w:rPr>
        <w:t>《电气装置安装工程 接地装置施工及验收规范》（GB 50169-2016）</w:t>
      </w:r>
      <w:r>
        <w:rPr>
          <w:rFonts w:hint="eastAsia"/>
          <w:color w:val="auto"/>
          <w:lang w:eastAsia="zh-CN"/>
        </w:rPr>
        <w:t>；</w:t>
      </w:r>
    </w:p>
    <w:p w14:paraId="6BE51E25">
      <w:pPr>
        <w:bidi w:val="0"/>
        <w:rPr>
          <w:rFonts w:hint="eastAsia"/>
          <w:color w:val="auto"/>
        </w:rPr>
      </w:pPr>
      <w:r>
        <w:rPr>
          <w:rFonts w:hint="eastAsia"/>
          <w:color w:val="auto"/>
        </w:rPr>
        <w:t>5</w:t>
      </w:r>
      <w:r>
        <w:rPr>
          <w:rFonts w:hint="eastAsia"/>
          <w:color w:val="auto"/>
          <w:lang w:val="en-US" w:eastAsia="zh-CN"/>
        </w:rPr>
        <w:t>2</w:t>
      </w:r>
      <w:r>
        <w:rPr>
          <w:rFonts w:hint="default"/>
          <w:color w:val="auto"/>
        </w:rPr>
        <w:t>、</w:t>
      </w:r>
      <w:r>
        <w:rPr>
          <w:rFonts w:hint="eastAsia"/>
          <w:color w:val="auto"/>
        </w:rPr>
        <w:t>其他相关的标准及规范。</w:t>
      </w:r>
    </w:p>
    <w:p w14:paraId="18A39509">
      <w:pPr>
        <w:pStyle w:val="4"/>
        <w:bidi w:val="0"/>
        <w:rPr>
          <w:rFonts w:hint="eastAsia"/>
          <w:color w:val="auto"/>
        </w:rPr>
      </w:pPr>
      <w:bookmarkStart w:id="11" w:name="_Toc20289"/>
      <w:r>
        <w:rPr>
          <w:rFonts w:hint="eastAsia"/>
          <w:color w:val="auto"/>
        </w:rPr>
        <w:t>1.2.6</w:t>
      </w:r>
      <w:r>
        <w:rPr>
          <w:rFonts w:hint="default"/>
          <w:color w:val="auto"/>
        </w:rPr>
        <w:t xml:space="preserve"> </w:t>
      </w:r>
      <w:r>
        <w:rPr>
          <w:rFonts w:hint="eastAsia"/>
          <w:color w:val="auto"/>
        </w:rPr>
        <w:t>行业规范</w:t>
      </w:r>
      <w:bookmarkEnd w:id="11"/>
    </w:p>
    <w:p w14:paraId="07860309">
      <w:pPr>
        <w:bidi w:val="0"/>
        <w:rPr>
          <w:rFonts w:hint="eastAsia"/>
          <w:color w:val="auto"/>
        </w:rPr>
      </w:pPr>
      <w:r>
        <w:rPr>
          <w:rFonts w:hint="eastAsia"/>
          <w:color w:val="auto"/>
        </w:rPr>
        <w:t>1</w:t>
      </w:r>
      <w:r>
        <w:rPr>
          <w:rFonts w:hint="default"/>
          <w:color w:val="auto"/>
        </w:rPr>
        <w:t>、</w:t>
      </w:r>
      <w:r>
        <w:rPr>
          <w:rFonts w:hint="eastAsia"/>
          <w:color w:val="auto"/>
        </w:rPr>
        <w:t>《安全评价通则》（AQ 8001-2007，2007年4月1日）；</w:t>
      </w:r>
    </w:p>
    <w:p w14:paraId="0B1A43E6">
      <w:pPr>
        <w:bidi w:val="0"/>
        <w:rPr>
          <w:rFonts w:hint="eastAsia"/>
          <w:color w:val="auto"/>
        </w:rPr>
      </w:pPr>
      <w:r>
        <w:rPr>
          <w:rFonts w:hint="eastAsia"/>
          <w:color w:val="auto"/>
        </w:rPr>
        <w:t>2</w:t>
      </w:r>
      <w:r>
        <w:rPr>
          <w:rFonts w:hint="default"/>
          <w:color w:val="auto"/>
        </w:rPr>
        <w:t>、</w:t>
      </w:r>
      <w:r>
        <w:rPr>
          <w:rFonts w:hint="eastAsia"/>
          <w:color w:val="auto"/>
        </w:rPr>
        <w:t>《安全验收评价导则》（AQ 8003-2007，2007年4月1日）；</w:t>
      </w:r>
    </w:p>
    <w:p w14:paraId="2EFDEB5A">
      <w:pPr>
        <w:bidi w:val="0"/>
        <w:rPr>
          <w:rFonts w:hint="eastAsia"/>
          <w:color w:val="auto"/>
        </w:rPr>
      </w:pPr>
      <w:r>
        <w:rPr>
          <w:rFonts w:hint="eastAsia"/>
          <w:color w:val="auto"/>
        </w:rPr>
        <w:t>3</w:t>
      </w:r>
      <w:r>
        <w:rPr>
          <w:rFonts w:hint="default"/>
          <w:color w:val="auto"/>
        </w:rPr>
        <w:t>、</w:t>
      </w:r>
      <w:r>
        <w:rPr>
          <w:rFonts w:hint="eastAsia"/>
          <w:color w:val="auto"/>
        </w:rPr>
        <w:t>《生产安全事故应急演练基本规范》（AQ/T 9007-2019）；</w:t>
      </w:r>
    </w:p>
    <w:p w14:paraId="5A05FB2F">
      <w:pPr>
        <w:bidi w:val="0"/>
        <w:rPr>
          <w:rFonts w:hint="eastAsia"/>
          <w:color w:val="auto"/>
        </w:rPr>
      </w:pPr>
      <w:r>
        <w:rPr>
          <w:rFonts w:hint="eastAsia"/>
          <w:color w:val="auto"/>
        </w:rPr>
        <w:t>4</w:t>
      </w:r>
      <w:r>
        <w:rPr>
          <w:rFonts w:hint="default"/>
          <w:color w:val="auto"/>
        </w:rPr>
        <w:t>、</w:t>
      </w:r>
      <w:r>
        <w:rPr>
          <w:rFonts w:hint="eastAsia"/>
          <w:color w:val="auto"/>
        </w:rPr>
        <w:t>《生产经营单位生产安全事故应急预案评估指南》（AQ/T 9011-2019）；</w:t>
      </w:r>
    </w:p>
    <w:p w14:paraId="2A327FEE">
      <w:pPr>
        <w:bidi w:val="0"/>
        <w:rPr>
          <w:rFonts w:hint="eastAsia" w:eastAsia="宋体"/>
          <w:color w:val="auto"/>
          <w:lang w:eastAsia="zh-CN"/>
        </w:rPr>
      </w:pPr>
      <w:r>
        <w:rPr>
          <w:rFonts w:hint="eastAsia"/>
          <w:color w:val="auto"/>
        </w:rPr>
        <w:t>5</w:t>
      </w:r>
      <w:r>
        <w:rPr>
          <w:rFonts w:hint="default"/>
          <w:color w:val="auto"/>
        </w:rPr>
        <w:t>、</w:t>
      </w:r>
      <w:r>
        <w:rPr>
          <w:rFonts w:hint="eastAsia"/>
          <w:color w:val="auto"/>
        </w:rPr>
        <w:t>《固定式压力容器安全技术监察规程》行业标准第1号修改单（TSG 21-2016/XG1-2020）</w:t>
      </w:r>
      <w:r>
        <w:rPr>
          <w:rFonts w:hint="eastAsia"/>
          <w:color w:val="auto"/>
          <w:lang w:eastAsia="zh-CN"/>
        </w:rPr>
        <w:t>；</w:t>
      </w:r>
    </w:p>
    <w:p w14:paraId="4BE7AEE2">
      <w:pPr>
        <w:bidi w:val="0"/>
        <w:rPr>
          <w:rFonts w:hint="eastAsia"/>
          <w:color w:val="auto"/>
        </w:rPr>
      </w:pPr>
      <w:r>
        <w:rPr>
          <w:rFonts w:hint="eastAsia"/>
          <w:color w:val="auto"/>
          <w:lang w:val="en-US" w:eastAsia="zh-CN"/>
        </w:rPr>
        <w:t>6</w:t>
      </w:r>
      <w:r>
        <w:rPr>
          <w:rFonts w:hint="default"/>
          <w:color w:val="auto"/>
        </w:rPr>
        <w:t>、</w:t>
      </w:r>
      <w:r>
        <w:rPr>
          <w:rFonts w:hint="eastAsia"/>
          <w:color w:val="auto"/>
        </w:rPr>
        <w:t>《带式输送机</w:t>
      </w:r>
      <w:r>
        <w:rPr>
          <w:rFonts w:hint="eastAsia"/>
          <w:color w:val="auto"/>
          <w:lang w:val="en-US" w:eastAsia="zh-CN"/>
        </w:rPr>
        <w:t xml:space="preserve"> </w:t>
      </w:r>
      <w:r>
        <w:rPr>
          <w:rFonts w:hint="eastAsia"/>
          <w:color w:val="auto"/>
        </w:rPr>
        <w:t>拉绳开关》（JB/T 10960-20</w:t>
      </w:r>
      <w:r>
        <w:rPr>
          <w:rFonts w:hint="eastAsia"/>
          <w:color w:val="auto"/>
          <w:lang w:val="en-US" w:eastAsia="zh-CN"/>
        </w:rPr>
        <w:t>24</w:t>
      </w:r>
      <w:r>
        <w:rPr>
          <w:rFonts w:hint="eastAsia"/>
          <w:color w:val="auto"/>
        </w:rPr>
        <w:t>，20</w:t>
      </w:r>
      <w:r>
        <w:rPr>
          <w:rFonts w:hint="eastAsia"/>
          <w:color w:val="auto"/>
          <w:lang w:val="en-US" w:eastAsia="zh-CN"/>
        </w:rPr>
        <w:t>24</w:t>
      </w:r>
      <w:r>
        <w:rPr>
          <w:rFonts w:hint="eastAsia"/>
          <w:color w:val="auto"/>
        </w:rPr>
        <w:t>年</w:t>
      </w:r>
      <w:r>
        <w:rPr>
          <w:rFonts w:hint="eastAsia"/>
          <w:color w:val="auto"/>
          <w:lang w:val="en-US" w:eastAsia="zh-CN"/>
        </w:rPr>
        <w:t>10</w:t>
      </w:r>
      <w:r>
        <w:rPr>
          <w:rFonts w:hint="eastAsia"/>
          <w:color w:val="auto"/>
        </w:rPr>
        <w:t>月1日实施）；</w:t>
      </w:r>
    </w:p>
    <w:p w14:paraId="1A294AE0">
      <w:pPr>
        <w:bidi w:val="0"/>
        <w:rPr>
          <w:rFonts w:hint="eastAsia"/>
          <w:color w:val="auto"/>
        </w:rPr>
      </w:pPr>
      <w:r>
        <w:rPr>
          <w:rFonts w:hint="eastAsia"/>
          <w:color w:val="auto"/>
          <w:lang w:val="en-US" w:eastAsia="zh-CN"/>
        </w:rPr>
        <w:t>7</w:t>
      </w:r>
      <w:r>
        <w:rPr>
          <w:rFonts w:hint="default"/>
          <w:color w:val="auto"/>
        </w:rPr>
        <w:t>、</w:t>
      </w:r>
      <w:r>
        <w:rPr>
          <w:rFonts w:hint="eastAsia"/>
          <w:color w:val="auto"/>
        </w:rPr>
        <w:t>《带式输送机用逆止器》（JB/T 9015-2011，2012年4月1日实施</w:t>
      </w:r>
      <w:r>
        <w:rPr>
          <w:rFonts w:hint="eastAsia"/>
          <w:color w:val="auto"/>
          <w:lang w:eastAsia="zh-CN"/>
        </w:rPr>
        <w:t>）</w:t>
      </w:r>
      <w:r>
        <w:rPr>
          <w:rFonts w:hint="eastAsia"/>
          <w:color w:val="auto"/>
        </w:rPr>
        <w:t>；</w:t>
      </w:r>
    </w:p>
    <w:p w14:paraId="594C09C1">
      <w:pPr>
        <w:bidi w:val="0"/>
        <w:rPr>
          <w:rFonts w:hint="eastAsia"/>
          <w:color w:val="auto"/>
        </w:rPr>
      </w:pPr>
      <w:r>
        <w:rPr>
          <w:rFonts w:hint="eastAsia"/>
          <w:color w:val="auto"/>
          <w:lang w:val="en-US" w:eastAsia="zh-CN"/>
        </w:rPr>
        <w:t>8</w:t>
      </w:r>
      <w:r>
        <w:rPr>
          <w:rFonts w:hint="default"/>
          <w:color w:val="auto"/>
        </w:rPr>
        <w:t>、</w:t>
      </w:r>
      <w:r>
        <w:rPr>
          <w:rFonts w:hint="eastAsia"/>
          <w:color w:val="auto"/>
        </w:rPr>
        <w:t>《气瓶安全技术规程》（TSG 23-2021，2021年01月04日实施）；</w:t>
      </w:r>
    </w:p>
    <w:p w14:paraId="789650DA">
      <w:pPr>
        <w:bidi w:val="0"/>
        <w:rPr>
          <w:rFonts w:hint="eastAsia"/>
          <w:color w:val="auto"/>
        </w:rPr>
      </w:pPr>
      <w:r>
        <w:rPr>
          <w:rFonts w:hint="eastAsia"/>
          <w:color w:val="auto"/>
          <w:lang w:val="en-US" w:eastAsia="zh-CN"/>
        </w:rPr>
        <w:t>9</w:t>
      </w:r>
      <w:r>
        <w:rPr>
          <w:rFonts w:hint="default"/>
          <w:color w:val="auto"/>
        </w:rPr>
        <w:t>、</w:t>
      </w:r>
      <w:r>
        <w:rPr>
          <w:rFonts w:hint="eastAsia"/>
          <w:color w:val="auto"/>
        </w:rPr>
        <w:t>《生产安全事故应急演练评估规范》（AQ/T 9009-2015，2015年9月1日实施）</w:t>
      </w:r>
      <w:r>
        <w:rPr>
          <w:rFonts w:hint="eastAsia"/>
          <w:color w:val="auto"/>
          <w:lang w:eastAsia="zh-CN"/>
        </w:rPr>
        <w:t>。</w:t>
      </w:r>
    </w:p>
    <w:p w14:paraId="2CDC384B">
      <w:pPr>
        <w:pStyle w:val="4"/>
        <w:bidi w:val="0"/>
        <w:rPr>
          <w:rFonts w:hint="eastAsia"/>
          <w:color w:val="auto"/>
        </w:rPr>
      </w:pPr>
      <w:bookmarkStart w:id="12" w:name="_Toc2184"/>
      <w:r>
        <w:rPr>
          <w:rFonts w:hint="eastAsia"/>
          <w:color w:val="auto"/>
        </w:rPr>
        <w:t>1.2.7</w:t>
      </w:r>
      <w:r>
        <w:rPr>
          <w:rFonts w:hint="default"/>
          <w:color w:val="auto"/>
        </w:rPr>
        <w:t xml:space="preserve"> </w:t>
      </w:r>
      <w:r>
        <w:rPr>
          <w:rFonts w:hint="eastAsia"/>
          <w:color w:val="auto"/>
        </w:rPr>
        <w:t>技术文件及有关资料</w:t>
      </w:r>
      <w:bookmarkEnd w:id="12"/>
    </w:p>
    <w:p w14:paraId="215CDDF0">
      <w:pPr>
        <w:bidi w:val="0"/>
        <w:rPr>
          <w:rFonts w:hint="eastAsia"/>
          <w:color w:val="auto"/>
        </w:rPr>
      </w:pPr>
      <w:r>
        <w:rPr>
          <w:rFonts w:hint="eastAsia"/>
          <w:color w:val="auto"/>
        </w:rPr>
        <w:t>1</w:t>
      </w:r>
      <w:r>
        <w:rPr>
          <w:rFonts w:hint="eastAsia"/>
          <w:color w:val="auto"/>
          <w:lang w:eastAsia="zh-CN"/>
        </w:rPr>
        <w:t>、武定发荣矿业有限责任公司</w:t>
      </w:r>
      <w:r>
        <w:rPr>
          <w:rFonts w:hint="eastAsia"/>
          <w:color w:val="auto"/>
        </w:rPr>
        <w:t>与辽宁诺诚安全科技有限公司所签订的安全技术服务合同及</w:t>
      </w:r>
      <w:r>
        <w:rPr>
          <w:rFonts w:hint="eastAsia"/>
          <w:color w:val="auto"/>
          <w:lang w:eastAsia="zh-CN"/>
        </w:rPr>
        <w:t>安全验收评价</w:t>
      </w:r>
      <w:r>
        <w:rPr>
          <w:rFonts w:hint="eastAsia"/>
          <w:color w:val="auto"/>
        </w:rPr>
        <w:t>委托书；</w:t>
      </w:r>
    </w:p>
    <w:p w14:paraId="129A0B77">
      <w:pPr>
        <w:bidi w:val="0"/>
        <w:rPr>
          <w:rFonts w:hint="eastAsia"/>
          <w:color w:val="auto"/>
        </w:rPr>
      </w:pPr>
      <w:r>
        <w:rPr>
          <w:rFonts w:hint="eastAsia"/>
          <w:color w:val="auto"/>
        </w:rPr>
        <w:t>2</w:t>
      </w:r>
      <w:r>
        <w:rPr>
          <w:rFonts w:hint="eastAsia"/>
          <w:color w:val="auto"/>
          <w:lang w:eastAsia="zh-CN"/>
        </w:rPr>
        <w:t>、</w:t>
      </w:r>
      <w:r>
        <w:rPr>
          <w:rFonts w:hint="eastAsia"/>
          <w:color w:val="auto"/>
        </w:rPr>
        <w:t>《</w:t>
      </w:r>
      <w:r>
        <w:rPr>
          <w:rFonts w:hint="eastAsia"/>
          <w:color w:val="auto"/>
          <w:lang w:eastAsia="zh-CN"/>
        </w:rPr>
        <w:t>武定发荣矿业有限责任公司猫街大炉箐繁茂采选厂技术改造项目</w:t>
      </w:r>
      <w:r>
        <w:rPr>
          <w:rFonts w:hint="eastAsia"/>
          <w:color w:val="auto"/>
        </w:rPr>
        <w:t>安全设施设计》（云南</w:t>
      </w:r>
      <w:r>
        <w:rPr>
          <w:rFonts w:hint="eastAsia"/>
          <w:color w:val="auto"/>
          <w:lang w:val="en-US" w:eastAsia="zh-CN"/>
        </w:rPr>
        <w:t>德成规划</w:t>
      </w:r>
      <w:r>
        <w:rPr>
          <w:rFonts w:hint="eastAsia"/>
          <w:color w:val="auto"/>
        </w:rPr>
        <w:t>设计有限公司，</w:t>
      </w:r>
      <w:r>
        <w:rPr>
          <w:rFonts w:hint="eastAsia"/>
          <w:color w:val="auto"/>
          <w:lang w:val="en-US" w:eastAsia="zh-CN"/>
        </w:rPr>
        <w:t>2024</w:t>
      </w:r>
      <w:r>
        <w:rPr>
          <w:rFonts w:hint="eastAsia"/>
          <w:color w:val="auto"/>
        </w:rPr>
        <w:t>年</w:t>
      </w:r>
      <w:r>
        <w:rPr>
          <w:rFonts w:hint="eastAsia"/>
          <w:color w:val="auto"/>
          <w:lang w:val="en-US" w:eastAsia="zh-CN"/>
        </w:rPr>
        <w:t>02</w:t>
      </w:r>
      <w:r>
        <w:rPr>
          <w:rFonts w:hint="eastAsia"/>
          <w:color w:val="auto"/>
        </w:rPr>
        <w:t>月）；</w:t>
      </w:r>
    </w:p>
    <w:p w14:paraId="1F85304C">
      <w:pPr>
        <w:bidi w:val="0"/>
        <w:rPr>
          <w:rFonts w:hint="eastAsia" w:eastAsia="宋体"/>
          <w:color w:val="auto"/>
          <w:lang w:val="en-US" w:eastAsia="zh-CN"/>
        </w:rPr>
      </w:pPr>
      <w:r>
        <w:rPr>
          <w:rFonts w:hint="eastAsia"/>
          <w:color w:val="auto"/>
          <w:lang w:val="en-US" w:eastAsia="zh-CN"/>
        </w:rPr>
        <w:t>3、《武定发荣矿业有限责任公司猫街大炉箐繁茂采选厂技术改造项目施工总结报告》（云南麦扬工程技术有限公司，2024年08月）；</w:t>
      </w:r>
    </w:p>
    <w:p w14:paraId="05EB357E">
      <w:pPr>
        <w:bidi w:val="0"/>
        <w:rPr>
          <w:rFonts w:hint="eastAsia" w:eastAsia="宋体"/>
          <w:color w:val="auto"/>
          <w:lang w:val="en-US" w:eastAsia="zh-CN"/>
        </w:rPr>
      </w:pPr>
      <w:r>
        <w:rPr>
          <w:rFonts w:hint="eastAsia"/>
          <w:color w:val="auto"/>
          <w:lang w:val="en-US" w:eastAsia="zh-CN"/>
        </w:rPr>
        <w:t>4、《武定发荣矿业有限责任公司猫街大炉箐繁茂采选厂技术改造项目监理总结报告》（成都交大工程建设集团有限公司，2024年08月）；</w:t>
      </w:r>
    </w:p>
    <w:p w14:paraId="073C97EF">
      <w:pPr>
        <w:bidi w:val="0"/>
        <w:rPr>
          <w:rFonts w:hint="eastAsia"/>
          <w:color w:val="auto"/>
        </w:rPr>
      </w:pPr>
      <w:r>
        <w:rPr>
          <w:rFonts w:hint="eastAsia"/>
          <w:color w:val="auto"/>
          <w:lang w:val="en-US" w:eastAsia="zh-CN"/>
        </w:rPr>
        <w:t>5</w:t>
      </w:r>
      <w:r>
        <w:rPr>
          <w:rFonts w:hint="eastAsia"/>
          <w:color w:val="auto"/>
          <w:lang w:eastAsia="zh-CN"/>
        </w:rPr>
        <w:t>、武定发荣矿业有限责任公司</w:t>
      </w:r>
      <w:r>
        <w:rPr>
          <w:rFonts w:hint="eastAsia"/>
          <w:color w:val="auto"/>
        </w:rPr>
        <w:t>提供的其他资料；</w:t>
      </w:r>
    </w:p>
    <w:p w14:paraId="387C5FB1">
      <w:pPr>
        <w:bidi w:val="0"/>
        <w:rPr>
          <w:rFonts w:hint="eastAsia"/>
          <w:color w:val="auto"/>
        </w:rPr>
      </w:pPr>
      <w:r>
        <w:rPr>
          <w:rFonts w:hint="eastAsia"/>
          <w:color w:val="auto"/>
          <w:lang w:val="en-US" w:eastAsia="zh-CN"/>
        </w:rPr>
        <w:t>6</w:t>
      </w:r>
      <w:r>
        <w:rPr>
          <w:rFonts w:hint="eastAsia"/>
          <w:color w:val="auto"/>
          <w:lang w:eastAsia="zh-CN"/>
        </w:rPr>
        <w:t>、</w:t>
      </w:r>
      <w:r>
        <w:rPr>
          <w:rFonts w:hint="eastAsia"/>
          <w:color w:val="auto"/>
        </w:rPr>
        <w:t>我公司评价人员现场采集的数据和资料等。</w:t>
      </w:r>
    </w:p>
    <w:p w14:paraId="6A150483">
      <w:pPr>
        <w:pStyle w:val="3"/>
        <w:bidi w:val="0"/>
        <w:rPr>
          <w:rFonts w:hint="eastAsia"/>
          <w:color w:val="auto"/>
        </w:rPr>
      </w:pPr>
      <w:bookmarkStart w:id="13" w:name="_Toc9647"/>
      <w:r>
        <w:rPr>
          <w:rFonts w:hint="eastAsia"/>
          <w:color w:val="auto"/>
        </w:rPr>
        <w:t>1.3</w:t>
      </w:r>
      <w:r>
        <w:rPr>
          <w:rFonts w:hint="eastAsia"/>
          <w:color w:val="auto"/>
          <w:lang w:val="en-US" w:eastAsia="zh-CN"/>
        </w:rPr>
        <w:t xml:space="preserve"> </w:t>
      </w:r>
      <w:r>
        <w:rPr>
          <w:rFonts w:hint="eastAsia"/>
          <w:color w:val="auto"/>
        </w:rPr>
        <w:t>评价程序</w:t>
      </w:r>
      <w:bookmarkEnd w:id="13"/>
    </w:p>
    <w:p w14:paraId="48AA318C">
      <w:pPr>
        <w:bidi w:val="0"/>
        <w:rPr>
          <w:color w:val="auto"/>
        </w:rPr>
      </w:pPr>
      <w:r>
        <w:rPr>
          <w:rFonts w:hint="eastAsia"/>
          <w:color w:val="auto"/>
        </w:rPr>
        <w:t>针对该公司的特点，评价程序主要包括：准备阶段，危险、有害因素识别与分析，评价单元的划分，安全评价方法的选择，定性、定量评价，提出安全对策措施，做出安全评价结论，编制安全评价报告。评价程序见图1.3-1。</w:t>
      </w:r>
    </w:p>
    <w:p w14:paraId="11DD55BE">
      <w:pPr>
        <w:bidi w:val="0"/>
        <w:ind w:left="0" w:leftChars="0" w:firstLine="0" w:firstLineChars="0"/>
        <w:jc w:val="center"/>
        <w:rPr>
          <w:color w:val="auto"/>
        </w:rPr>
      </w:pPr>
      <w:r>
        <w:rPr>
          <w:color w:val="auto"/>
        </w:rPr>
        <w:drawing>
          <wp:inline distT="0" distB="0" distL="114300" distR="114300">
            <wp:extent cx="2800350" cy="4631690"/>
            <wp:effectExtent l="0" t="0" r="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2800350" cy="4631690"/>
                    </a:xfrm>
                    <a:prstGeom prst="rect">
                      <a:avLst/>
                    </a:prstGeom>
                    <a:noFill/>
                    <a:ln w="12700">
                      <a:noFill/>
                    </a:ln>
                  </pic:spPr>
                </pic:pic>
              </a:graphicData>
            </a:graphic>
          </wp:inline>
        </w:drawing>
      </w:r>
    </w:p>
    <w:p w14:paraId="72C14D5B">
      <w:pPr>
        <w:pStyle w:val="29"/>
        <w:bidi w:val="0"/>
        <w:rPr>
          <w:color w:val="auto"/>
        </w:rPr>
      </w:pPr>
      <w:r>
        <w:rPr>
          <w:rFonts w:hint="eastAsia"/>
          <w:color w:val="auto"/>
        </w:rPr>
        <w:t>图1.3-1 安全验收评价程序框图</w:t>
      </w:r>
    </w:p>
    <w:p w14:paraId="670B807C">
      <w:pPr>
        <w:rPr>
          <w:color w:val="auto"/>
        </w:rPr>
      </w:pPr>
      <w:r>
        <w:rPr>
          <w:color w:val="auto"/>
        </w:rPr>
        <w:br w:type="page"/>
      </w:r>
    </w:p>
    <w:p w14:paraId="531D4FC6">
      <w:pPr>
        <w:pStyle w:val="2"/>
        <w:bidi w:val="0"/>
        <w:rPr>
          <w:color w:val="auto"/>
        </w:rPr>
      </w:pPr>
      <w:bookmarkStart w:id="14" w:name="_Toc20726"/>
      <w:r>
        <w:rPr>
          <w:rFonts w:hint="eastAsia"/>
          <w:color w:val="auto"/>
        </w:rPr>
        <w:t>2</w:t>
      </w:r>
      <w:r>
        <w:rPr>
          <w:rFonts w:hint="eastAsia"/>
          <w:color w:val="auto"/>
          <w:lang w:val="en-US" w:eastAsia="zh-CN"/>
        </w:rPr>
        <w:t xml:space="preserve"> </w:t>
      </w:r>
      <w:r>
        <w:rPr>
          <w:rFonts w:hint="eastAsia"/>
          <w:color w:val="auto"/>
        </w:rPr>
        <w:t>建设项目概况</w:t>
      </w:r>
      <w:bookmarkEnd w:id="14"/>
    </w:p>
    <w:p w14:paraId="615F298E">
      <w:pPr>
        <w:pStyle w:val="3"/>
        <w:bidi w:val="0"/>
        <w:rPr>
          <w:rFonts w:hint="default"/>
          <w:color w:val="auto"/>
          <w:lang w:val="en-US" w:eastAsia="zh-CN"/>
        </w:rPr>
      </w:pPr>
      <w:bookmarkStart w:id="15" w:name="_Toc28121"/>
      <w:r>
        <w:rPr>
          <w:rFonts w:hint="eastAsia"/>
          <w:color w:val="auto"/>
          <w:lang w:val="en-US" w:eastAsia="zh-CN"/>
        </w:rPr>
        <w:t>2.1 建设单位概况</w:t>
      </w:r>
      <w:bookmarkEnd w:id="15"/>
    </w:p>
    <w:p w14:paraId="244FF7C0">
      <w:pPr>
        <w:pStyle w:val="4"/>
        <w:bidi w:val="0"/>
        <w:rPr>
          <w:color w:val="auto"/>
        </w:rPr>
      </w:pPr>
      <w:bookmarkStart w:id="16" w:name="_Toc1590"/>
      <w:r>
        <w:rPr>
          <w:rFonts w:hint="eastAsia"/>
          <w:color w:val="auto"/>
        </w:rPr>
        <w:t>2.</w:t>
      </w:r>
      <w:r>
        <w:rPr>
          <w:rFonts w:hint="eastAsia"/>
          <w:color w:val="auto"/>
          <w:lang w:val="en-US" w:eastAsia="zh-CN"/>
        </w:rPr>
        <w:t>1.</w:t>
      </w:r>
      <w:r>
        <w:rPr>
          <w:rFonts w:hint="eastAsia"/>
          <w:color w:val="auto"/>
        </w:rPr>
        <w:t>1</w:t>
      </w:r>
      <w:r>
        <w:rPr>
          <w:rFonts w:hint="eastAsia"/>
          <w:color w:val="auto"/>
          <w:lang w:val="en-US" w:eastAsia="zh-CN"/>
        </w:rPr>
        <w:t xml:space="preserve"> </w:t>
      </w:r>
      <w:r>
        <w:rPr>
          <w:rFonts w:hint="eastAsia"/>
          <w:color w:val="auto"/>
        </w:rPr>
        <w:t>建设单位简介</w:t>
      </w:r>
      <w:bookmarkEnd w:id="16"/>
    </w:p>
    <w:p w14:paraId="7C9201D2">
      <w:pPr>
        <w:bidi w:val="0"/>
        <w:rPr>
          <w:rFonts w:hint="default" w:eastAsia="宋体"/>
          <w:color w:val="auto"/>
          <w:lang w:val="en-US" w:eastAsia="zh-CN"/>
        </w:rPr>
      </w:pPr>
      <w:r>
        <w:rPr>
          <w:rFonts w:hint="eastAsia"/>
          <w:color w:val="auto"/>
          <w:lang w:val="en-US" w:eastAsia="zh-CN"/>
        </w:rPr>
        <w:t>********</w:t>
      </w:r>
    </w:p>
    <w:p w14:paraId="346B3CD2">
      <w:pPr>
        <w:pStyle w:val="4"/>
        <w:bidi w:val="0"/>
        <w:rPr>
          <w:rFonts w:hint="eastAsia"/>
          <w:color w:val="auto"/>
        </w:rPr>
      </w:pPr>
      <w:bookmarkStart w:id="17" w:name="_Toc20098"/>
      <w:r>
        <w:rPr>
          <w:rFonts w:hint="eastAsia"/>
          <w:color w:val="auto"/>
          <w:lang w:val="en-US" w:eastAsia="zh-CN"/>
        </w:rPr>
        <w:t xml:space="preserve">2.1.2 </w:t>
      </w:r>
      <w:r>
        <w:rPr>
          <w:rFonts w:hint="eastAsia"/>
          <w:color w:val="auto"/>
        </w:rPr>
        <w:t>建设项目背景</w:t>
      </w:r>
      <w:bookmarkEnd w:id="17"/>
    </w:p>
    <w:p w14:paraId="15A75FBC">
      <w:pPr>
        <w:bidi w:val="0"/>
        <w:rPr>
          <w:rFonts w:hint="default" w:eastAsia="宋体"/>
          <w:color w:val="auto"/>
          <w:lang w:val="en-US" w:eastAsia="zh-CN"/>
        </w:rPr>
      </w:pPr>
      <w:r>
        <w:rPr>
          <w:rFonts w:hint="eastAsia"/>
          <w:color w:val="auto"/>
          <w:lang w:val="en-US" w:eastAsia="zh-CN"/>
        </w:rPr>
        <w:t>********</w:t>
      </w:r>
    </w:p>
    <w:p w14:paraId="34A17EF5">
      <w:pPr>
        <w:pStyle w:val="4"/>
        <w:bidi w:val="0"/>
        <w:rPr>
          <w:rFonts w:hint="eastAsia"/>
          <w:color w:val="auto"/>
        </w:rPr>
      </w:pPr>
      <w:bookmarkStart w:id="18" w:name="_Toc26152"/>
      <w:r>
        <w:rPr>
          <w:rFonts w:hint="eastAsia"/>
          <w:color w:val="auto"/>
        </w:rPr>
        <w:t>2.1.3 项目建设审批情况慨况</w:t>
      </w:r>
      <w:bookmarkEnd w:id="18"/>
    </w:p>
    <w:p w14:paraId="2CF775CC">
      <w:pPr>
        <w:bidi w:val="0"/>
        <w:rPr>
          <w:rFonts w:hint="default" w:eastAsia="宋体"/>
          <w:color w:val="auto"/>
          <w:lang w:val="en-US" w:eastAsia="zh-CN"/>
        </w:rPr>
      </w:pPr>
      <w:r>
        <w:rPr>
          <w:rFonts w:hint="eastAsia"/>
          <w:color w:val="auto"/>
          <w:lang w:val="en-US" w:eastAsia="zh-CN"/>
        </w:rPr>
        <w:t>********</w:t>
      </w:r>
    </w:p>
    <w:p w14:paraId="21000311">
      <w:pPr>
        <w:pStyle w:val="4"/>
        <w:bidi w:val="0"/>
        <w:rPr>
          <w:rFonts w:hint="eastAsia"/>
          <w:color w:val="auto"/>
        </w:rPr>
      </w:pPr>
      <w:bookmarkStart w:id="19" w:name="_Toc8069"/>
      <w:r>
        <w:rPr>
          <w:rFonts w:hint="eastAsia"/>
          <w:color w:val="auto"/>
        </w:rPr>
        <w:t>2.</w:t>
      </w:r>
      <w:r>
        <w:rPr>
          <w:rFonts w:hint="eastAsia"/>
          <w:color w:val="auto"/>
          <w:lang w:val="en-US" w:eastAsia="zh-CN"/>
        </w:rPr>
        <w:t xml:space="preserve">1.4 </w:t>
      </w:r>
      <w:r>
        <w:rPr>
          <w:rFonts w:hint="eastAsia"/>
          <w:color w:val="auto"/>
        </w:rPr>
        <w:t>项目产业政策的符合性</w:t>
      </w:r>
      <w:bookmarkEnd w:id="19"/>
    </w:p>
    <w:p w14:paraId="1D21A828">
      <w:pPr>
        <w:bidi w:val="0"/>
        <w:rPr>
          <w:rFonts w:hint="eastAsia"/>
          <w:color w:val="auto"/>
        </w:rPr>
      </w:pPr>
      <w:r>
        <w:rPr>
          <w:rFonts w:hint="eastAsia"/>
          <w:color w:val="auto"/>
        </w:rPr>
        <w:t>依据《产业结构调整指导目录（20</w:t>
      </w:r>
      <w:r>
        <w:rPr>
          <w:rFonts w:hint="eastAsia"/>
          <w:color w:val="auto"/>
          <w:lang w:val="en-US" w:eastAsia="zh-CN"/>
        </w:rPr>
        <w:t>24</w:t>
      </w:r>
      <w:r>
        <w:rPr>
          <w:rFonts w:hint="eastAsia"/>
          <w:color w:val="auto"/>
        </w:rPr>
        <w:t>年</w:t>
      </w:r>
      <w:r>
        <w:rPr>
          <w:rFonts w:hint="eastAsia"/>
          <w:color w:val="auto"/>
          <w:lang w:val="en-US" w:eastAsia="zh-CN"/>
        </w:rPr>
        <w:t>版</w:t>
      </w:r>
      <w:r>
        <w:rPr>
          <w:rFonts w:hint="eastAsia"/>
          <w:color w:val="auto"/>
        </w:rPr>
        <w:t>）》</w:t>
      </w:r>
      <w:r>
        <w:rPr>
          <w:rFonts w:hint="eastAsia"/>
          <w:color w:val="auto"/>
          <w:lang w:eastAsia="zh-CN"/>
        </w:rPr>
        <w:t>（经2023年12月1日第6次委务会议审议通过，自2024年2月1日起施行）</w:t>
      </w:r>
      <w:r>
        <w:rPr>
          <w:rFonts w:hint="eastAsia"/>
          <w:color w:val="auto"/>
        </w:rPr>
        <w:t>，该项目未被列入限制类、淘汰类。</w:t>
      </w:r>
    </w:p>
    <w:p w14:paraId="155A1CDE">
      <w:pPr>
        <w:pStyle w:val="3"/>
        <w:bidi w:val="0"/>
        <w:rPr>
          <w:rFonts w:hint="default" w:eastAsia="黑体"/>
          <w:color w:val="auto"/>
          <w:lang w:val="en-US" w:eastAsia="zh-CN"/>
        </w:rPr>
      </w:pPr>
      <w:bookmarkStart w:id="20" w:name="_Toc15543"/>
      <w:r>
        <w:rPr>
          <w:rFonts w:hint="eastAsia"/>
          <w:color w:val="auto"/>
          <w:lang w:val="en-US" w:eastAsia="zh-CN"/>
        </w:rPr>
        <w:t xml:space="preserve">2.2 </w:t>
      </w:r>
      <w:r>
        <w:rPr>
          <w:rFonts w:hint="eastAsia"/>
          <w:color w:val="auto"/>
        </w:rPr>
        <w:t>项目地理位置</w:t>
      </w:r>
      <w:r>
        <w:rPr>
          <w:rFonts w:hint="eastAsia"/>
          <w:color w:val="auto"/>
          <w:lang w:val="en-US" w:eastAsia="zh-CN"/>
        </w:rPr>
        <w:t>和自然环境</w:t>
      </w:r>
      <w:bookmarkEnd w:id="20"/>
    </w:p>
    <w:p w14:paraId="74020782">
      <w:pPr>
        <w:pStyle w:val="4"/>
        <w:bidi w:val="0"/>
        <w:rPr>
          <w:color w:val="auto"/>
        </w:rPr>
      </w:pPr>
      <w:bookmarkStart w:id="21" w:name="_Toc27316"/>
      <w:r>
        <w:rPr>
          <w:rFonts w:hint="eastAsia"/>
          <w:color w:val="auto"/>
          <w:lang w:val="en-US" w:eastAsia="zh-CN"/>
        </w:rPr>
        <w:t xml:space="preserve">2.2.1 </w:t>
      </w:r>
      <w:r>
        <w:rPr>
          <w:rFonts w:hint="eastAsia"/>
          <w:color w:val="auto"/>
        </w:rPr>
        <w:t>项目地理位置及交通情况</w:t>
      </w:r>
      <w:bookmarkEnd w:id="21"/>
    </w:p>
    <w:p w14:paraId="3E83E5BD">
      <w:pPr>
        <w:bidi w:val="0"/>
        <w:rPr>
          <w:rFonts w:hint="eastAsia"/>
          <w:color w:val="auto"/>
          <w:lang w:eastAsia="zh-CN"/>
        </w:rPr>
      </w:pPr>
      <w:r>
        <w:rPr>
          <w:rFonts w:hint="eastAsia"/>
          <w:color w:val="auto"/>
          <w:lang w:eastAsia="zh-CN"/>
        </w:rPr>
        <w:t>武定县位于滇中高原北部，云贵高原西侧，楚雄彝族自治州东部，地跨东经101°55′至102°29′、北纬25°20′至26°11′，全境东西宽52km，南北长94km，东邻禄劝县，南与禄丰县、富民县毗邻，西与元谋县接壤，北与四川会理县隔金沙江相望。猫街镇隶属于云南省楚雄彝族自治州武定县，位于武定县西南部，地处金沙江在武定县境内的最大支流勐果河上游，距县城29公里。东邻本县狮山镇，南邻禄丰县中村乡，西接元谋县羊街镇，北与高桥镇、白路乡毗邻，东西最大跨度36.8公里，南北最长纵横线40.1公里，辖区国土面积447平方公里，境内最高海拔2783米（麦地冲村委会松老山），最低海拔1980米（汤郎村委会普者龙）。</w:t>
      </w:r>
    </w:p>
    <w:p w14:paraId="65CA810A">
      <w:pPr>
        <w:bidi w:val="0"/>
        <w:rPr>
          <w:rFonts w:hint="default" w:eastAsia="宋体"/>
          <w:color w:val="auto"/>
          <w:lang w:val="en-US" w:eastAsia="zh-CN"/>
        </w:rPr>
      </w:pPr>
      <w:r>
        <w:rPr>
          <w:rFonts w:hint="eastAsia"/>
          <w:color w:val="auto"/>
          <w:lang w:val="en-US" w:eastAsia="zh-CN"/>
        </w:rPr>
        <w:t>********</w:t>
      </w:r>
    </w:p>
    <w:p w14:paraId="4405FA44">
      <w:pPr>
        <w:bidi w:val="0"/>
        <w:ind w:left="0" w:leftChars="0" w:firstLine="0" w:firstLineChars="0"/>
        <w:jc w:val="center"/>
        <w:rPr>
          <w:rFonts w:hint="default" w:eastAsia="宋体"/>
          <w:color w:val="auto"/>
          <w:lang w:val="en-US" w:eastAsia="zh-CN"/>
        </w:rPr>
      </w:pPr>
      <w:r>
        <w:rPr>
          <w:rFonts w:hint="eastAsia"/>
          <w:color w:val="auto"/>
          <w:lang w:val="en-US" w:eastAsia="zh-CN"/>
        </w:rPr>
        <w:t>**********</w:t>
      </w:r>
    </w:p>
    <w:p w14:paraId="65F40163">
      <w:pPr>
        <w:pStyle w:val="29"/>
        <w:bidi w:val="0"/>
        <w:rPr>
          <w:color w:val="auto"/>
        </w:rPr>
      </w:pPr>
      <w:r>
        <w:rPr>
          <w:rFonts w:hint="eastAsia"/>
          <w:color w:val="auto"/>
        </w:rPr>
        <w:t>图2.</w:t>
      </w:r>
      <w:r>
        <w:rPr>
          <w:rFonts w:hint="eastAsia"/>
          <w:color w:val="auto"/>
          <w:lang w:val="en-US" w:eastAsia="zh-CN"/>
        </w:rPr>
        <w:t>2</w:t>
      </w:r>
      <w:r>
        <w:rPr>
          <w:rFonts w:hint="eastAsia"/>
          <w:color w:val="auto"/>
        </w:rPr>
        <w:t>-1 项目交通位置图</w:t>
      </w:r>
    </w:p>
    <w:p w14:paraId="266F58A5">
      <w:pPr>
        <w:pStyle w:val="4"/>
        <w:bidi w:val="0"/>
        <w:rPr>
          <w:color w:val="auto"/>
        </w:rPr>
      </w:pPr>
      <w:bookmarkStart w:id="22" w:name="_Toc27571"/>
      <w:r>
        <w:rPr>
          <w:rFonts w:hint="eastAsia"/>
          <w:color w:val="auto"/>
          <w:lang w:val="en-US" w:eastAsia="zh-CN"/>
        </w:rPr>
        <w:t xml:space="preserve">2.2.2 </w:t>
      </w:r>
      <w:r>
        <w:rPr>
          <w:rFonts w:hint="eastAsia"/>
          <w:color w:val="auto"/>
        </w:rPr>
        <w:t>周边环境</w:t>
      </w:r>
      <w:bookmarkEnd w:id="22"/>
    </w:p>
    <w:p w14:paraId="48108E89">
      <w:pPr>
        <w:bidi w:val="0"/>
        <w:rPr>
          <w:rFonts w:hint="default" w:eastAsia="宋体"/>
          <w:color w:val="auto"/>
          <w:lang w:val="en-US" w:eastAsia="zh-CN"/>
        </w:rPr>
      </w:pPr>
      <w:r>
        <w:rPr>
          <w:rFonts w:hint="eastAsia"/>
          <w:color w:val="auto"/>
          <w:lang w:val="en-US" w:eastAsia="zh-CN"/>
        </w:rPr>
        <w:t>************</w:t>
      </w:r>
    </w:p>
    <w:p w14:paraId="0120544E">
      <w:pPr>
        <w:pStyle w:val="29"/>
        <w:bidi w:val="0"/>
        <w:rPr>
          <w:color w:val="auto"/>
        </w:rPr>
      </w:pPr>
      <w:r>
        <w:rPr>
          <w:rFonts w:hint="eastAsia"/>
          <w:color w:val="auto"/>
        </w:rPr>
        <w:t>表2.</w:t>
      </w:r>
      <w:r>
        <w:rPr>
          <w:rFonts w:hint="eastAsia"/>
          <w:color w:val="auto"/>
          <w:lang w:val="en-US" w:eastAsia="zh-CN"/>
        </w:rPr>
        <w:t>2</w:t>
      </w:r>
      <w:r>
        <w:rPr>
          <w:rFonts w:hint="eastAsia"/>
          <w:color w:val="auto"/>
        </w:rPr>
        <w:t>-1  项目与周边</w:t>
      </w:r>
      <w:r>
        <w:rPr>
          <w:rFonts w:hint="eastAsia"/>
          <w:color w:val="auto"/>
          <w:lang w:val="en-US" w:eastAsia="zh-CN"/>
        </w:rPr>
        <w:t>建筑防火的</w:t>
      </w:r>
      <w:r>
        <w:rPr>
          <w:rFonts w:hint="eastAsia"/>
          <w:color w:val="auto"/>
        </w:rPr>
        <w:t>安全距离表（m）</w:t>
      </w:r>
    </w:p>
    <w:p w14:paraId="76546D59">
      <w:pPr>
        <w:spacing w:line="240" w:lineRule="auto"/>
        <w:ind w:left="0" w:leftChars="0" w:right="0" w:rightChars="0" w:firstLine="0" w:firstLineChars="0"/>
        <w:jc w:val="center"/>
        <w:rPr>
          <w:rFonts w:hint="default" w:eastAsia="宋体"/>
          <w:color w:val="auto"/>
          <w:lang w:val="en-US" w:eastAsia="zh-CN"/>
        </w:rPr>
      </w:pPr>
      <w:r>
        <w:rPr>
          <w:rFonts w:hint="eastAsia"/>
          <w:color w:val="auto"/>
          <w:lang w:val="en-US" w:eastAsia="zh-CN"/>
        </w:rPr>
        <w:t>*************</w:t>
      </w:r>
    </w:p>
    <w:p w14:paraId="104800A7">
      <w:pPr>
        <w:spacing w:line="240" w:lineRule="auto"/>
        <w:jc w:val="center"/>
        <w:rPr>
          <w:b/>
          <w:bCs/>
          <w:color w:val="auto"/>
          <w:sz w:val="24"/>
          <w:szCs w:val="24"/>
        </w:rPr>
      </w:pPr>
      <w:r>
        <w:rPr>
          <w:rFonts w:hint="eastAsia"/>
          <w:b/>
          <w:bCs/>
          <w:color w:val="auto"/>
          <w:sz w:val="24"/>
          <w:szCs w:val="24"/>
        </w:rPr>
        <w:t>图2.</w:t>
      </w:r>
      <w:r>
        <w:rPr>
          <w:rFonts w:hint="eastAsia"/>
          <w:b/>
          <w:bCs/>
          <w:color w:val="auto"/>
          <w:sz w:val="24"/>
          <w:szCs w:val="24"/>
          <w:lang w:val="en-US" w:eastAsia="zh-CN"/>
        </w:rPr>
        <w:t>2</w:t>
      </w:r>
      <w:r>
        <w:rPr>
          <w:rFonts w:hint="eastAsia"/>
          <w:b/>
          <w:bCs/>
          <w:color w:val="auto"/>
          <w:sz w:val="24"/>
          <w:szCs w:val="24"/>
        </w:rPr>
        <w:t>-</w:t>
      </w:r>
      <w:r>
        <w:rPr>
          <w:b/>
          <w:bCs/>
          <w:color w:val="auto"/>
          <w:sz w:val="24"/>
          <w:szCs w:val="24"/>
        </w:rPr>
        <w:t>2</w:t>
      </w:r>
      <w:r>
        <w:rPr>
          <w:rFonts w:hint="eastAsia"/>
          <w:b/>
          <w:bCs/>
          <w:color w:val="auto"/>
          <w:sz w:val="24"/>
          <w:szCs w:val="24"/>
        </w:rPr>
        <w:t xml:space="preserve"> 周边环境图</w:t>
      </w:r>
    </w:p>
    <w:p w14:paraId="04F10832">
      <w:pPr>
        <w:pStyle w:val="4"/>
        <w:bidi w:val="0"/>
        <w:rPr>
          <w:rFonts w:hint="eastAsia"/>
          <w:color w:val="auto"/>
        </w:rPr>
      </w:pPr>
      <w:bookmarkStart w:id="23" w:name="_Toc13505"/>
      <w:r>
        <w:rPr>
          <w:rFonts w:hint="eastAsia"/>
          <w:color w:val="auto"/>
          <w:lang w:val="en-US" w:eastAsia="zh-CN"/>
        </w:rPr>
        <w:t xml:space="preserve">2.2.3 </w:t>
      </w:r>
      <w:r>
        <w:rPr>
          <w:rFonts w:hint="eastAsia"/>
          <w:color w:val="auto"/>
        </w:rPr>
        <w:t>气象条件</w:t>
      </w:r>
      <w:bookmarkEnd w:id="23"/>
    </w:p>
    <w:p w14:paraId="570BA142">
      <w:pPr>
        <w:bidi w:val="0"/>
        <w:rPr>
          <w:rFonts w:hint="eastAsia"/>
          <w:color w:val="auto"/>
        </w:rPr>
      </w:pPr>
      <w:r>
        <w:rPr>
          <w:rFonts w:hint="eastAsia"/>
          <w:color w:val="auto"/>
        </w:rPr>
        <w:t>武定县属北亚热带高原季风气候，由于地形高差悬殊，立体气候显著。气候具有滇中地区气候的低纬、高原和受季风控制的特点。气候总的特征为：气候温和，冬无严寒，夏无酷暑。气温日温差大（19℃），年温差小（13.2℃）。夏秋雨量充沛，冬春雨量不足，立体气候显著。全县受地形、地势的影响，气候垂直分布明显。从金少江谷地到白龙会山峰，随着海拔的升高依次出现中亚热带、北亚热带、南温带、北温带等气候类型。</w:t>
      </w:r>
    </w:p>
    <w:p w14:paraId="0303744A">
      <w:pPr>
        <w:bidi w:val="0"/>
        <w:rPr>
          <w:rFonts w:hint="eastAsia"/>
          <w:color w:val="auto"/>
        </w:rPr>
      </w:pPr>
      <w:r>
        <w:rPr>
          <w:rFonts w:hint="eastAsia"/>
          <w:color w:val="auto"/>
        </w:rPr>
        <w:t>全县年平均气温15.1℃，最热月平均气温21℃，最冷月平均气温3.7℃，无霜期235天。县城所在地狮山镇历年平均气温15.1℃，极端最高温34.5℃，极端最低温-6.4℃，年≥10℃积温5541.5℃，最热月7月平均气温20.7℃，最冷月1月平均气温7.4℃。境内降水不均，大致从东南部的1000mm左右向北递减。东西两侧山地多雨，年平均降雨量1000～1100mm，金沙江河谷为少雨区，年降水在600mm左右；全县年均降水量988.6mm，主要集中在夏秋，雨季（5～10月）降水量占全年90.5%。全年主导风向为西南风，平均风速2.5m/s。</w:t>
      </w:r>
    </w:p>
    <w:p w14:paraId="4DC6D72B">
      <w:pPr>
        <w:pStyle w:val="4"/>
        <w:bidi w:val="0"/>
        <w:rPr>
          <w:rFonts w:hint="eastAsia"/>
          <w:color w:val="auto"/>
        </w:rPr>
      </w:pPr>
      <w:bookmarkStart w:id="24" w:name="_Toc28322"/>
      <w:r>
        <w:rPr>
          <w:rFonts w:hint="eastAsia"/>
          <w:color w:val="auto"/>
          <w:lang w:val="en-US" w:eastAsia="zh-CN"/>
        </w:rPr>
        <w:t xml:space="preserve">2.2.4 </w:t>
      </w:r>
      <w:r>
        <w:rPr>
          <w:rFonts w:hint="eastAsia"/>
          <w:color w:val="auto"/>
        </w:rPr>
        <w:t>地形地貌</w:t>
      </w:r>
      <w:bookmarkEnd w:id="24"/>
    </w:p>
    <w:p w14:paraId="74C2D80D">
      <w:pPr>
        <w:bidi w:val="0"/>
        <w:rPr>
          <w:rFonts w:hint="eastAsia"/>
          <w:color w:val="auto"/>
        </w:rPr>
      </w:pPr>
      <w:r>
        <w:rPr>
          <w:rFonts w:hint="eastAsia"/>
          <w:color w:val="auto"/>
        </w:rPr>
        <w:t>武定县所在区域地质上处于滇中经纬构造带和云南山字型构造脊柱复合部位，地质构造可以易门——西昌深断裂为界分东西两区。易门——西昌深断裂，南自峨山——易门——罗次，经武定的白花山——滑坡——中干河——插甸——山品——大西邑——汤德古，经北过金沙江进入四川。其它有一系列次级和分支断层，在武定境内较大的有罗次——小仓逆断层，沙外河——白花山逆断层，海雁山——插甸断层，分支断层皆北东——南西方向延伸，和主断层组成“入”字型构造。场地内无大的断层通过，属构造相对稳定地段。</w:t>
      </w:r>
    </w:p>
    <w:p w14:paraId="028353B8">
      <w:pPr>
        <w:bidi w:val="0"/>
        <w:rPr>
          <w:rFonts w:hint="eastAsia"/>
          <w:color w:val="auto"/>
        </w:rPr>
      </w:pPr>
      <w:r>
        <w:rPr>
          <w:rFonts w:hint="eastAsia"/>
          <w:color w:val="auto"/>
        </w:rPr>
        <w:t>选厂场地地处属山麓斜坡堆积成因地貌单元的陡坡地段；拟建场地现状为耕地及林地，部分地段地形起伏较大，呈台阶式分布。拟建勘察场地各勘探点</w:t>
      </w:r>
      <w:r>
        <w:rPr>
          <w:rFonts w:hint="eastAsia"/>
          <w:color w:val="auto"/>
          <w:lang w:eastAsia="zh-CN"/>
        </w:rPr>
        <w:t>（</w:t>
      </w:r>
      <w:r>
        <w:rPr>
          <w:rFonts w:hint="eastAsia"/>
          <w:color w:val="auto"/>
        </w:rPr>
        <w:t>钻孔</w:t>
      </w:r>
      <w:r>
        <w:rPr>
          <w:rFonts w:hint="eastAsia"/>
          <w:color w:val="auto"/>
          <w:lang w:eastAsia="zh-CN"/>
        </w:rPr>
        <w:t>）</w:t>
      </w:r>
      <w:r>
        <w:rPr>
          <w:rFonts w:hint="eastAsia"/>
          <w:color w:val="auto"/>
        </w:rPr>
        <w:t>位置的地面高程在2130.45</w:t>
      </w:r>
      <w:r>
        <w:rPr>
          <w:rFonts w:hint="eastAsia"/>
          <w:color w:val="auto"/>
          <w:lang w:val="en-US" w:eastAsia="zh-CN"/>
        </w:rPr>
        <w:t>m</w:t>
      </w:r>
      <w:r>
        <w:rPr>
          <w:rFonts w:hint="eastAsia"/>
          <w:color w:val="auto"/>
          <w:lang w:eastAsia="zh-CN"/>
        </w:rPr>
        <w:t>（</w:t>
      </w:r>
      <w:r>
        <w:rPr>
          <w:rFonts w:hint="eastAsia"/>
          <w:color w:val="auto"/>
        </w:rPr>
        <w:t>ZK3</w:t>
      </w:r>
      <w:r>
        <w:rPr>
          <w:rFonts w:hint="eastAsia"/>
          <w:color w:val="auto"/>
          <w:lang w:eastAsia="zh-CN"/>
        </w:rPr>
        <w:t>）</w:t>
      </w:r>
      <w:r>
        <w:rPr>
          <w:rFonts w:hint="eastAsia"/>
          <w:color w:val="auto"/>
        </w:rPr>
        <w:t>至2165.73</w:t>
      </w:r>
      <w:r>
        <w:rPr>
          <w:rFonts w:hint="eastAsia"/>
          <w:color w:val="auto"/>
          <w:lang w:eastAsia="zh-CN"/>
        </w:rPr>
        <w:t>（</w:t>
      </w:r>
      <w:r>
        <w:rPr>
          <w:rFonts w:hint="eastAsia"/>
          <w:color w:val="auto"/>
        </w:rPr>
        <w:t>ZK17</w:t>
      </w:r>
      <w:r>
        <w:rPr>
          <w:rFonts w:hint="eastAsia"/>
          <w:color w:val="auto"/>
          <w:lang w:eastAsia="zh-CN"/>
        </w:rPr>
        <w:t>）</w:t>
      </w:r>
      <w:r>
        <w:rPr>
          <w:rFonts w:hint="eastAsia"/>
          <w:color w:val="auto"/>
        </w:rPr>
        <w:t>之间，高程差35.28</w:t>
      </w:r>
      <w:r>
        <w:rPr>
          <w:rFonts w:hint="eastAsia"/>
          <w:color w:val="auto"/>
          <w:lang w:val="en-US" w:eastAsia="zh-CN"/>
        </w:rPr>
        <w:t>m</w:t>
      </w:r>
      <w:r>
        <w:rPr>
          <w:rFonts w:hint="eastAsia"/>
          <w:color w:val="auto"/>
        </w:rPr>
        <w:t>，地形较陡、起伏较大。场地周围最高点位于南部的回水池，标高为2165.00m，最低点为北侧精矿脱水平台，标高为2130.50m，最大相对高差34.5m，地势较为高差大，呈台阶布置。现状场地植被稀疏，现状选厂已经建成。</w:t>
      </w:r>
    </w:p>
    <w:p w14:paraId="5014EB4D">
      <w:pPr>
        <w:pStyle w:val="4"/>
        <w:bidi w:val="0"/>
        <w:rPr>
          <w:rFonts w:hint="eastAsia"/>
          <w:color w:val="auto"/>
        </w:rPr>
      </w:pPr>
      <w:bookmarkStart w:id="25" w:name="_Toc22095"/>
      <w:r>
        <w:rPr>
          <w:rFonts w:hint="eastAsia"/>
          <w:color w:val="auto"/>
          <w:lang w:val="en-US" w:eastAsia="zh-CN"/>
        </w:rPr>
        <w:t xml:space="preserve">2.2.5 </w:t>
      </w:r>
      <w:r>
        <w:rPr>
          <w:rFonts w:hint="eastAsia"/>
          <w:color w:val="auto"/>
        </w:rPr>
        <w:t>水文</w:t>
      </w:r>
      <w:bookmarkEnd w:id="25"/>
    </w:p>
    <w:p w14:paraId="10E2CCF7">
      <w:pPr>
        <w:bidi w:val="0"/>
        <w:rPr>
          <w:rFonts w:hint="eastAsia"/>
          <w:color w:val="auto"/>
        </w:rPr>
      </w:pPr>
      <w:r>
        <w:rPr>
          <w:rFonts w:hint="eastAsia"/>
          <w:color w:val="auto"/>
        </w:rPr>
        <w:t>武定县境内河流分属金沙江和红河两水系，全县长度大于10km的河流22条，其中20条属金沙江水系，分别由东、西、北三个方向出境，只有猫街河、底河向南流入红河。武定县境内以金沙江水系为主体，主要有勐果河流域，勐果河全长97km，总流域占面积的64.1%；南部猫街镇的秧草地、七排则属红河水系的星宿红河源，流域面积752.5hm</w:t>
      </w:r>
      <w:r>
        <w:rPr>
          <w:rFonts w:hint="eastAsia"/>
          <w:color w:val="auto"/>
          <w:vertAlign w:val="superscript"/>
        </w:rPr>
        <w:t>2</w:t>
      </w:r>
      <w:r>
        <w:rPr>
          <w:rFonts w:hint="eastAsia"/>
          <w:color w:val="auto"/>
        </w:rPr>
        <w:t>，占总面积的2.7%。</w:t>
      </w:r>
    </w:p>
    <w:p w14:paraId="7A26736F">
      <w:pPr>
        <w:pStyle w:val="4"/>
        <w:bidi w:val="0"/>
        <w:rPr>
          <w:rFonts w:hint="eastAsia"/>
          <w:color w:val="auto"/>
        </w:rPr>
      </w:pPr>
      <w:bookmarkStart w:id="26" w:name="_Toc8710"/>
      <w:r>
        <w:rPr>
          <w:rFonts w:hint="eastAsia"/>
          <w:color w:val="auto"/>
          <w:lang w:val="en-US" w:eastAsia="zh-CN"/>
        </w:rPr>
        <w:t xml:space="preserve">2.2.6 </w:t>
      </w:r>
      <w:r>
        <w:rPr>
          <w:rFonts w:hint="eastAsia"/>
          <w:color w:val="auto"/>
        </w:rPr>
        <w:t>地震</w:t>
      </w:r>
      <w:bookmarkEnd w:id="26"/>
    </w:p>
    <w:p w14:paraId="797BF065">
      <w:pPr>
        <w:bidi w:val="0"/>
        <w:rPr>
          <w:rFonts w:hint="eastAsia"/>
          <w:color w:val="auto"/>
        </w:rPr>
      </w:pPr>
      <w:r>
        <w:rPr>
          <w:rFonts w:hint="eastAsia"/>
          <w:color w:val="auto"/>
        </w:rPr>
        <w:t>《云南省区域地壳稳定性评价图》表明：选厂的区域地壳稳定性分区属滇中次稳定区</w:t>
      </w:r>
      <w:r>
        <w:rPr>
          <w:rFonts w:hint="eastAsia"/>
          <w:color w:val="auto"/>
          <w:lang w:eastAsia="zh-CN"/>
        </w:rPr>
        <w:t>（</w:t>
      </w:r>
      <w:r>
        <w:rPr>
          <w:rFonts w:hint="eastAsia"/>
          <w:color w:val="auto"/>
        </w:rPr>
        <w:t>Ⅲ</w:t>
      </w:r>
      <w:r>
        <w:rPr>
          <w:rFonts w:hint="eastAsia"/>
          <w:color w:val="auto"/>
          <w:lang w:eastAsia="zh-CN"/>
        </w:rPr>
        <w:t>）</w:t>
      </w:r>
      <w:r>
        <w:rPr>
          <w:rFonts w:hint="eastAsia"/>
          <w:color w:val="auto"/>
        </w:rPr>
        <w:t>。该区公元1466年</w:t>
      </w:r>
      <w:r>
        <w:rPr>
          <w:rFonts w:hint="eastAsia"/>
          <w:color w:val="auto"/>
          <w:lang w:eastAsia="zh-CN"/>
        </w:rPr>
        <w:t>（</w:t>
      </w:r>
      <w:r>
        <w:rPr>
          <w:rFonts w:hint="eastAsia"/>
          <w:color w:val="auto"/>
        </w:rPr>
        <w:t>至2001年</w:t>
      </w:r>
      <w:r>
        <w:rPr>
          <w:rFonts w:hint="eastAsia"/>
          <w:color w:val="auto"/>
          <w:lang w:eastAsia="zh-CN"/>
        </w:rPr>
        <w:t>）</w:t>
      </w:r>
      <w:r>
        <w:rPr>
          <w:rFonts w:hint="eastAsia"/>
          <w:color w:val="auto"/>
        </w:rPr>
        <w:t>以来共记录到5级以上地震20余次，其中6.0~6.5级地震3次。历史地震烈度Ⅵ~Ⅶ度、局部Ⅷ度，未来地震基本烈度Ⅶ度。《构筑物抗震设计规范》（GB50191-2012）及《中国地震动参数区划图》</w:t>
      </w:r>
      <w:r>
        <w:rPr>
          <w:rFonts w:hint="eastAsia"/>
          <w:color w:val="auto"/>
          <w:lang w:eastAsia="zh-CN"/>
        </w:rPr>
        <w:t>（</w:t>
      </w:r>
      <w:r>
        <w:rPr>
          <w:rFonts w:hint="eastAsia"/>
          <w:color w:val="auto"/>
        </w:rPr>
        <w:t>GB 18306-2015</w:t>
      </w:r>
      <w:r>
        <w:rPr>
          <w:rFonts w:hint="eastAsia"/>
          <w:color w:val="auto"/>
          <w:lang w:eastAsia="zh-CN"/>
        </w:rPr>
        <w:t>）</w:t>
      </w:r>
      <w:r>
        <w:rPr>
          <w:rFonts w:hint="eastAsia"/>
          <w:color w:val="auto"/>
        </w:rPr>
        <w:t>：武定县</w:t>
      </w:r>
      <w:r>
        <w:rPr>
          <w:rFonts w:hint="eastAsia"/>
          <w:color w:val="auto"/>
          <w:lang w:val="en-US" w:eastAsia="zh-CN"/>
        </w:rPr>
        <w:t>猫街</w:t>
      </w:r>
      <w:r>
        <w:rPr>
          <w:rFonts w:hint="eastAsia"/>
          <w:color w:val="auto"/>
        </w:rPr>
        <w:t>镇抗震设防烈度为7度，设计基本地震加速度值为0.15g，第三组。</w:t>
      </w:r>
    </w:p>
    <w:p w14:paraId="6642D0C8">
      <w:pPr>
        <w:pStyle w:val="3"/>
        <w:bidi w:val="0"/>
        <w:rPr>
          <w:rFonts w:hint="eastAsia"/>
          <w:color w:val="auto"/>
        </w:rPr>
      </w:pPr>
      <w:bookmarkStart w:id="27" w:name="_Toc11929"/>
      <w:r>
        <w:rPr>
          <w:rFonts w:hint="eastAsia"/>
          <w:color w:val="auto"/>
        </w:rPr>
        <w:t>2.</w:t>
      </w:r>
      <w:r>
        <w:rPr>
          <w:rFonts w:hint="eastAsia"/>
          <w:color w:val="auto"/>
          <w:lang w:val="en-US" w:eastAsia="zh-CN"/>
        </w:rPr>
        <w:t xml:space="preserve">3 </w:t>
      </w:r>
      <w:r>
        <w:rPr>
          <w:rFonts w:hint="eastAsia"/>
          <w:color w:val="auto"/>
        </w:rPr>
        <w:t>地质情况</w:t>
      </w:r>
      <w:bookmarkEnd w:id="27"/>
    </w:p>
    <w:p w14:paraId="2BAC132D">
      <w:pPr>
        <w:pStyle w:val="4"/>
        <w:bidi w:val="0"/>
        <w:rPr>
          <w:rFonts w:hint="eastAsia"/>
          <w:color w:val="auto"/>
        </w:rPr>
      </w:pPr>
      <w:bookmarkStart w:id="28" w:name="_Toc4583"/>
      <w:r>
        <w:rPr>
          <w:rFonts w:hint="eastAsia"/>
          <w:color w:val="auto"/>
        </w:rPr>
        <w:t>2.</w:t>
      </w:r>
      <w:r>
        <w:rPr>
          <w:rFonts w:hint="eastAsia"/>
          <w:color w:val="auto"/>
          <w:lang w:val="en-US" w:eastAsia="zh-CN"/>
        </w:rPr>
        <w:t>3</w:t>
      </w:r>
      <w:r>
        <w:rPr>
          <w:rFonts w:hint="eastAsia"/>
          <w:color w:val="auto"/>
        </w:rPr>
        <w:t>.1</w:t>
      </w:r>
      <w:r>
        <w:rPr>
          <w:rFonts w:hint="eastAsia"/>
          <w:color w:val="auto"/>
          <w:lang w:val="en-US" w:eastAsia="zh-CN"/>
        </w:rPr>
        <w:t xml:space="preserve"> </w:t>
      </w:r>
      <w:r>
        <w:rPr>
          <w:rFonts w:hint="eastAsia"/>
          <w:color w:val="auto"/>
        </w:rPr>
        <w:t>地质构造</w:t>
      </w:r>
      <w:bookmarkEnd w:id="28"/>
    </w:p>
    <w:p w14:paraId="176EBCD3">
      <w:pPr>
        <w:bidi w:val="0"/>
        <w:rPr>
          <w:rFonts w:hint="eastAsia"/>
          <w:color w:val="auto"/>
        </w:rPr>
      </w:pPr>
      <w:r>
        <w:rPr>
          <w:rFonts w:hint="eastAsia"/>
          <w:color w:val="auto"/>
        </w:rPr>
        <w:t>武定县所在区域地质上处于滇中经纬构造带和云南山字型构造脊柱复合部位，地质构造可以易门——西昌深断裂为界分东西两区。易门——西昌深断裂，南自峨山——易门——罗次，经武定的白花山——滑坡——中干河——插甸——山品——大西邑——汤德古，经北过金沙江进入四川。其它有一系列次级和分支断层，在武定境内较大的有罗次——小仓逆断层，沙外河——白花山逆断层，海雁山——插甸断层，分支断层皆北东——南西方向延伸，和主断层组成“入”字型构造。场地内无大的断层通过，属构造相对稳定地段。</w:t>
      </w:r>
    </w:p>
    <w:p w14:paraId="601580CE">
      <w:pPr>
        <w:bidi w:val="0"/>
        <w:rPr>
          <w:rFonts w:hint="eastAsia"/>
          <w:color w:val="auto"/>
        </w:rPr>
      </w:pPr>
      <w:r>
        <w:rPr>
          <w:rFonts w:hint="eastAsia"/>
          <w:color w:val="auto"/>
        </w:rPr>
        <w:t>选厂区内无区域性断层及子断层通过，区域性断裂：普渡河断裂和汤郎—易门断裂对场地的稳定性均不会产生直接影响，场地基本稳定。</w:t>
      </w:r>
    </w:p>
    <w:p w14:paraId="572A4133">
      <w:pPr>
        <w:pStyle w:val="4"/>
        <w:bidi w:val="0"/>
        <w:rPr>
          <w:rFonts w:hint="eastAsia"/>
          <w:color w:val="auto"/>
        </w:rPr>
      </w:pPr>
      <w:bookmarkStart w:id="29" w:name="_Toc1112"/>
      <w:r>
        <w:rPr>
          <w:rFonts w:hint="eastAsia"/>
          <w:color w:val="auto"/>
        </w:rPr>
        <w:t>2.</w:t>
      </w:r>
      <w:r>
        <w:rPr>
          <w:rFonts w:hint="eastAsia"/>
          <w:color w:val="auto"/>
          <w:lang w:val="en-US" w:eastAsia="zh-CN"/>
        </w:rPr>
        <w:t>3</w:t>
      </w:r>
      <w:r>
        <w:rPr>
          <w:rFonts w:hint="eastAsia"/>
          <w:color w:val="auto"/>
        </w:rPr>
        <w:t>.2</w:t>
      </w:r>
      <w:r>
        <w:rPr>
          <w:rFonts w:hint="eastAsia"/>
          <w:color w:val="auto"/>
          <w:lang w:val="en-US" w:eastAsia="zh-CN"/>
        </w:rPr>
        <w:t xml:space="preserve"> </w:t>
      </w:r>
      <w:r>
        <w:rPr>
          <w:rFonts w:hint="eastAsia"/>
          <w:color w:val="auto"/>
        </w:rPr>
        <w:t>不良地质作用</w:t>
      </w:r>
      <w:bookmarkEnd w:id="29"/>
    </w:p>
    <w:p w14:paraId="6329BA01">
      <w:pPr>
        <w:bidi w:val="0"/>
        <w:rPr>
          <w:rFonts w:hint="eastAsia"/>
          <w:color w:val="auto"/>
        </w:rPr>
      </w:pPr>
      <w:r>
        <w:rPr>
          <w:rFonts w:hint="eastAsia"/>
          <w:color w:val="auto"/>
        </w:rPr>
        <w:t>选厂已建成多年，工程场地现状为斜坡开挖平整而成的缓坡地貌，现状无岩溶、滑坡、危岩和崩塌、泥石流、采空区、大面积地面沉降等不良地质作用和地质灾害。场地现状是稳定的。</w:t>
      </w:r>
    </w:p>
    <w:p w14:paraId="7CE68085">
      <w:pPr>
        <w:pStyle w:val="3"/>
        <w:bidi w:val="0"/>
        <w:rPr>
          <w:rFonts w:hint="eastAsia"/>
          <w:color w:val="auto"/>
        </w:rPr>
      </w:pPr>
      <w:bookmarkStart w:id="30" w:name="_Toc29095"/>
      <w:r>
        <w:rPr>
          <w:rFonts w:hint="eastAsia"/>
          <w:color w:val="auto"/>
          <w:lang w:val="en-US" w:eastAsia="zh-CN"/>
        </w:rPr>
        <w:t xml:space="preserve">2.4 </w:t>
      </w:r>
      <w:r>
        <w:rPr>
          <w:rFonts w:hint="eastAsia"/>
          <w:color w:val="auto"/>
        </w:rPr>
        <w:t>原有设施利用及改建</w:t>
      </w:r>
      <w:bookmarkEnd w:id="30"/>
    </w:p>
    <w:p w14:paraId="6C2380CE">
      <w:pPr>
        <w:bidi w:val="0"/>
        <w:rPr>
          <w:rFonts w:hint="default" w:eastAsia="宋体"/>
          <w:color w:val="auto"/>
          <w:lang w:val="en-US" w:eastAsia="zh-CN"/>
        </w:rPr>
      </w:pPr>
      <w:r>
        <w:rPr>
          <w:rFonts w:hint="eastAsia"/>
          <w:color w:val="auto"/>
          <w:lang w:val="en-US" w:eastAsia="zh-CN"/>
        </w:rPr>
        <w:t>本项目</w:t>
      </w:r>
      <w:r>
        <w:rPr>
          <w:rFonts w:hint="eastAsia"/>
          <w:color w:val="auto"/>
        </w:rPr>
        <w:t>主要为增加铜精矿压滤脱水设施</w:t>
      </w:r>
      <w:r>
        <w:rPr>
          <w:rFonts w:hint="eastAsia"/>
          <w:color w:val="auto"/>
          <w:lang w:eastAsia="zh-CN"/>
        </w:rPr>
        <w:t>，</w:t>
      </w:r>
      <w:r>
        <w:rPr>
          <w:rFonts w:hint="eastAsia"/>
          <w:color w:val="auto"/>
          <w:lang w:val="en-US" w:eastAsia="zh-CN"/>
        </w:rPr>
        <w:t>其余设施设备利用原有。</w:t>
      </w:r>
    </w:p>
    <w:p w14:paraId="5C3E0762">
      <w:pPr>
        <w:pStyle w:val="29"/>
        <w:bidi w:val="0"/>
        <w:rPr>
          <w:rFonts w:hint="eastAsia"/>
          <w:color w:val="auto"/>
          <w:lang w:val="en-US" w:eastAsia="zh-CN"/>
        </w:rPr>
      </w:pPr>
      <w:r>
        <w:rPr>
          <w:rFonts w:hint="eastAsia"/>
          <w:color w:val="auto"/>
        </w:rPr>
        <w:t>表2.</w:t>
      </w:r>
      <w:r>
        <w:rPr>
          <w:rFonts w:hint="eastAsia"/>
          <w:color w:val="auto"/>
          <w:lang w:val="en-US" w:eastAsia="zh-CN"/>
        </w:rPr>
        <w:t>4</w:t>
      </w:r>
      <w:r>
        <w:rPr>
          <w:rFonts w:hint="eastAsia"/>
          <w:color w:val="auto"/>
        </w:rPr>
        <w:t>-1  原有设施利用及改建</w:t>
      </w:r>
      <w:r>
        <w:rPr>
          <w:rFonts w:hint="eastAsia"/>
          <w:color w:val="auto"/>
          <w:lang w:val="en-US" w:eastAsia="zh-CN"/>
        </w:rPr>
        <w:t>情况</w:t>
      </w:r>
    </w:p>
    <w:tbl>
      <w:tblPr>
        <w:tblStyle w:val="2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
        <w:gridCol w:w="787"/>
        <w:gridCol w:w="1348"/>
        <w:gridCol w:w="2662"/>
        <w:gridCol w:w="1628"/>
        <w:gridCol w:w="1855"/>
      </w:tblGrid>
      <w:tr w14:paraId="4BCD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93" w:type="pct"/>
            <w:vAlign w:val="center"/>
          </w:tcPr>
          <w:p w14:paraId="5F957200">
            <w:pPr>
              <w:pStyle w:val="30"/>
              <w:bidi w:val="0"/>
              <w:rPr>
                <w:b/>
                <w:bCs/>
                <w:color w:val="auto"/>
              </w:rPr>
            </w:pPr>
            <w:r>
              <w:rPr>
                <w:b/>
                <w:bCs/>
                <w:color w:val="auto"/>
              </w:rPr>
              <w:t>项目属性</w:t>
            </w:r>
          </w:p>
        </w:tc>
        <w:tc>
          <w:tcPr>
            <w:tcW w:w="1136" w:type="pct"/>
            <w:gridSpan w:val="2"/>
            <w:vAlign w:val="center"/>
          </w:tcPr>
          <w:p w14:paraId="03435EF8">
            <w:pPr>
              <w:pStyle w:val="30"/>
              <w:bidi w:val="0"/>
              <w:rPr>
                <w:b/>
                <w:bCs/>
                <w:color w:val="auto"/>
              </w:rPr>
            </w:pPr>
            <w:r>
              <w:rPr>
                <w:b/>
                <w:bCs/>
                <w:color w:val="auto"/>
              </w:rPr>
              <w:t>项目名称</w:t>
            </w:r>
          </w:p>
        </w:tc>
        <w:tc>
          <w:tcPr>
            <w:tcW w:w="1416" w:type="pct"/>
            <w:vAlign w:val="center"/>
          </w:tcPr>
          <w:p w14:paraId="4A9EF1F6">
            <w:pPr>
              <w:pStyle w:val="30"/>
              <w:bidi w:val="0"/>
              <w:rPr>
                <w:b/>
                <w:bCs/>
                <w:color w:val="auto"/>
              </w:rPr>
            </w:pPr>
            <w:r>
              <w:rPr>
                <w:b/>
                <w:bCs/>
                <w:color w:val="auto"/>
              </w:rPr>
              <w:t>现有工程</w:t>
            </w:r>
          </w:p>
        </w:tc>
        <w:tc>
          <w:tcPr>
            <w:tcW w:w="866" w:type="pct"/>
            <w:vAlign w:val="center"/>
          </w:tcPr>
          <w:p w14:paraId="4EB5481B">
            <w:pPr>
              <w:pStyle w:val="30"/>
              <w:bidi w:val="0"/>
              <w:rPr>
                <w:b/>
                <w:bCs/>
                <w:color w:val="auto"/>
              </w:rPr>
            </w:pPr>
            <w:r>
              <w:rPr>
                <w:b/>
                <w:bCs/>
                <w:color w:val="auto"/>
              </w:rPr>
              <w:t>技改工程</w:t>
            </w:r>
          </w:p>
        </w:tc>
        <w:tc>
          <w:tcPr>
            <w:tcW w:w="987" w:type="pct"/>
            <w:vAlign w:val="center"/>
          </w:tcPr>
          <w:p w14:paraId="1B9C0735">
            <w:pPr>
              <w:pStyle w:val="30"/>
              <w:bidi w:val="0"/>
              <w:rPr>
                <w:b/>
                <w:bCs/>
                <w:color w:val="auto"/>
              </w:rPr>
            </w:pPr>
            <w:r>
              <w:rPr>
                <w:b/>
                <w:bCs/>
                <w:color w:val="auto"/>
              </w:rPr>
              <w:t>备注</w:t>
            </w:r>
          </w:p>
        </w:tc>
      </w:tr>
      <w:tr w14:paraId="77AF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vMerge w:val="restart"/>
            <w:vAlign w:val="center"/>
          </w:tcPr>
          <w:p w14:paraId="78985227">
            <w:pPr>
              <w:pStyle w:val="30"/>
              <w:bidi w:val="0"/>
              <w:rPr>
                <w:color w:val="auto"/>
              </w:rPr>
            </w:pPr>
            <w:r>
              <w:rPr>
                <w:color w:val="auto"/>
              </w:rPr>
              <w:t>主体</w:t>
            </w:r>
          </w:p>
          <w:p w14:paraId="1AA13F9E">
            <w:pPr>
              <w:pStyle w:val="30"/>
              <w:bidi w:val="0"/>
              <w:rPr>
                <w:color w:val="auto"/>
              </w:rPr>
            </w:pPr>
            <w:r>
              <w:rPr>
                <w:color w:val="auto"/>
              </w:rPr>
              <w:t>工程</w:t>
            </w:r>
          </w:p>
        </w:tc>
        <w:tc>
          <w:tcPr>
            <w:tcW w:w="1136" w:type="pct"/>
            <w:gridSpan w:val="2"/>
            <w:vAlign w:val="center"/>
          </w:tcPr>
          <w:p w14:paraId="37123E68">
            <w:pPr>
              <w:pStyle w:val="30"/>
              <w:bidi w:val="0"/>
              <w:rPr>
                <w:color w:val="auto"/>
              </w:rPr>
            </w:pPr>
            <w:r>
              <w:rPr>
                <w:color w:val="auto"/>
              </w:rPr>
              <w:t>原矿堆场</w:t>
            </w:r>
          </w:p>
        </w:tc>
        <w:tc>
          <w:tcPr>
            <w:tcW w:w="1416" w:type="pct"/>
            <w:vAlign w:val="center"/>
          </w:tcPr>
          <w:p w14:paraId="51F0E37D">
            <w:pPr>
              <w:pStyle w:val="30"/>
              <w:bidi w:val="0"/>
              <w:rPr>
                <w:color w:val="auto"/>
              </w:rPr>
            </w:pPr>
            <w:r>
              <w:rPr>
                <w:color w:val="auto"/>
              </w:rPr>
              <w:t>原矿堆场</w:t>
            </w:r>
          </w:p>
        </w:tc>
        <w:tc>
          <w:tcPr>
            <w:tcW w:w="866" w:type="pct"/>
            <w:vAlign w:val="center"/>
          </w:tcPr>
          <w:p w14:paraId="215405BC">
            <w:pPr>
              <w:pStyle w:val="30"/>
              <w:bidi w:val="0"/>
              <w:rPr>
                <w:color w:val="auto"/>
              </w:rPr>
            </w:pPr>
            <w:r>
              <w:rPr>
                <w:color w:val="auto"/>
              </w:rPr>
              <w:t>利用原有</w:t>
            </w:r>
          </w:p>
        </w:tc>
        <w:tc>
          <w:tcPr>
            <w:tcW w:w="987" w:type="pct"/>
            <w:vAlign w:val="center"/>
          </w:tcPr>
          <w:p w14:paraId="2F6CB02D">
            <w:pPr>
              <w:pStyle w:val="30"/>
              <w:bidi w:val="0"/>
              <w:rPr>
                <w:color w:val="auto"/>
              </w:rPr>
            </w:pPr>
          </w:p>
        </w:tc>
      </w:tr>
      <w:tr w14:paraId="6AE2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vMerge w:val="continue"/>
            <w:vAlign w:val="center"/>
          </w:tcPr>
          <w:p w14:paraId="20343736">
            <w:pPr>
              <w:pStyle w:val="30"/>
              <w:bidi w:val="0"/>
              <w:rPr>
                <w:color w:val="auto"/>
              </w:rPr>
            </w:pPr>
          </w:p>
        </w:tc>
        <w:tc>
          <w:tcPr>
            <w:tcW w:w="419" w:type="pct"/>
            <w:vMerge w:val="restart"/>
            <w:vAlign w:val="center"/>
          </w:tcPr>
          <w:p w14:paraId="0E36DDEC">
            <w:pPr>
              <w:pStyle w:val="30"/>
              <w:bidi w:val="0"/>
              <w:rPr>
                <w:color w:val="auto"/>
              </w:rPr>
            </w:pPr>
            <w:r>
              <w:rPr>
                <w:rFonts w:hint="eastAsia"/>
                <w:color w:val="auto"/>
              </w:rPr>
              <w:t>选矿车间</w:t>
            </w:r>
          </w:p>
        </w:tc>
        <w:tc>
          <w:tcPr>
            <w:tcW w:w="717" w:type="pct"/>
            <w:vAlign w:val="center"/>
          </w:tcPr>
          <w:p w14:paraId="69EC6F43">
            <w:pPr>
              <w:pStyle w:val="30"/>
              <w:bidi w:val="0"/>
              <w:rPr>
                <w:color w:val="auto"/>
              </w:rPr>
            </w:pPr>
            <w:r>
              <w:rPr>
                <w:color w:val="auto"/>
              </w:rPr>
              <w:t>磨矿</w:t>
            </w:r>
            <w:r>
              <w:rPr>
                <w:rFonts w:hint="eastAsia"/>
                <w:color w:val="auto"/>
              </w:rPr>
              <w:t>工序</w:t>
            </w:r>
          </w:p>
        </w:tc>
        <w:tc>
          <w:tcPr>
            <w:tcW w:w="1416" w:type="pct"/>
            <w:vAlign w:val="center"/>
          </w:tcPr>
          <w:p w14:paraId="2E7556F3">
            <w:pPr>
              <w:pStyle w:val="30"/>
              <w:bidi w:val="0"/>
              <w:rPr>
                <w:color w:val="auto"/>
              </w:rPr>
            </w:pPr>
            <w:r>
              <w:rPr>
                <w:color w:val="auto"/>
              </w:rPr>
              <w:t>磨矿设备设施</w:t>
            </w:r>
          </w:p>
        </w:tc>
        <w:tc>
          <w:tcPr>
            <w:tcW w:w="866" w:type="pct"/>
            <w:vAlign w:val="center"/>
          </w:tcPr>
          <w:p w14:paraId="66957A8C">
            <w:pPr>
              <w:pStyle w:val="30"/>
              <w:bidi w:val="0"/>
              <w:rPr>
                <w:color w:val="auto"/>
              </w:rPr>
            </w:pPr>
            <w:r>
              <w:rPr>
                <w:color w:val="auto"/>
              </w:rPr>
              <w:t>利用原有</w:t>
            </w:r>
          </w:p>
        </w:tc>
        <w:tc>
          <w:tcPr>
            <w:tcW w:w="987" w:type="pct"/>
            <w:vAlign w:val="center"/>
          </w:tcPr>
          <w:p w14:paraId="0F8B37A3">
            <w:pPr>
              <w:pStyle w:val="30"/>
              <w:bidi w:val="0"/>
              <w:rPr>
                <w:color w:val="auto"/>
              </w:rPr>
            </w:pPr>
          </w:p>
        </w:tc>
      </w:tr>
      <w:tr w14:paraId="0F7A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vMerge w:val="continue"/>
            <w:vAlign w:val="center"/>
          </w:tcPr>
          <w:p w14:paraId="7E5E91B4">
            <w:pPr>
              <w:pStyle w:val="30"/>
              <w:bidi w:val="0"/>
              <w:rPr>
                <w:color w:val="auto"/>
              </w:rPr>
            </w:pPr>
          </w:p>
        </w:tc>
        <w:tc>
          <w:tcPr>
            <w:tcW w:w="419" w:type="pct"/>
            <w:vMerge w:val="continue"/>
            <w:vAlign w:val="center"/>
          </w:tcPr>
          <w:p w14:paraId="0D08A300">
            <w:pPr>
              <w:pStyle w:val="30"/>
              <w:bidi w:val="0"/>
              <w:rPr>
                <w:color w:val="auto"/>
              </w:rPr>
            </w:pPr>
          </w:p>
        </w:tc>
        <w:tc>
          <w:tcPr>
            <w:tcW w:w="717" w:type="pct"/>
            <w:vAlign w:val="center"/>
          </w:tcPr>
          <w:p w14:paraId="1F61ED2D">
            <w:pPr>
              <w:pStyle w:val="30"/>
              <w:bidi w:val="0"/>
              <w:rPr>
                <w:color w:val="auto"/>
              </w:rPr>
            </w:pPr>
            <w:r>
              <w:rPr>
                <w:rFonts w:hint="eastAsia"/>
                <w:color w:val="auto"/>
              </w:rPr>
              <w:t>浮选工序</w:t>
            </w:r>
          </w:p>
        </w:tc>
        <w:tc>
          <w:tcPr>
            <w:tcW w:w="1416" w:type="pct"/>
            <w:vAlign w:val="center"/>
          </w:tcPr>
          <w:p w14:paraId="0AD49757">
            <w:pPr>
              <w:pStyle w:val="30"/>
              <w:bidi w:val="0"/>
              <w:rPr>
                <w:color w:val="auto"/>
              </w:rPr>
            </w:pPr>
            <w:r>
              <w:rPr>
                <w:rFonts w:hint="eastAsia"/>
                <w:color w:val="auto"/>
              </w:rPr>
              <w:t>浮选</w:t>
            </w:r>
            <w:r>
              <w:rPr>
                <w:color w:val="auto"/>
              </w:rPr>
              <w:t>设备设施</w:t>
            </w:r>
          </w:p>
        </w:tc>
        <w:tc>
          <w:tcPr>
            <w:tcW w:w="866" w:type="pct"/>
            <w:vAlign w:val="center"/>
          </w:tcPr>
          <w:p w14:paraId="18BE9CBB">
            <w:pPr>
              <w:pStyle w:val="30"/>
              <w:bidi w:val="0"/>
              <w:rPr>
                <w:color w:val="auto"/>
              </w:rPr>
            </w:pPr>
            <w:r>
              <w:rPr>
                <w:color w:val="auto"/>
              </w:rPr>
              <w:t>利用原有</w:t>
            </w:r>
          </w:p>
        </w:tc>
        <w:tc>
          <w:tcPr>
            <w:tcW w:w="987" w:type="pct"/>
            <w:vAlign w:val="center"/>
          </w:tcPr>
          <w:p w14:paraId="638F6748">
            <w:pPr>
              <w:pStyle w:val="30"/>
              <w:bidi w:val="0"/>
              <w:rPr>
                <w:color w:val="auto"/>
              </w:rPr>
            </w:pPr>
          </w:p>
        </w:tc>
      </w:tr>
      <w:tr w14:paraId="50A6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vMerge w:val="continue"/>
            <w:vAlign w:val="center"/>
          </w:tcPr>
          <w:p w14:paraId="5A810895">
            <w:pPr>
              <w:pStyle w:val="30"/>
              <w:bidi w:val="0"/>
              <w:rPr>
                <w:color w:val="auto"/>
              </w:rPr>
            </w:pPr>
          </w:p>
        </w:tc>
        <w:tc>
          <w:tcPr>
            <w:tcW w:w="419" w:type="pct"/>
            <w:vMerge w:val="continue"/>
            <w:vAlign w:val="center"/>
          </w:tcPr>
          <w:p w14:paraId="233313B9">
            <w:pPr>
              <w:pStyle w:val="30"/>
              <w:bidi w:val="0"/>
              <w:rPr>
                <w:color w:val="auto"/>
              </w:rPr>
            </w:pPr>
          </w:p>
        </w:tc>
        <w:tc>
          <w:tcPr>
            <w:tcW w:w="717" w:type="pct"/>
            <w:vAlign w:val="center"/>
          </w:tcPr>
          <w:p w14:paraId="798860A4">
            <w:pPr>
              <w:pStyle w:val="30"/>
              <w:bidi w:val="0"/>
              <w:rPr>
                <w:color w:val="auto"/>
              </w:rPr>
            </w:pPr>
            <w:r>
              <w:rPr>
                <w:color w:val="auto"/>
              </w:rPr>
              <w:t>磁选</w:t>
            </w:r>
            <w:r>
              <w:rPr>
                <w:rFonts w:hint="eastAsia"/>
                <w:color w:val="auto"/>
              </w:rPr>
              <w:t>工序</w:t>
            </w:r>
          </w:p>
        </w:tc>
        <w:tc>
          <w:tcPr>
            <w:tcW w:w="1416" w:type="pct"/>
            <w:vAlign w:val="center"/>
          </w:tcPr>
          <w:p w14:paraId="7FF07BDE">
            <w:pPr>
              <w:pStyle w:val="30"/>
              <w:bidi w:val="0"/>
              <w:rPr>
                <w:color w:val="auto"/>
              </w:rPr>
            </w:pPr>
            <w:r>
              <w:rPr>
                <w:color w:val="auto"/>
              </w:rPr>
              <w:t>磁选设备设施</w:t>
            </w:r>
          </w:p>
        </w:tc>
        <w:tc>
          <w:tcPr>
            <w:tcW w:w="866" w:type="pct"/>
            <w:vAlign w:val="center"/>
          </w:tcPr>
          <w:p w14:paraId="47CD0370">
            <w:pPr>
              <w:pStyle w:val="30"/>
              <w:bidi w:val="0"/>
              <w:rPr>
                <w:color w:val="auto"/>
              </w:rPr>
            </w:pPr>
            <w:r>
              <w:rPr>
                <w:color w:val="auto"/>
              </w:rPr>
              <w:t>利用原有</w:t>
            </w:r>
          </w:p>
        </w:tc>
        <w:tc>
          <w:tcPr>
            <w:tcW w:w="987" w:type="pct"/>
            <w:vAlign w:val="center"/>
          </w:tcPr>
          <w:p w14:paraId="1F09A90B">
            <w:pPr>
              <w:pStyle w:val="30"/>
              <w:bidi w:val="0"/>
              <w:rPr>
                <w:color w:val="auto"/>
              </w:rPr>
            </w:pPr>
          </w:p>
        </w:tc>
      </w:tr>
      <w:tr w14:paraId="354A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vMerge w:val="continue"/>
            <w:vAlign w:val="center"/>
          </w:tcPr>
          <w:p w14:paraId="2CA5E2ED">
            <w:pPr>
              <w:pStyle w:val="30"/>
              <w:bidi w:val="0"/>
              <w:rPr>
                <w:color w:val="auto"/>
              </w:rPr>
            </w:pPr>
          </w:p>
        </w:tc>
        <w:tc>
          <w:tcPr>
            <w:tcW w:w="1136" w:type="pct"/>
            <w:gridSpan w:val="2"/>
            <w:vAlign w:val="center"/>
          </w:tcPr>
          <w:p w14:paraId="72FF66A0">
            <w:pPr>
              <w:pStyle w:val="30"/>
              <w:bidi w:val="0"/>
              <w:rPr>
                <w:color w:val="auto"/>
              </w:rPr>
            </w:pPr>
            <w:r>
              <w:rPr>
                <w:color w:val="auto"/>
              </w:rPr>
              <w:t>脱水车间</w:t>
            </w:r>
          </w:p>
        </w:tc>
        <w:tc>
          <w:tcPr>
            <w:tcW w:w="1416" w:type="pct"/>
            <w:vAlign w:val="center"/>
          </w:tcPr>
          <w:p w14:paraId="4B1101BC">
            <w:pPr>
              <w:pStyle w:val="30"/>
              <w:bidi w:val="0"/>
              <w:rPr>
                <w:color w:val="auto"/>
              </w:rPr>
            </w:pPr>
            <w:r>
              <w:rPr>
                <w:color w:val="auto"/>
              </w:rPr>
              <w:t>精矿脱水设备设施</w:t>
            </w:r>
          </w:p>
        </w:tc>
        <w:tc>
          <w:tcPr>
            <w:tcW w:w="866" w:type="pct"/>
            <w:vAlign w:val="center"/>
          </w:tcPr>
          <w:p w14:paraId="667C5BA4">
            <w:pPr>
              <w:pStyle w:val="30"/>
              <w:bidi w:val="0"/>
              <w:rPr>
                <w:color w:val="auto"/>
              </w:rPr>
            </w:pPr>
            <w:r>
              <w:rPr>
                <w:color w:val="auto"/>
              </w:rPr>
              <w:t>部分新增</w:t>
            </w:r>
          </w:p>
        </w:tc>
        <w:tc>
          <w:tcPr>
            <w:tcW w:w="987" w:type="pct"/>
            <w:vAlign w:val="center"/>
          </w:tcPr>
          <w:p w14:paraId="4BD49452">
            <w:pPr>
              <w:pStyle w:val="30"/>
              <w:bidi w:val="0"/>
              <w:rPr>
                <w:color w:val="auto"/>
              </w:rPr>
            </w:pPr>
            <w:r>
              <w:rPr>
                <w:color w:val="auto"/>
              </w:rPr>
              <w:t>新增</w:t>
            </w:r>
            <w:r>
              <w:rPr>
                <w:rFonts w:hint="eastAsia"/>
                <w:color w:val="auto"/>
              </w:rPr>
              <w:t>铜精</w:t>
            </w:r>
            <w:r>
              <w:rPr>
                <w:color w:val="auto"/>
              </w:rPr>
              <w:t>矿脱水设施</w:t>
            </w:r>
          </w:p>
        </w:tc>
      </w:tr>
      <w:tr w14:paraId="6258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vMerge w:val="restart"/>
            <w:vAlign w:val="center"/>
          </w:tcPr>
          <w:p w14:paraId="10BB35F4">
            <w:pPr>
              <w:pStyle w:val="30"/>
              <w:bidi w:val="0"/>
              <w:rPr>
                <w:color w:val="auto"/>
              </w:rPr>
            </w:pPr>
            <w:r>
              <w:rPr>
                <w:color w:val="auto"/>
              </w:rPr>
              <w:t>辅助</w:t>
            </w:r>
          </w:p>
          <w:p w14:paraId="14182F03">
            <w:pPr>
              <w:pStyle w:val="30"/>
              <w:bidi w:val="0"/>
              <w:rPr>
                <w:color w:val="auto"/>
              </w:rPr>
            </w:pPr>
            <w:r>
              <w:rPr>
                <w:color w:val="auto"/>
              </w:rPr>
              <w:t>工程</w:t>
            </w:r>
          </w:p>
        </w:tc>
        <w:tc>
          <w:tcPr>
            <w:tcW w:w="1136" w:type="pct"/>
            <w:gridSpan w:val="2"/>
            <w:vAlign w:val="center"/>
          </w:tcPr>
          <w:p w14:paraId="7ED0325E">
            <w:pPr>
              <w:pStyle w:val="30"/>
              <w:bidi w:val="0"/>
              <w:rPr>
                <w:color w:val="auto"/>
              </w:rPr>
            </w:pPr>
            <w:r>
              <w:rPr>
                <w:color w:val="auto"/>
              </w:rPr>
              <w:t>供电设施</w:t>
            </w:r>
          </w:p>
        </w:tc>
        <w:tc>
          <w:tcPr>
            <w:tcW w:w="1416" w:type="pct"/>
            <w:vAlign w:val="center"/>
          </w:tcPr>
          <w:p w14:paraId="14294DC4">
            <w:pPr>
              <w:pStyle w:val="30"/>
              <w:bidi w:val="0"/>
              <w:rPr>
                <w:color w:val="auto"/>
              </w:rPr>
            </w:pPr>
            <w:r>
              <w:rPr>
                <w:color w:val="auto"/>
              </w:rPr>
              <w:t>100</w:t>
            </w:r>
            <w:r>
              <w:rPr>
                <w:rFonts w:hint="eastAsia"/>
                <w:color w:val="auto"/>
              </w:rPr>
              <w:t>kVA、</w:t>
            </w:r>
            <w:r>
              <w:rPr>
                <w:color w:val="auto"/>
              </w:rPr>
              <w:t>630</w:t>
            </w:r>
            <w:r>
              <w:rPr>
                <w:rFonts w:hint="eastAsia"/>
                <w:color w:val="auto"/>
              </w:rPr>
              <w:t>kVA</w:t>
            </w:r>
            <w:r>
              <w:rPr>
                <w:color w:val="auto"/>
              </w:rPr>
              <w:t>变压器</w:t>
            </w:r>
          </w:p>
        </w:tc>
        <w:tc>
          <w:tcPr>
            <w:tcW w:w="866" w:type="pct"/>
            <w:vAlign w:val="center"/>
          </w:tcPr>
          <w:p w14:paraId="0F99175F">
            <w:pPr>
              <w:pStyle w:val="30"/>
              <w:bidi w:val="0"/>
              <w:rPr>
                <w:color w:val="auto"/>
              </w:rPr>
            </w:pPr>
            <w:r>
              <w:rPr>
                <w:color w:val="auto"/>
              </w:rPr>
              <w:t>利用原有</w:t>
            </w:r>
          </w:p>
        </w:tc>
        <w:tc>
          <w:tcPr>
            <w:tcW w:w="987" w:type="pct"/>
            <w:vAlign w:val="center"/>
          </w:tcPr>
          <w:p w14:paraId="7F224FB4">
            <w:pPr>
              <w:pStyle w:val="30"/>
              <w:bidi w:val="0"/>
              <w:rPr>
                <w:color w:val="auto"/>
              </w:rPr>
            </w:pPr>
          </w:p>
        </w:tc>
      </w:tr>
      <w:tr w14:paraId="3AE4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vMerge w:val="continue"/>
            <w:vAlign w:val="center"/>
          </w:tcPr>
          <w:p w14:paraId="003545B6">
            <w:pPr>
              <w:pStyle w:val="30"/>
              <w:bidi w:val="0"/>
              <w:rPr>
                <w:color w:val="auto"/>
              </w:rPr>
            </w:pPr>
          </w:p>
        </w:tc>
        <w:tc>
          <w:tcPr>
            <w:tcW w:w="1136" w:type="pct"/>
            <w:gridSpan w:val="2"/>
            <w:vMerge w:val="restart"/>
            <w:vAlign w:val="center"/>
          </w:tcPr>
          <w:p w14:paraId="16BFF730">
            <w:pPr>
              <w:pStyle w:val="30"/>
              <w:bidi w:val="0"/>
              <w:rPr>
                <w:color w:val="auto"/>
              </w:rPr>
            </w:pPr>
            <w:r>
              <w:rPr>
                <w:color w:val="auto"/>
              </w:rPr>
              <w:t>供水设施</w:t>
            </w:r>
          </w:p>
        </w:tc>
        <w:tc>
          <w:tcPr>
            <w:tcW w:w="1416" w:type="pct"/>
            <w:vAlign w:val="center"/>
          </w:tcPr>
          <w:p w14:paraId="5D7ABC63">
            <w:pPr>
              <w:pStyle w:val="30"/>
              <w:bidi w:val="0"/>
              <w:rPr>
                <w:color w:val="auto"/>
              </w:rPr>
            </w:pPr>
            <w:r>
              <w:rPr>
                <w:rFonts w:hint="eastAsia"/>
                <w:color w:val="auto"/>
              </w:rPr>
              <w:t>DN2</w:t>
            </w:r>
            <w:r>
              <w:rPr>
                <w:color w:val="auto"/>
              </w:rPr>
              <w:t>00取水管线</w:t>
            </w:r>
          </w:p>
        </w:tc>
        <w:tc>
          <w:tcPr>
            <w:tcW w:w="866" w:type="pct"/>
            <w:vAlign w:val="center"/>
          </w:tcPr>
          <w:p w14:paraId="489A02E7">
            <w:pPr>
              <w:pStyle w:val="30"/>
              <w:bidi w:val="0"/>
              <w:rPr>
                <w:color w:val="auto"/>
              </w:rPr>
            </w:pPr>
            <w:r>
              <w:rPr>
                <w:color w:val="auto"/>
              </w:rPr>
              <w:t>利用原有</w:t>
            </w:r>
          </w:p>
        </w:tc>
        <w:tc>
          <w:tcPr>
            <w:tcW w:w="987" w:type="pct"/>
            <w:vAlign w:val="center"/>
          </w:tcPr>
          <w:p w14:paraId="576E3B46">
            <w:pPr>
              <w:pStyle w:val="30"/>
              <w:bidi w:val="0"/>
              <w:rPr>
                <w:color w:val="auto"/>
              </w:rPr>
            </w:pPr>
            <w:r>
              <w:rPr>
                <w:rFonts w:hint="eastAsia"/>
                <w:color w:val="auto"/>
              </w:rPr>
              <w:t>山泉水</w:t>
            </w:r>
          </w:p>
        </w:tc>
      </w:tr>
      <w:tr w14:paraId="3A68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vMerge w:val="continue"/>
            <w:vAlign w:val="center"/>
          </w:tcPr>
          <w:p w14:paraId="74C2604E">
            <w:pPr>
              <w:pStyle w:val="30"/>
              <w:bidi w:val="0"/>
              <w:rPr>
                <w:color w:val="auto"/>
              </w:rPr>
            </w:pPr>
          </w:p>
        </w:tc>
        <w:tc>
          <w:tcPr>
            <w:tcW w:w="1136" w:type="pct"/>
            <w:gridSpan w:val="2"/>
            <w:vMerge w:val="continue"/>
            <w:vAlign w:val="center"/>
          </w:tcPr>
          <w:p w14:paraId="5FF58E24">
            <w:pPr>
              <w:pStyle w:val="30"/>
              <w:bidi w:val="0"/>
              <w:rPr>
                <w:color w:val="auto"/>
              </w:rPr>
            </w:pPr>
          </w:p>
        </w:tc>
        <w:tc>
          <w:tcPr>
            <w:tcW w:w="1416" w:type="pct"/>
            <w:vAlign w:val="center"/>
          </w:tcPr>
          <w:p w14:paraId="6A5AD404">
            <w:pPr>
              <w:pStyle w:val="30"/>
              <w:bidi w:val="0"/>
              <w:rPr>
                <w:color w:val="auto"/>
              </w:rPr>
            </w:pPr>
            <w:r>
              <w:rPr>
                <w:color w:val="auto"/>
              </w:rPr>
              <w:t>回水池</w:t>
            </w:r>
          </w:p>
        </w:tc>
        <w:tc>
          <w:tcPr>
            <w:tcW w:w="866" w:type="pct"/>
            <w:vAlign w:val="center"/>
          </w:tcPr>
          <w:p w14:paraId="39848E98">
            <w:pPr>
              <w:pStyle w:val="30"/>
              <w:bidi w:val="0"/>
              <w:rPr>
                <w:color w:val="auto"/>
              </w:rPr>
            </w:pPr>
            <w:r>
              <w:rPr>
                <w:color w:val="auto"/>
              </w:rPr>
              <w:t>利用原有</w:t>
            </w:r>
          </w:p>
        </w:tc>
        <w:tc>
          <w:tcPr>
            <w:tcW w:w="987" w:type="pct"/>
            <w:vAlign w:val="center"/>
          </w:tcPr>
          <w:p w14:paraId="2D5F41B3">
            <w:pPr>
              <w:pStyle w:val="30"/>
              <w:bidi w:val="0"/>
              <w:rPr>
                <w:color w:val="auto"/>
              </w:rPr>
            </w:pPr>
          </w:p>
        </w:tc>
      </w:tr>
      <w:tr w14:paraId="05EF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vMerge w:val="continue"/>
            <w:vAlign w:val="center"/>
          </w:tcPr>
          <w:p w14:paraId="4B7C9720">
            <w:pPr>
              <w:pStyle w:val="30"/>
              <w:bidi w:val="0"/>
              <w:rPr>
                <w:color w:val="auto"/>
              </w:rPr>
            </w:pPr>
          </w:p>
        </w:tc>
        <w:tc>
          <w:tcPr>
            <w:tcW w:w="1136" w:type="pct"/>
            <w:gridSpan w:val="2"/>
            <w:vMerge w:val="continue"/>
            <w:vAlign w:val="center"/>
          </w:tcPr>
          <w:p w14:paraId="05BE83B1">
            <w:pPr>
              <w:pStyle w:val="30"/>
              <w:bidi w:val="0"/>
              <w:rPr>
                <w:color w:val="auto"/>
              </w:rPr>
            </w:pPr>
          </w:p>
        </w:tc>
        <w:tc>
          <w:tcPr>
            <w:tcW w:w="1416" w:type="pct"/>
            <w:vAlign w:val="center"/>
          </w:tcPr>
          <w:p w14:paraId="78CEC157">
            <w:pPr>
              <w:pStyle w:val="30"/>
              <w:bidi w:val="0"/>
              <w:rPr>
                <w:color w:val="auto"/>
              </w:rPr>
            </w:pPr>
            <w:r>
              <w:rPr>
                <w:rFonts w:hint="eastAsia"/>
                <w:color w:val="auto"/>
              </w:rPr>
              <w:t>生活区储水设备</w:t>
            </w:r>
          </w:p>
        </w:tc>
        <w:tc>
          <w:tcPr>
            <w:tcW w:w="866" w:type="pct"/>
            <w:vAlign w:val="center"/>
          </w:tcPr>
          <w:p w14:paraId="2EDC0E9B">
            <w:pPr>
              <w:pStyle w:val="30"/>
              <w:bidi w:val="0"/>
              <w:rPr>
                <w:color w:val="auto"/>
              </w:rPr>
            </w:pPr>
            <w:r>
              <w:rPr>
                <w:color w:val="auto"/>
              </w:rPr>
              <w:t>利用原有</w:t>
            </w:r>
          </w:p>
        </w:tc>
        <w:tc>
          <w:tcPr>
            <w:tcW w:w="987" w:type="pct"/>
            <w:vAlign w:val="center"/>
          </w:tcPr>
          <w:p w14:paraId="4B292EA5">
            <w:pPr>
              <w:pStyle w:val="30"/>
              <w:bidi w:val="0"/>
              <w:rPr>
                <w:color w:val="auto"/>
              </w:rPr>
            </w:pPr>
            <w:r>
              <w:rPr>
                <w:rFonts w:hint="eastAsia"/>
                <w:color w:val="auto"/>
              </w:rPr>
              <w:t>山泉水</w:t>
            </w:r>
          </w:p>
        </w:tc>
      </w:tr>
      <w:tr w14:paraId="78FE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vMerge w:val="continue"/>
            <w:vAlign w:val="center"/>
          </w:tcPr>
          <w:p w14:paraId="461F8426">
            <w:pPr>
              <w:pStyle w:val="30"/>
              <w:bidi w:val="0"/>
              <w:rPr>
                <w:color w:val="auto"/>
              </w:rPr>
            </w:pPr>
          </w:p>
        </w:tc>
        <w:tc>
          <w:tcPr>
            <w:tcW w:w="1136" w:type="pct"/>
            <w:gridSpan w:val="2"/>
            <w:vAlign w:val="center"/>
          </w:tcPr>
          <w:p w14:paraId="421D8A82">
            <w:pPr>
              <w:pStyle w:val="30"/>
              <w:bidi w:val="0"/>
              <w:rPr>
                <w:color w:val="auto"/>
              </w:rPr>
            </w:pPr>
            <w:r>
              <w:rPr>
                <w:color w:val="auto"/>
              </w:rPr>
              <w:t>生产辅助设施</w:t>
            </w:r>
          </w:p>
        </w:tc>
        <w:tc>
          <w:tcPr>
            <w:tcW w:w="1416" w:type="pct"/>
            <w:vAlign w:val="center"/>
          </w:tcPr>
          <w:p w14:paraId="02577BDD">
            <w:pPr>
              <w:pStyle w:val="30"/>
              <w:bidi w:val="0"/>
              <w:rPr>
                <w:color w:val="auto"/>
              </w:rPr>
            </w:pPr>
            <w:r>
              <w:rPr>
                <w:color w:val="auto"/>
              </w:rPr>
              <w:t>机修、磅房等</w:t>
            </w:r>
          </w:p>
        </w:tc>
        <w:tc>
          <w:tcPr>
            <w:tcW w:w="866" w:type="pct"/>
            <w:vAlign w:val="center"/>
          </w:tcPr>
          <w:p w14:paraId="71379091">
            <w:pPr>
              <w:pStyle w:val="30"/>
              <w:bidi w:val="0"/>
              <w:rPr>
                <w:color w:val="auto"/>
              </w:rPr>
            </w:pPr>
            <w:r>
              <w:rPr>
                <w:color w:val="auto"/>
              </w:rPr>
              <w:t>利用原有</w:t>
            </w:r>
          </w:p>
        </w:tc>
        <w:tc>
          <w:tcPr>
            <w:tcW w:w="987" w:type="pct"/>
            <w:vAlign w:val="center"/>
          </w:tcPr>
          <w:p w14:paraId="7BB20F39">
            <w:pPr>
              <w:pStyle w:val="30"/>
              <w:bidi w:val="0"/>
              <w:rPr>
                <w:color w:val="auto"/>
              </w:rPr>
            </w:pPr>
          </w:p>
        </w:tc>
      </w:tr>
      <w:tr w14:paraId="54DD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vMerge w:val="continue"/>
            <w:vAlign w:val="center"/>
          </w:tcPr>
          <w:p w14:paraId="68ECAA90">
            <w:pPr>
              <w:pStyle w:val="30"/>
              <w:bidi w:val="0"/>
              <w:rPr>
                <w:color w:val="auto"/>
              </w:rPr>
            </w:pPr>
          </w:p>
        </w:tc>
        <w:tc>
          <w:tcPr>
            <w:tcW w:w="1136" w:type="pct"/>
            <w:gridSpan w:val="2"/>
            <w:vAlign w:val="center"/>
          </w:tcPr>
          <w:p w14:paraId="5A584222">
            <w:pPr>
              <w:pStyle w:val="30"/>
              <w:bidi w:val="0"/>
              <w:rPr>
                <w:color w:val="auto"/>
              </w:rPr>
            </w:pPr>
            <w:r>
              <w:rPr>
                <w:color w:val="auto"/>
              </w:rPr>
              <w:t>办公生活设施</w:t>
            </w:r>
          </w:p>
        </w:tc>
        <w:tc>
          <w:tcPr>
            <w:tcW w:w="1416" w:type="pct"/>
            <w:vAlign w:val="center"/>
          </w:tcPr>
          <w:p w14:paraId="06EDFACE">
            <w:pPr>
              <w:pStyle w:val="30"/>
              <w:bidi w:val="0"/>
              <w:rPr>
                <w:color w:val="auto"/>
              </w:rPr>
            </w:pPr>
            <w:r>
              <w:rPr>
                <w:color w:val="auto"/>
              </w:rPr>
              <w:t>生活区，员工宿舍及办公区</w:t>
            </w:r>
          </w:p>
        </w:tc>
        <w:tc>
          <w:tcPr>
            <w:tcW w:w="866" w:type="pct"/>
            <w:vAlign w:val="center"/>
          </w:tcPr>
          <w:p w14:paraId="72BB6C40">
            <w:pPr>
              <w:pStyle w:val="30"/>
              <w:bidi w:val="0"/>
              <w:rPr>
                <w:color w:val="auto"/>
              </w:rPr>
            </w:pPr>
            <w:r>
              <w:rPr>
                <w:color w:val="auto"/>
              </w:rPr>
              <w:t>利用原有</w:t>
            </w:r>
          </w:p>
        </w:tc>
        <w:tc>
          <w:tcPr>
            <w:tcW w:w="987" w:type="pct"/>
            <w:vAlign w:val="center"/>
          </w:tcPr>
          <w:p w14:paraId="1B34D507">
            <w:pPr>
              <w:pStyle w:val="30"/>
              <w:bidi w:val="0"/>
              <w:rPr>
                <w:color w:val="auto"/>
              </w:rPr>
            </w:pPr>
          </w:p>
        </w:tc>
      </w:tr>
    </w:tbl>
    <w:p w14:paraId="5F4A7449">
      <w:pPr>
        <w:pStyle w:val="3"/>
        <w:bidi w:val="0"/>
        <w:rPr>
          <w:rFonts w:hint="default"/>
          <w:color w:val="auto"/>
          <w:lang w:val="en-US" w:eastAsia="zh-CN"/>
        </w:rPr>
      </w:pPr>
      <w:bookmarkStart w:id="31" w:name="_Toc20170"/>
      <w:r>
        <w:rPr>
          <w:rFonts w:hint="eastAsia"/>
          <w:color w:val="auto"/>
          <w:lang w:val="en-US" w:eastAsia="zh-CN"/>
        </w:rPr>
        <w:t>2.5 建设方案</w:t>
      </w:r>
      <w:bookmarkEnd w:id="31"/>
    </w:p>
    <w:p w14:paraId="5F499F37">
      <w:pPr>
        <w:pStyle w:val="4"/>
        <w:bidi w:val="0"/>
        <w:rPr>
          <w:rFonts w:hint="default"/>
          <w:color w:val="auto"/>
          <w:lang w:val="en-US" w:eastAsia="zh-CN"/>
        </w:rPr>
      </w:pPr>
      <w:bookmarkStart w:id="32" w:name="_Toc12129"/>
      <w:r>
        <w:rPr>
          <w:rFonts w:hint="eastAsia"/>
          <w:color w:val="auto"/>
          <w:lang w:val="en-US" w:eastAsia="zh-CN"/>
        </w:rPr>
        <w:t>2.5.1 生产规模</w:t>
      </w:r>
      <w:bookmarkEnd w:id="32"/>
    </w:p>
    <w:p w14:paraId="20F84B7D">
      <w:pPr>
        <w:bidi w:val="0"/>
        <w:rPr>
          <w:rFonts w:hint="eastAsia"/>
          <w:color w:val="auto"/>
          <w:lang w:val="en-US" w:eastAsia="zh-CN"/>
        </w:rPr>
      </w:pPr>
      <w:r>
        <w:rPr>
          <w:rFonts w:hint="eastAsia"/>
          <w:color w:val="auto"/>
          <w:lang w:val="en-US" w:eastAsia="zh-CN"/>
        </w:rPr>
        <w:t>本项目生产规模为200t/d。</w:t>
      </w:r>
    </w:p>
    <w:p w14:paraId="71715F12">
      <w:pPr>
        <w:pStyle w:val="4"/>
        <w:bidi w:val="0"/>
        <w:rPr>
          <w:rFonts w:hint="eastAsia"/>
          <w:color w:val="auto"/>
          <w:lang w:val="en-US" w:eastAsia="zh-CN"/>
        </w:rPr>
      </w:pPr>
      <w:bookmarkStart w:id="33" w:name="_Toc12300"/>
      <w:r>
        <w:rPr>
          <w:rFonts w:hint="eastAsia"/>
          <w:color w:val="auto"/>
          <w:lang w:val="en-US" w:eastAsia="zh-CN"/>
        </w:rPr>
        <w:t>2.5.2 产品方案</w:t>
      </w:r>
      <w:bookmarkEnd w:id="33"/>
    </w:p>
    <w:p w14:paraId="7A43C9A3">
      <w:pPr>
        <w:bidi w:val="0"/>
        <w:rPr>
          <w:rFonts w:hint="eastAsia"/>
          <w:color w:val="auto"/>
          <w:lang w:val="en-US" w:eastAsia="zh-CN"/>
        </w:rPr>
      </w:pPr>
      <w:r>
        <w:rPr>
          <w:rFonts w:hint="eastAsia"/>
          <w:color w:val="auto"/>
          <w:lang w:val="en-US" w:eastAsia="zh-CN"/>
        </w:rPr>
        <w:t>本项目以外购原料，产出合格铜精矿、铁精矿。外购原料来自于周边矿山企业。</w:t>
      </w:r>
    </w:p>
    <w:p w14:paraId="6261C303">
      <w:pPr>
        <w:bidi w:val="0"/>
        <w:rPr>
          <w:rFonts w:hint="default"/>
          <w:color w:val="auto"/>
          <w:lang w:val="en-US" w:eastAsia="zh-CN"/>
        </w:rPr>
      </w:pPr>
      <w:r>
        <w:rPr>
          <w:rFonts w:hint="eastAsia"/>
          <w:color w:val="auto"/>
          <w:lang w:val="en-US" w:eastAsia="zh-CN"/>
        </w:rPr>
        <w:t>利用本地褐铁矿原矿石，年产铁精矿32000t，其中TFe品位44.0%，TFe回收率为61.75%。年产铜精矿2200t，其中TCu品位10.0%，TCu回收率为81.48%。</w:t>
      </w:r>
    </w:p>
    <w:p w14:paraId="1B5799FC">
      <w:pPr>
        <w:pStyle w:val="4"/>
        <w:bidi w:val="0"/>
        <w:rPr>
          <w:rFonts w:hint="eastAsia"/>
          <w:color w:val="auto"/>
          <w:lang w:val="en-US" w:eastAsia="zh-CN"/>
        </w:rPr>
      </w:pPr>
      <w:bookmarkStart w:id="34" w:name="_Toc26474"/>
      <w:r>
        <w:rPr>
          <w:rFonts w:hint="eastAsia"/>
          <w:color w:val="auto"/>
          <w:lang w:val="en-US" w:eastAsia="zh-CN"/>
        </w:rPr>
        <w:t>2.5.3 劳动定员和工作制度</w:t>
      </w:r>
      <w:bookmarkEnd w:id="34"/>
    </w:p>
    <w:p w14:paraId="43EBF7E3">
      <w:pPr>
        <w:bidi w:val="0"/>
        <w:rPr>
          <w:rFonts w:hint="default"/>
          <w:color w:val="auto"/>
          <w:lang w:val="en-US" w:eastAsia="zh-CN"/>
        </w:rPr>
      </w:pPr>
      <w:r>
        <w:rPr>
          <w:rFonts w:hint="eastAsia"/>
          <w:color w:val="auto"/>
          <w:lang w:val="en-US" w:eastAsia="zh-CN"/>
        </w:rPr>
        <w:t>1、设计概况</w:t>
      </w:r>
    </w:p>
    <w:p w14:paraId="3375C5F2">
      <w:pPr>
        <w:bidi w:val="0"/>
        <w:rPr>
          <w:rFonts w:hint="eastAsia"/>
          <w:color w:val="auto"/>
          <w:lang w:val="en-US" w:eastAsia="zh-CN"/>
        </w:rPr>
      </w:pPr>
      <w:r>
        <w:rPr>
          <w:rFonts w:hint="eastAsia"/>
          <w:color w:val="auto"/>
          <w:lang w:val="en-US" w:eastAsia="zh-CN"/>
        </w:rPr>
        <w:t>（1）劳动定员</w:t>
      </w:r>
    </w:p>
    <w:p w14:paraId="215FD87F">
      <w:pPr>
        <w:bidi w:val="0"/>
        <w:rPr>
          <w:rFonts w:hint="eastAsia"/>
          <w:color w:val="auto"/>
          <w:lang w:val="en-US" w:eastAsia="zh-CN"/>
        </w:rPr>
      </w:pPr>
      <w:r>
        <w:rPr>
          <w:rFonts w:hint="eastAsia"/>
          <w:color w:val="auto"/>
          <w:lang w:val="en-US" w:eastAsia="zh-CN"/>
        </w:rPr>
        <w:t>本项目劳动定员为：管理总负责人1人、安全环保管理人员2人、操作人员15人，总计18人。</w:t>
      </w:r>
    </w:p>
    <w:p w14:paraId="2224CA2D">
      <w:pPr>
        <w:bidi w:val="0"/>
        <w:rPr>
          <w:rFonts w:hint="eastAsia"/>
          <w:color w:val="auto"/>
          <w:lang w:val="en-US" w:eastAsia="zh-CN"/>
        </w:rPr>
      </w:pPr>
      <w:r>
        <w:rPr>
          <w:rFonts w:hint="eastAsia"/>
          <w:color w:val="auto"/>
          <w:lang w:val="en-US" w:eastAsia="zh-CN"/>
        </w:rPr>
        <w:t>（2）工作制度</w:t>
      </w:r>
    </w:p>
    <w:p w14:paraId="53DEE7FC">
      <w:pPr>
        <w:bidi w:val="0"/>
        <w:rPr>
          <w:rFonts w:hint="eastAsia"/>
          <w:color w:val="auto"/>
          <w:lang w:val="en-US" w:eastAsia="zh-CN"/>
        </w:rPr>
      </w:pPr>
      <w:r>
        <w:rPr>
          <w:rFonts w:hint="eastAsia"/>
          <w:color w:val="auto"/>
          <w:lang w:val="en-US" w:eastAsia="zh-CN"/>
        </w:rPr>
        <w:t>尾矿处理系统实行年工作200d，每日三班，每班8h工作制。</w:t>
      </w:r>
    </w:p>
    <w:p w14:paraId="603D17C0">
      <w:pPr>
        <w:bidi w:val="0"/>
        <w:rPr>
          <w:rFonts w:hint="default"/>
          <w:color w:val="auto"/>
          <w:lang w:val="en-US" w:eastAsia="zh-CN"/>
        </w:rPr>
      </w:pPr>
      <w:r>
        <w:rPr>
          <w:rFonts w:hint="eastAsia"/>
          <w:color w:val="auto"/>
          <w:lang w:val="en-US" w:eastAsia="zh-CN"/>
        </w:rPr>
        <w:t>2、建设概况</w:t>
      </w:r>
    </w:p>
    <w:p w14:paraId="16BEA40C">
      <w:pPr>
        <w:bidi w:val="0"/>
        <w:rPr>
          <w:rFonts w:hint="default"/>
          <w:color w:val="auto"/>
          <w:lang w:val="en-US" w:eastAsia="zh-CN"/>
        </w:rPr>
      </w:pPr>
      <w:r>
        <w:rPr>
          <w:rFonts w:hint="eastAsia"/>
          <w:color w:val="auto"/>
          <w:lang w:val="en-US" w:eastAsia="zh-CN"/>
        </w:rPr>
        <w:t>本项目劳动定员18人，每日三班，每班8h工作制。</w:t>
      </w:r>
    </w:p>
    <w:p w14:paraId="5A7963F6">
      <w:pPr>
        <w:pStyle w:val="3"/>
        <w:bidi w:val="0"/>
        <w:rPr>
          <w:color w:val="auto"/>
        </w:rPr>
      </w:pPr>
      <w:bookmarkStart w:id="35" w:name="_Toc29476"/>
      <w:r>
        <w:rPr>
          <w:rFonts w:hint="eastAsia"/>
          <w:color w:val="auto"/>
        </w:rPr>
        <w:t>2.</w:t>
      </w:r>
      <w:r>
        <w:rPr>
          <w:rFonts w:hint="eastAsia"/>
          <w:color w:val="auto"/>
          <w:lang w:val="en-US" w:eastAsia="zh-CN"/>
        </w:rPr>
        <w:t xml:space="preserve">6 </w:t>
      </w:r>
      <w:r>
        <w:rPr>
          <w:rFonts w:hint="eastAsia"/>
          <w:color w:val="auto"/>
        </w:rPr>
        <w:t>总平面布置</w:t>
      </w:r>
      <w:bookmarkEnd w:id="35"/>
    </w:p>
    <w:p w14:paraId="2A9403A0">
      <w:pPr>
        <w:bidi w:val="0"/>
        <w:rPr>
          <w:rFonts w:hint="default"/>
          <w:color w:val="auto"/>
          <w:lang w:val="en-US" w:eastAsia="zh-CN"/>
        </w:rPr>
      </w:pPr>
      <w:r>
        <w:rPr>
          <w:rFonts w:hint="eastAsia"/>
          <w:color w:val="auto"/>
          <w:lang w:val="en-US" w:eastAsia="zh-CN"/>
        </w:rPr>
        <w:t>1、设计概况</w:t>
      </w:r>
    </w:p>
    <w:p w14:paraId="7138BBB9">
      <w:pPr>
        <w:bidi w:val="0"/>
        <w:rPr>
          <w:rFonts w:hint="eastAsia"/>
          <w:color w:val="auto"/>
          <w:lang w:val="en-US" w:eastAsia="zh-CN"/>
        </w:rPr>
      </w:pPr>
      <w:r>
        <w:rPr>
          <w:rFonts w:hint="eastAsia"/>
          <w:color w:val="auto"/>
          <w:lang w:val="en-US" w:eastAsia="zh-CN"/>
        </w:rPr>
        <w:t>（1）根据工艺流程，按物料主流流向，依序进行设备布置。</w:t>
      </w:r>
    </w:p>
    <w:p w14:paraId="336310F3">
      <w:pPr>
        <w:bidi w:val="0"/>
        <w:rPr>
          <w:rFonts w:hint="eastAsia"/>
          <w:color w:val="auto"/>
          <w:lang w:val="en-US" w:eastAsia="zh-CN"/>
        </w:rPr>
      </w:pPr>
      <w:r>
        <w:rPr>
          <w:rFonts w:hint="eastAsia"/>
          <w:color w:val="auto"/>
          <w:lang w:val="en-US" w:eastAsia="zh-CN"/>
        </w:rPr>
        <w:t>（2）依地型特征，充分利用自然高差和力求减少提升量，安排场地台阶标高和面积，以及建筑物和设备的配置。</w:t>
      </w:r>
    </w:p>
    <w:p w14:paraId="3B76E5E4">
      <w:pPr>
        <w:bidi w:val="0"/>
        <w:rPr>
          <w:rFonts w:hint="eastAsia"/>
          <w:color w:val="auto"/>
          <w:lang w:val="en-US" w:eastAsia="zh-CN"/>
        </w:rPr>
      </w:pPr>
      <w:r>
        <w:rPr>
          <w:rFonts w:hint="eastAsia"/>
          <w:color w:val="auto"/>
          <w:lang w:val="en-US" w:eastAsia="zh-CN"/>
        </w:rPr>
        <w:t>（3）选厂的竖向布置为自流输送创造条件，缩短加工物料的运程，减少反向、重复运输。</w:t>
      </w:r>
    </w:p>
    <w:p w14:paraId="7C8B881D">
      <w:pPr>
        <w:bidi w:val="0"/>
        <w:rPr>
          <w:rFonts w:hint="eastAsia"/>
          <w:color w:val="auto"/>
          <w:lang w:val="en-US" w:eastAsia="zh-CN"/>
        </w:rPr>
      </w:pPr>
      <w:r>
        <w:rPr>
          <w:rFonts w:hint="eastAsia"/>
          <w:color w:val="auto"/>
          <w:lang w:val="en-US" w:eastAsia="zh-CN"/>
        </w:rPr>
        <w:t>（4）设备、管道和构筑物间距，保证施工、生产操作和维护方便，消防道路畅通。</w:t>
      </w:r>
    </w:p>
    <w:p w14:paraId="584069F9">
      <w:pPr>
        <w:bidi w:val="0"/>
        <w:rPr>
          <w:rFonts w:hint="eastAsia"/>
          <w:color w:val="auto"/>
          <w:lang w:val="en-US" w:eastAsia="zh-CN"/>
        </w:rPr>
      </w:pPr>
      <w:r>
        <w:rPr>
          <w:rFonts w:hint="eastAsia"/>
          <w:color w:val="auto"/>
          <w:lang w:val="en-US" w:eastAsia="zh-CN"/>
        </w:rPr>
        <w:t>（5）基于现场实际，吸取国内外选矿厂工程建设的先进经验，主要设备实施简易厂房布置。在节约的同时做到整齐美观，场地绿化，设相应的操作间和通廊，符合安全与卫生标准。</w:t>
      </w:r>
    </w:p>
    <w:p w14:paraId="09A4A408">
      <w:pPr>
        <w:bidi w:val="0"/>
        <w:rPr>
          <w:rFonts w:hint="eastAsia"/>
          <w:color w:val="auto"/>
          <w:lang w:val="en-US" w:eastAsia="zh-CN"/>
        </w:rPr>
      </w:pPr>
      <w:r>
        <w:rPr>
          <w:rFonts w:hint="eastAsia"/>
          <w:color w:val="auto"/>
          <w:lang w:val="en-US" w:eastAsia="zh-CN"/>
        </w:rPr>
        <w:t>（6）整体布置合理与协调，有效利用场地，为今后的扩建留有发展余地。</w:t>
      </w:r>
    </w:p>
    <w:p w14:paraId="04765837">
      <w:pPr>
        <w:bidi w:val="0"/>
        <w:rPr>
          <w:rFonts w:hint="default"/>
          <w:color w:val="auto"/>
          <w:lang w:val="en-US" w:eastAsia="zh-CN"/>
        </w:rPr>
      </w:pPr>
      <w:r>
        <w:rPr>
          <w:rFonts w:hint="eastAsia"/>
          <w:color w:val="auto"/>
          <w:lang w:val="en-US" w:eastAsia="zh-CN"/>
        </w:rPr>
        <w:t>2、建设概况</w:t>
      </w:r>
    </w:p>
    <w:p w14:paraId="10AC4C98">
      <w:pPr>
        <w:bidi w:val="0"/>
        <w:rPr>
          <w:rFonts w:hint="eastAsia"/>
          <w:color w:val="auto"/>
        </w:rPr>
      </w:pPr>
      <w:r>
        <w:rPr>
          <w:rFonts w:hint="eastAsia"/>
          <w:color w:val="auto"/>
          <w:lang w:val="en-US" w:eastAsia="zh-CN"/>
        </w:rPr>
        <w:t>（1）</w:t>
      </w:r>
      <w:r>
        <w:rPr>
          <w:rFonts w:hint="eastAsia"/>
          <w:color w:val="auto"/>
        </w:rPr>
        <w:t>车间组成</w:t>
      </w:r>
    </w:p>
    <w:p w14:paraId="4FF30D83">
      <w:pPr>
        <w:bidi w:val="0"/>
        <w:rPr>
          <w:rFonts w:hint="eastAsia"/>
          <w:color w:val="auto"/>
        </w:rPr>
      </w:pPr>
      <w:r>
        <w:rPr>
          <w:rFonts w:hint="eastAsia"/>
          <w:color w:val="auto"/>
        </w:rPr>
        <w:t>该项目按车间可分为</w:t>
      </w:r>
      <w:r>
        <w:rPr>
          <w:rFonts w:hint="eastAsia"/>
          <w:color w:val="auto"/>
          <w:lang w:val="en-US" w:eastAsia="zh-CN"/>
        </w:rPr>
        <w:t>破碎车间</w:t>
      </w:r>
      <w:r>
        <w:rPr>
          <w:rFonts w:hint="eastAsia"/>
          <w:color w:val="auto"/>
        </w:rPr>
        <w:t>、选矿车间、脱水车间等。</w:t>
      </w:r>
    </w:p>
    <w:p w14:paraId="46C2668B">
      <w:pPr>
        <w:bidi w:val="0"/>
        <w:rPr>
          <w:rFonts w:hint="eastAsia"/>
          <w:color w:val="auto"/>
        </w:rPr>
      </w:pPr>
      <w:r>
        <w:rPr>
          <w:rFonts w:hint="eastAsia"/>
          <w:color w:val="auto"/>
          <w:lang w:val="en-US" w:eastAsia="zh-CN"/>
        </w:rPr>
        <w:t>（2）</w:t>
      </w:r>
      <w:r>
        <w:rPr>
          <w:rFonts w:hint="eastAsia"/>
          <w:color w:val="auto"/>
        </w:rPr>
        <w:t>总平面布置</w:t>
      </w:r>
    </w:p>
    <w:p w14:paraId="7E552B64">
      <w:pPr>
        <w:bidi w:val="0"/>
        <w:rPr>
          <w:rFonts w:hint="eastAsia"/>
          <w:color w:val="auto"/>
        </w:rPr>
      </w:pPr>
      <w:r>
        <w:rPr>
          <w:rFonts w:hint="eastAsia"/>
          <w:color w:val="auto"/>
        </w:rPr>
        <w:t>项目选矿生产及办公区总占地面积5400m</w:t>
      </w:r>
      <w:r>
        <w:rPr>
          <w:rFonts w:hint="eastAsia"/>
          <w:color w:val="auto"/>
          <w:vertAlign w:val="superscript"/>
        </w:rPr>
        <w:t>2</w:t>
      </w:r>
      <w:r>
        <w:rPr>
          <w:rFonts w:hint="eastAsia"/>
          <w:color w:val="auto"/>
        </w:rPr>
        <w:t>（8.1亩），原场地分为二个大区，选矿生产区和办公生活区，生产人流与办公人流互不干涉。项目充分利用公司原有场地改造建设，生产区在原有场地内进行建设，不新增用地，仅在选矿生产区和办公生活区进行建设，原选矿生产区整体呈不规则矩形。</w:t>
      </w:r>
    </w:p>
    <w:p w14:paraId="17A27AF7">
      <w:pPr>
        <w:bidi w:val="0"/>
        <w:rPr>
          <w:rFonts w:hint="eastAsia"/>
          <w:color w:val="auto"/>
        </w:rPr>
      </w:pPr>
      <w:r>
        <w:rPr>
          <w:rFonts w:hint="eastAsia"/>
          <w:color w:val="auto"/>
        </w:rPr>
        <w:t>选矿生产区：位于场地中心位置，由东至西依次为回</w:t>
      </w:r>
      <w:r>
        <w:rPr>
          <w:rFonts w:hint="eastAsia"/>
          <w:color w:val="auto"/>
          <w:lang w:val="en-US" w:eastAsia="zh-CN"/>
        </w:rPr>
        <w:t>水</w:t>
      </w:r>
      <w:r>
        <w:rPr>
          <w:rFonts w:hint="eastAsia"/>
          <w:color w:val="auto"/>
        </w:rPr>
        <w:t>池、原矿堆场、破碎</w:t>
      </w:r>
      <w:r>
        <w:rPr>
          <w:rFonts w:hint="eastAsia"/>
          <w:color w:val="auto"/>
          <w:lang w:val="en-US" w:eastAsia="zh-CN"/>
        </w:rPr>
        <w:t>车间</w:t>
      </w:r>
      <w:r>
        <w:rPr>
          <w:rFonts w:hint="eastAsia"/>
          <w:color w:val="auto"/>
        </w:rPr>
        <w:t>、选矿车间及脱水车间。</w:t>
      </w:r>
    </w:p>
    <w:p w14:paraId="30B23808">
      <w:pPr>
        <w:bidi w:val="0"/>
        <w:rPr>
          <w:rFonts w:hint="eastAsia"/>
          <w:color w:val="auto"/>
        </w:rPr>
      </w:pPr>
      <w:r>
        <w:rPr>
          <w:rFonts w:hint="eastAsia"/>
          <w:color w:val="auto"/>
        </w:rPr>
        <w:t>办公生活区：位于选矿区东北侧，包括1栋综合办公室。</w:t>
      </w:r>
    </w:p>
    <w:p w14:paraId="44856039">
      <w:pPr>
        <w:bidi w:val="0"/>
        <w:rPr>
          <w:rFonts w:hint="eastAsia"/>
          <w:color w:val="auto"/>
        </w:rPr>
      </w:pPr>
      <w:r>
        <w:rPr>
          <w:rFonts w:hint="eastAsia"/>
          <w:color w:val="auto"/>
        </w:rPr>
        <w:t>厂区入口设置在东、西侧，道路硬化区主要布置在主厂房四周；绿化区布置区项目占地四周。</w:t>
      </w:r>
    </w:p>
    <w:p w14:paraId="231798AA">
      <w:pPr>
        <w:bidi w:val="0"/>
        <w:rPr>
          <w:rFonts w:hint="eastAsia"/>
          <w:color w:val="auto"/>
        </w:rPr>
      </w:pPr>
      <w:r>
        <w:rPr>
          <w:rFonts w:hint="eastAsia"/>
          <w:color w:val="auto"/>
          <w:lang w:val="en-US" w:eastAsia="zh-CN"/>
        </w:rPr>
        <w:t>（3）</w:t>
      </w:r>
      <w:r>
        <w:rPr>
          <w:rFonts w:hint="eastAsia"/>
          <w:color w:val="auto"/>
        </w:rPr>
        <w:t>竖向布置</w:t>
      </w:r>
    </w:p>
    <w:p w14:paraId="42908AC5">
      <w:pPr>
        <w:bidi w:val="0"/>
        <w:rPr>
          <w:rFonts w:hint="eastAsia"/>
          <w:color w:val="auto"/>
        </w:rPr>
      </w:pPr>
      <w:r>
        <w:rPr>
          <w:rFonts w:hint="eastAsia"/>
          <w:color w:val="auto"/>
        </w:rPr>
        <w:t>生产区分为5个平台，回水池位于最高平台2165.00m平台，原料堆场位于第二平台2158.50m、破碎工序位于第三平台2150.50m平台、选矿车间位于第四平台2147.60m、尾矿脱水平台位于第五平台2130.50m平台。</w:t>
      </w:r>
    </w:p>
    <w:p w14:paraId="2F3946DD">
      <w:pPr>
        <w:bidi w:val="0"/>
        <w:rPr>
          <w:rFonts w:hint="eastAsia"/>
          <w:color w:val="auto"/>
        </w:rPr>
      </w:pPr>
      <w:r>
        <w:rPr>
          <w:rFonts w:hint="eastAsia"/>
          <w:color w:val="auto"/>
        </w:rPr>
        <w:t>办公生活区位2137.70m平台。</w:t>
      </w:r>
    </w:p>
    <w:p w14:paraId="0C02F0D8">
      <w:pPr>
        <w:bidi w:val="0"/>
        <w:rPr>
          <w:rFonts w:hint="eastAsia"/>
          <w:color w:val="auto"/>
        </w:rPr>
      </w:pPr>
      <w:r>
        <w:rPr>
          <w:rFonts w:hint="eastAsia"/>
          <w:color w:val="auto"/>
        </w:rPr>
        <w:t>在装置四周设围护装置，将废水集中流入公司污水沟，送尾矿库处理设施处理，做到清污分流。</w:t>
      </w:r>
    </w:p>
    <w:p w14:paraId="038F1136">
      <w:pPr>
        <w:bidi w:val="0"/>
        <w:rPr>
          <w:rFonts w:hint="eastAsia"/>
          <w:color w:val="auto"/>
        </w:rPr>
      </w:pPr>
      <w:r>
        <w:rPr>
          <w:rFonts w:hint="eastAsia"/>
          <w:color w:val="auto"/>
        </w:rPr>
        <w:t>项目总平面布置见附图平面布置图。</w:t>
      </w:r>
    </w:p>
    <w:p w14:paraId="215BE23D">
      <w:pPr>
        <w:pStyle w:val="29"/>
        <w:bidi w:val="0"/>
        <w:rPr>
          <w:rFonts w:hint="eastAsia"/>
          <w:color w:val="auto"/>
        </w:rPr>
      </w:pPr>
    </w:p>
    <w:p w14:paraId="7739CEBA">
      <w:pPr>
        <w:pStyle w:val="29"/>
        <w:bidi w:val="0"/>
        <w:rPr>
          <w:rFonts w:hint="eastAsia"/>
          <w:color w:val="auto"/>
        </w:rPr>
      </w:pPr>
      <w:r>
        <w:rPr>
          <w:rFonts w:hint="eastAsia"/>
          <w:color w:val="auto"/>
        </w:rPr>
        <w:t>表</w:t>
      </w:r>
      <w:r>
        <w:rPr>
          <w:rFonts w:hint="eastAsia"/>
          <w:color w:val="auto"/>
          <w:lang w:val="en-US" w:eastAsia="zh-CN"/>
        </w:rPr>
        <w:t>2.6</w:t>
      </w:r>
      <w:r>
        <w:rPr>
          <w:rFonts w:hint="eastAsia"/>
          <w:color w:val="auto"/>
        </w:rPr>
        <w:t>-1</w:t>
      </w:r>
      <w:r>
        <w:rPr>
          <w:rFonts w:hint="eastAsia"/>
          <w:color w:val="auto"/>
          <w:lang w:val="en-US" w:eastAsia="zh-CN"/>
        </w:rPr>
        <w:t xml:space="preserve">  </w:t>
      </w:r>
      <w:r>
        <w:rPr>
          <w:rFonts w:hint="eastAsia"/>
          <w:color w:val="auto"/>
        </w:rPr>
        <w:t>厂内建（构）筑物的防火间距表</w:t>
      </w:r>
    </w:p>
    <w:tbl>
      <w:tblPr>
        <w:tblStyle w:val="2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368"/>
        <w:gridCol w:w="505"/>
        <w:gridCol w:w="1786"/>
        <w:gridCol w:w="816"/>
        <w:gridCol w:w="816"/>
        <w:gridCol w:w="673"/>
        <w:gridCol w:w="3001"/>
      </w:tblGrid>
      <w:tr w14:paraId="3DB1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blHeader/>
        </w:trPr>
        <w:tc>
          <w:tcPr>
            <w:tcW w:w="226" w:type="pct"/>
            <w:vMerge w:val="restart"/>
            <w:noWrap w:val="0"/>
            <w:vAlign w:val="center"/>
          </w:tcPr>
          <w:p w14:paraId="4981F260">
            <w:pPr>
              <w:pStyle w:val="30"/>
              <w:bidi w:val="0"/>
              <w:rPr>
                <w:rFonts w:hint="eastAsia"/>
                <w:b/>
                <w:bCs/>
                <w:color w:val="auto"/>
                <w:lang w:val="en-US" w:eastAsia="zh-CN"/>
              </w:rPr>
            </w:pPr>
            <w:r>
              <w:rPr>
                <w:rFonts w:hint="eastAsia"/>
                <w:b/>
                <w:bCs/>
                <w:color w:val="auto"/>
                <w:lang w:val="en-US" w:eastAsia="zh-CN"/>
              </w:rPr>
              <w:t>序号</w:t>
            </w:r>
          </w:p>
        </w:tc>
        <w:tc>
          <w:tcPr>
            <w:tcW w:w="728" w:type="pct"/>
            <w:vMerge w:val="restart"/>
            <w:noWrap w:val="0"/>
            <w:vAlign w:val="center"/>
          </w:tcPr>
          <w:p w14:paraId="03D93E94">
            <w:pPr>
              <w:pStyle w:val="30"/>
              <w:bidi w:val="0"/>
              <w:rPr>
                <w:rFonts w:hint="eastAsia"/>
                <w:b/>
                <w:bCs/>
                <w:color w:val="auto"/>
                <w:lang w:val="en-US" w:eastAsia="zh-CN"/>
              </w:rPr>
            </w:pPr>
            <w:r>
              <w:rPr>
                <w:rFonts w:hint="eastAsia"/>
                <w:b/>
                <w:bCs/>
                <w:color w:val="auto"/>
                <w:lang w:val="en-US" w:eastAsia="zh-CN"/>
              </w:rPr>
              <w:t>测量起点建构筑物</w:t>
            </w:r>
          </w:p>
        </w:tc>
        <w:tc>
          <w:tcPr>
            <w:tcW w:w="268" w:type="pct"/>
            <w:noWrap w:val="0"/>
            <w:vAlign w:val="center"/>
          </w:tcPr>
          <w:p w14:paraId="4AA80648">
            <w:pPr>
              <w:pStyle w:val="30"/>
              <w:bidi w:val="0"/>
              <w:rPr>
                <w:rFonts w:hint="eastAsia"/>
                <w:b/>
                <w:bCs/>
                <w:color w:val="auto"/>
                <w:lang w:val="en-US" w:eastAsia="zh-CN"/>
              </w:rPr>
            </w:pPr>
            <w:r>
              <w:rPr>
                <w:rFonts w:hint="eastAsia"/>
                <w:b/>
                <w:bCs/>
                <w:color w:val="auto"/>
                <w:lang w:val="en-US" w:eastAsia="zh-CN"/>
              </w:rPr>
              <w:t>方位</w:t>
            </w:r>
          </w:p>
        </w:tc>
        <w:tc>
          <w:tcPr>
            <w:tcW w:w="950" w:type="pct"/>
            <w:noWrap w:val="0"/>
            <w:vAlign w:val="center"/>
          </w:tcPr>
          <w:p w14:paraId="05618581">
            <w:pPr>
              <w:pStyle w:val="30"/>
              <w:bidi w:val="0"/>
              <w:rPr>
                <w:rFonts w:hint="eastAsia"/>
                <w:b/>
                <w:bCs/>
                <w:color w:val="auto"/>
                <w:lang w:val="en-US" w:eastAsia="zh-CN"/>
              </w:rPr>
            </w:pPr>
            <w:r>
              <w:rPr>
                <w:rFonts w:hint="eastAsia"/>
                <w:b/>
                <w:bCs/>
                <w:color w:val="auto"/>
                <w:lang w:val="en-US" w:eastAsia="zh-CN"/>
              </w:rPr>
              <w:t>测量终点建筑物</w:t>
            </w:r>
          </w:p>
        </w:tc>
        <w:tc>
          <w:tcPr>
            <w:tcW w:w="434" w:type="pct"/>
            <w:noWrap w:val="0"/>
            <w:vAlign w:val="center"/>
          </w:tcPr>
          <w:p w14:paraId="2E55C1F1">
            <w:pPr>
              <w:pStyle w:val="30"/>
              <w:bidi w:val="0"/>
              <w:rPr>
                <w:rFonts w:hint="eastAsia"/>
                <w:b/>
                <w:bCs/>
                <w:color w:val="auto"/>
                <w:lang w:val="en-US" w:eastAsia="zh-CN"/>
              </w:rPr>
            </w:pPr>
            <w:r>
              <w:rPr>
                <w:rFonts w:hint="eastAsia"/>
                <w:b/>
                <w:bCs/>
                <w:color w:val="auto"/>
                <w:lang w:val="en-US" w:eastAsia="zh-CN"/>
              </w:rPr>
              <w:t>标准值（m）</w:t>
            </w:r>
          </w:p>
        </w:tc>
        <w:tc>
          <w:tcPr>
            <w:tcW w:w="434" w:type="pct"/>
            <w:noWrap w:val="0"/>
            <w:vAlign w:val="center"/>
          </w:tcPr>
          <w:p w14:paraId="6B25BAD7">
            <w:pPr>
              <w:pStyle w:val="30"/>
              <w:bidi w:val="0"/>
              <w:rPr>
                <w:rFonts w:hint="eastAsia"/>
                <w:b/>
                <w:bCs/>
                <w:color w:val="auto"/>
                <w:lang w:val="en-US" w:eastAsia="zh-CN"/>
              </w:rPr>
            </w:pPr>
            <w:r>
              <w:rPr>
                <w:rFonts w:hint="eastAsia"/>
                <w:b/>
                <w:bCs/>
                <w:color w:val="auto"/>
                <w:lang w:val="en-US" w:eastAsia="zh-CN"/>
              </w:rPr>
              <w:t>测量值（m）</w:t>
            </w:r>
          </w:p>
        </w:tc>
        <w:tc>
          <w:tcPr>
            <w:tcW w:w="358" w:type="pct"/>
            <w:noWrap w:val="0"/>
            <w:vAlign w:val="center"/>
          </w:tcPr>
          <w:p w14:paraId="7B487481">
            <w:pPr>
              <w:pStyle w:val="30"/>
              <w:bidi w:val="0"/>
              <w:rPr>
                <w:rFonts w:hint="eastAsia"/>
                <w:b/>
                <w:bCs/>
                <w:color w:val="auto"/>
                <w:lang w:val="en-US" w:eastAsia="zh-CN"/>
              </w:rPr>
            </w:pPr>
            <w:r>
              <w:rPr>
                <w:rFonts w:hint="eastAsia"/>
                <w:b/>
                <w:bCs/>
                <w:color w:val="auto"/>
                <w:lang w:val="en-US" w:eastAsia="zh-CN"/>
              </w:rPr>
              <w:t>符合性</w:t>
            </w:r>
          </w:p>
        </w:tc>
        <w:tc>
          <w:tcPr>
            <w:tcW w:w="1597" w:type="pct"/>
            <w:noWrap w:val="0"/>
            <w:vAlign w:val="center"/>
          </w:tcPr>
          <w:p w14:paraId="26C2ADA1">
            <w:pPr>
              <w:pStyle w:val="30"/>
              <w:bidi w:val="0"/>
              <w:rPr>
                <w:rFonts w:hint="eastAsia"/>
                <w:b/>
                <w:bCs/>
                <w:color w:val="auto"/>
                <w:lang w:val="en-US" w:eastAsia="zh-CN"/>
              </w:rPr>
            </w:pPr>
            <w:r>
              <w:rPr>
                <w:rFonts w:hint="eastAsia"/>
                <w:b/>
                <w:bCs/>
                <w:color w:val="auto"/>
                <w:lang w:val="en-US" w:eastAsia="zh-CN"/>
              </w:rPr>
              <w:t>测量及取值说明</w:t>
            </w:r>
          </w:p>
        </w:tc>
      </w:tr>
      <w:tr w14:paraId="3D4C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 w:type="pct"/>
            <w:vMerge w:val="restart"/>
            <w:noWrap w:val="0"/>
            <w:vAlign w:val="center"/>
          </w:tcPr>
          <w:p w14:paraId="1D256076">
            <w:pPr>
              <w:pStyle w:val="30"/>
              <w:bidi w:val="0"/>
              <w:rPr>
                <w:rFonts w:hint="eastAsia"/>
                <w:color w:val="auto"/>
                <w:lang w:val="en-US" w:eastAsia="zh-CN"/>
              </w:rPr>
            </w:pPr>
            <w:r>
              <w:rPr>
                <w:rFonts w:hint="eastAsia"/>
                <w:color w:val="auto"/>
                <w:lang w:val="en-US" w:eastAsia="zh-CN"/>
              </w:rPr>
              <w:t>1</w:t>
            </w:r>
          </w:p>
        </w:tc>
        <w:tc>
          <w:tcPr>
            <w:tcW w:w="728" w:type="pct"/>
            <w:vMerge w:val="restart"/>
            <w:noWrap w:val="0"/>
            <w:vAlign w:val="center"/>
          </w:tcPr>
          <w:p w14:paraId="08682A59">
            <w:pPr>
              <w:pStyle w:val="30"/>
              <w:bidi w:val="0"/>
              <w:rPr>
                <w:rFonts w:hint="eastAsia"/>
                <w:color w:val="auto"/>
                <w:lang w:val="en-US" w:eastAsia="zh-CN"/>
              </w:rPr>
            </w:pPr>
            <w:r>
              <w:rPr>
                <w:rFonts w:hint="eastAsia"/>
                <w:color w:val="auto"/>
                <w:lang w:val="en-US" w:eastAsia="zh-CN"/>
              </w:rPr>
              <w:t>破碎车间（戊类，二级）</w:t>
            </w:r>
          </w:p>
        </w:tc>
        <w:tc>
          <w:tcPr>
            <w:tcW w:w="268" w:type="pct"/>
            <w:vMerge w:val="restart"/>
            <w:noWrap w:val="0"/>
            <w:vAlign w:val="center"/>
          </w:tcPr>
          <w:p w14:paraId="52C16A14">
            <w:pPr>
              <w:pStyle w:val="30"/>
              <w:bidi w:val="0"/>
              <w:rPr>
                <w:rFonts w:hint="eastAsia"/>
                <w:color w:val="auto"/>
                <w:lang w:val="en-US" w:eastAsia="zh-CN"/>
              </w:rPr>
            </w:pPr>
            <w:r>
              <w:rPr>
                <w:rFonts w:hint="eastAsia"/>
                <w:color w:val="auto"/>
                <w:lang w:val="en-US" w:eastAsia="zh-CN"/>
              </w:rPr>
              <w:t>西</w:t>
            </w:r>
          </w:p>
        </w:tc>
        <w:tc>
          <w:tcPr>
            <w:tcW w:w="950" w:type="pct"/>
            <w:noWrap w:val="0"/>
            <w:vAlign w:val="center"/>
          </w:tcPr>
          <w:p w14:paraId="5A885030">
            <w:pPr>
              <w:pStyle w:val="30"/>
              <w:bidi w:val="0"/>
              <w:rPr>
                <w:rFonts w:hint="eastAsia"/>
                <w:color w:val="auto"/>
                <w:lang w:val="en-US" w:eastAsia="zh-CN"/>
              </w:rPr>
            </w:pPr>
            <w:r>
              <w:rPr>
                <w:rFonts w:hint="eastAsia"/>
                <w:color w:val="auto"/>
                <w:lang w:val="en-US" w:eastAsia="zh-CN"/>
              </w:rPr>
              <w:t>选矿车间（戊类，二级）</w:t>
            </w:r>
          </w:p>
        </w:tc>
        <w:tc>
          <w:tcPr>
            <w:tcW w:w="434" w:type="pct"/>
            <w:noWrap w:val="0"/>
            <w:vAlign w:val="center"/>
          </w:tcPr>
          <w:p w14:paraId="6941A31B">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3D2C3115">
            <w:pPr>
              <w:pStyle w:val="30"/>
              <w:bidi w:val="0"/>
              <w:rPr>
                <w:rFonts w:hint="default"/>
                <w:color w:val="auto"/>
                <w:lang w:val="en-US" w:eastAsia="zh-CN"/>
              </w:rPr>
            </w:pPr>
            <w:r>
              <w:rPr>
                <w:rFonts w:hint="eastAsia"/>
                <w:color w:val="auto"/>
                <w:lang w:val="en-US" w:eastAsia="zh-CN"/>
              </w:rPr>
              <w:t>12</w:t>
            </w:r>
          </w:p>
        </w:tc>
        <w:tc>
          <w:tcPr>
            <w:tcW w:w="358" w:type="pct"/>
            <w:noWrap w:val="0"/>
            <w:vAlign w:val="center"/>
          </w:tcPr>
          <w:p w14:paraId="643FF307">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68800F8F">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r w14:paraId="5FC0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 w:type="pct"/>
            <w:vMerge w:val="continue"/>
            <w:noWrap w:val="0"/>
            <w:vAlign w:val="center"/>
          </w:tcPr>
          <w:p w14:paraId="282C1E97">
            <w:pPr>
              <w:pStyle w:val="30"/>
              <w:bidi w:val="0"/>
              <w:rPr>
                <w:rFonts w:hint="eastAsia"/>
                <w:color w:val="auto"/>
                <w:lang w:val="en-US" w:eastAsia="zh-CN"/>
              </w:rPr>
            </w:pPr>
          </w:p>
        </w:tc>
        <w:tc>
          <w:tcPr>
            <w:tcW w:w="728" w:type="pct"/>
            <w:vMerge w:val="continue"/>
            <w:noWrap w:val="0"/>
            <w:vAlign w:val="center"/>
          </w:tcPr>
          <w:p w14:paraId="2979ED01">
            <w:pPr>
              <w:pStyle w:val="30"/>
              <w:bidi w:val="0"/>
              <w:rPr>
                <w:rFonts w:hint="eastAsia"/>
                <w:color w:val="auto"/>
                <w:lang w:val="en-US" w:eastAsia="zh-CN"/>
              </w:rPr>
            </w:pPr>
          </w:p>
        </w:tc>
        <w:tc>
          <w:tcPr>
            <w:tcW w:w="268" w:type="pct"/>
            <w:vMerge w:val="continue"/>
            <w:noWrap w:val="0"/>
            <w:vAlign w:val="center"/>
          </w:tcPr>
          <w:p w14:paraId="19AB36C4">
            <w:pPr>
              <w:pStyle w:val="30"/>
              <w:bidi w:val="0"/>
              <w:rPr>
                <w:rFonts w:hint="eastAsia"/>
                <w:color w:val="auto"/>
                <w:lang w:val="en-US" w:eastAsia="zh-CN"/>
              </w:rPr>
            </w:pPr>
          </w:p>
        </w:tc>
        <w:tc>
          <w:tcPr>
            <w:tcW w:w="950" w:type="pct"/>
            <w:noWrap w:val="0"/>
            <w:vAlign w:val="center"/>
          </w:tcPr>
          <w:p w14:paraId="64D06FC0">
            <w:pPr>
              <w:pStyle w:val="30"/>
              <w:bidi w:val="0"/>
              <w:rPr>
                <w:rFonts w:hint="eastAsia"/>
                <w:color w:val="auto"/>
                <w:lang w:val="en-US" w:eastAsia="zh-CN"/>
              </w:rPr>
            </w:pPr>
            <w:r>
              <w:rPr>
                <w:rFonts w:hint="eastAsia"/>
                <w:color w:val="auto"/>
                <w:lang w:val="en-US" w:eastAsia="zh-CN"/>
              </w:rPr>
              <w:t>脱水车间（戊类，二级）</w:t>
            </w:r>
          </w:p>
        </w:tc>
        <w:tc>
          <w:tcPr>
            <w:tcW w:w="434" w:type="pct"/>
            <w:noWrap w:val="0"/>
            <w:vAlign w:val="center"/>
          </w:tcPr>
          <w:p w14:paraId="0E91F490">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49151D78">
            <w:pPr>
              <w:pStyle w:val="30"/>
              <w:bidi w:val="0"/>
              <w:rPr>
                <w:rFonts w:hint="default"/>
                <w:color w:val="auto"/>
                <w:lang w:val="en-US" w:eastAsia="zh-CN"/>
              </w:rPr>
            </w:pPr>
            <w:r>
              <w:rPr>
                <w:rFonts w:hint="eastAsia"/>
                <w:color w:val="auto"/>
                <w:lang w:val="en-US" w:eastAsia="zh-CN"/>
              </w:rPr>
              <w:t>50</w:t>
            </w:r>
          </w:p>
        </w:tc>
        <w:tc>
          <w:tcPr>
            <w:tcW w:w="358" w:type="pct"/>
            <w:noWrap w:val="0"/>
            <w:vAlign w:val="center"/>
          </w:tcPr>
          <w:p w14:paraId="2374E3C1">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11F5CBB9">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r w14:paraId="12C3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 w:type="pct"/>
            <w:vMerge w:val="continue"/>
            <w:noWrap w:val="0"/>
            <w:vAlign w:val="center"/>
          </w:tcPr>
          <w:p w14:paraId="26F190AF">
            <w:pPr>
              <w:pStyle w:val="30"/>
              <w:bidi w:val="0"/>
              <w:rPr>
                <w:rFonts w:hint="eastAsia"/>
                <w:color w:val="auto"/>
                <w:lang w:val="en-US" w:eastAsia="zh-CN"/>
              </w:rPr>
            </w:pPr>
          </w:p>
        </w:tc>
        <w:tc>
          <w:tcPr>
            <w:tcW w:w="728" w:type="pct"/>
            <w:vMerge w:val="continue"/>
            <w:noWrap w:val="0"/>
            <w:vAlign w:val="center"/>
          </w:tcPr>
          <w:p w14:paraId="74B22B86">
            <w:pPr>
              <w:pStyle w:val="30"/>
              <w:bidi w:val="0"/>
              <w:rPr>
                <w:rFonts w:hint="eastAsia"/>
                <w:color w:val="auto"/>
                <w:lang w:val="en-US" w:eastAsia="zh-CN"/>
              </w:rPr>
            </w:pPr>
          </w:p>
        </w:tc>
        <w:tc>
          <w:tcPr>
            <w:tcW w:w="268" w:type="pct"/>
            <w:noWrap w:val="0"/>
            <w:vAlign w:val="center"/>
          </w:tcPr>
          <w:p w14:paraId="0640546C">
            <w:pPr>
              <w:pStyle w:val="30"/>
              <w:bidi w:val="0"/>
              <w:rPr>
                <w:rFonts w:hint="eastAsia"/>
                <w:color w:val="auto"/>
                <w:lang w:val="en-US" w:eastAsia="zh-CN"/>
              </w:rPr>
            </w:pPr>
            <w:r>
              <w:rPr>
                <w:rFonts w:hint="eastAsia"/>
                <w:color w:val="auto"/>
                <w:lang w:val="en-US" w:eastAsia="zh-CN"/>
              </w:rPr>
              <w:t>东北</w:t>
            </w:r>
          </w:p>
        </w:tc>
        <w:tc>
          <w:tcPr>
            <w:tcW w:w="950" w:type="pct"/>
            <w:noWrap w:val="0"/>
            <w:vAlign w:val="center"/>
          </w:tcPr>
          <w:p w14:paraId="771107F5">
            <w:pPr>
              <w:pStyle w:val="30"/>
              <w:bidi w:val="0"/>
              <w:rPr>
                <w:rFonts w:hint="eastAsia"/>
                <w:color w:val="auto"/>
                <w:lang w:val="en-US" w:eastAsia="zh-CN"/>
              </w:rPr>
            </w:pPr>
            <w:r>
              <w:rPr>
                <w:rFonts w:hint="eastAsia"/>
                <w:color w:val="auto"/>
                <w:lang w:val="en-US" w:eastAsia="zh-CN"/>
              </w:rPr>
              <w:t>办公生活区（民用，二级）</w:t>
            </w:r>
          </w:p>
        </w:tc>
        <w:tc>
          <w:tcPr>
            <w:tcW w:w="434" w:type="pct"/>
            <w:noWrap w:val="0"/>
            <w:vAlign w:val="center"/>
          </w:tcPr>
          <w:p w14:paraId="4454045C">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20BE0009">
            <w:pPr>
              <w:pStyle w:val="30"/>
              <w:bidi w:val="0"/>
              <w:rPr>
                <w:rFonts w:hint="default"/>
                <w:color w:val="auto"/>
                <w:lang w:val="en-US" w:eastAsia="zh-CN"/>
              </w:rPr>
            </w:pPr>
            <w:r>
              <w:rPr>
                <w:rFonts w:hint="eastAsia"/>
                <w:color w:val="auto"/>
                <w:lang w:val="en-US" w:eastAsia="zh-CN"/>
              </w:rPr>
              <w:t>114</w:t>
            </w:r>
          </w:p>
        </w:tc>
        <w:tc>
          <w:tcPr>
            <w:tcW w:w="358" w:type="pct"/>
            <w:noWrap w:val="0"/>
            <w:vAlign w:val="center"/>
          </w:tcPr>
          <w:p w14:paraId="768CF40C">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24A83E0E">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r w14:paraId="3BB7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vMerge w:val="restart"/>
            <w:noWrap w:val="0"/>
            <w:vAlign w:val="center"/>
          </w:tcPr>
          <w:p w14:paraId="296E07C6">
            <w:pPr>
              <w:pStyle w:val="30"/>
              <w:bidi w:val="0"/>
              <w:rPr>
                <w:rFonts w:hint="eastAsia"/>
                <w:color w:val="auto"/>
                <w:lang w:val="en-US" w:eastAsia="zh-CN"/>
              </w:rPr>
            </w:pPr>
            <w:r>
              <w:rPr>
                <w:rFonts w:hint="eastAsia"/>
                <w:color w:val="auto"/>
                <w:lang w:val="en-US" w:eastAsia="zh-CN"/>
              </w:rPr>
              <w:t>2</w:t>
            </w:r>
          </w:p>
        </w:tc>
        <w:tc>
          <w:tcPr>
            <w:tcW w:w="728" w:type="pct"/>
            <w:vMerge w:val="restart"/>
            <w:noWrap w:val="0"/>
            <w:vAlign w:val="center"/>
          </w:tcPr>
          <w:p w14:paraId="76912D46">
            <w:pPr>
              <w:pStyle w:val="30"/>
              <w:bidi w:val="0"/>
              <w:rPr>
                <w:rFonts w:hint="eastAsia"/>
                <w:color w:val="auto"/>
                <w:lang w:val="en-US" w:eastAsia="zh-CN"/>
              </w:rPr>
            </w:pPr>
            <w:r>
              <w:rPr>
                <w:rFonts w:hint="eastAsia"/>
                <w:color w:val="auto"/>
                <w:lang w:val="en-US" w:eastAsia="zh-CN"/>
              </w:rPr>
              <w:t>选矿车间（戊类，二级）</w:t>
            </w:r>
          </w:p>
        </w:tc>
        <w:tc>
          <w:tcPr>
            <w:tcW w:w="268" w:type="pct"/>
            <w:noWrap w:val="0"/>
            <w:vAlign w:val="center"/>
          </w:tcPr>
          <w:p w14:paraId="677D030B">
            <w:pPr>
              <w:pStyle w:val="30"/>
              <w:bidi w:val="0"/>
              <w:rPr>
                <w:rFonts w:hint="eastAsia"/>
                <w:color w:val="auto"/>
                <w:lang w:val="en-US" w:eastAsia="zh-CN"/>
              </w:rPr>
            </w:pPr>
            <w:r>
              <w:rPr>
                <w:rFonts w:hint="eastAsia"/>
                <w:color w:val="auto"/>
                <w:lang w:val="en-US" w:eastAsia="zh-CN"/>
              </w:rPr>
              <w:t>东</w:t>
            </w:r>
          </w:p>
        </w:tc>
        <w:tc>
          <w:tcPr>
            <w:tcW w:w="950" w:type="pct"/>
            <w:noWrap w:val="0"/>
            <w:vAlign w:val="center"/>
          </w:tcPr>
          <w:p w14:paraId="0486869B">
            <w:pPr>
              <w:pStyle w:val="30"/>
              <w:bidi w:val="0"/>
              <w:rPr>
                <w:rFonts w:hint="eastAsia"/>
                <w:color w:val="auto"/>
                <w:lang w:val="en-US" w:eastAsia="zh-CN"/>
              </w:rPr>
            </w:pPr>
            <w:r>
              <w:rPr>
                <w:rFonts w:hint="eastAsia"/>
                <w:color w:val="auto"/>
                <w:lang w:val="en-US" w:eastAsia="zh-CN"/>
              </w:rPr>
              <w:t>破碎车间（戊类，二级）</w:t>
            </w:r>
          </w:p>
        </w:tc>
        <w:tc>
          <w:tcPr>
            <w:tcW w:w="434" w:type="pct"/>
            <w:noWrap w:val="0"/>
            <w:vAlign w:val="center"/>
          </w:tcPr>
          <w:p w14:paraId="70AE3640">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53B39F03">
            <w:pPr>
              <w:pStyle w:val="30"/>
              <w:bidi w:val="0"/>
              <w:rPr>
                <w:rFonts w:hint="default"/>
                <w:color w:val="auto"/>
                <w:lang w:val="en-US" w:eastAsia="zh-CN"/>
              </w:rPr>
            </w:pPr>
            <w:r>
              <w:rPr>
                <w:rFonts w:hint="eastAsia"/>
                <w:color w:val="auto"/>
                <w:lang w:val="en-US" w:eastAsia="zh-CN"/>
              </w:rPr>
              <w:t>12</w:t>
            </w:r>
          </w:p>
        </w:tc>
        <w:tc>
          <w:tcPr>
            <w:tcW w:w="358" w:type="pct"/>
            <w:noWrap w:val="0"/>
            <w:vAlign w:val="center"/>
          </w:tcPr>
          <w:p w14:paraId="1B11FC66">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713F210E">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r w14:paraId="1F9C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vMerge w:val="continue"/>
            <w:noWrap w:val="0"/>
            <w:vAlign w:val="center"/>
          </w:tcPr>
          <w:p w14:paraId="02AD6F69">
            <w:pPr>
              <w:pStyle w:val="30"/>
              <w:bidi w:val="0"/>
              <w:rPr>
                <w:rFonts w:hint="eastAsia"/>
                <w:color w:val="auto"/>
                <w:lang w:val="en-US" w:eastAsia="zh-CN"/>
              </w:rPr>
            </w:pPr>
          </w:p>
        </w:tc>
        <w:tc>
          <w:tcPr>
            <w:tcW w:w="728" w:type="pct"/>
            <w:vMerge w:val="continue"/>
            <w:noWrap w:val="0"/>
            <w:vAlign w:val="center"/>
          </w:tcPr>
          <w:p w14:paraId="4AD5155F">
            <w:pPr>
              <w:pStyle w:val="30"/>
              <w:bidi w:val="0"/>
              <w:rPr>
                <w:rFonts w:hint="eastAsia"/>
                <w:color w:val="auto"/>
                <w:lang w:val="en-US" w:eastAsia="zh-CN"/>
              </w:rPr>
            </w:pPr>
          </w:p>
        </w:tc>
        <w:tc>
          <w:tcPr>
            <w:tcW w:w="268" w:type="pct"/>
            <w:noWrap w:val="0"/>
            <w:vAlign w:val="center"/>
          </w:tcPr>
          <w:p w14:paraId="78DC33E9">
            <w:pPr>
              <w:pStyle w:val="30"/>
              <w:bidi w:val="0"/>
              <w:rPr>
                <w:rFonts w:hint="default"/>
                <w:color w:val="auto"/>
                <w:lang w:val="en-US" w:eastAsia="zh-CN"/>
              </w:rPr>
            </w:pPr>
            <w:r>
              <w:rPr>
                <w:rFonts w:hint="eastAsia"/>
                <w:color w:val="auto"/>
                <w:lang w:val="en-US" w:eastAsia="zh-CN"/>
              </w:rPr>
              <w:t>西</w:t>
            </w:r>
          </w:p>
        </w:tc>
        <w:tc>
          <w:tcPr>
            <w:tcW w:w="950" w:type="pct"/>
            <w:noWrap w:val="0"/>
            <w:vAlign w:val="center"/>
          </w:tcPr>
          <w:p w14:paraId="6AA1DF34">
            <w:pPr>
              <w:pStyle w:val="30"/>
              <w:bidi w:val="0"/>
              <w:rPr>
                <w:rFonts w:hint="eastAsia"/>
                <w:color w:val="auto"/>
                <w:lang w:val="en-US" w:eastAsia="zh-CN"/>
              </w:rPr>
            </w:pPr>
            <w:r>
              <w:rPr>
                <w:rFonts w:hint="eastAsia"/>
                <w:color w:val="auto"/>
                <w:lang w:val="en-US" w:eastAsia="zh-CN"/>
              </w:rPr>
              <w:t>脱水车间（戊类，二级）</w:t>
            </w:r>
          </w:p>
        </w:tc>
        <w:tc>
          <w:tcPr>
            <w:tcW w:w="434" w:type="pct"/>
            <w:noWrap w:val="0"/>
            <w:vAlign w:val="center"/>
          </w:tcPr>
          <w:p w14:paraId="14A236F1">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76FC71CF">
            <w:pPr>
              <w:pStyle w:val="30"/>
              <w:bidi w:val="0"/>
              <w:rPr>
                <w:rFonts w:hint="default"/>
                <w:color w:val="auto"/>
                <w:lang w:val="en-US" w:eastAsia="zh-CN"/>
              </w:rPr>
            </w:pPr>
            <w:r>
              <w:rPr>
                <w:rFonts w:hint="eastAsia"/>
                <w:color w:val="auto"/>
                <w:lang w:val="en-US" w:eastAsia="zh-CN"/>
              </w:rPr>
              <w:t>12</w:t>
            </w:r>
          </w:p>
        </w:tc>
        <w:tc>
          <w:tcPr>
            <w:tcW w:w="358" w:type="pct"/>
            <w:noWrap w:val="0"/>
            <w:vAlign w:val="center"/>
          </w:tcPr>
          <w:p w14:paraId="517628A3">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676A1AE8">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r w14:paraId="3C7C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 w:type="pct"/>
            <w:vMerge w:val="continue"/>
            <w:noWrap w:val="0"/>
            <w:vAlign w:val="center"/>
          </w:tcPr>
          <w:p w14:paraId="2176FEDD">
            <w:pPr>
              <w:pStyle w:val="30"/>
              <w:bidi w:val="0"/>
              <w:rPr>
                <w:rFonts w:hint="eastAsia"/>
                <w:color w:val="auto"/>
                <w:lang w:val="en-US" w:eastAsia="zh-CN"/>
              </w:rPr>
            </w:pPr>
          </w:p>
        </w:tc>
        <w:tc>
          <w:tcPr>
            <w:tcW w:w="728" w:type="pct"/>
            <w:vMerge w:val="continue"/>
            <w:noWrap w:val="0"/>
            <w:vAlign w:val="center"/>
          </w:tcPr>
          <w:p w14:paraId="7AB31DDE">
            <w:pPr>
              <w:pStyle w:val="30"/>
              <w:bidi w:val="0"/>
              <w:rPr>
                <w:rFonts w:hint="eastAsia"/>
                <w:color w:val="auto"/>
                <w:lang w:val="en-US" w:eastAsia="zh-CN"/>
              </w:rPr>
            </w:pPr>
          </w:p>
        </w:tc>
        <w:tc>
          <w:tcPr>
            <w:tcW w:w="268" w:type="pct"/>
            <w:noWrap w:val="0"/>
            <w:vAlign w:val="center"/>
          </w:tcPr>
          <w:p w14:paraId="08D985F1">
            <w:pPr>
              <w:pStyle w:val="30"/>
              <w:bidi w:val="0"/>
              <w:rPr>
                <w:rFonts w:hint="eastAsia"/>
                <w:color w:val="auto"/>
                <w:lang w:val="en-US" w:eastAsia="zh-CN"/>
              </w:rPr>
            </w:pPr>
            <w:r>
              <w:rPr>
                <w:rFonts w:hint="eastAsia"/>
                <w:color w:val="auto"/>
                <w:lang w:val="en-US" w:eastAsia="zh-CN"/>
              </w:rPr>
              <w:t>东北</w:t>
            </w:r>
          </w:p>
        </w:tc>
        <w:tc>
          <w:tcPr>
            <w:tcW w:w="950" w:type="pct"/>
            <w:shd w:val="clear" w:color="auto" w:fill="auto"/>
            <w:noWrap w:val="0"/>
            <w:vAlign w:val="center"/>
          </w:tcPr>
          <w:p w14:paraId="32AE7CF7">
            <w:pPr>
              <w:pStyle w:val="30"/>
              <w:bidi w:val="0"/>
              <w:ind w:firstLine="0" w:firstLineChars="0"/>
              <w:rPr>
                <w:rFonts w:hint="eastAsia" w:ascii="Times New Roman" w:hAnsi="Times New Roman" w:eastAsia="宋体" w:cstheme="minorBidi"/>
                <w:color w:val="auto"/>
                <w:kern w:val="2"/>
                <w:sz w:val="21"/>
                <w:szCs w:val="24"/>
                <w:lang w:val="en-US" w:eastAsia="zh-CN" w:bidi="ar-SA"/>
              </w:rPr>
            </w:pPr>
            <w:r>
              <w:rPr>
                <w:rFonts w:hint="eastAsia"/>
                <w:color w:val="auto"/>
                <w:lang w:val="en-US" w:eastAsia="zh-CN"/>
              </w:rPr>
              <w:t>办公生活区（民用，二级）</w:t>
            </w:r>
          </w:p>
        </w:tc>
        <w:tc>
          <w:tcPr>
            <w:tcW w:w="434" w:type="pct"/>
            <w:noWrap w:val="0"/>
            <w:vAlign w:val="center"/>
          </w:tcPr>
          <w:p w14:paraId="3BE7AC53">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06FF320D">
            <w:pPr>
              <w:pStyle w:val="30"/>
              <w:bidi w:val="0"/>
              <w:rPr>
                <w:rFonts w:hint="default"/>
                <w:color w:val="auto"/>
                <w:lang w:val="en-US" w:eastAsia="zh-CN"/>
              </w:rPr>
            </w:pPr>
            <w:r>
              <w:rPr>
                <w:rFonts w:hint="eastAsia"/>
                <w:color w:val="auto"/>
                <w:lang w:val="en-US" w:eastAsia="zh-CN"/>
              </w:rPr>
              <w:t>122</w:t>
            </w:r>
          </w:p>
        </w:tc>
        <w:tc>
          <w:tcPr>
            <w:tcW w:w="358" w:type="pct"/>
            <w:noWrap w:val="0"/>
            <w:vAlign w:val="center"/>
          </w:tcPr>
          <w:p w14:paraId="3B4E9A2D">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7D03D27C">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r w14:paraId="62B8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 w:type="pct"/>
            <w:vMerge w:val="restart"/>
            <w:noWrap w:val="0"/>
            <w:vAlign w:val="center"/>
          </w:tcPr>
          <w:p w14:paraId="0A491BC3">
            <w:pPr>
              <w:pStyle w:val="30"/>
              <w:bidi w:val="0"/>
              <w:rPr>
                <w:rFonts w:hint="eastAsia"/>
                <w:color w:val="auto"/>
                <w:lang w:val="en-US" w:eastAsia="zh-CN"/>
              </w:rPr>
            </w:pPr>
            <w:r>
              <w:rPr>
                <w:rFonts w:hint="eastAsia"/>
                <w:color w:val="auto"/>
                <w:lang w:val="en-US" w:eastAsia="zh-CN"/>
              </w:rPr>
              <w:t>3</w:t>
            </w:r>
          </w:p>
        </w:tc>
        <w:tc>
          <w:tcPr>
            <w:tcW w:w="728" w:type="pct"/>
            <w:vMerge w:val="restart"/>
            <w:noWrap w:val="0"/>
            <w:vAlign w:val="center"/>
          </w:tcPr>
          <w:p w14:paraId="206E63D6">
            <w:pPr>
              <w:pStyle w:val="30"/>
              <w:bidi w:val="0"/>
              <w:rPr>
                <w:rFonts w:hint="eastAsia"/>
                <w:color w:val="auto"/>
                <w:lang w:val="en-US" w:eastAsia="zh-CN"/>
              </w:rPr>
            </w:pPr>
            <w:r>
              <w:rPr>
                <w:rFonts w:hint="eastAsia"/>
                <w:color w:val="auto"/>
                <w:lang w:val="en-US" w:eastAsia="zh-CN"/>
              </w:rPr>
              <w:t>脱水车间（戊类，二级）</w:t>
            </w:r>
          </w:p>
        </w:tc>
        <w:tc>
          <w:tcPr>
            <w:tcW w:w="268" w:type="pct"/>
            <w:noWrap w:val="0"/>
            <w:vAlign w:val="center"/>
          </w:tcPr>
          <w:p w14:paraId="3875A4F8">
            <w:pPr>
              <w:pStyle w:val="30"/>
              <w:bidi w:val="0"/>
              <w:rPr>
                <w:rFonts w:hint="eastAsia"/>
                <w:color w:val="auto"/>
                <w:lang w:val="en-US" w:eastAsia="zh-CN"/>
              </w:rPr>
            </w:pPr>
            <w:r>
              <w:rPr>
                <w:rFonts w:hint="eastAsia"/>
                <w:color w:val="auto"/>
                <w:lang w:val="en-US" w:eastAsia="zh-CN"/>
              </w:rPr>
              <w:t>东</w:t>
            </w:r>
          </w:p>
        </w:tc>
        <w:tc>
          <w:tcPr>
            <w:tcW w:w="950" w:type="pct"/>
            <w:noWrap w:val="0"/>
            <w:vAlign w:val="center"/>
          </w:tcPr>
          <w:p w14:paraId="1342DF61">
            <w:pPr>
              <w:pStyle w:val="30"/>
              <w:bidi w:val="0"/>
              <w:rPr>
                <w:rFonts w:hint="eastAsia"/>
                <w:color w:val="auto"/>
                <w:lang w:val="en-US" w:eastAsia="zh-CN"/>
              </w:rPr>
            </w:pPr>
            <w:r>
              <w:rPr>
                <w:rFonts w:hint="eastAsia"/>
                <w:color w:val="auto"/>
                <w:lang w:val="en-US" w:eastAsia="zh-CN"/>
              </w:rPr>
              <w:t>破碎车间（戊类，二级）</w:t>
            </w:r>
          </w:p>
        </w:tc>
        <w:tc>
          <w:tcPr>
            <w:tcW w:w="434" w:type="pct"/>
            <w:noWrap w:val="0"/>
            <w:vAlign w:val="center"/>
          </w:tcPr>
          <w:p w14:paraId="080A6F6A">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66847188">
            <w:pPr>
              <w:pStyle w:val="30"/>
              <w:bidi w:val="0"/>
              <w:rPr>
                <w:rFonts w:hint="default"/>
                <w:color w:val="auto"/>
                <w:lang w:val="en-US" w:eastAsia="zh-CN"/>
              </w:rPr>
            </w:pPr>
            <w:r>
              <w:rPr>
                <w:rFonts w:hint="eastAsia"/>
                <w:color w:val="auto"/>
                <w:lang w:val="en-US" w:eastAsia="zh-CN"/>
              </w:rPr>
              <w:t>50</w:t>
            </w:r>
          </w:p>
        </w:tc>
        <w:tc>
          <w:tcPr>
            <w:tcW w:w="358" w:type="pct"/>
            <w:noWrap w:val="0"/>
            <w:vAlign w:val="center"/>
          </w:tcPr>
          <w:p w14:paraId="0ED78252">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73557E8A">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r w14:paraId="3369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 w:type="pct"/>
            <w:vMerge w:val="continue"/>
            <w:noWrap w:val="0"/>
            <w:vAlign w:val="center"/>
          </w:tcPr>
          <w:p w14:paraId="16D72E58">
            <w:pPr>
              <w:pStyle w:val="30"/>
              <w:bidi w:val="0"/>
              <w:rPr>
                <w:rFonts w:hint="eastAsia"/>
                <w:color w:val="auto"/>
                <w:lang w:val="en-US" w:eastAsia="zh-CN"/>
              </w:rPr>
            </w:pPr>
          </w:p>
        </w:tc>
        <w:tc>
          <w:tcPr>
            <w:tcW w:w="728" w:type="pct"/>
            <w:vMerge w:val="continue"/>
            <w:noWrap w:val="0"/>
            <w:vAlign w:val="center"/>
          </w:tcPr>
          <w:p w14:paraId="28520B05">
            <w:pPr>
              <w:pStyle w:val="30"/>
              <w:bidi w:val="0"/>
              <w:rPr>
                <w:rFonts w:hint="eastAsia"/>
                <w:color w:val="auto"/>
                <w:lang w:val="en-US" w:eastAsia="zh-CN"/>
              </w:rPr>
            </w:pPr>
          </w:p>
        </w:tc>
        <w:tc>
          <w:tcPr>
            <w:tcW w:w="268" w:type="pct"/>
            <w:noWrap w:val="0"/>
            <w:vAlign w:val="center"/>
          </w:tcPr>
          <w:p w14:paraId="336C86DE">
            <w:pPr>
              <w:pStyle w:val="30"/>
              <w:bidi w:val="0"/>
              <w:rPr>
                <w:rFonts w:hint="default"/>
                <w:color w:val="auto"/>
                <w:lang w:val="en-US" w:eastAsia="zh-CN"/>
              </w:rPr>
            </w:pPr>
            <w:r>
              <w:rPr>
                <w:rFonts w:hint="eastAsia"/>
                <w:color w:val="auto"/>
                <w:lang w:val="en-US" w:eastAsia="zh-CN"/>
              </w:rPr>
              <w:t>东</w:t>
            </w:r>
          </w:p>
        </w:tc>
        <w:tc>
          <w:tcPr>
            <w:tcW w:w="950" w:type="pct"/>
            <w:noWrap w:val="0"/>
            <w:vAlign w:val="center"/>
          </w:tcPr>
          <w:p w14:paraId="43FFA13A">
            <w:pPr>
              <w:pStyle w:val="30"/>
              <w:bidi w:val="0"/>
              <w:rPr>
                <w:rFonts w:hint="eastAsia"/>
                <w:color w:val="auto"/>
                <w:lang w:val="en-US" w:eastAsia="zh-CN"/>
              </w:rPr>
            </w:pPr>
            <w:r>
              <w:rPr>
                <w:rFonts w:hint="eastAsia"/>
                <w:color w:val="auto"/>
                <w:lang w:val="en-US" w:eastAsia="zh-CN"/>
              </w:rPr>
              <w:t>选矿车间（戊类，二级）</w:t>
            </w:r>
          </w:p>
        </w:tc>
        <w:tc>
          <w:tcPr>
            <w:tcW w:w="434" w:type="pct"/>
            <w:noWrap w:val="0"/>
            <w:vAlign w:val="center"/>
          </w:tcPr>
          <w:p w14:paraId="3312D9B8">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71A1F1CF">
            <w:pPr>
              <w:pStyle w:val="30"/>
              <w:bidi w:val="0"/>
              <w:rPr>
                <w:rFonts w:hint="default"/>
                <w:color w:val="auto"/>
                <w:lang w:val="en-US" w:eastAsia="zh-CN"/>
              </w:rPr>
            </w:pPr>
            <w:r>
              <w:rPr>
                <w:rFonts w:hint="eastAsia"/>
                <w:color w:val="auto"/>
                <w:lang w:val="en-US" w:eastAsia="zh-CN"/>
              </w:rPr>
              <w:t>12</w:t>
            </w:r>
          </w:p>
        </w:tc>
        <w:tc>
          <w:tcPr>
            <w:tcW w:w="358" w:type="pct"/>
            <w:noWrap w:val="0"/>
            <w:vAlign w:val="center"/>
          </w:tcPr>
          <w:p w14:paraId="4DB32997">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7FAD9401">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r w14:paraId="18D4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 w:type="pct"/>
            <w:vMerge w:val="continue"/>
            <w:noWrap w:val="0"/>
            <w:vAlign w:val="center"/>
          </w:tcPr>
          <w:p w14:paraId="2E7C413D">
            <w:pPr>
              <w:pStyle w:val="30"/>
              <w:bidi w:val="0"/>
              <w:rPr>
                <w:rFonts w:hint="eastAsia"/>
                <w:color w:val="auto"/>
                <w:lang w:val="en-US" w:eastAsia="zh-CN"/>
              </w:rPr>
            </w:pPr>
          </w:p>
        </w:tc>
        <w:tc>
          <w:tcPr>
            <w:tcW w:w="728" w:type="pct"/>
            <w:vMerge w:val="continue"/>
            <w:noWrap w:val="0"/>
            <w:vAlign w:val="center"/>
          </w:tcPr>
          <w:p w14:paraId="17579406">
            <w:pPr>
              <w:pStyle w:val="30"/>
              <w:bidi w:val="0"/>
              <w:rPr>
                <w:rFonts w:hint="eastAsia"/>
                <w:color w:val="auto"/>
                <w:lang w:val="en-US" w:eastAsia="zh-CN"/>
              </w:rPr>
            </w:pPr>
          </w:p>
        </w:tc>
        <w:tc>
          <w:tcPr>
            <w:tcW w:w="268" w:type="pct"/>
            <w:noWrap w:val="0"/>
            <w:vAlign w:val="center"/>
          </w:tcPr>
          <w:p w14:paraId="54367A49">
            <w:pPr>
              <w:pStyle w:val="30"/>
              <w:bidi w:val="0"/>
              <w:rPr>
                <w:rFonts w:hint="default"/>
                <w:color w:val="auto"/>
                <w:lang w:val="en-US" w:eastAsia="zh-CN"/>
              </w:rPr>
            </w:pPr>
            <w:r>
              <w:rPr>
                <w:rFonts w:hint="eastAsia"/>
                <w:color w:val="auto"/>
                <w:lang w:val="en-US" w:eastAsia="zh-CN"/>
              </w:rPr>
              <w:t>东北</w:t>
            </w:r>
          </w:p>
        </w:tc>
        <w:tc>
          <w:tcPr>
            <w:tcW w:w="950" w:type="pct"/>
            <w:noWrap w:val="0"/>
            <w:vAlign w:val="center"/>
          </w:tcPr>
          <w:p w14:paraId="2E190864">
            <w:pPr>
              <w:pStyle w:val="30"/>
              <w:bidi w:val="0"/>
              <w:rPr>
                <w:rFonts w:hint="eastAsia"/>
                <w:color w:val="auto"/>
                <w:lang w:val="en-US" w:eastAsia="zh-CN"/>
              </w:rPr>
            </w:pPr>
            <w:r>
              <w:rPr>
                <w:rFonts w:hint="eastAsia"/>
                <w:color w:val="auto"/>
                <w:lang w:val="en-US" w:eastAsia="zh-CN"/>
              </w:rPr>
              <w:t>办公生活区（民用，二级）</w:t>
            </w:r>
          </w:p>
        </w:tc>
        <w:tc>
          <w:tcPr>
            <w:tcW w:w="434" w:type="pct"/>
            <w:noWrap w:val="0"/>
            <w:vAlign w:val="center"/>
          </w:tcPr>
          <w:p w14:paraId="4BFBABDD">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156FE552">
            <w:pPr>
              <w:pStyle w:val="30"/>
              <w:bidi w:val="0"/>
              <w:rPr>
                <w:rFonts w:hint="default"/>
                <w:color w:val="auto"/>
                <w:lang w:val="en-US" w:eastAsia="zh-CN"/>
              </w:rPr>
            </w:pPr>
            <w:r>
              <w:rPr>
                <w:rFonts w:hint="eastAsia"/>
                <w:color w:val="auto"/>
                <w:lang w:val="en-US" w:eastAsia="zh-CN"/>
              </w:rPr>
              <w:t>136</w:t>
            </w:r>
          </w:p>
        </w:tc>
        <w:tc>
          <w:tcPr>
            <w:tcW w:w="358" w:type="pct"/>
            <w:noWrap w:val="0"/>
            <w:vAlign w:val="center"/>
          </w:tcPr>
          <w:p w14:paraId="2E6EAB69">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648E15AB">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r w14:paraId="667E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 w:type="pct"/>
            <w:vMerge w:val="restart"/>
            <w:noWrap w:val="0"/>
            <w:vAlign w:val="center"/>
          </w:tcPr>
          <w:p w14:paraId="274E0AE9">
            <w:pPr>
              <w:pStyle w:val="30"/>
              <w:bidi w:val="0"/>
              <w:rPr>
                <w:rFonts w:hint="default"/>
                <w:color w:val="auto"/>
                <w:lang w:val="en-US" w:eastAsia="zh-CN"/>
              </w:rPr>
            </w:pPr>
            <w:r>
              <w:rPr>
                <w:rFonts w:hint="eastAsia"/>
                <w:color w:val="auto"/>
                <w:lang w:val="en-US" w:eastAsia="zh-CN"/>
              </w:rPr>
              <w:t>4</w:t>
            </w:r>
          </w:p>
        </w:tc>
        <w:tc>
          <w:tcPr>
            <w:tcW w:w="728" w:type="pct"/>
            <w:vMerge w:val="restart"/>
            <w:noWrap w:val="0"/>
            <w:vAlign w:val="center"/>
          </w:tcPr>
          <w:p w14:paraId="6F19EE38">
            <w:pPr>
              <w:pStyle w:val="30"/>
              <w:bidi w:val="0"/>
              <w:rPr>
                <w:rFonts w:hint="eastAsia"/>
                <w:color w:val="auto"/>
                <w:lang w:val="en-US" w:eastAsia="zh-CN"/>
              </w:rPr>
            </w:pPr>
            <w:r>
              <w:rPr>
                <w:rFonts w:hint="eastAsia"/>
                <w:color w:val="auto"/>
                <w:lang w:val="en-US" w:eastAsia="zh-CN"/>
              </w:rPr>
              <w:t>办公生活区（民用，二级）</w:t>
            </w:r>
          </w:p>
        </w:tc>
        <w:tc>
          <w:tcPr>
            <w:tcW w:w="268" w:type="pct"/>
            <w:vMerge w:val="restart"/>
            <w:noWrap w:val="0"/>
            <w:vAlign w:val="center"/>
          </w:tcPr>
          <w:p w14:paraId="62E7B47C">
            <w:pPr>
              <w:pStyle w:val="30"/>
              <w:bidi w:val="0"/>
              <w:rPr>
                <w:rFonts w:hint="eastAsia"/>
                <w:color w:val="auto"/>
                <w:lang w:val="en-US" w:eastAsia="zh-CN"/>
              </w:rPr>
            </w:pPr>
            <w:r>
              <w:rPr>
                <w:rFonts w:hint="eastAsia"/>
                <w:color w:val="auto"/>
                <w:lang w:val="en-US" w:eastAsia="zh-CN"/>
              </w:rPr>
              <w:t>东南</w:t>
            </w:r>
          </w:p>
        </w:tc>
        <w:tc>
          <w:tcPr>
            <w:tcW w:w="950" w:type="pct"/>
            <w:noWrap w:val="0"/>
            <w:vAlign w:val="center"/>
          </w:tcPr>
          <w:p w14:paraId="69C22BFC">
            <w:pPr>
              <w:pStyle w:val="30"/>
              <w:bidi w:val="0"/>
              <w:rPr>
                <w:rFonts w:hint="eastAsia"/>
                <w:color w:val="auto"/>
                <w:lang w:val="en-US" w:eastAsia="zh-CN"/>
              </w:rPr>
            </w:pPr>
            <w:r>
              <w:rPr>
                <w:rFonts w:hint="eastAsia"/>
                <w:color w:val="auto"/>
                <w:lang w:val="en-US" w:eastAsia="zh-CN"/>
              </w:rPr>
              <w:t>破碎车间（戊类，二级）</w:t>
            </w:r>
          </w:p>
        </w:tc>
        <w:tc>
          <w:tcPr>
            <w:tcW w:w="434" w:type="pct"/>
            <w:noWrap w:val="0"/>
            <w:vAlign w:val="center"/>
          </w:tcPr>
          <w:p w14:paraId="1FA41AF3">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103E30D3">
            <w:pPr>
              <w:pStyle w:val="30"/>
              <w:bidi w:val="0"/>
              <w:rPr>
                <w:rFonts w:hint="default"/>
                <w:color w:val="auto"/>
                <w:lang w:val="en-US" w:eastAsia="zh-CN"/>
              </w:rPr>
            </w:pPr>
            <w:r>
              <w:rPr>
                <w:rFonts w:hint="eastAsia"/>
                <w:color w:val="auto"/>
                <w:lang w:val="en-US" w:eastAsia="zh-CN"/>
              </w:rPr>
              <w:t>114</w:t>
            </w:r>
          </w:p>
        </w:tc>
        <w:tc>
          <w:tcPr>
            <w:tcW w:w="358" w:type="pct"/>
            <w:noWrap w:val="0"/>
            <w:vAlign w:val="center"/>
          </w:tcPr>
          <w:p w14:paraId="63EA70A2">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67505068">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r w14:paraId="61AA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 w:type="pct"/>
            <w:vMerge w:val="continue"/>
            <w:noWrap w:val="0"/>
            <w:vAlign w:val="center"/>
          </w:tcPr>
          <w:p w14:paraId="40E67F2B">
            <w:pPr>
              <w:pStyle w:val="30"/>
              <w:bidi w:val="0"/>
              <w:rPr>
                <w:rFonts w:hint="eastAsia"/>
                <w:color w:val="auto"/>
                <w:lang w:val="en-US" w:eastAsia="zh-CN"/>
              </w:rPr>
            </w:pPr>
          </w:p>
        </w:tc>
        <w:tc>
          <w:tcPr>
            <w:tcW w:w="728" w:type="pct"/>
            <w:vMerge w:val="continue"/>
            <w:noWrap w:val="0"/>
            <w:vAlign w:val="center"/>
          </w:tcPr>
          <w:p w14:paraId="682D738E">
            <w:pPr>
              <w:pStyle w:val="30"/>
              <w:bidi w:val="0"/>
              <w:rPr>
                <w:rFonts w:hint="eastAsia"/>
                <w:color w:val="auto"/>
                <w:lang w:val="en-US" w:eastAsia="zh-CN"/>
              </w:rPr>
            </w:pPr>
          </w:p>
        </w:tc>
        <w:tc>
          <w:tcPr>
            <w:tcW w:w="268" w:type="pct"/>
            <w:vMerge w:val="continue"/>
            <w:noWrap w:val="0"/>
            <w:vAlign w:val="center"/>
          </w:tcPr>
          <w:p w14:paraId="0E0E24C8">
            <w:pPr>
              <w:pStyle w:val="30"/>
              <w:bidi w:val="0"/>
              <w:rPr>
                <w:rFonts w:hint="eastAsia"/>
                <w:color w:val="auto"/>
                <w:lang w:val="en-US" w:eastAsia="zh-CN"/>
              </w:rPr>
            </w:pPr>
          </w:p>
        </w:tc>
        <w:tc>
          <w:tcPr>
            <w:tcW w:w="950" w:type="pct"/>
            <w:noWrap w:val="0"/>
            <w:vAlign w:val="center"/>
          </w:tcPr>
          <w:p w14:paraId="49D654F7">
            <w:pPr>
              <w:pStyle w:val="30"/>
              <w:bidi w:val="0"/>
              <w:rPr>
                <w:rFonts w:hint="eastAsia"/>
                <w:color w:val="auto"/>
                <w:lang w:val="en-US" w:eastAsia="zh-CN"/>
              </w:rPr>
            </w:pPr>
            <w:r>
              <w:rPr>
                <w:rFonts w:hint="eastAsia"/>
                <w:color w:val="auto"/>
                <w:lang w:val="en-US" w:eastAsia="zh-CN"/>
              </w:rPr>
              <w:t>选矿车间（戊类，二级）</w:t>
            </w:r>
          </w:p>
        </w:tc>
        <w:tc>
          <w:tcPr>
            <w:tcW w:w="434" w:type="pct"/>
            <w:noWrap w:val="0"/>
            <w:vAlign w:val="center"/>
          </w:tcPr>
          <w:p w14:paraId="630E8C56">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68BA886E">
            <w:pPr>
              <w:pStyle w:val="30"/>
              <w:bidi w:val="0"/>
              <w:rPr>
                <w:rFonts w:hint="default"/>
                <w:color w:val="auto"/>
                <w:lang w:val="en-US" w:eastAsia="zh-CN"/>
              </w:rPr>
            </w:pPr>
            <w:r>
              <w:rPr>
                <w:rFonts w:hint="eastAsia"/>
                <w:color w:val="auto"/>
                <w:lang w:val="en-US" w:eastAsia="zh-CN"/>
              </w:rPr>
              <w:t>122</w:t>
            </w:r>
          </w:p>
        </w:tc>
        <w:tc>
          <w:tcPr>
            <w:tcW w:w="358" w:type="pct"/>
            <w:noWrap w:val="0"/>
            <w:vAlign w:val="center"/>
          </w:tcPr>
          <w:p w14:paraId="199C6B14">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564FD5C8">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r w14:paraId="086D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 w:type="pct"/>
            <w:vMerge w:val="continue"/>
            <w:noWrap w:val="0"/>
            <w:vAlign w:val="center"/>
          </w:tcPr>
          <w:p w14:paraId="7466DDC3">
            <w:pPr>
              <w:pStyle w:val="30"/>
              <w:bidi w:val="0"/>
              <w:rPr>
                <w:rFonts w:hint="eastAsia"/>
                <w:color w:val="auto"/>
                <w:lang w:val="en-US" w:eastAsia="zh-CN"/>
              </w:rPr>
            </w:pPr>
          </w:p>
        </w:tc>
        <w:tc>
          <w:tcPr>
            <w:tcW w:w="728" w:type="pct"/>
            <w:vMerge w:val="continue"/>
            <w:noWrap w:val="0"/>
            <w:vAlign w:val="center"/>
          </w:tcPr>
          <w:p w14:paraId="35A5A927">
            <w:pPr>
              <w:pStyle w:val="30"/>
              <w:bidi w:val="0"/>
              <w:rPr>
                <w:rFonts w:hint="eastAsia"/>
                <w:color w:val="auto"/>
                <w:lang w:val="en-US" w:eastAsia="zh-CN"/>
              </w:rPr>
            </w:pPr>
          </w:p>
        </w:tc>
        <w:tc>
          <w:tcPr>
            <w:tcW w:w="268" w:type="pct"/>
            <w:vMerge w:val="continue"/>
            <w:noWrap w:val="0"/>
            <w:vAlign w:val="center"/>
          </w:tcPr>
          <w:p w14:paraId="47B963FA">
            <w:pPr>
              <w:pStyle w:val="30"/>
              <w:bidi w:val="0"/>
              <w:rPr>
                <w:rFonts w:hint="eastAsia"/>
                <w:color w:val="auto"/>
                <w:lang w:val="en-US" w:eastAsia="zh-CN"/>
              </w:rPr>
            </w:pPr>
          </w:p>
        </w:tc>
        <w:tc>
          <w:tcPr>
            <w:tcW w:w="950" w:type="pct"/>
            <w:noWrap w:val="0"/>
            <w:vAlign w:val="center"/>
          </w:tcPr>
          <w:p w14:paraId="6826780E">
            <w:pPr>
              <w:pStyle w:val="30"/>
              <w:bidi w:val="0"/>
              <w:rPr>
                <w:rFonts w:hint="eastAsia"/>
                <w:color w:val="auto"/>
                <w:lang w:val="en-US" w:eastAsia="zh-CN"/>
              </w:rPr>
            </w:pPr>
            <w:r>
              <w:rPr>
                <w:rFonts w:hint="eastAsia"/>
                <w:color w:val="auto"/>
                <w:lang w:val="en-US" w:eastAsia="zh-CN"/>
              </w:rPr>
              <w:t>脱水车间（戊类，二级）</w:t>
            </w:r>
          </w:p>
        </w:tc>
        <w:tc>
          <w:tcPr>
            <w:tcW w:w="434" w:type="pct"/>
            <w:noWrap w:val="0"/>
            <w:vAlign w:val="center"/>
          </w:tcPr>
          <w:p w14:paraId="1088BF3B">
            <w:pPr>
              <w:pStyle w:val="30"/>
              <w:bidi w:val="0"/>
              <w:rPr>
                <w:rFonts w:hint="eastAsia"/>
                <w:color w:val="auto"/>
                <w:lang w:val="en-US" w:eastAsia="zh-CN"/>
              </w:rPr>
            </w:pPr>
            <w:r>
              <w:rPr>
                <w:rFonts w:hint="eastAsia"/>
                <w:color w:val="auto"/>
                <w:lang w:val="en-US" w:eastAsia="zh-CN"/>
              </w:rPr>
              <w:t>10</w:t>
            </w:r>
          </w:p>
        </w:tc>
        <w:tc>
          <w:tcPr>
            <w:tcW w:w="434" w:type="pct"/>
            <w:noWrap w:val="0"/>
            <w:vAlign w:val="center"/>
          </w:tcPr>
          <w:p w14:paraId="285172F0">
            <w:pPr>
              <w:pStyle w:val="30"/>
              <w:bidi w:val="0"/>
              <w:rPr>
                <w:rFonts w:hint="default"/>
                <w:color w:val="auto"/>
                <w:lang w:val="en-US" w:eastAsia="zh-CN"/>
              </w:rPr>
            </w:pPr>
            <w:r>
              <w:rPr>
                <w:rFonts w:hint="eastAsia"/>
                <w:color w:val="auto"/>
                <w:lang w:val="en-US" w:eastAsia="zh-CN"/>
              </w:rPr>
              <w:t>136</w:t>
            </w:r>
          </w:p>
        </w:tc>
        <w:tc>
          <w:tcPr>
            <w:tcW w:w="358" w:type="pct"/>
            <w:noWrap w:val="0"/>
            <w:vAlign w:val="center"/>
          </w:tcPr>
          <w:p w14:paraId="46DF522B">
            <w:pPr>
              <w:pStyle w:val="30"/>
              <w:bidi w:val="0"/>
              <w:rPr>
                <w:rFonts w:hint="eastAsia"/>
                <w:color w:val="auto"/>
                <w:lang w:val="en-US" w:eastAsia="zh-CN"/>
              </w:rPr>
            </w:pPr>
            <w:r>
              <w:rPr>
                <w:rFonts w:hint="eastAsia"/>
                <w:color w:val="auto"/>
                <w:lang w:val="en-US" w:eastAsia="zh-CN"/>
              </w:rPr>
              <w:t>符合</w:t>
            </w:r>
          </w:p>
        </w:tc>
        <w:tc>
          <w:tcPr>
            <w:tcW w:w="1597" w:type="pct"/>
            <w:noWrap w:val="0"/>
            <w:vAlign w:val="center"/>
          </w:tcPr>
          <w:p w14:paraId="436B09E5">
            <w:pPr>
              <w:pStyle w:val="30"/>
              <w:bidi w:val="0"/>
              <w:rPr>
                <w:rFonts w:hint="eastAsia"/>
                <w:color w:val="auto"/>
                <w:lang w:val="en-US" w:eastAsia="zh-CN"/>
              </w:rPr>
            </w:pPr>
            <w:r>
              <w:rPr>
                <w:rFonts w:hint="eastAsia"/>
                <w:color w:val="auto"/>
                <w:lang w:val="en-US" w:eastAsia="zh-CN"/>
              </w:rPr>
              <w:t>测量起始点说明：建筑最外沿至建筑最外沿；标准值取值说明：《建筑设计防火规范标准》（G B50016-2014）表 3.4.1。</w:t>
            </w:r>
          </w:p>
        </w:tc>
      </w:tr>
    </w:tbl>
    <w:p w14:paraId="43D5CD1D">
      <w:pPr>
        <w:pStyle w:val="3"/>
        <w:bidi w:val="0"/>
        <w:rPr>
          <w:rFonts w:hint="default"/>
          <w:color w:val="auto"/>
          <w:lang w:val="en-US" w:eastAsia="zh-CN"/>
        </w:rPr>
      </w:pPr>
      <w:bookmarkStart w:id="36" w:name="_Toc24746"/>
      <w:r>
        <w:rPr>
          <w:rFonts w:hint="eastAsia"/>
          <w:color w:val="auto"/>
          <w:lang w:val="en-US" w:eastAsia="zh-CN"/>
        </w:rPr>
        <w:t>2.7 主要原辅料</w:t>
      </w:r>
      <w:bookmarkEnd w:id="36"/>
    </w:p>
    <w:p w14:paraId="66E6EDB0">
      <w:pPr>
        <w:pStyle w:val="29"/>
        <w:bidi w:val="0"/>
        <w:rPr>
          <w:color w:val="auto"/>
        </w:rPr>
      </w:pPr>
      <w:r>
        <w:rPr>
          <w:rFonts w:hint="eastAsia"/>
          <w:color w:val="auto"/>
        </w:rPr>
        <w:t>表2</w:t>
      </w:r>
      <w:r>
        <w:rPr>
          <w:color w:val="auto"/>
        </w:rPr>
        <w:t>.</w:t>
      </w:r>
      <w:r>
        <w:rPr>
          <w:rFonts w:hint="eastAsia"/>
          <w:color w:val="auto"/>
          <w:lang w:val="en-US" w:eastAsia="zh-CN"/>
        </w:rPr>
        <w:t>7</w:t>
      </w:r>
      <w:r>
        <w:rPr>
          <w:rFonts w:hint="eastAsia"/>
          <w:color w:val="auto"/>
        </w:rPr>
        <w:t>-1  主要原、辅材料消耗表</w:t>
      </w:r>
    </w:p>
    <w:tbl>
      <w:tblPr>
        <w:tblStyle w:val="20"/>
        <w:tblW w:w="9287" w:type="dxa"/>
        <w:jc w:val="center"/>
        <w:shd w:val="clear" w:color="auto" w:fill="FFFFFF"/>
        <w:tblLayout w:type="fixed"/>
        <w:tblCellMar>
          <w:top w:w="0" w:type="dxa"/>
          <w:left w:w="108" w:type="dxa"/>
          <w:bottom w:w="0" w:type="dxa"/>
          <w:right w:w="108" w:type="dxa"/>
        </w:tblCellMar>
      </w:tblPr>
      <w:tblGrid>
        <w:gridCol w:w="1198"/>
        <w:gridCol w:w="3024"/>
        <w:gridCol w:w="1415"/>
        <w:gridCol w:w="3650"/>
      </w:tblGrid>
      <w:tr w14:paraId="19CB10AF">
        <w:tblPrEx>
          <w:tblCellMar>
            <w:top w:w="0" w:type="dxa"/>
            <w:left w:w="108" w:type="dxa"/>
            <w:bottom w:w="0" w:type="dxa"/>
            <w:right w:w="108" w:type="dxa"/>
          </w:tblCellMar>
        </w:tblPrEx>
        <w:trPr>
          <w:trHeight w:val="397" w:hRule="atLeast"/>
          <w:tblHeader/>
          <w:jc w:val="center"/>
        </w:trPr>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14:paraId="0C4545CE">
            <w:pPr>
              <w:pStyle w:val="30"/>
              <w:bidi w:val="0"/>
              <w:rPr>
                <w:b/>
                <w:bCs/>
                <w:color w:val="auto"/>
              </w:rPr>
            </w:pPr>
            <w:r>
              <w:rPr>
                <w:rFonts w:hint="eastAsia"/>
                <w:b/>
                <w:bCs/>
                <w:color w:val="auto"/>
              </w:rPr>
              <w:t>序号</w:t>
            </w:r>
          </w:p>
        </w:tc>
        <w:tc>
          <w:tcPr>
            <w:tcW w:w="3024" w:type="dxa"/>
            <w:tcBorders>
              <w:top w:val="single" w:color="auto" w:sz="4" w:space="0"/>
              <w:left w:val="nil"/>
              <w:bottom w:val="single" w:color="auto" w:sz="4" w:space="0"/>
              <w:right w:val="single" w:color="auto" w:sz="4" w:space="0"/>
            </w:tcBorders>
            <w:shd w:val="clear" w:color="auto" w:fill="FFFFFF"/>
            <w:vAlign w:val="center"/>
          </w:tcPr>
          <w:p w14:paraId="5893B6B8">
            <w:pPr>
              <w:pStyle w:val="30"/>
              <w:bidi w:val="0"/>
              <w:rPr>
                <w:b/>
                <w:bCs/>
                <w:color w:val="auto"/>
              </w:rPr>
            </w:pPr>
            <w:r>
              <w:rPr>
                <w:rFonts w:hint="eastAsia"/>
                <w:b/>
                <w:bCs/>
                <w:color w:val="auto"/>
              </w:rPr>
              <w:t>名</w:t>
            </w:r>
            <w:r>
              <w:rPr>
                <w:b/>
                <w:bCs/>
                <w:color w:val="auto"/>
              </w:rPr>
              <w:t xml:space="preserve">  </w:t>
            </w:r>
            <w:r>
              <w:rPr>
                <w:rFonts w:hint="eastAsia"/>
                <w:b/>
                <w:bCs/>
                <w:color w:val="auto"/>
              </w:rPr>
              <w:t>称</w:t>
            </w:r>
          </w:p>
        </w:tc>
        <w:tc>
          <w:tcPr>
            <w:tcW w:w="1415" w:type="dxa"/>
            <w:tcBorders>
              <w:top w:val="single" w:color="auto" w:sz="4" w:space="0"/>
              <w:left w:val="nil"/>
              <w:bottom w:val="single" w:color="auto" w:sz="4" w:space="0"/>
              <w:right w:val="single" w:color="auto" w:sz="4" w:space="0"/>
            </w:tcBorders>
            <w:shd w:val="clear" w:color="auto" w:fill="FFFFFF"/>
            <w:vAlign w:val="center"/>
          </w:tcPr>
          <w:p w14:paraId="35D5843D">
            <w:pPr>
              <w:pStyle w:val="30"/>
              <w:bidi w:val="0"/>
              <w:rPr>
                <w:b/>
                <w:bCs/>
                <w:color w:val="auto"/>
              </w:rPr>
            </w:pPr>
            <w:r>
              <w:rPr>
                <w:rFonts w:hint="eastAsia"/>
                <w:b/>
                <w:bCs/>
                <w:color w:val="auto"/>
              </w:rPr>
              <w:t>单位</w:t>
            </w:r>
          </w:p>
        </w:tc>
        <w:tc>
          <w:tcPr>
            <w:tcW w:w="3650" w:type="dxa"/>
            <w:tcBorders>
              <w:top w:val="single" w:color="auto" w:sz="4" w:space="0"/>
              <w:left w:val="nil"/>
              <w:bottom w:val="single" w:color="auto" w:sz="4" w:space="0"/>
              <w:right w:val="single" w:color="auto" w:sz="4" w:space="0"/>
            </w:tcBorders>
            <w:shd w:val="clear" w:color="auto" w:fill="FFFFFF"/>
            <w:vAlign w:val="center"/>
          </w:tcPr>
          <w:p w14:paraId="5B3EF85E">
            <w:pPr>
              <w:pStyle w:val="30"/>
              <w:bidi w:val="0"/>
              <w:rPr>
                <w:b/>
                <w:bCs/>
                <w:color w:val="auto"/>
              </w:rPr>
            </w:pPr>
            <w:r>
              <w:rPr>
                <w:rFonts w:hint="eastAsia"/>
                <w:b/>
                <w:bCs/>
                <w:color w:val="auto"/>
              </w:rPr>
              <w:t>年产量或耗量</w:t>
            </w:r>
          </w:p>
        </w:tc>
      </w:tr>
      <w:tr w14:paraId="517C7760">
        <w:tblPrEx>
          <w:shd w:val="clear" w:color="auto" w:fill="FFFFFF"/>
          <w:tblCellMar>
            <w:top w:w="0" w:type="dxa"/>
            <w:left w:w="108" w:type="dxa"/>
            <w:bottom w:w="0" w:type="dxa"/>
            <w:right w:w="108" w:type="dxa"/>
          </w:tblCellMar>
        </w:tblPrEx>
        <w:trPr>
          <w:trHeight w:val="397" w:hRule="atLeast"/>
          <w:jc w:val="center"/>
        </w:trPr>
        <w:tc>
          <w:tcPr>
            <w:tcW w:w="1198" w:type="dxa"/>
            <w:tcBorders>
              <w:top w:val="nil"/>
              <w:left w:val="single" w:color="auto" w:sz="4" w:space="0"/>
              <w:bottom w:val="single" w:color="auto" w:sz="4" w:space="0"/>
              <w:right w:val="single" w:color="auto" w:sz="4" w:space="0"/>
            </w:tcBorders>
            <w:shd w:val="clear" w:color="auto" w:fill="FFFFFF"/>
            <w:vAlign w:val="center"/>
          </w:tcPr>
          <w:p w14:paraId="1E4BB795">
            <w:pPr>
              <w:pStyle w:val="30"/>
              <w:bidi w:val="0"/>
              <w:rPr>
                <w:color w:val="auto"/>
              </w:rPr>
            </w:pPr>
            <w:r>
              <w:rPr>
                <w:rFonts w:hint="eastAsia"/>
                <w:color w:val="auto"/>
              </w:rPr>
              <w:t>1</w:t>
            </w:r>
          </w:p>
        </w:tc>
        <w:tc>
          <w:tcPr>
            <w:tcW w:w="3024" w:type="dxa"/>
            <w:tcBorders>
              <w:top w:val="nil"/>
              <w:left w:val="nil"/>
              <w:bottom w:val="single" w:color="auto" w:sz="4" w:space="0"/>
              <w:right w:val="single" w:color="auto" w:sz="4" w:space="0"/>
            </w:tcBorders>
            <w:shd w:val="clear" w:color="auto" w:fill="FFFFFF"/>
            <w:vAlign w:val="center"/>
          </w:tcPr>
          <w:p w14:paraId="59CE96D6">
            <w:pPr>
              <w:pStyle w:val="30"/>
              <w:bidi w:val="0"/>
              <w:rPr>
                <w:color w:val="auto"/>
              </w:rPr>
            </w:pPr>
            <w:r>
              <w:rPr>
                <w:color w:val="auto"/>
              </w:rPr>
              <w:t>原料</w:t>
            </w:r>
          </w:p>
        </w:tc>
        <w:tc>
          <w:tcPr>
            <w:tcW w:w="1415" w:type="dxa"/>
            <w:tcBorders>
              <w:top w:val="nil"/>
              <w:left w:val="nil"/>
              <w:bottom w:val="single" w:color="auto" w:sz="4" w:space="0"/>
              <w:right w:val="single" w:color="auto" w:sz="4" w:space="0"/>
            </w:tcBorders>
            <w:shd w:val="clear" w:color="auto" w:fill="FFFFFF"/>
            <w:vAlign w:val="center"/>
          </w:tcPr>
          <w:p w14:paraId="657D630F">
            <w:pPr>
              <w:pStyle w:val="30"/>
              <w:bidi w:val="0"/>
              <w:rPr>
                <w:color w:val="auto"/>
              </w:rPr>
            </w:pPr>
            <w:r>
              <w:rPr>
                <w:rFonts w:hint="eastAsia"/>
                <w:color w:val="auto"/>
              </w:rPr>
              <w:t>万</w:t>
            </w:r>
            <w:r>
              <w:rPr>
                <w:color w:val="auto"/>
              </w:rPr>
              <w:t>t</w:t>
            </w:r>
          </w:p>
        </w:tc>
        <w:tc>
          <w:tcPr>
            <w:tcW w:w="3650" w:type="dxa"/>
            <w:tcBorders>
              <w:top w:val="single" w:color="auto" w:sz="4" w:space="0"/>
              <w:left w:val="single" w:color="auto" w:sz="4" w:space="0"/>
              <w:bottom w:val="single" w:color="auto" w:sz="4" w:space="0"/>
              <w:right w:val="single" w:color="auto" w:sz="4" w:space="0"/>
            </w:tcBorders>
            <w:shd w:val="clear" w:color="auto" w:fill="FFFFFF"/>
            <w:vAlign w:val="center"/>
          </w:tcPr>
          <w:p w14:paraId="164E360E">
            <w:pPr>
              <w:pStyle w:val="30"/>
              <w:bidi w:val="0"/>
              <w:rPr>
                <w:color w:val="auto"/>
              </w:rPr>
            </w:pPr>
            <w:r>
              <w:rPr>
                <w:color w:val="auto"/>
              </w:rPr>
              <w:t>6</w:t>
            </w:r>
          </w:p>
        </w:tc>
      </w:tr>
      <w:tr w14:paraId="05FB0D53">
        <w:tblPrEx>
          <w:shd w:val="clear" w:color="auto" w:fill="FFFFFF"/>
          <w:tblCellMar>
            <w:top w:w="0" w:type="dxa"/>
            <w:left w:w="108" w:type="dxa"/>
            <w:bottom w:w="0" w:type="dxa"/>
            <w:right w:w="108" w:type="dxa"/>
          </w:tblCellMar>
        </w:tblPrEx>
        <w:trPr>
          <w:trHeight w:val="397" w:hRule="atLeast"/>
          <w:jc w:val="center"/>
        </w:trPr>
        <w:tc>
          <w:tcPr>
            <w:tcW w:w="1198" w:type="dxa"/>
            <w:tcBorders>
              <w:top w:val="nil"/>
              <w:left w:val="single" w:color="auto" w:sz="4" w:space="0"/>
              <w:bottom w:val="single" w:color="auto" w:sz="4" w:space="0"/>
              <w:right w:val="single" w:color="auto" w:sz="4" w:space="0"/>
            </w:tcBorders>
            <w:shd w:val="clear" w:color="auto" w:fill="FFFFFF"/>
            <w:vAlign w:val="center"/>
          </w:tcPr>
          <w:p w14:paraId="2EFC71DF">
            <w:pPr>
              <w:pStyle w:val="30"/>
              <w:bidi w:val="0"/>
              <w:rPr>
                <w:color w:val="auto"/>
              </w:rPr>
            </w:pPr>
            <w:r>
              <w:rPr>
                <w:rFonts w:hint="eastAsia"/>
                <w:color w:val="auto"/>
              </w:rPr>
              <w:t>2</w:t>
            </w:r>
          </w:p>
        </w:tc>
        <w:tc>
          <w:tcPr>
            <w:tcW w:w="3024" w:type="dxa"/>
            <w:tcBorders>
              <w:top w:val="nil"/>
              <w:left w:val="nil"/>
              <w:bottom w:val="single" w:color="auto" w:sz="4" w:space="0"/>
              <w:right w:val="single" w:color="auto" w:sz="4" w:space="0"/>
            </w:tcBorders>
            <w:shd w:val="clear" w:color="auto" w:fill="FFFFFF"/>
            <w:vAlign w:val="center"/>
          </w:tcPr>
          <w:p w14:paraId="25A9433E">
            <w:pPr>
              <w:pStyle w:val="30"/>
              <w:bidi w:val="0"/>
              <w:rPr>
                <w:color w:val="auto"/>
              </w:rPr>
            </w:pPr>
            <w:r>
              <w:rPr>
                <w:color w:val="auto"/>
              </w:rPr>
              <w:t>辅料</w:t>
            </w:r>
          </w:p>
        </w:tc>
        <w:tc>
          <w:tcPr>
            <w:tcW w:w="1415" w:type="dxa"/>
            <w:tcBorders>
              <w:top w:val="nil"/>
              <w:left w:val="nil"/>
              <w:bottom w:val="single" w:color="auto" w:sz="4" w:space="0"/>
              <w:right w:val="single" w:color="auto" w:sz="4" w:space="0"/>
            </w:tcBorders>
            <w:shd w:val="clear" w:color="auto" w:fill="FFFFFF"/>
            <w:vAlign w:val="center"/>
          </w:tcPr>
          <w:p w14:paraId="69856315">
            <w:pPr>
              <w:pStyle w:val="30"/>
              <w:bidi w:val="0"/>
              <w:rPr>
                <w:rFonts w:hint="eastAsia" w:eastAsia="宋体"/>
                <w:color w:val="auto"/>
                <w:lang w:val="en-US" w:eastAsia="zh-CN"/>
              </w:rPr>
            </w:pPr>
            <w:r>
              <w:rPr>
                <w:rFonts w:hint="eastAsia"/>
                <w:color w:val="auto"/>
                <w:lang w:val="en-US" w:eastAsia="zh-CN"/>
              </w:rPr>
              <w:t>/</w:t>
            </w:r>
          </w:p>
        </w:tc>
        <w:tc>
          <w:tcPr>
            <w:tcW w:w="3650" w:type="dxa"/>
            <w:tcBorders>
              <w:top w:val="nil"/>
              <w:left w:val="single" w:color="auto" w:sz="4" w:space="0"/>
              <w:bottom w:val="single" w:color="auto" w:sz="4" w:space="0"/>
              <w:right w:val="single" w:color="auto" w:sz="4" w:space="0"/>
            </w:tcBorders>
            <w:shd w:val="clear" w:color="auto" w:fill="FFFFFF"/>
            <w:vAlign w:val="center"/>
          </w:tcPr>
          <w:p w14:paraId="3D371A5C">
            <w:pPr>
              <w:pStyle w:val="30"/>
              <w:bidi w:val="0"/>
              <w:rPr>
                <w:rFonts w:hint="eastAsia" w:eastAsia="宋体"/>
                <w:color w:val="auto"/>
                <w:lang w:val="en-US" w:eastAsia="zh-CN"/>
              </w:rPr>
            </w:pPr>
            <w:r>
              <w:rPr>
                <w:rFonts w:hint="eastAsia"/>
                <w:color w:val="auto"/>
                <w:lang w:val="en-US" w:eastAsia="zh-CN"/>
              </w:rPr>
              <w:t>/</w:t>
            </w:r>
          </w:p>
        </w:tc>
      </w:tr>
      <w:tr w14:paraId="469E23F3">
        <w:tblPrEx>
          <w:tblCellMar>
            <w:top w:w="0" w:type="dxa"/>
            <w:left w:w="108" w:type="dxa"/>
            <w:bottom w:w="0" w:type="dxa"/>
            <w:right w:w="108" w:type="dxa"/>
          </w:tblCellMar>
        </w:tblPrEx>
        <w:trPr>
          <w:trHeight w:val="397" w:hRule="atLeast"/>
          <w:jc w:val="center"/>
        </w:trPr>
        <w:tc>
          <w:tcPr>
            <w:tcW w:w="1198" w:type="dxa"/>
            <w:tcBorders>
              <w:top w:val="nil"/>
              <w:left w:val="single" w:color="auto" w:sz="4" w:space="0"/>
              <w:bottom w:val="single" w:color="auto" w:sz="4" w:space="0"/>
              <w:right w:val="single" w:color="auto" w:sz="4" w:space="0"/>
            </w:tcBorders>
            <w:shd w:val="clear" w:color="auto" w:fill="FFFFFF"/>
            <w:vAlign w:val="center"/>
          </w:tcPr>
          <w:p w14:paraId="0B3ACAB9">
            <w:pPr>
              <w:pStyle w:val="30"/>
              <w:bidi w:val="0"/>
              <w:rPr>
                <w:color w:val="auto"/>
              </w:rPr>
            </w:pPr>
            <w:r>
              <w:rPr>
                <w:rFonts w:hint="eastAsia"/>
                <w:color w:val="auto"/>
              </w:rPr>
              <w:t>2.1</w:t>
            </w:r>
          </w:p>
        </w:tc>
        <w:tc>
          <w:tcPr>
            <w:tcW w:w="3024" w:type="dxa"/>
            <w:tcBorders>
              <w:top w:val="nil"/>
              <w:left w:val="nil"/>
              <w:bottom w:val="single" w:color="auto" w:sz="4" w:space="0"/>
              <w:right w:val="single" w:color="auto" w:sz="4" w:space="0"/>
            </w:tcBorders>
            <w:shd w:val="clear" w:color="auto" w:fill="FFFFFF"/>
            <w:vAlign w:val="center"/>
          </w:tcPr>
          <w:p w14:paraId="697FDD11">
            <w:pPr>
              <w:pStyle w:val="30"/>
              <w:bidi w:val="0"/>
              <w:rPr>
                <w:color w:val="auto"/>
              </w:rPr>
            </w:pPr>
            <w:r>
              <w:rPr>
                <w:rFonts w:hint="eastAsia"/>
                <w:color w:val="auto"/>
              </w:rPr>
              <w:t>衬板</w:t>
            </w:r>
          </w:p>
        </w:tc>
        <w:tc>
          <w:tcPr>
            <w:tcW w:w="1415" w:type="dxa"/>
            <w:tcBorders>
              <w:top w:val="nil"/>
              <w:left w:val="nil"/>
              <w:bottom w:val="single" w:color="auto" w:sz="4" w:space="0"/>
              <w:right w:val="single" w:color="auto" w:sz="4" w:space="0"/>
            </w:tcBorders>
            <w:shd w:val="clear" w:color="auto" w:fill="FFFFFF"/>
            <w:vAlign w:val="center"/>
          </w:tcPr>
          <w:p w14:paraId="6950C86A">
            <w:pPr>
              <w:pStyle w:val="30"/>
              <w:bidi w:val="0"/>
              <w:rPr>
                <w:color w:val="auto"/>
              </w:rPr>
            </w:pPr>
            <w:r>
              <w:rPr>
                <w:color w:val="auto"/>
              </w:rPr>
              <w:t>t/a</w:t>
            </w:r>
          </w:p>
        </w:tc>
        <w:tc>
          <w:tcPr>
            <w:tcW w:w="3650" w:type="dxa"/>
            <w:tcBorders>
              <w:top w:val="nil"/>
              <w:left w:val="single" w:color="auto" w:sz="4" w:space="0"/>
              <w:bottom w:val="single" w:color="auto" w:sz="4" w:space="0"/>
              <w:right w:val="single" w:color="auto" w:sz="4" w:space="0"/>
            </w:tcBorders>
            <w:shd w:val="clear" w:color="auto" w:fill="FFFFFF"/>
            <w:vAlign w:val="center"/>
          </w:tcPr>
          <w:p w14:paraId="5B257248">
            <w:pPr>
              <w:pStyle w:val="30"/>
              <w:bidi w:val="0"/>
              <w:rPr>
                <w:color w:val="auto"/>
              </w:rPr>
            </w:pPr>
            <w:r>
              <w:rPr>
                <w:color w:val="auto"/>
              </w:rPr>
              <w:t>11</w:t>
            </w:r>
          </w:p>
        </w:tc>
      </w:tr>
      <w:tr w14:paraId="6F52C1AA">
        <w:tblPrEx>
          <w:tblCellMar>
            <w:top w:w="0" w:type="dxa"/>
            <w:left w:w="108" w:type="dxa"/>
            <w:bottom w:w="0" w:type="dxa"/>
            <w:right w:w="108" w:type="dxa"/>
          </w:tblCellMar>
        </w:tblPrEx>
        <w:trPr>
          <w:trHeight w:val="397" w:hRule="atLeast"/>
          <w:jc w:val="center"/>
        </w:trPr>
        <w:tc>
          <w:tcPr>
            <w:tcW w:w="1198" w:type="dxa"/>
            <w:tcBorders>
              <w:top w:val="nil"/>
              <w:left w:val="single" w:color="auto" w:sz="4" w:space="0"/>
              <w:bottom w:val="single" w:color="auto" w:sz="4" w:space="0"/>
              <w:right w:val="single" w:color="auto" w:sz="4" w:space="0"/>
            </w:tcBorders>
            <w:shd w:val="clear" w:color="auto" w:fill="FFFFFF"/>
            <w:vAlign w:val="center"/>
          </w:tcPr>
          <w:p w14:paraId="3BD5FB6B">
            <w:pPr>
              <w:pStyle w:val="30"/>
              <w:bidi w:val="0"/>
              <w:rPr>
                <w:color w:val="auto"/>
              </w:rPr>
            </w:pPr>
            <w:r>
              <w:rPr>
                <w:rFonts w:hint="eastAsia"/>
                <w:color w:val="auto"/>
              </w:rPr>
              <w:t>2.2</w:t>
            </w:r>
          </w:p>
        </w:tc>
        <w:tc>
          <w:tcPr>
            <w:tcW w:w="3024" w:type="dxa"/>
            <w:tcBorders>
              <w:top w:val="nil"/>
              <w:left w:val="nil"/>
              <w:bottom w:val="single" w:color="auto" w:sz="4" w:space="0"/>
              <w:right w:val="single" w:color="auto" w:sz="4" w:space="0"/>
            </w:tcBorders>
            <w:shd w:val="clear" w:color="auto" w:fill="FFFFFF"/>
            <w:vAlign w:val="center"/>
          </w:tcPr>
          <w:p w14:paraId="1B1AFF0E">
            <w:pPr>
              <w:pStyle w:val="30"/>
              <w:bidi w:val="0"/>
              <w:rPr>
                <w:color w:val="auto"/>
              </w:rPr>
            </w:pPr>
            <w:r>
              <w:rPr>
                <w:rFonts w:hint="eastAsia"/>
                <w:color w:val="auto"/>
              </w:rPr>
              <w:t>钢球</w:t>
            </w:r>
          </w:p>
        </w:tc>
        <w:tc>
          <w:tcPr>
            <w:tcW w:w="1415" w:type="dxa"/>
            <w:tcBorders>
              <w:top w:val="nil"/>
              <w:left w:val="nil"/>
              <w:bottom w:val="single" w:color="auto" w:sz="4" w:space="0"/>
              <w:right w:val="single" w:color="auto" w:sz="4" w:space="0"/>
            </w:tcBorders>
            <w:shd w:val="clear" w:color="auto" w:fill="FFFFFF"/>
            <w:vAlign w:val="center"/>
          </w:tcPr>
          <w:p w14:paraId="75B784FD">
            <w:pPr>
              <w:pStyle w:val="30"/>
              <w:bidi w:val="0"/>
              <w:rPr>
                <w:color w:val="auto"/>
              </w:rPr>
            </w:pPr>
            <w:r>
              <w:rPr>
                <w:color w:val="auto"/>
              </w:rPr>
              <w:t>t/a</w:t>
            </w:r>
          </w:p>
        </w:tc>
        <w:tc>
          <w:tcPr>
            <w:tcW w:w="3650" w:type="dxa"/>
            <w:tcBorders>
              <w:top w:val="nil"/>
              <w:left w:val="single" w:color="auto" w:sz="4" w:space="0"/>
              <w:bottom w:val="single" w:color="auto" w:sz="4" w:space="0"/>
              <w:right w:val="single" w:color="auto" w:sz="4" w:space="0"/>
            </w:tcBorders>
            <w:shd w:val="clear" w:color="auto" w:fill="FFFFFF"/>
            <w:vAlign w:val="center"/>
          </w:tcPr>
          <w:p w14:paraId="1C75D400">
            <w:pPr>
              <w:pStyle w:val="30"/>
              <w:bidi w:val="0"/>
              <w:rPr>
                <w:color w:val="auto"/>
              </w:rPr>
            </w:pPr>
            <w:r>
              <w:rPr>
                <w:color w:val="auto"/>
              </w:rPr>
              <w:t>59</w:t>
            </w:r>
          </w:p>
        </w:tc>
      </w:tr>
      <w:tr w14:paraId="578594A1">
        <w:tblPrEx>
          <w:shd w:val="clear" w:color="auto" w:fill="FFFFFF"/>
          <w:tblCellMar>
            <w:top w:w="0" w:type="dxa"/>
            <w:left w:w="108" w:type="dxa"/>
            <w:bottom w:w="0" w:type="dxa"/>
            <w:right w:w="108" w:type="dxa"/>
          </w:tblCellMar>
        </w:tblPrEx>
        <w:trPr>
          <w:trHeight w:val="397" w:hRule="atLeast"/>
          <w:jc w:val="center"/>
        </w:trPr>
        <w:tc>
          <w:tcPr>
            <w:tcW w:w="1198" w:type="dxa"/>
            <w:tcBorders>
              <w:top w:val="nil"/>
              <w:left w:val="single" w:color="auto" w:sz="4" w:space="0"/>
              <w:bottom w:val="single" w:color="auto" w:sz="4" w:space="0"/>
              <w:right w:val="single" w:color="auto" w:sz="4" w:space="0"/>
            </w:tcBorders>
            <w:shd w:val="clear" w:color="auto" w:fill="FFFFFF"/>
            <w:vAlign w:val="center"/>
          </w:tcPr>
          <w:p w14:paraId="54DC8367">
            <w:pPr>
              <w:pStyle w:val="30"/>
              <w:bidi w:val="0"/>
              <w:rPr>
                <w:color w:val="auto"/>
              </w:rPr>
            </w:pPr>
            <w:r>
              <w:rPr>
                <w:rFonts w:hint="eastAsia"/>
                <w:color w:val="auto"/>
              </w:rPr>
              <w:t>2.3</w:t>
            </w:r>
          </w:p>
        </w:tc>
        <w:tc>
          <w:tcPr>
            <w:tcW w:w="3024" w:type="dxa"/>
            <w:tcBorders>
              <w:top w:val="nil"/>
              <w:left w:val="nil"/>
              <w:bottom w:val="single" w:color="auto" w:sz="4" w:space="0"/>
              <w:right w:val="single" w:color="auto" w:sz="4" w:space="0"/>
            </w:tcBorders>
            <w:shd w:val="clear" w:color="auto" w:fill="FFFFFF"/>
            <w:vAlign w:val="center"/>
          </w:tcPr>
          <w:p w14:paraId="2AA9EEF2">
            <w:pPr>
              <w:pStyle w:val="30"/>
              <w:bidi w:val="0"/>
              <w:rPr>
                <w:color w:val="auto"/>
              </w:rPr>
            </w:pPr>
            <w:r>
              <w:rPr>
                <w:rFonts w:hint="eastAsia"/>
                <w:color w:val="auto"/>
              </w:rPr>
              <w:t>胶带</w:t>
            </w:r>
          </w:p>
        </w:tc>
        <w:tc>
          <w:tcPr>
            <w:tcW w:w="1415" w:type="dxa"/>
            <w:tcBorders>
              <w:top w:val="nil"/>
              <w:left w:val="nil"/>
              <w:bottom w:val="single" w:color="auto" w:sz="4" w:space="0"/>
              <w:right w:val="single" w:color="auto" w:sz="4" w:space="0"/>
            </w:tcBorders>
            <w:shd w:val="clear" w:color="auto" w:fill="FFFFFF"/>
            <w:vAlign w:val="center"/>
          </w:tcPr>
          <w:p w14:paraId="54407C4D">
            <w:pPr>
              <w:pStyle w:val="30"/>
              <w:bidi w:val="0"/>
              <w:rPr>
                <w:color w:val="auto"/>
              </w:rPr>
            </w:pPr>
            <w:r>
              <w:rPr>
                <w:rFonts w:hint="eastAsia"/>
                <w:color w:val="auto"/>
              </w:rPr>
              <w:t>m</w:t>
            </w:r>
            <w:r>
              <w:rPr>
                <w:rFonts w:hint="eastAsia"/>
                <w:color w:val="auto"/>
                <w:vertAlign w:val="superscript"/>
              </w:rPr>
              <w:t>2</w:t>
            </w:r>
          </w:p>
        </w:tc>
        <w:tc>
          <w:tcPr>
            <w:tcW w:w="3650" w:type="dxa"/>
            <w:tcBorders>
              <w:top w:val="nil"/>
              <w:left w:val="single" w:color="auto" w:sz="4" w:space="0"/>
              <w:bottom w:val="single" w:color="auto" w:sz="4" w:space="0"/>
              <w:right w:val="single" w:color="auto" w:sz="4" w:space="0"/>
            </w:tcBorders>
            <w:shd w:val="clear" w:color="auto" w:fill="FFFFFF"/>
            <w:vAlign w:val="center"/>
          </w:tcPr>
          <w:p w14:paraId="48ED6D44">
            <w:pPr>
              <w:pStyle w:val="30"/>
              <w:bidi w:val="0"/>
              <w:rPr>
                <w:color w:val="auto"/>
              </w:rPr>
            </w:pPr>
            <w:r>
              <w:rPr>
                <w:color w:val="auto"/>
              </w:rPr>
              <w:t>60</w:t>
            </w:r>
          </w:p>
        </w:tc>
      </w:tr>
      <w:tr w14:paraId="0C6AD2F6">
        <w:tblPrEx>
          <w:tblCellMar>
            <w:top w:w="0" w:type="dxa"/>
            <w:left w:w="108" w:type="dxa"/>
            <w:bottom w:w="0" w:type="dxa"/>
            <w:right w:w="108" w:type="dxa"/>
          </w:tblCellMar>
        </w:tblPrEx>
        <w:trPr>
          <w:trHeight w:val="397" w:hRule="atLeast"/>
          <w:jc w:val="center"/>
        </w:trPr>
        <w:tc>
          <w:tcPr>
            <w:tcW w:w="1198" w:type="dxa"/>
            <w:tcBorders>
              <w:top w:val="nil"/>
              <w:left w:val="single" w:color="auto" w:sz="4" w:space="0"/>
              <w:bottom w:val="single" w:color="auto" w:sz="4" w:space="0"/>
              <w:right w:val="single" w:color="auto" w:sz="4" w:space="0"/>
            </w:tcBorders>
            <w:shd w:val="clear" w:color="auto" w:fill="FFFFFF"/>
            <w:vAlign w:val="center"/>
          </w:tcPr>
          <w:p w14:paraId="0B6EB44B">
            <w:pPr>
              <w:pStyle w:val="30"/>
              <w:bidi w:val="0"/>
              <w:rPr>
                <w:color w:val="auto"/>
              </w:rPr>
            </w:pPr>
            <w:r>
              <w:rPr>
                <w:rFonts w:hint="eastAsia"/>
                <w:color w:val="auto"/>
              </w:rPr>
              <w:t>2</w:t>
            </w:r>
            <w:r>
              <w:rPr>
                <w:color w:val="auto"/>
              </w:rPr>
              <w:t>.4</w:t>
            </w:r>
          </w:p>
        </w:tc>
        <w:tc>
          <w:tcPr>
            <w:tcW w:w="3024" w:type="dxa"/>
            <w:tcBorders>
              <w:top w:val="nil"/>
              <w:left w:val="nil"/>
              <w:bottom w:val="single" w:color="auto" w:sz="4" w:space="0"/>
              <w:right w:val="single" w:color="auto" w:sz="4" w:space="0"/>
            </w:tcBorders>
            <w:shd w:val="clear" w:color="auto" w:fill="auto"/>
            <w:vAlign w:val="center"/>
          </w:tcPr>
          <w:p w14:paraId="31076369">
            <w:pPr>
              <w:pStyle w:val="30"/>
              <w:bidi w:val="0"/>
              <w:rPr>
                <w:color w:val="auto"/>
              </w:rPr>
            </w:pPr>
            <w:r>
              <w:rPr>
                <w:rFonts w:hint="eastAsia"/>
                <w:color w:val="auto"/>
              </w:rPr>
              <w:t>丁基黄药</w:t>
            </w:r>
          </w:p>
        </w:tc>
        <w:tc>
          <w:tcPr>
            <w:tcW w:w="1415" w:type="dxa"/>
            <w:tcBorders>
              <w:top w:val="nil"/>
              <w:left w:val="nil"/>
              <w:bottom w:val="single" w:color="auto" w:sz="4" w:space="0"/>
              <w:right w:val="single" w:color="auto" w:sz="4" w:space="0"/>
            </w:tcBorders>
            <w:shd w:val="clear" w:color="auto" w:fill="FFFFFF"/>
            <w:vAlign w:val="center"/>
          </w:tcPr>
          <w:p w14:paraId="037D7589">
            <w:pPr>
              <w:pStyle w:val="30"/>
              <w:bidi w:val="0"/>
              <w:rPr>
                <w:color w:val="auto"/>
              </w:rPr>
            </w:pPr>
            <w:r>
              <w:rPr>
                <w:color w:val="auto"/>
              </w:rPr>
              <w:t>t/a</w:t>
            </w:r>
          </w:p>
        </w:tc>
        <w:tc>
          <w:tcPr>
            <w:tcW w:w="3650" w:type="dxa"/>
            <w:tcBorders>
              <w:top w:val="nil"/>
              <w:left w:val="nil"/>
              <w:bottom w:val="single" w:color="auto" w:sz="4" w:space="0"/>
              <w:right w:val="single" w:color="auto" w:sz="4" w:space="0"/>
            </w:tcBorders>
            <w:shd w:val="clear" w:color="auto" w:fill="auto"/>
            <w:vAlign w:val="center"/>
          </w:tcPr>
          <w:p w14:paraId="7F12B9B2">
            <w:pPr>
              <w:pStyle w:val="30"/>
              <w:bidi w:val="0"/>
              <w:rPr>
                <w:color w:val="auto"/>
              </w:rPr>
            </w:pPr>
            <w:r>
              <w:rPr>
                <w:color w:val="auto"/>
              </w:rPr>
              <w:t>2.40</w:t>
            </w:r>
          </w:p>
        </w:tc>
      </w:tr>
      <w:tr w14:paraId="374F8D09">
        <w:tblPrEx>
          <w:shd w:val="clear" w:color="auto" w:fill="FFFFFF"/>
          <w:tblCellMar>
            <w:top w:w="0" w:type="dxa"/>
            <w:left w:w="108" w:type="dxa"/>
            <w:bottom w:w="0" w:type="dxa"/>
            <w:right w:w="108" w:type="dxa"/>
          </w:tblCellMar>
        </w:tblPrEx>
        <w:trPr>
          <w:trHeight w:val="397" w:hRule="atLeast"/>
          <w:jc w:val="center"/>
        </w:trPr>
        <w:tc>
          <w:tcPr>
            <w:tcW w:w="1198" w:type="dxa"/>
            <w:tcBorders>
              <w:top w:val="nil"/>
              <w:left w:val="single" w:color="auto" w:sz="4" w:space="0"/>
              <w:bottom w:val="single" w:color="auto" w:sz="4" w:space="0"/>
              <w:right w:val="single" w:color="auto" w:sz="4" w:space="0"/>
            </w:tcBorders>
            <w:shd w:val="clear" w:color="auto" w:fill="FFFFFF"/>
            <w:vAlign w:val="center"/>
          </w:tcPr>
          <w:p w14:paraId="749A0515">
            <w:pPr>
              <w:pStyle w:val="30"/>
              <w:bidi w:val="0"/>
              <w:rPr>
                <w:color w:val="auto"/>
              </w:rPr>
            </w:pPr>
            <w:r>
              <w:rPr>
                <w:rFonts w:hint="eastAsia"/>
                <w:color w:val="auto"/>
              </w:rPr>
              <w:t>2</w:t>
            </w:r>
            <w:r>
              <w:rPr>
                <w:color w:val="auto"/>
              </w:rPr>
              <w:t>.5</w:t>
            </w:r>
          </w:p>
        </w:tc>
        <w:tc>
          <w:tcPr>
            <w:tcW w:w="3024" w:type="dxa"/>
            <w:tcBorders>
              <w:top w:val="nil"/>
              <w:left w:val="nil"/>
              <w:bottom w:val="single" w:color="auto" w:sz="4" w:space="0"/>
              <w:right w:val="single" w:color="auto" w:sz="4" w:space="0"/>
            </w:tcBorders>
            <w:shd w:val="clear" w:color="auto" w:fill="auto"/>
            <w:vAlign w:val="center"/>
          </w:tcPr>
          <w:p w14:paraId="53C1FBC7">
            <w:pPr>
              <w:pStyle w:val="30"/>
              <w:bidi w:val="0"/>
              <w:rPr>
                <w:color w:val="auto"/>
              </w:rPr>
            </w:pPr>
            <w:r>
              <w:rPr>
                <w:rFonts w:hint="eastAsia"/>
                <w:color w:val="auto"/>
              </w:rPr>
              <w:t>硫化钠</w:t>
            </w:r>
          </w:p>
        </w:tc>
        <w:tc>
          <w:tcPr>
            <w:tcW w:w="1415" w:type="dxa"/>
            <w:tcBorders>
              <w:top w:val="nil"/>
              <w:left w:val="nil"/>
              <w:bottom w:val="single" w:color="auto" w:sz="4" w:space="0"/>
              <w:right w:val="single" w:color="auto" w:sz="4" w:space="0"/>
            </w:tcBorders>
            <w:shd w:val="clear" w:color="auto" w:fill="FFFFFF"/>
            <w:vAlign w:val="center"/>
          </w:tcPr>
          <w:p w14:paraId="53E4D297">
            <w:pPr>
              <w:pStyle w:val="30"/>
              <w:bidi w:val="0"/>
              <w:rPr>
                <w:color w:val="auto"/>
              </w:rPr>
            </w:pPr>
            <w:r>
              <w:rPr>
                <w:color w:val="auto"/>
              </w:rPr>
              <w:t>t/a</w:t>
            </w:r>
          </w:p>
        </w:tc>
        <w:tc>
          <w:tcPr>
            <w:tcW w:w="3650" w:type="dxa"/>
            <w:tcBorders>
              <w:top w:val="nil"/>
              <w:left w:val="nil"/>
              <w:bottom w:val="single" w:color="auto" w:sz="4" w:space="0"/>
              <w:right w:val="single" w:color="auto" w:sz="4" w:space="0"/>
            </w:tcBorders>
            <w:shd w:val="clear" w:color="auto" w:fill="auto"/>
            <w:vAlign w:val="center"/>
          </w:tcPr>
          <w:p w14:paraId="0C6FC7C5">
            <w:pPr>
              <w:pStyle w:val="30"/>
              <w:bidi w:val="0"/>
              <w:rPr>
                <w:color w:val="auto"/>
              </w:rPr>
            </w:pPr>
            <w:r>
              <w:rPr>
                <w:color w:val="auto"/>
              </w:rPr>
              <w:t>7.20</w:t>
            </w:r>
          </w:p>
        </w:tc>
      </w:tr>
      <w:tr w14:paraId="179301D1">
        <w:tblPrEx>
          <w:tblCellMar>
            <w:top w:w="0" w:type="dxa"/>
            <w:left w:w="108" w:type="dxa"/>
            <w:bottom w:w="0" w:type="dxa"/>
            <w:right w:w="108" w:type="dxa"/>
          </w:tblCellMar>
        </w:tblPrEx>
        <w:trPr>
          <w:trHeight w:val="397" w:hRule="atLeast"/>
          <w:jc w:val="center"/>
        </w:trPr>
        <w:tc>
          <w:tcPr>
            <w:tcW w:w="1198" w:type="dxa"/>
            <w:tcBorders>
              <w:top w:val="nil"/>
              <w:left w:val="single" w:color="auto" w:sz="4" w:space="0"/>
              <w:bottom w:val="single" w:color="auto" w:sz="4" w:space="0"/>
              <w:right w:val="single" w:color="auto" w:sz="4" w:space="0"/>
            </w:tcBorders>
            <w:shd w:val="clear" w:color="auto" w:fill="FFFFFF"/>
            <w:vAlign w:val="center"/>
          </w:tcPr>
          <w:p w14:paraId="68CE0CFB">
            <w:pPr>
              <w:pStyle w:val="30"/>
              <w:bidi w:val="0"/>
              <w:rPr>
                <w:color w:val="auto"/>
              </w:rPr>
            </w:pPr>
            <w:r>
              <w:rPr>
                <w:rFonts w:hint="eastAsia"/>
                <w:color w:val="auto"/>
              </w:rPr>
              <w:t>2</w:t>
            </w:r>
            <w:r>
              <w:rPr>
                <w:color w:val="auto"/>
              </w:rPr>
              <w:t>.6</w:t>
            </w:r>
          </w:p>
        </w:tc>
        <w:tc>
          <w:tcPr>
            <w:tcW w:w="3024" w:type="dxa"/>
            <w:tcBorders>
              <w:top w:val="nil"/>
              <w:left w:val="nil"/>
              <w:bottom w:val="single" w:color="auto" w:sz="4" w:space="0"/>
              <w:right w:val="single" w:color="auto" w:sz="4" w:space="0"/>
            </w:tcBorders>
            <w:shd w:val="clear" w:color="auto" w:fill="auto"/>
            <w:vAlign w:val="center"/>
          </w:tcPr>
          <w:p w14:paraId="43D4D5A5">
            <w:pPr>
              <w:pStyle w:val="30"/>
              <w:bidi w:val="0"/>
              <w:rPr>
                <w:color w:val="auto"/>
              </w:rPr>
            </w:pPr>
            <w:r>
              <w:rPr>
                <w:rFonts w:hint="eastAsia"/>
                <w:color w:val="auto"/>
              </w:rPr>
              <w:t>730A</w:t>
            </w:r>
          </w:p>
        </w:tc>
        <w:tc>
          <w:tcPr>
            <w:tcW w:w="1415" w:type="dxa"/>
            <w:tcBorders>
              <w:top w:val="nil"/>
              <w:left w:val="nil"/>
              <w:bottom w:val="single" w:color="auto" w:sz="4" w:space="0"/>
              <w:right w:val="single" w:color="auto" w:sz="4" w:space="0"/>
            </w:tcBorders>
            <w:shd w:val="clear" w:color="auto" w:fill="FFFFFF"/>
            <w:vAlign w:val="center"/>
          </w:tcPr>
          <w:p w14:paraId="5714FA53">
            <w:pPr>
              <w:pStyle w:val="30"/>
              <w:bidi w:val="0"/>
              <w:rPr>
                <w:color w:val="auto"/>
              </w:rPr>
            </w:pPr>
            <w:r>
              <w:rPr>
                <w:color w:val="auto"/>
              </w:rPr>
              <w:t>t/a</w:t>
            </w:r>
          </w:p>
        </w:tc>
        <w:tc>
          <w:tcPr>
            <w:tcW w:w="3650" w:type="dxa"/>
            <w:tcBorders>
              <w:top w:val="nil"/>
              <w:left w:val="nil"/>
              <w:bottom w:val="single" w:color="auto" w:sz="4" w:space="0"/>
              <w:right w:val="single" w:color="auto" w:sz="4" w:space="0"/>
            </w:tcBorders>
            <w:shd w:val="clear" w:color="auto" w:fill="auto"/>
            <w:vAlign w:val="center"/>
          </w:tcPr>
          <w:p w14:paraId="5AD424C2">
            <w:pPr>
              <w:pStyle w:val="30"/>
              <w:bidi w:val="0"/>
              <w:rPr>
                <w:color w:val="auto"/>
              </w:rPr>
            </w:pPr>
            <w:r>
              <w:rPr>
                <w:color w:val="auto"/>
              </w:rPr>
              <w:t>3.00</w:t>
            </w:r>
          </w:p>
        </w:tc>
      </w:tr>
      <w:tr w14:paraId="342A6E4F">
        <w:tblPrEx>
          <w:shd w:val="clear" w:color="auto" w:fill="FFFFFF"/>
          <w:tblCellMar>
            <w:top w:w="0" w:type="dxa"/>
            <w:left w:w="108" w:type="dxa"/>
            <w:bottom w:w="0" w:type="dxa"/>
            <w:right w:w="108" w:type="dxa"/>
          </w:tblCellMar>
        </w:tblPrEx>
        <w:trPr>
          <w:trHeight w:val="397" w:hRule="atLeast"/>
          <w:jc w:val="center"/>
        </w:trPr>
        <w:tc>
          <w:tcPr>
            <w:tcW w:w="1198" w:type="dxa"/>
            <w:tcBorders>
              <w:top w:val="nil"/>
              <w:left w:val="single" w:color="auto" w:sz="4" w:space="0"/>
              <w:bottom w:val="single" w:color="auto" w:sz="4" w:space="0"/>
              <w:right w:val="single" w:color="auto" w:sz="4" w:space="0"/>
            </w:tcBorders>
            <w:shd w:val="clear" w:color="auto" w:fill="FFFFFF"/>
            <w:vAlign w:val="center"/>
          </w:tcPr>
          <w:p w14:paraId="3AA3D6E8">
            <w:pPr>
              <w:pStyle w:val="30"/>
              <w:bidi w:val="0"/>
              <w:rPr>
                <w:color w:val="auto"/>
              </w:rPr>
            </w:pPr>
            <w:r>
              <w:rPr>
                <w:rFonts w:hint="eastAsia"/>
                <w:color w:val="auto"/>
              </w:rPr>
              <w:t>2.</w:t>
            </w:r>
            <w:r>
              <w:rPr>
                <w:color w:val="auto"/>
              </w:rPr>
              <w:t>7</w:t>
            </w:r>
          </w:p>
        </w:tc>
        <w:tc>
          <w:tcPr>
            <w:tcW w:w="3024" w:type="dxa"/>
            <w:tcBorders>
              <w:top w:val="nil"/>
              <w:left w:val="nil"/>
              <w:bottom w:val="single" w:color="auto" w:sz="4" w:space="0"/>
              <w:right w:val="single" w:color="auto" w:sz="4" w:space="0"/>
            </w:tcBorders>
            <w:shd w:val="clear" w:color="auto" w:fill="FFFFFF"/>
            <w:vAlign w:val="center"/>
          </w:tcPr>
          <w:p w14:paraId="3A7843C5">
            <w:pPr>
              <w:pStyle w:val="30"/>
              <w:bidi w:val="0"/>
              <w:rPr>
                <w:color w:val="auto"/>
              </w:rPr>
            </w:pPr>
            <w:r>
              <w:rPr>
                <w:rFonts w:hint="eastAsia"/>
                <w:color w:val="auto"/>
              </w:rPr>
              <w:t>机油</w:t>
            </w:r>
          </w:p>
        </w:tc>
        <w:tc>
          <w:tcPr>
            <w:tcW w:w="1415" w:type="dxa"/>
            <w:tcBorders>
              <w:top w:val="nil"/>
              <w:left w:val="nil"/>
              <w:bottom w:val="single" w:color="auto" w:sz="4" w:space="0"/>
              <w:right w:val="single" w:color="auto" w:sz="4" w:space="0"/>
            </w:tcBorders>
            <w:shd w:val="clear" w:color="auto" w:fill="FFFFFF"/>
            <w:vAlign w:val="center"/>
          </w:tcPr>
          <w:p w14:paraId="32CCACF7">
            <w:pPr>
              <w:pStyle w:val="30"/>
              <w:bidi w:val="0"/>
              <w:rPr>
                <w:color w:val="auto"/>
              </w:rPr>
            </w:pPr>
            <w:r>
              <w:rPr>
                <w:color w:val="auto"/>
              </w:rPr>
              <w:t>t/a</w:t>
            </w:r>
          </w:p>
        </w:tc>
        <w:tc>
          <w:tcPr>
            <w:tcW w:w="3650" w:type="dxa"/>
            <w:tcBorders>
              <w:top w:val="nil"/>
              <w:left w:val="single" w:color="auto" w:sz="4" w:space="0"/>
              <w:bottom w:val="single" w:color="auto" w:sz="4" w:space="0"/>
              <w:right w:val="single" w:color="auto" w:sz="4" w:space="0"/>
            </w:tcBorders>
            <w:shd w:val="clear" w:color="auto" w:fill="FFFFFF"/>
            <w:vAlign w:val="center"/>
          </w:tcPr>
          <w:p w14:paraId="711455BF">
            <w:pPr>
              <w:pStyle w:val="30"/>
              <w:bidi w:val="0"/>
              <w:rPr>
                <w:color w:val="auto"/>
              </w:rPr>
            </w:pPr>
            <w:r>
              <w:rPr>
                <w:color w:val="auto"/>
              </w:rPr>
              <w:t>0.6</w:t>
            </w:r>
          </w:p>
        </w:tc>
      </w:tr>
      <w:tr w14:paraId="21F1D6DE">
        <w:tblPrEx>
          <w:tblCellMar>
            <w:top w:w="0" w:type="dxa"/>
            <w:left w:w="108" w:type="dxa"/>
            <w:bottom w:w="0" w:type="dxa"/>
            <w:right w:w="108" w:type="dxa"/>
          </w:tblCellMar>
        </w:tblPrEx>
        <w:trPr>
          <w:trHeight w:val="397" w:hRule="atLeast"/>
          <w:jc w:val="center"/>
        </w:trPr>
        <w:tc>
          <w:tcPr>
            <w:tcW w:w="1198" w:type="dxa"/>
            <w:tcBorders>
              <w:top w:val="nil"/>
              <w:left w:val="single" w:color="auto" w:sz="4" w:space="0"/>
              <w:bottom w:val="single" w:color="auto" w:sz="4" w:space="0"/>
              <w:right w:val="single" w:color="auto" w:sz="4" w:space="0"/>
            </w:tcBorders>
            <w:shd w:val="clear" w:color="auto" w:fill="FFFFFF"/>
            <w:vAlign w:val="center"/>
          </w:tcPr>
          <w:p w14:paraId="5AD69228">
            <w:pPr>
              <w:pStyle w:val="30"/>
              <w:bidi w:val="0"/>
              <w:rPr>
                <w:color w:val="auto"/>
              </w:rPr>
            </w:pPr>
            <w:r>
              <w:rPr>
                <w:rFonts w:hint="eastAsia"/>
                <w:color w:val="auto"/>
              </w:rPr>
              <w:t>2.8</w:t>
            </w:r>
          </w:p>
        </w:tc>
        <w:tc>
          <w:tcPr>
            <w:tcW w:w="3024" w:type="dxa"/>
            <w:tcBorders>
              <w:top w:val="nil"/>
              <w:left w:val="nil"/>
              <w:bottom w:val="single" w:color="auto" w:sz="4" w:space="0"/>
              <w:right w:val="single" w:color="auto" w:sz="4" w:space="0"/>
            </w:tcBorders>
            <w:shd w:val="clear" w:color="auto" w:fill="FFFFFF"/>
            <w:vAlign w:val="center"/>
          </w:tcPr>
          <w:p w14:paraId="74B1F0FA">
            <w:pPr>
              <w:pStyle w:val="30"/>
              <w:bidi w:val="0"/>
              <w:rPr>
                <w:color w:val="auto"/>
              </w:rPr>
            </w:pPr>
            <w:r>
              <w:rPr>
                <w:color w:val="auto"/>
              </w:rPr>
              <w:t>新水</w:t>
            </w:r>
          </w:p>
        </w:tc>
        <w:tc>
          <w:tcPr>
            <w:tcW w:w="1415" w:type="dxa"/>
            <w:tcBorders>
              <w:top w:val="nil"/>
              <w:left w:val="nil"/>
              <w:bottom w:val="single" w:color="auto" w:sz="4" w:space="0"/>
              <w:right w:val="single" w:color="auto" w:sz="4" w:space="0"/>
            </w:tcBorders>
            <w:shd w:val="clear" w:color="auto" w:fill="FFFFFF"/>
            <w:vAlign w:val="center"/>
          </w:tcPr>
          <w:p w14:paraId="6976AEF6">
            <w:pPr>
              <w:pStyle w:val="30"/>
              <w:bidi w:val="0"/>
              <w:rPr>
                <w:color w:val="auto"/>
              </w:rPr>
            </w:pPr>
            <w:r>
              <w:rPr>
                <w:rFonts w:hint="eastAsia"/>
                <w:color w:val="auto"/>
              </w:rPr>
              <w:t>m</w:t>
            </w:r>
            <w:r>
              <w:rPr>
                <w:rFonts w:hint="eastAsia"/>
                <w:color w:val="auto"/>
                <w:vertAlign w:val="superscript"/>
              </w:rPr>
              <w:t>3</w:t>
            </w:r>
          </w:p>
        </w:tc>
        <w:tc>
          <w:tcPr>
            <w:tcW w:w="3650" w:type="dxa"/>
            <w:tcBorders>
              <w:top w:val="nil"/>
              <w:left w:val="single" w:color="auto" w:sz="4" w:space="0"/>
              <w:bottom w:val="single" w:color="auto" w:sz="4" w:space="0"/>
              <w:right w:val="single" w:color="auto" w:sz="4" w:space="0"/>
            </w:tcBorders>
            <w:shd w:val="clear" w:color="auto" w:fill="FFFFFF"/>
            <w:vAlign w:val="center"/>
          </w:tcPr>
          <w:p w14:paraId="09231539">
            <w:pPr>
              <w:pStyle w:val="30"/>
              <w:bidi w:val="0"/>
              <w:rPr>
                <w:color w:val="auto"/>
              </w:rPr>
            </w:pPr>
            <w:r>
              <w:rPr>
                <w:color w:val="auto"/>
              </w:rPr>
              <w:t>17424</w:t>
            </w:r>
          </w:p>
        </w:tc>
      </w:tr>
      <w:tr w14:paraId="26C914E7">
        <w:tblPrEx>
          <w:tblCellMar>
            <w:top w:w="0" w:type="dxa"/>
            <w:left w:w="108" w:type="dxa"/>
            <w:bottom w:w="0" w:type="dxa"/>
            <w:right w:w="108" w:type="dxa"/>
          </w:tblCellMar>
        </w:tblPrEx>
        <w:trPr>
          <w:trHeight w:val="397" w:hRule="atLeast"/>
          <w:jc w:val="center"/>
        </w:trPr>
        <w:tc>
          <w:tcPr>
            <w:tcW w:w="1198" w:type="dxa"/>
            <w:tcBorders>
              <w:top w:val="nil"/>
              <w:left w:val="single" w:color="auto" w:sz="4" w:space="0"/>
              <w:bottom w:val="single" w:color="auto" w:sz="4" w:space="0"/>
              <w:right w:val="single" w:color="auto" w:sz="4" w:space="0"/>
            </w:tcBorders>
            <w:shd w:val="clear" w:color="auto" w:fill="FFFFFF"/>
            <w:vAlign w:val="center"/>
          </w:tcPr>
          <w:p w14:paraId="55CCCE1A">
            <w:pPr>
              <w:pStyle w:val="30"/>
              <w:bidi w:val="0"/>
              <w:rPr>
                <w:color w:val="auto"/>
              </w:rPr>
            </w:pPr>
            <w:r>
              <w:rPr>
                <w:rFonts w:hint="eastAsia"/>
                <w:color w:val="auto"/>
              </w:rPr>
              <w:t>2.9</w:t>
            </w:r>
          </w:p>
        </w:tc>
        <w:tc>
          <w:tcPr>
            <w:tcW w:w="3024" w:type="dxa"/>
            <w:tcBorders>
              <w:top w:val="nil"/>
              <w:left w:val="nil"/>
              <w:bottom w:val="single" w:color="auto" w:sz="4" w:space="0"/>
              <w:right w:val="single" w:color="auto" w:sz="4" w:space="0"/>
            </w:tcBorders>
            <w:shd w:val="clear" w:color="auto" w:fill="FFFFFF"/>
            <w:vAlign w:val="center"/>
          </w:tcPr>
          <w:p w14:paraId="2D0B91EA">
            <w:pPr>
              <w:pStyle w:val="30"/>
              <w:bidi w:val="0"/>
              <w:rPr>
                <w:color w:val="auto"/>
              </w:rPr>
            </w:pPr>
            <w:r>
              <w:rPr>
                <w:color w:val="auto"/>
              </w:rPr>
              <w:t>电</w:t>
            </w:r>
          </w:p>
        </w:tc>
        <w:tc>
          <w:tcPr>
            <w:tcW w:w="1415" w:type="dxa"/>
            <w:tcBorders>
              <w:top w:val="nil"/>
              <w:left w:val="nil"/>
              <w:bottom w:val="single" w:color="auto" w:sz="4" w:space="0"/>
              <w:right w:val="single" w:color="auto" w:sz="4" w:space="0"/>
            </w:tcBorders>
            <w:shd w:val="clear" w:color="auto" w:fill="FFFFFF"/>
            <w:vAlign w:val="center"/>
          </w:tcPr>
          <w:p w14:paraId="2FE98903">
            <w:pPr>
              <w:pStyle w:val="30"/>
              <w:bidi w:val="0"/>
              <w:rPr>
                <w:color w:val="auto"/>
              </w:rPr>
            </w:pPr>
            <w:r>
              <w:rPr>
                <w:color w:val="auto"/>
              </w:rPr>
              <w:t>kWh</w:t>
            </w:r>
          </w:p>
        </w:tc>
        <w:tc>
          <w:tcPr>
            <w:tcW w:w="3650" w:type="dxa"/>
            <w:tcBorders>
              <w:top w:val="nil"/>
              <w:left w:val="single" w:color="auto" w:sz="4" w:space="0"/>
              <w:bottom w:val="single" w:color="auto" w:sz="4" w:space="0"/>
              <w:right w:val="single" w:color="auto" w:sz="4" w:space="0"/>
            </w:tcBorders>
            <w:shd w:val="clear" w:color="auto" w:fill="FFFFFF"/>
            <w:vAlign w:val="center"/>
          </w:tcPr>
          <w:p w14:paraId="2D3A0B1D">
            <w:pPr>
              <w:pStyle w:val="30"/>
              <w:bidi w:val="0"/>
              <w:rPr>
                <w:color w:val="auto"/>
              </w:rPr>
            </w:pPr>
            <w:r>
              <w:rPr>
                <w:color w:val="auto"/>
              </w:rPr>
              <w:t>209.3×10</w:t>
            </w:r>
            <w:r>
              <w:rPr>
                <w:color w:val="auto"/>
                <w:vertAlign w:val="superscript"/>
              </w:rPr>
              <w:t>4</w:t>
            </w:r>
          </w:p>
        </w:tc>
      </w:tr>
    </w:tbl>
    <w:p w14:paraId="139947B3">
      <w:pPr>
        <w:pStyle w:val="3"/>
        <w:bidi w:val="0"/>
        <w:rPr>
          <w:rFonts w:hint="eastAsia"/>
          <w:color w:val="auto"/>
          <w:lang w:val="en-US" w:eastAsia="zh-CN"/>
        </w:rPr>
      </w:pPr>
      <w:bookmarkStart w:id="37" w:name="_Toc13161"/>
      <w:r>
        <w:rPr>
          <w:rFonts w:hint="eastAsia"/>
          <w:color w:val="auto"/>
          <w:lang w:val="en-US" w:eastAsia="zh-CN"/>
        </w:rPr>
        <w:t>2.8 工艺流程</w:t>
      </w:r>
      <w:bookmarkEnd w:id="37"/>
    </w:p>
    <w:p w14:paraId="705FC2B8">
      <w:pPr>
        <w:bidi w:val="0"/>
        <w:rPr>
          <w:rFonts w:hint="eastAsia"/>
          <w:color w:val="auto"/>
          <w:lang w:val="en-US" w:eastAsia="zh-CN"/>
        </w:rPr>
      </w:pPr>
      <w:r>
        <w:rPr>
          <w:rFonts w:hint="eastAsia"/>
          <w:color w:val="auto"/>
          <w:lang w:val="en-US" w:eastAsia="zh-CN"/>
        </w:rPr>
        <w:t>本项目继续使用原有生产工艺，原两段破碎，磨矿采用一段闭路磨矿，优先选铜，铜浮选采用一粗一扫二精流程，铁磁选采用磁选流程，得到合格的铜精矿和铁精矿，精矿经过“浓缩+压滤机”脱水精矿对外销售。</w:t>
      </w:r>
    </w:p>
    <w:p w14:paraId="184D84CA">
      <w:pPr>
        <w:bidi w:val="0"/>
        <w:rPr>
          <w:rFonts w:hint="eastAsia"/>
          <w:color w:val="auto"/>
          <w:lang w:val="en-US" w:eastAsia="zh-CN"/>
        </w:rPr>
      </w:pPr>
      <w:r>
        <w:rPr>
          <w:rFonts w:hint="eastAsia"/>
          <w:color w:val="auto"/>
          <w:lang w:val="en-US" w:eastAsia="zh-CN"/>
        </w:rPr>
        <w:t>（1）破碎</w:t>
      </w:r>
    </w:p>
    <w:p w14:paraId="375E18D1">
      <w:pPr>
        <w:bidi w:val="0"/>
        <w:rPr>
          <w:rFonts w:hint="eastAsia"/>
          <w:color w:val="auto"/>
          <w:lang w:val="en-US" w:eastAsia="zh-CN"/>
        </w:rPr>
      </w:pPr>
      <w:r>
        <w:rPr>
          <w:rFonts w:hint="eastAsia"/>
          <w:color w:val="auto"/>
          <w:lang w:val="en-US" w:eastAsia="zh-CN"/>
        </w:rPr>
        <w:t>原矿经汽车运输至选厂原矿堆场堆存，经板式给料机输送至颚式破碎机进行粗破，经粗碎后的矿石通过胶带运输机输送至颚式破碎机进行细碎，细碎后的矿石粒径为0～12mm，进入球磨工序。</w:t>
      </w:r>
    </w:p>
    <w:p w14:paraId="4C579A30">
      <w:pPr>
        <w:bidi w:val="0"/>
        <w:rPr>
          <w:rFonts w:hint="eastAsia"/>
          <w:color w:val="auto"/>
          <w:lang w:val="en-US" w:eastAsia="zh-CN"/>
        </w:rPr>
      </w:pPr>
      <w:r>
        <w:rPr>
          <w:rFonts w:hint="eastAsia"/>
          <w:color w:val="auto"/>
          <w:lang w:val="en-US" w:eastAsia="zh-CN"/>
        </w:rPr>
        <w:t>（2）球磨</w:t>
      </w:r>
    </w:p>
    <w:p w14:paraId="1F46C1B0">
      <w:pPr>
        <w:bidi w:val="0"/>
        <w:rPr>
          <w:rFonts w:hint="eastAsia"/>
          <w:color w:val="auto"/>
          <w:lang w:val="en-US" w:eastAsia="zh-CN"/>
        </w:rPr>
      </w:pPr>
      <w:r>
        <w:rPr>
          <w:rFonts w:hint="eastAsia"/>
          <w:color w:val="auto"/>
          <w:lang w:val="en-US" w:eastAsia="zh-CN"/>
        </w:rPr>
        <w:t>磨矿采用一段闭路磨矿，入磨粒度为0~12mm，磨矿细度为0~0.074mm占80%，磨矿浓度为28-30%。粉矿仓里的矿石通过皮带输送机输送至球磨机，进行湿法球磨，磨出产品进入螺旋分级机分级，达到细度的产品经溢流进入搅拌槽后进入浮选工艺流程，粗矿粒返回到球磨机再磨。</w:t>
      </w:r>
    </w:p>
    <w:p w14:paraId="211F26E0">
      <w:pPr>
        <w:bidi w:val="0"/>
        <w:rPr>
          <w:rFonts w:hint="eastAsia"/>
          <w:color w:val="auto"/>
          <w:lang w:val="en-US" w:eastAsia="zh-CN"/>
        </w:rPr>
      </w:pPr>
      <w:r>
        <w:rPr>
          <w:rFonts w:hint="eastAsia"/>
          <w:color w:val="auto"/>
          <w:lang w:val="en-US" w:eastAsia="zh-CN"/>
        </w:rPr>
        <w:t>（3）浮选</w:t>
      </w:r>
    </w:p>
    <w:p w14:paraId="75A1F981">
      <w:pPr>
        <w:bidi w:val="0"/>
        <w:rPr>
          <w:rFonts w:hint="eastAsia"/>
          <w:color w:val="auto"/>
          <w:lang w:val="en-US" w:eastAsia="zh-CN"/>
        </w:rPr>
      </w:pPr>
      <w:r>
        <w:rPr>
          <w:rFonts w:hint="eastAsia"/>
          <w:color w:val="auto"/>
          <w:lang w:val="en-US" w:eastAsia="zh-CN"/>
        </w:rPr>
        <w:t>浮选采用铜铁分选、优先浮铜的工艺，均采用SF-2.8A型浮选机，磨好的矿浆经过搅拌桶调浆搅匀后进入第一次作业段—选铜，经过一粗一扫二精流程得到铜精矿，铜精矿经过板框压滤机脱水后对外销售，废水排入尾矿库沉淀后泵回回水池回用。</w:t>
      </w:r>
    </w:p>
    <w:p w14:paraId="15414756">
      <w:pPr>
        <w:bidi w:val="0"/>
        <w:rPr>
          <w:rFonts w:hint="eastAsia"/>
          <w:color w:val="auto"/>
          <w:lang w:val="en-US" w:eastAsia="zh-CN"/>
        </w:rPr>
      </w:pPr>
      <w:r>
        <w:rPr>
          <w:rFonts w:hint="eastAsia"/>
          <w:color w:val="auto"/>
          <w:lang w:val="en-US" w:eastAsia="zh-CN"/>
        </w:rPr>
        <w:t>选铜后的矿浆进入磁选机选铁得到铁精矿，铁精矿经过沉淀脱水后储存在铁精矿池，对外销售。底流尾矿通过尾矿沟流入尾矿库。</w:t>
      </w:r>
    </w:p>
    <w:p w14:paraId="3BA0FF3F">
      <w:pPr>
        <w:bidi w:val="0"/>
        <w:rPr>
          <w:rFonts w:hint="eastAsia"/>
          <w:color w:val="auto"/>
          <w:lang w:val="en-US" w:eastAsia="zh-CN"/>
        </w:rPr>
      </w:pPr>
      <w:r>
        <w:rPr>
          <w:rFonts w:hint="eastAsia"/>
          <w:color w:val="auto"/>
          <w:lang w:val="en-US" w:eastAsia="zh-CN"/>
        </w:rPr>
        <w:t>工艺流程图如下图所示。</w:t>
      </w:r>
    </w:p>
    <w:p w14:paraId="20AD6BE0">
      <w:pPr>
        <w:bidi w:val="0"/>
        <w:ind w:left="0" w:leftChars="0" w:right="0" w:rightChars="0" w:firstLine="0" w:firstLineChars="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w:t>
      </w:r>
    </w:p>
    <w:p w14:paraId="3D0A2EB6">
      <w:pPr>
        <w:pStyle w:val="29"/>
        <w:bidi w:val="0"/>
        <w:rPr>
          <w:color w:val="auto"/>
        </w:rPr>
      </w:pPr>
      <w:r>
        <w:rPr>
          <w:rFonts w:hint="eastAsia"/>
          <w:color w:val="auto"/>
        </w:rPr>
        <w:t>图2.</w:t>
      </w:r>
      <w:r>
        <w:rPr>
          <w:rFonts w:hint="eastAsia"/>
          <w:color w:val="auto"/>
          <w:lang w:val="en-US" w:eastAsia="zh-CN"/>
        </w:rPr>
        <w:t>8</w:t>
      </w:r>
      <w:r>
        <w:rPr>
          <w:rFonts w:hint="eastAsia"/>
          <w:color w:val="auto"/>
        </w:rPr>
        <w:t>-1</w:t>
      </w:r>
      <w:r>
        <w:rPr>
          <w:rFonts w:hint="eastAsia"/>
          <w:color w:val="auto"/>
          <w:lang w:val="en-US" w:eastAsia="zh-CN"/>
        </w:rPr>
        <w:t xml:space="preserve">  </w:t>
      </w:r>
      <w:r>
        <w:rPr>
          <w:rFonts w:hint="eastAsia"/>
          <w:color w:val="auto"/>
        </w:rPr>
        <w:t>选矿工艺流程图</w:t>
      </w:r>
    </w:p>
    <w:p w14:paraId="36B9D235">
      <w:pPr>
        <w:pStyle w:val="3"/>
        <w:bidi w:val="0"/>
        <w:rPr>
          <w:rFonts w:hint="default" w:eastAsia="黑体"/>
          <w:color w:val="auto"/>
          <w:lang w:val="en-US" w:eastAsia="zh-CN"/>
        </w:rPr>
      </w:pPr>
      <w:bookmarkStart w:id="38" w:name="_Toc16614"/>
      <w:r>
        <w:rPr>
          <w:rFonts w:hint="eastAsia"/>
          <w:color w:val="auto"/>
          <w:lang w:val="en-US" w:eastAsia="zh-CN"/>
        </w:rPr>
        <w:t xml:space="preserve">2.9 </w:t>
      </w:r>
      <w:r>
        <w:rPr>
          <w:rFonts w:hint="eastAsia"/>
          <w:color w:val="auto"/>
        </w:rPr>
        <w:t>主要设备</w:t>
      </w:r>
      <w:bookmarkEnd w:id="38"/>
    </w:p>
    <w:p w14:paraId="3A2A13C4">
      <w:pPr>
        <w:bidi w:val="0"/>
        <w:rPr>
          <w:rFonts w:hint="default" w:eastAsia="宋体"/>
          <w:color w:val="auto"/>
          <w:lang w:val="en-US" w:eastAsia="zh-CN"/>
        </w:rPr>
      </w:pPr>
      <w:r>
        <w:rPr>
          <w:rFonts w:hint="eastAsia"/>
          <w:color w:val="auto"/>
          <w:lang w:val="en-US" w:eastAsia="zh-CN"/>
        </w:rPr>
        <w:t>1、设计概况</w:t>
      </w:r>
    </w:p>
    <w:p w14:paraId="4BB02E7C">
      <w:pPr>
        <w:bidi w:val="0"/>
        <w:rPr>
          <w:color w:val="auto"/>
        </w:rPr>
      </w:pPr>
      <w:r>
        <w:rPr>
          <w:rFonts w:hint="eastAsia"/>
          <w:color w:val="auto"/>
        </w:rPr>
        <w:t>由于选厂已经建成多年并运行良好，以现选厂设备为主。</w:t>
      </w:r>
    </w:p>
    <w:p w14:paraId="167ECA44">
      <w:pPr>
        <w:bidi w:val="0"/>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破碎设备</w:t>
      </w:r>
    </w:p>
    <w:p w14:paraId="4EFA99A8">
      <w:pPr>
        <w:bidi w:val="0"/>
        <w:rPr>
          <w:color w:val="auto"/>
        </w:rPr>
      </w:pPr>
      <w:r>
        <w:rPr>
          <w:rFonts w:hint="eastAsia"/>
          <w:color w:val="auto"/>
        </w:rPr>
        <w:t>选厂现设置</w:t>
      </w:r>
      <w:r>
        <w:rPr>
          <w:color w:val="auto"/>
        </w:rPr>
        <w:t>2</w:t>
      </w:r>
      <w:r>
        <w:rPr>
          <w:rFonts w:hint="eastAsia"/>
          <w:color w:val="auto"/>
        </w:rPr>
        <w:t>条破碎生产线（粗破+细破），共</w:t>
      </w:r>
      <w:r>
        <w:rPr>
          <w:color w:val="auto"/>
        </w:rPr>
        <w:t>给矿量</w:t>
      </w:r>
      <w:r>
        <w:rPr>
          <w:rFonts w:hint="eastAsia"/>
          <w:color w:val="auto"/>
        </w:rPr>
        <w:t>1</w:t>
      </w:r>
      <w:r>
        <w:rPr>
          <w:color w:val="auto"/>
        </w:rPr>
        <w:t>2.5t/h，给矿粒度</w:t>
      </w:r>
      <w:r>
        <w:rPr>
          <w:rFonts w:hint="eastAsia"/>
          <w:color w:val="auto"/>
        </w:rPr>
        <w:t>≤</w:t>
      </w:r>
      <w:r>
        <w:rPr>
          <w:color w:val="auto"/>
        </w:rPr>
        <w:t>320</w:t>
      </w:r>
      <w:r>
        <w:rPr>
          <w:rFonts w:hint="eastAsia"/>
          <w:color w:val="auto"/>
        </w:rPr>
        <w:t>mm采用颚式破碎机粗破和细破。</w:t>
      </w:r>
    </w:p>
    <w:p w14:paraId="7EE599EB">
      <w:pPr>
        <w:bidi w:val="0"/>
        <w:rPr>
          <w:color w:val="auto"/>
          <w:lang w:val="de-DE"/>
        </w:rPr>
      </w:pPr>
      <w:r>
        <w:rPr>
          <w:rFonts w:hint="eastAsia"/>
          <w:color w:val="auto"/>
        </w:rPr>
        <w:t>粗碎破碎设备选用</w:t>
      </w:r>
      <w:r>
        <w:rPr>
          <w:color w:val="auto"/>
        </w:rPr>
        <w:t>2</w:t>
      </w:r>
      <w:r>
        <w:rPr>
          <w:rFonts w:hint="eastAsia"/>
          <w:color w:val="auto"/>
        </w:rPr>
        <w:t>台</w:t>
      </w:r>
      <w:r>
        <w:rPr>
          <w:color w:val="auto"/>
          <w:lang w:val="de-DE"/>
        </w:rPr>
        <w:t>PE400×900</w:t>
      </w:r>
      <w:r>
        <w:rPr>
          <w:rFonts w:hint="eastAsia"/>
          <w:color w:val="auto"/>
        </w:rPr>
        <w:t>颚式破碎机、细碎破碎设备选用</w:t>
      </w:r>
      <w:r>
        <w:rPr>
          <w:color w:val="auto"/>
        </w:rPr>
        <w:t>2</w:t>
      </w:r>
      <w:r>
        <w:rPr>
          <w:rFonts w:hint="eastAsia"/>
          <w:color w:val="auto"/>
        </w:rPr>
        <w:t>台</w:t>
      </w:r>
      <w:r>
        <w:rPr>
          <w:color w:val="auto"/>
          <w:lang w:val="de-DE"/>
        </w:rPr>
        <w:t>PE250×400</w:t>
      </w:r>
      <w:r>
        <w:rPr>
          <w:rFonts w:hint="eastAsia"/>
          <w:color w:val="auto"/>
          <w:lang w:val="de-DE"/>
        </w:rPr>
        <w:t>颚式破碎机。</w:t>
      </w:r>
    </w:p>
    <w:p w14:paraId="494ECF0C">
      <w:pPr>
        <w:pStyle w:val="29"/>
        <w:bidi w:val="0"/>
        <w:rPr>
          <w:rFonts w:hint="default"/>
          <w:color w:val="auto"/>
          <w:lang w:val="de-DE"/>
        </w:rPr>
      </w:pPr>
      <w:r>
        <w:rPr>
          <w:color w:val="auto"/>
          <w:lang w:val="de-DE"/>
        </w:rPr>
        <w:t>表</w:t>
      </w:r>
      <w:r>
        <w:rPr>
          <w:color w:val="auto"/>
        </w:rPr>
        <w:t>2</w:t>
      </w:r>
      <w:r>
        <w:rPr>
          <w:rFonts w:hint="default"/>
          <w:color w:val="auto"/>
        </w:rPr>
        <w:t>.</w:t>
      </w:r>
      <w:r>
        <w:rPr>
          <w:rFonts w:hint="eastAsia"/>
          <w:color w:val="auto"/>
          <w:lang w:val="en-US" w:eastAsia="zh-CN"/>
        </w:rPr>
        <w:t>9</w:t>
      </w:r>
      <w:r>
        <w:rPr>
          <w:color w:val="auto"/>
        </w:rPr>
        <w:t>-</w:t>
      </w:r>
      <w:r>
        <w:rPr>
          <w:rFonts w:hint="eastAsia"/>
          <w:color w:val="auto"/>
          <w:lang w:val="en-US" w:eastAsia="zh-CN"/>
        </w:rPr>
        <w:t>1</w:t>
      </w:r>
      <w:r>
        <w:rPr>
          <w:rFonts w:hint="default"/>
          <w:color w:val="auto"/>
          <w:lang w:val="de-DE"/>
        </w:rPr>
        <w:t xml:space="preserve"> </w:t>
      </w:r>
      <w:r>
        <w:rPr>
          <w:color w:val="auto"/>
          <w:lang w:val="de-DE"/>
        </w:rPr>
        <w:t xml:space="preserve"> 破碎设备技术性能</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0"/>
        <w:gridCol w:w="468"/>
        <w:gridCol w:w="1585"/>
        <w:gridCol w:w="1307"/>
        <w:gridCol w:w="1340"/>
        <w:gridCol w:w="1434"/>
        <w:gridCol w:w="1256"/>
      </w:tblGrid>
      <w:tr w14:paraId="6A2A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9" w:type="pct"/>
            <w:tcBorders>
              <w:bottom w:val="single" w:color="auto" w:sz="4" w:space="0"/>
            </w:tcBorders>
            <w:vAlign w:val="center"/>
          </w:tcPr>
          <w:p w14:paraId="6F69D0CE">
            <w:pPr>
              <w:pStyle w:val="30"/>
              <w:bidi w:val="0"/>
              <w:rPr>
                <w:b/>
                <w:bCs/>
                <w:color w:val="auto"/>
              </w:rPr>
            </w:pPr>
            <w:r>
              <w:rPr>
                <w:b/>
                <w:bCs/>
                <w:color w:val="auto"/>
              </w:rPr>
              <w:t>设备名称及规格</w:t>
            </w:r>
          </w:p>
        </w:tc>
        <w:tc>
          <w:tcPr>
            <w:tcW w:w="249" w:type="pct"/>
            <w:tcBorders>
              <w:bottom w:val="single" w:color="auto" w:sz="4" w:space="0"/>
            </w:tcBorders>
            <w:vAlign w:val="center"/>
          </w:tcPr>
          <w:p w14:paraId="497C59AF">
            <w:pPr>
              <w:pStyle w:val="30"/>
              <w:bidi w:val="0"/>
              <w:rPr>
                <w:b/>
                <w:bCs/>
                <w:color w:val="auto"/>
              </w:rPr>
            </w:pPr>
            <w:r>
              <w:rPr>
                <w:b/>
                <w:bCs/>
                <w:color w:val="auto"/>
              </w:rPr>
              <w:t>台数</w:t>
            </w:r>
          </w:p>
        </w:tc>
        <w:tc>
          <w:tcPr>
            <w:tcW w:w="843" w:type="pct"/>
            <w:tcBorders>
              <w:bottom w:val="single" w:color="auto" w:sz="4" w:space="0"/>
            </w:tcBorders>
            <w:vAlign w:val="center"/>
          </w:tcPr>
          <w:p w14:paraId="42896950">
            <w:pPr>
              <w:pStyle w:val="30"/>
              <w:bidi w:val="0"/>
              <w:rPr>
                <w:b/>
                <w:bCs/>
                <w:color w:val="auto"/>
              </w:rPr>
            </w:pPr>
            <w:r>
              <w:rPr>
                <w:b/>
                <w:bCs/>
                <w:color w:val="auto"/>
              </w:rPr>
              <w:t>给矿</w:t>
            </w:r>
          </w:p>
          <w:p w14:paraId="2C99FAA1">
            <w:pPr>
              <w:pStyle w:val="30"/>
              <w:bidi w:val="0"/>
              <w:rPr>
                <w:b/>
                <w:bCs/>
                <w:color w:val="auto"/>
              </w:rPr>
            </w:pPr>
            <w:r>
              <w:rPr>
                <w:b/>
                <w:bCs/>
                <w:color w:val="auto"/>
              </w:rPr>
              <w:t>粒度</w:t>
            </w:r>
          </w:p>
        </w:tc>
        <w:tc>
          <w:tcPr>
            <w:tcW w:w="695" w:type="pct"/>
            <w:tcBorders>
              <w:bottom w:val="single" w:color="auto" w:sz="4" w:space="0"/>
            </w:tcBorders>
            <w:vAlign w:val="center"/>
          </w:tcPr>
          <w:p w14:paraId="2A30C0CA">
            <w:pPr>
              <w:pStyle w:val="30"/>
              <w:bidi w:val="0"/>
              <w:rPr>
                <w:b/>
                <w:bCs/>
                <w:color w:val="auto"/>
              </w:rPr>
            </w:pPr>
            <w:r>
              <w:rPr>
                <w:rFonts w:hint="eastAsia"/>
                <w:b/>
                <w:bCs/>
                <w:color w:val="auto"/>
              </w:rPr>
              <w:t>破碎</w:t>
            </w:r>
            <w:r>
              <w:rPr>
                <w:b/>
                <w:bCs/>
                <w:color w:val="auto"/>
              </w:rPr>
              <w:t>粒度</w:t>
            </w:r>
          </w:p>
        </w:tc>
        <w:tc>
          <w:tcPr>
            <w:tcW w:w="713" w:type="pct"/>
            <w:tcBorders>
              <w:bottom w:val="single" w:color="auto" w:sz="4" w:space="0"/>
            </w:tcBorders>
            <w:vAlign w:val="center"/>
          </w:tcPr>
          <w:p w14:paraId="2B60D81B">
            <w:pPr>
              <w:pStyle w:val="30"/>
              <w:bidi w:val="0"/>
              <w:rPr>
                <w:b/>
                <w:bCs/>
                <w:color w:val="auto"/>
              </w:rPr>
            </w:pPr>
            <w:r>
              <w:rPr>
                <w:b/>
                <w:bCs/>
                <w:color w:val="auto"/>
              </w:rPr>
              <w:t>设备处理能力（t/h）</w:t>
            </w:r>
          </w:p>
        </w:tc>
        <w:tc>
          <w:tcPr>
            <w:tcW w:w="763" w:type="pct"/>
            <w:tcBorders>
              <w:bottom w:val="single" w:color="auto" w:sz="4" w:space="0"/>
            </w:tcBorders>
            <w:vAlign w:val="center"/>
          </w:tcPr>
          <w:p w14:paraId="3D4F4BAA">
            <w:pPr>
              <w:pStyle w:val="30"/>
              <w:bidi w:val="0"/>
              <w:rPr>
                <w:b/>
                <w:bCs/>
                <w:color w:val="auto"/>
              </w:rPr>
            </w:pPr>
            <w:r>
              <w:rPr>
                <w:b/>
                <w:bCs/>
                <w:color w:val="auto"/>
              </w:rPr>
              <w:t>实际给矿量（t/h.）</w:t>
            </w:r>
          </w:p>
        </w:tc>
        <w:tc>
          <w:tcPr>
            <w:tcW w:w="668" w:type="pct"/>
            <w:tcBorders>
              <w:bottom w:val="single" w:color="auto" w:sz="4" w:space="0"/>
            </w:tcBorders>
            <w:vAlign w:val="center"/>
          </w:tcPr>
          <w:p w14:paraId="26169A04">
            <w:pPr>
              <w:pStyle w:val="30"/>
              <w:bidi w:val="0"/>
              <w:rPr>
                <w:b/>
                <w:bCs/>
                <w:color w:val="auto"/>
              </w:rPr>
            </w:pPr>
            <w:r>
              <w:rPr>
                <w:b/>
                <w:bCs/>
                <w:color w:val="auto"/>
              </w:rPr>
              <w:t>负荷率</w:t>
            </w:r>
          </w:p>
          <w:p w14:paraId="4C1F5C73">
            <w:pPr>
              <w:pStyle w:val="30"/>
              <w:bidi w:val="0"/>
              <w:rPr>
                <w:b/>
                <w:bCs/>
                <w:color w:val="auto"/>
              </w:rPr>
            </w:pPr>
            <w:r>
              <w:rPr>
                <w:b/>
                <w:bCs/>
                <w:color w:val="auto"/>
              </w:rPr>
              <w:t>（%）</w:t>
            </w:r>
          </w:p>
        </w:tc>
      </w:tr>
      <w:tr w14:paraId="0C8C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9" w:type="pct"/>
            <w:vAlign w:val="center"/>
          </w:tcPr>
          <w:p w14:paraId="7DC3A4A9">
            <w:pPr>
              <w:pStyle w:val="30"/>
              <w:bidi w:val="0"/>
              <w:rPr>
                <w:color w:val="auto"/>
              </w:rPr>
            </w:pPr>
            <w:r>
              <w:rPr>
                <w:color w:val="auto"/>
              </w:rPr>
              <w:t>PE400×900</w:t>
            </w:r>
          </w:p>
        </w:tc>
        <w:tc>
          <w:tcPr>
            <w:tcW w:w="249" w:type="pct"/>
            <w:vAlign w:val="center"/>
          </w:tcPr>
          <w:p w14:paraId="5590D623">
            <w:pPr>
              <w:pStyle w:val="30"/>
              <w:bidi w:val="0"/>
              <w:rPr>
                <w:color w:val="auto"/>
              </w:rPr>
            </w:pPr>
            <w:r>
              <w:rPr>
                <w:color w:val="auto"/>
              </w:rPr>
              <w:t>2</w:t>
            </w:r>
          </w:p>
        </w:tc>
        <w:tc>
          <w:tcPr>
            <w:tcW w:w="843" w:type="pct"/>
            <w:vAlign w:val="center"/>
          </w:tcPr>
          <w:p w14:paraId="3073E88A">
            <w:pPr>
              <w:pStyle w:val="30"/>
              <w:bidi w:val="0"/>
              <w:rPr>
                <w:color w:val="auto"/>
              </w:rPr>
            </w:pPr>
            <w:r>
              <w:rPr>
                <w:color w:val="auto"/>
              </w:rPr>
              <w:t>≤230</w:t>
            </w:r>
            <w:r>
              <w:rPr>
                <w:rFonts w:hint="eastAsia"/>
                <w:color w:val="auto"/>
              </w:rPr>
              <w:t>mm</w:t>
            </w:r>
          </w:p>
        </w:tc>
        <w:tc>
          <w:tcPr>
            <w:tcW w:w="695" w:type="pct"/>
            <w:vAlign w:val="center"/>
          </w:tcPr>
          <w:p w14:paraId="69ACB838">
            <w:pPr>
              <w:pStyle w:val="30"/>
              <w:bidi w:val="0"/>
              <w:rPr>
                <w:color w:val="auto"/>
              </w:rPr>
            </w:pPr>
            <w:r>
              <w:rPr>
                <w:color w:val="auto"/>
              </w:rPr>
              <w:t>70%</w:t>
            </w:r>
            <w:r>
              <w:rPr>
                <w:rFonts w:hint="eastAsia"/>
                <w:color w:val="auto"/>
              </w:rPr>
              <w:t>-</w:t>
            </w:r>
            <w:r>
              <w:rPr>
                <w:color w:val="auto"/>
              </w:rPr>
              <w:t>50</w:t>
            </w:r>
            <w:r>
              <w:rPr>
                <w:rFonts w:hint="eastAsia"/>
                <w:color w:val="auto"/>
              </w:rPr>
              <w:t>mm</w:t>
            </w:r>
          </w:p>
        </w:tc>
        <w:tc>
          <w:tcPr>
            <w:tcW w:w="713" w:type="pct"/>
            <w:vAlign w:val="center"/>
          </w:tcPr>
          <w:p w14:paraId="22241E21">
            <w:pPr>
              <w:pStyle w:val="30"/>
              <w:bidi w:val="0"/>
              <w:rPr>
                <w:color w:val="auto"/>
              </w:rPr>
            </w:pPr>
            <w:r>
              <w:rPr>
                <w:color w:val="auto"/>
              </w:rPr>
              <w:t>50.0</w:t>
            </w:r>
          </w:p>
        </w:tc>
        <w:tc>
          <w:tcPr>
            <w:tcW w:w="763" w:type="pct"/>
            <w:vAlign w:val="center"/>
          </w:tcPr>
          <w:p w14:paraId="5EA48D09">
            <w:pPr>
              <w:pStyle w:val="30"/>
              <w:bidi w:val="0"/>
              <w:rPr>
                <w:color w:val="auto"/>
              </w:rPr>
            </w:pPr>
            <w:r>
              <w:rPr>
                <w:color w:val="auto"/>
              </w:rPr>
              <w:t>6.25</w:t>
            </w:r>
            <w:r>
              <w:rPr>
                <w:rFonts w:hint="eastAsia"/>
                <w:color w:val="auto"/>
              </w:rPr>
              <w:t>（单台）</w:t>
            </w:r>
          </w:p>
        </w:tc>
        <w:tc>
          <w:tcPr>
            <w:tcW w:w="668" w:type="pct"/>
            <w:vAlign w:val="center"/>
          </w:tcPr>
          <w:p w14:paraId="69C3832F">
            <w:pPr>
              <w:pStyle w:val="30"/>
              <w:bidi w:val="0"/>
              <w:rPr>
                <w:color w:val="auto"/>
              </w:rPr>
            </w:pPr>
            <w:r>
              <w:rPr>
                <w:color w:val="auto"/>
              </w:rPr>
              <w:t>12.5</w:t>
            </w:r>
          </w:p>
        </w:tc>
      </w:tr>
      <w:tr w14:paraId="588E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9" w:type="pct"/>
            <w:vAlign w:val="center"/>
          </w:tcPr>
          <w:p w14:paraId="08B08130">
            <w:pPr>
              <w:pStyle w:val="30"/>
              <w:bidi w:val="0"/>
              <w:rPr>
                <w:color w:val="auto"/>
              </w:rPr>
            </w:pPr>
            <w:r>
              <w:rPr>
                <w:color w:val="auto"/>
              </w:rPr>
              <w:t>PE250×400</w:t>
            </w:r>
          </w:p>
        </w:tc>
        <w:tc>
          <w:tcPr>
            <w:tcW w:w="249" w:type="pct"/>
            <w:vAlign w:val="center"/>
          </w:tcPr>
          <w:p w14:paraId="7658B699">
            <w:pPr>
              <w:pStyle w:val="30"/>
              <w:bidi w:val="0"/>
              <w:rPr>
                <w:color w:val="auto"/>
              </w:rPr>
            </w:pPr>
            <w:r>
              <w:rPr>
                <w:color w:val="auto"/>
              </w:rPr>
              <w:t>2</w:t>
            </w:r>
          </w:p>
        </w:tc>
        <w:tc>
          <w:tcPr>
            <w:tcW w:w="843" w:type="pct"/>
            <w:vAlign w:val="center"/>
          </w:tcPr>
          <w:p w14:paraId="4461F335">
            <w:pPr>
              <w:pStyle w:val="30"/>
              <w:bidi w:val="0"/>
              <w:rPr>
                <w:color w:val="auto"/>
              </w:rPr>
            </w:pPr>
            <w:r>
              <w:rPr>
                <w:color w:val="auto"/>
              </w:rPr>
              <w:t>≤12</w:t>
            </w:r>
            <w:r>
              <w:rPr>
                <w:rFonts w:hint="eastAsia"/>
                <w:color w:val="auto"/>
              </w:rPr>
              <w:t>mm</w:t>
            </w:r>
          </w:p>
        </w:tc>
        <w:tc>
          <w:tcPr>
            <w:tcW w:w="695" w:type="pct"/>
            <w:vAlign w:val="center"/>
          </w:tcPr>
          <w:p w14:paraId="7CBC1A2F">
            <w:pPr>
              <w:pStyle w:val="30"/>
              <w:bidi w:val="0"/>
              <w:rPr>
                <w:color w:val="auto"/>
              </w:rPr>
            </w:pPr>
            <w:r>
              <w:rPr>
                <w:color w:val="auto"/>
              </w:rPr>
              <w:t>70%-30</w:t>
            </w:r>
            <w:r>
              <w:rPr>
                <w:rFonts w:hint="eastAsia"/>
                <w:color w:val="auto"/>
              </w:rPr>
              <w:t>mm</w:t>
            </w:r>
          </w:p>
        </w:tc>
        <w:tc>
          <w:tcPr>
            <w:tcW w:w="713" w:type="pct"/>
            <w:vAlign w:val="center"/>
          </w:tcPr>
          <w:p w14:paraId="5745666C">
            <w:pPr>
              <w:pStyle w:val="30"/>
              <w:bidi w:val="0"/>
              <w:rPr>
                <w:color w:val="auto"/>
              </w:rPr>
            </w:pPr>
            <w:r>
              <w:rPr>
                <w:color w:val="auto"/>
              </w:rPr>
              <w:t>20</w:t>
            </w:r>
          </w:p>
        </w:tc>
        <w:tc>
          <w:tcPr>
            <w:tcW w:w="763" w:type="pct"/>
            <w:vAlign w:val="center"/>
          </w:tcPr>
          <w:p w14:paraId="1C772610">
            <w:pPr>
              <w:pStyle w:val="30"/>
              <w:bidi w:val="0"/>
              <w:rPr>
                <w:color w:val="auto"/>
              </w:rPr>
            </w:pPr>
            <w:r>
              <w:rPr>
                <w:color w:val="auto"/>
              </w:rPr>
              <w:t>6.25</w:t>
            </w:r>
            <w:r>
              <w:rPr>
                <w:rFonts w:hint="eastAsia"/>
                <w:color w:val="auto"/>
              </w:rPr>
              <w:t>（单台）</w:t>
            </w:r>
          </w:p>
        </w:tc>
        <w:tc>
          <w:tcPr>
            <w:tcW w:w="668" w:type="pct"/>
            <w:vAlign w:val="center"/>
          </w:tcPr>
          <w:p w14:paraId="21FBEBB6">
            <w:pPr>
              <w:pStyle w:val="30"/>
              <w:bidi w:val="0"/>
              <w:rPr>
                <w:color w:val="auto"/>
              </w:rPr>
            </w:pPr>
            <w:r>
              <w:rPr>
                <w:color w:val="auto"/>
              </w:rPr>
              <w:t>30.125</w:t>
            </w:r>
          </w:p>
        </w:tc>
      </w:tr>
    </w:tbl>
    <w:p w14:paraId="311E53C9">
      <w:pPr>
        <w:bidi w:val="0"/>
        <w:rPr>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磨矿设备</w:t>
      </w:r>
    </w:p>
    <w:p w14:paraId="3EA86ADA">
      <w:pPr>
        <w:bidi w:val="0"/>
        <w:rPr>
          <w:color w:val="auto"/>
        </w:rPr>
      </w:pPr>
      <w:bookmarkStart w:id="39" w:name="_Hlk144217020"/>
      <w:r>
        <w:rPr>
          <w:rFonts w:hint="eastAsia"/>
          <w:color w:val="auto"/>
        </w:rPr>
        <w:t>选厂原设置</w:t>
      </w:r>
      <w:r>
        <w:rPr>
          <w:color w:val="auto"/>
        </w:rPr>
        <w:t>2</w:t>
      </w:r>
      <w:r>
        <w:rPr>
          <w:rFonts w:hint="eastAsia"/>
          <w:color w:val="auto"/>
        </w:rPr>
        <w:t>条磨矿生产线，共</w:t>
      </w:r>
      <w:r>
        <w:rPr>
          <w:color w:val="auto"/>
        </w:rPr>
        <w:t>给矿量8.33t/h，给矿粒度</w:t>
      </w:r>
      <w:r>
        <w:rPr>
          <w:rFonts w:hint="eastAsia"/>
          <w:color w:val="auto"/>
        </w:rPr>
        <w:t>≤</w:t>
      </w:r>
      <w:r>
        <w:rPr>
          <w:color w:val="auto"/>
        </w:rPr>
        <w:t>30</w:t>
      </w:r>
      <w:r>
        <w:rPr>
          <w:rFonts w:hint="eastAsia"/>
          <w:color w:val="auto"/>
        </w:rPr>
        <w:t>mm采用皮带输送机给矿，</w:t>
      </w:r>
      <w:r>
        <w:rPr>
          <w:rFonts w:hint="eastAsia"/>
          <w:color w:val="auto"/>
          <w:lang w:val="de-DE"/>
        </w:rPr>
        <w:t>进入</w:t>
      </w:r>
      <w:r>
        <w:rPr>
          <w:rFonts w:hint="eastAsia"/>
          <w:color w:val="auto"/>
        </w:rPr>
        <w:t>球磨机磨矿。</w:t>
      </w:r>
    </w:p>
    <w:p w14:paraId="5E1813EC">
      <w:pPr>
        <w:bidi w:val="0"/>
        <w:rPr>
          <w:color w:val="auto"/>
        </w:rPr>
      </w:pPr>
      <w:r>
        <w:rPr>
          <w:rFonts w:hint="eastAsia"/>
          <w:color w:val="auto"/>
        </w:rPr>
        <w:t>磨矿设备选用</w:t>
      </w:r>
      <w:r>
        <w:rPr>
          <w:color w:val="auto"/>
        </w:rPr>
        <w:t>2</w:t>
      </w:r>
      <w:r>
        <w:rPr>
          <w:rFonts w:hint="eastAsia"/>
          <w:color w:val="auto"/>
        </w:rPr>
        <w:t>台</w:t>
      </w:r>
      <w:bookmarkStart w:id="40" w:name="_Hlk78900136"/>
      <w:r>
        <w:rPr>
          <w:color w:val="auto"/>
          <w:lang w:val="de-DE"/>
        </w:rPr>
        <w:t>M</w:t>
      </w:r>
      <w:r>
        <w:rPr>
          <w:color w:val="auto"/>
        </w:rPr>
        <w:t>Q</w:t>
      </w:r>
      <w:r>
        <w:rPr>
          <w:rFonts w:hint="eastAsia"/>
          <w:color w:val="auto"/>
          <w:lang w:val="de-DE"/>
        </w:rPr>
        <w:t>G-</w:t>
      </w:r>
      <w:r>
        <w:rPr>
          <w:color w:val="auto"/>
        </w:rPr>
        <w:t>21</w:t>
      </w:r>
      <w:r>
        <w:rPr>
          <w:rFonts w:hint="eastAsia"/>
          <w:color w:val="auto"/>
          <w:lang w:val="de-DE"/>
        </w:rPr>
        <w:t>00</w:t>
      </w:r>
      <w:r>
        <w:rPr>
          <w:color w:val="auto"/>
          <w:lang w:val="de-DE"/>
        </w:rPr>
        <w:t>×3</w:t>
      </w:r>
      <w:r>
        <w:rPr>
          <w:color w:val="auto"/>
        </w:rPr>
        <w:t>0</w:t>
      </w:r>
      <w:r>
        <w:rPr>
          <w:rFonts w:hint="eastAsia"/>
          <w:color w:val="auto"/>
          <w:lang w:val="de-DE"/>
        </w:rPr>
        <w:t>00</w:t>
      </w:r>
      <w:r>
        <w:rPr>
          <w:color w:val="auto"/>
        </w:rPr>
        <w:t>湿式</w:t>
      </w:r>
      <w:r>
        <w:rPr>
          <w:rFonts w:hint="eastAsia"/>
          <w:color w:val="auto"/>
        </w:rPr>
        <w:t>格子型球磨机</w:t>
      </w:r>
      <w:bookmarkEnd w:id="40"/>
      <w:r>
        <w:rPr>
          <w:rFonts w:hint="eastAsia"/>
          <w:color w:val="auto"/>
        </w:rPr>
        <w:t>、</w:t>
      </w:r>
      <w:bookmarkStart w:id="41" w:name="_Hlk119050423"/>
      <w:r>
        <w:rPr>
          <w:rFonts w:hint="eastAsia"/>
          <w:color w:val="auto"/>
        </w:rPr>
        <w:t>选用Φ</w:t>
      </w:r>
      <w:r>
        <w:rPr>
          <w:color w:val="auto"/>
        </w:rPr>
        <w:t>300</w:t>
      </w:r>
      <w:r>
        <w:rPr>
          <w:rFonts w:hint="eastAsia"/>
          <w:color w:val="auto"/>
        </w:rPr>
        <w:t>螺旋分级机。</w:t>
      </w:r>
      <w:bookmarkEnd w:id="41"/>
    </w:p>
    <w:p w14:paraId="5CC11FB2">
      <w:pPr>
        <w:pStyle w:val="29"/>
        <w:bidi w:val="0"/>
        <w:rPr>
          <w:rFonts w:hint="default"/>
          <w:color w:val="auto"/>
          <w:lang w:val="de-DE"/>
        </w:rPr>
      </w:pPr>
      <w:r>
        <w:rPr>
          <w:color w:val="auto"/>
          <w:lang w:val="de-DE"/>
        </w:rPr>
        <w:t>表</w:t>
      </w:r>
      <w:r>
        <w:rPr>
          <w:color w:val="auto"/>
        </w:rPr>
        <w:t>2</w:t>
      </w:r>
      <w:r>
        <w:rPr>
          <w:rFonts w:hint="default"/>
          <w:color w:val="auto"/>
        </w:rPr>
        <w:t>.</w:t>
      </w:r>
      <w:r>
        <w:rPr>
          <w:rFonts w:hint="eastAsia"/>
          <w:color w:val="auto"/>
          <w:lang w:val="en-US" w:eastAsia="zh-CN"/>
        </w:rPr>
        <w:t>9</w:t>
      </w:r>
      <w:r>
        <w:rPr>
          <w:color w:val="auto"/>
        </w:rPr>
        <w:t>-</w:t>
      </w:r>
      <w:r>
        <w:rPr>
          <w:rFonts w:hint="eastAsia"/>
          <w:color w:val="auto"/>
          <w:lang w:val="en-US" w:eastAsia="zh-CN"/>
        </w:rPr>
        <w:t>2</w:t>
      </w:r>
      <w:r>
        <w:rPr>
          <w:rFonts w:hint="default"/>
          <w:color w:val="auto"/>
          <w:lang w:val="de-DE"/>
        </w:rPr>
        <w:t xml:space="preserve"> </w:t>
      </w:r>
      <w:r>
        <w:rPr>
          <w:color w:val="auto"/>
          <w:lang w:val="de-DE"/>
        </w:rPr>
        <w:t xml:space="preserve"> 磨矿设备技术性能</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2"/>
        <w:gridCol w:w="466"/>
        <w:gridCol w:w="1416"/>
        <w:gridCol w:w="1232"/>
        <w:gridCol w:w="1583"/>
        <w:gridCol w:w="1435"/>
        <w:gridCol w:w="1256"/>
      </w:tblGrid>
      <w:tr w14:paraId="6FF1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70" w:type="pct"/>
            <w:tcBorders>
              <w:bottom w:val="single" w:color="auto" w:sz="4" w:space="0"/>
            </w:tcBorders>
            <w:vAlign w:val="center"/>
          </w:tcPr>
          <w:p w14:paraId="77E9DD22">
            <w:pPr>
              <w:pStyle w:val="30"/>
              <w:bidi w:val="0"/>
              <w:rPr>
                <w:b/>
                <w:bCs/>
                <w:color w:val="auto"/>
              </w:rPr>
            </w:pPr>
            <w:r>
              <w:rPr>
                <w:b/>
                <w:bCs/>
                <w:color w:val="auto"/>
              </w:rPr>
              <w:t>设备名称及规格</w:t>
            </w:r>
          </w:p>
        </w:tc>
        <w:tc>
          <w:tcPr>
            <w:tcW w:w="248" w:type="pct"/>
            <w:tcBorders>
              <w:bottom w:val="single" w:color="auto" w:sz="4" w:space="0"/>
            </w:tcBorders>
            <w:vAlign w:val="center"/>
          </w:tcPr>
          <w:p w14:paraId="61D549A6">
            <w:pPr>
              <w:pStyle w:val="30"/>
              <w:bidi w:val="0"/>
              <w:rPr>
                <w:b/>
                <w:bCs/>
                <w:color w:val="auto"/>
              </w:rPr>
            </w:pPr>
            <w:r>
              <w:rPr>
                <w:b/>
                <w:bCs/>
                <w:color w:val="auto"/>
              </w:rPr>
              <w:t>台数</w:t>
            </w:r>
          </w:p>
        </w:tc>
        <w:tc>
          <w:tcPr>
            <w:tcW w:w="753" w:type="pct"/>
            <w:tcBorders>
              <w:bottom w:val="single" w:color="auto" w:sz="4" w:space="0"/>
            </w:tcBorders>
            <w:vAlign w:val="center"/>
          </w:tcPr>
          <w:p w14:paraId="4E775F83">
            <w:pPr>
              <w:pStyle w:val="30"/>
              <w:bidi w:val="0"/>
              <w:rPr>
                <w:b/>
                <w:bCs/>
                <w:color w:val="auto"/>
              </w:rPr>
            </w:pPr>
            <w:r>
              <w:rPr>
                <w:b/>
                <w:bCs/>
                <w:color w:val="auto"/>
              </w:rPr>
              <w:t>给矿</w:t>
            </w:r>
          </w:p>
          <w:p w14:paraId="5498083E">
            <w:pPr>
              <w:pStyle w:val="30"/>
              <w:bidi w:val="0"/>
              <w:rPr>
                <w:b/>
                <w:bCs/>
                <w:color w:val="auto"/>
              </w:rPr>
            </w:pPr>
            <w:r>
              <w:rPr>
                <w:b/>
                <w:bCs/>
                <w:color w:val="auto"/>
              </w:rPr>
              <w:t>粒度</w:t>
            </w:r>
          </w:p>
        </w:tc>
        <w:tc>
          <w:tcPr>
            <w:tcW w:w="655" w:type="pct"/>
            <w:tcBorders>
              <w:bottom w:val="single" w:color="auto" w:sz="4" w:space="0"/>
            </w:tcBorders>
            <w:vAlign w:val="center"/>
          </w:tcPr>
          <w:p w14:paraId="678122B0">
            <w:pPr>
              <w:pStyle w:val="30"/>
              <w:bidi w:val="0"/>
              <w:rPr>
                <w:b/>
                <w:bCs/>
                <w:color w:val="auto"/>
              </w:rPr>
            </w:pPr>
            <w:r>
              <w:rPr>
                <w:b/>
                <w:bCs/>
                <w:color w:val="auto"/>
              </w:rPr>
              <w:t>溢流粒度</w:t>
            </w:r>
          </w:p>
        </w:tc>
        <w:tc>
          <w:tcPr>
            <w:tcW w:w="842" w:type="pct"/>
            <w:tcBorders>
              <w:bottom w:val="single" w:color="auto" w:sz="4" w:space="0"/>
            </w:tcBorders>
            <w:vAlign w:val="center"/>
          </w:tcPr>
          <w:p w14:paraId="601CB6EB">
            <w:pPr>
              <w:pStyle w:val="30"/>
              <w:bidi w:val="0"/>
              <w:rPr>
                <w:b/>
                <w:bCs/>
                <w:color w:val="auto"/>
              </w:rPr>
            </w:pPr>
            <w:r>
              <w:rPr>
                <w:b/>
                <w:bCs/>
                <w:color w:val="auto"/>
              </w:rPr>
              <w:t>设备处理能力</w:t>
            </w:r>
          </w:p>
          <w:p w14:paraId="48A22E50">
            <w:pPr>
              <w:pStyle w:val="30"/>
              <w:bidi w:val="0"/>
              <w:rPr>
                <w:b/>
                <w:bCs/>
                <w:color w:val="auto"/>
              </w:rPr>
            </w:pPr>
            <w:r>
              <w:rPr>
                <w:b/>
                <w:bCs/>
                <w:color w:val="auto"/>
              </w:rPr>
              <w:t>（t/h）</w:t>
            </w:r>
          </w:p>
        </w:tc>
        <w:tc>
          <w:tcPr>
            <w:tcW w:w="763" w:type="pct"/>
            <w:tcBorders>
              <w:bottom w:val="single" w:color="auto" w:sz="4" w:space="0"/>
            </w:tcBorders>
            <w:vAlign w:val="center"/>
          </w:tcPr>
          <w:p w14:paraId="10D77DD8">
            <w:pPr>
              <w:pStyle w:val="30"/>
              <w:bidi w:val="0"/>
              <w:rPr>
                <w:b/>
                <w:bCs/>
                <w:color w:val="auto"/>
              </w:rPr>
            </w:pPr>
            <w:r>
              <w:rPr>
                <w:b/>
                <w:bCs/>
                <w:color w:val="auto"/>
              </w:rPr>
              <w:t>实际给矿量（t/h.）</w:t>
            </w:r>
          </w:p>
        </w:tc>
        <w:tc>
          <w:tcPr>
            <w:tcW w:w="668" w:type="pct"/>
            <w:tcBorders>
              <w:bottom w:val="single" w:color="auto" w:sz="4" w:space="0"/>
            </w:tcBorders>
            <w:vAlign w:val="center"/>
          </w:tcPr>
          <w:p w14:paraId="36038596">
            <w:pPr>
              <w:pStyle w:val="30"/>
              <w:bidi w:val="0"/>
              <w:rPr>
                <w:b/>
                <w:bCs/>
                <w:color w:val="auto"/>
              </w:rPr>
            </w:pPr>
            <w:r>
              <w:rPr>
                <w:b/>
                <w:bCs/>
                <w:color w:val="auto"/>
              </w:rPr>
              <w:t>负荷率</w:t>
            </w:r>
          </w:p>
          <w:p w14:paraId="40289539">
            <w:pPr>
              <w:pStyle w:val="30"/>
              <w:bidi w:val="0"/>
              <w:rPr>
                <w:b/>
                <w:bCs/>
                <w:color w:val="auto"/>
              </w:rPr>
            </w:pPr>
            <w:r>
              <w:rPr>
                <w:b/>
                <w:bCs/>
                <w:color w:val="auto"/>
              </w:rPr>
              <w:t>（%）</w:t>
            </w:r>
          </w:p>
        </w:tc>
      </w:tr>
      <w:tr w14:paraId="0419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70" w:type="pct"/>
            <w:vAlign w:val="center"/>
          </w:tcPr>
          <w:p w14:paraId="1E162F1F">
            <w:pPr>
              <w:pStyle w:val="30"/>
              <w:bidi w:val="0"/>
              <w:rPr>
                <w:color w:val="auto"/>
              </w:rPr>
            </w:pPr>
            <w:r>
              <w:rPr>
                <w:color w:val="auto"/>
              </w:rPr>
              <w:t>MQG-2100×3000</w:t>
            </w:r>
          </w:p>
        </w:tc>
        <w:tc>
          <w:tcPr>
            <w:tcW w:w="248" w:type="pct"/>
            <w:vAlign w:val="center"/>
          </w:tcPr>
          <w:p w14:paraId="541A82D1">
            <w:pPr>
              <w:pStyle w:val="30"/>
              <w:bidi w:val="0"/>
              <w:rPr>
                <w:color w:val="auto"/>
              </w:rPr>
            </w:pPr>
            <w:r>
              <w:rPr>
                <w:color w:val="auto"/>
              </w:rPr>
              <w:t>2</w:t>
            </w:r>
          </w:p>
        </w:tc>
        <w:tc>
          <w:tcPr>
            <w:tcW w:w="753" w:type="pct"/>
            <w:vAlign w:val="center"/>
          </w:tcPr>
          <w:p w14:paraId="18195B81">
            <w:pPr>
              <w:pStyle w:val="30"/>
              <w:bidi w:val="0"/>
              <w:rPr>
                <w:color w:val="auto"/>
              </w:rPr>
            </w:pPr>
            <w:r>
              <w:rPr>
                <w:color w:val="auto"/>
              </w:rPr>
              <w:t>≤12</w:t>
            </w:r>
            <w:r>
              <w:rPr>
                <w:rFonts w:hint="eastAsia"/>
                <w:color w:val="auto"/>
              </w:rPr>
              <w:t>mm</w:t>
            </w:r>
          </w:p>
        </w:tc>
        <w:tc>
          <w:tcPr>
            <w:tcW w:w="655" w:type="pct"/>
            <w:vAlign w:val="center"/>
          </w:tcPr>
          <w:p w14:paraId="1FD81398">
            <w:pPr>
              <w:pStyle w:val="30"/>
              <w:bidi w:val="0"/>
              <w:rPr>
                <w:color w:val="auto"/>
              </w:rPr>
            </w:pPr>
            <w:r>
              <w:rPr>
                <w:color w:val="auto"/>
              </w:rPr>
              <w:t>70%-200目</w:t>
            </w:r>
          </w:p>
        </w:tc>
        <w:tc>
          <w:tcPr>
            <w:tcW w:w="842" w:type="pct"/>
            <w:vAlign w:val="center"/>
          </w:tcPr>
          <w:p w14:paraId="3F747CBE">
            <w:pPr>
              <w:pStyle w:val="30"/>
              <w:bidi w:val="0"/>
              <w:rPr>
                <w:color w:val="auto"/>
              </w:rPr>
            </w:pPr>
            <w:r>
              <w:rPr>
                <w:color w:val="auto"/>
              </w:rPr>
              <w:t>6.5</w:t>
            </w:r>
            <w:r>
              <w:rPr>
                <w:rFonts w:hint="eastAsia"/>
                <w:color w:val="auto"/>
              </w:rPr>
              <w:t>（单台）</w:t>
            </w:r>
          </w:p>
        </w:tc>
        <w:tc>
          <w:tcPr>
            <w:tcW w:w="763" w:type="pct"/>
            <w:vAlign w:val="center"/>
          </w:tcPr>
          <w:p w14:paraId="72E26CA5">
            <w:pPr>
              <w:pStyle w:val="30"/>
              <w:bidi w:val="0"/>
              <w:rPr>
                <w:color w:val="auto"/>
              </w:rPr>
            </w:pPr>
            <w:r>
              <w:rPr>
                <w:color w:val="auto"/>
              </w:rPr>
              <w:t>4.16</w:t>
            </w:r>
            <w:r>
              <w:rPr>
                <w:rFonts w:hint="eastAsia"/>
                <w:color w:val="auto"/>
              </w:rPr>
              <w:t>（单台）</w:t>
            </w:r>
          </w:p>
        </w:tc>
        <w:tc>
          <w:tcPr>
            <w:tcW w:w="668" w:type="pct"/>
            <w:vAlign w:val="center"/>
          </w:tcPr>
          <w:p w14:paraId="736EFE29">
            <w:pPr>
              <w:pStyle w:val="30"/>
              <w:bidi w:val="0"/>
              <w:rPr>
                <w:color w:val="auto"/>
              </w:rPr>
            </w:pPr>
            <w:r>
              <w:rPr>
                <w:color w:val="auto"/>
              </w:rPr>
              <w:t>64.00</w:t>
            </w:r>
          </w:p>
        </w:tc>
      </w:tr>
      <w:bookmarkEnd w:id="39"/>
    </w:tbl>
    <w:p w14:paraId="3C257884">
      <w:pPr>
        <w:bidi w:val="0"/>
        <w:rPr>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rPr>
        <w:t>选矿设备</w:t>
      </w:r>
    </w:p>
    <w:p w14:paraId="22981D86">
      <w:pPr>
        <w:bidi w:val="0"/>
        <w:rPr>
          <w:color w:val="auto"/>
        </w:rPr>
      </w:pPr>
      <w:r>
        <w:rPr>
          <w:rFonts w:hint="eastAsia"/>
          <w:color w:val="auto"/>
        </w:rPr>
        <w:t>1）浮选设备选择计算</w:t>
      </w:r>
    </w:p>
    <w:p w14:paraId="40B16D8E">
      <w:pPr>
        <w:bidi w:val="0"/>
        <w:rPr>
          <w:color w:val="auto"/>
        </w:rPr>
      </w:pPr>
      <w:r>
        <w:rPr>
          <w:rFonts w:hint="eastAsia"/>
          <w:color w:val="auto"/>
        </w:rPr>
        <w:t>采用一粗一扫二精流程，浮选选择</w:t>
      </w:r>
      <w:r>
        <w:rPr>
          <w:color w:val="auto"/>
        </w:rPr>
        <w:t>6</w:t>
      </w:r>
      <w:r>
        <w:rPr>
          <w:rFonts w:hint="eastAsia"/>
          <w:color w:val="auto"/>
        </w:rPr>
        <w:t>套</w:t>
      </w:r>
      <w:r>
        <w:rPr>
          <w:color w:val="auto"/>
        </w:rPr>
        <w:t>SF-2.8</w:t>
      </w:r>
      <w:r>
        <w:rPr>
          <w:rFonts w:hint="eastAsia"/>
          <w:color w:val="auto"/>
        </w:rPr>
        <w:t>浮选机。</w:t>
      </w:r>
    </w:p>
    <w:p w14:paraId="71C4AC30">
      <w:pPr>
        <w:pStyle w:val="29"/>
        <w:bidi w:val="0"/>
        <w:rPr>
          <w:rFonts w:hint="default"/>
          <w:color w:val="auto"/>
          <w:lang w:val="de-DE"/>
        </w:rPr>
      </w:pPr>
      <w:r>
        <w:rPr>
          <w:color w:val="auto"/>
          <w:lang w:val="de-DE"/>
        </w:rPr>
        <w:t>表</w:t>
      </w:r>
      <w:r>
        <w:rPr>
          <w:color w:val="auto"/>
        </w:rPr>
        <w:t>2</w:t>
      </w:r>
      <w:r>
        <w:rPr>
          <w:rFonts w:hint="default"/>
          <w:color w:val="auto"/>
        </w:rPr>
        <w:t>.</w:t>
      </w:r>
      <w:r>
        <w:rPr>
          <w:rFonts w:hint="eastAsia"/>
          <w:color w:val="auto"/>
          <w:lang w:val="en-US" w:eastAsia="zh-CN"/>
        </w:rPr>
        <w:t>9</w:t>
      </w:r>
      <w:r>
        <w:rPr>
          <w:color w:val="auto"/>
        </w:rPr>
        <w:t>-</w:t>
      </w:r>
      <w:r>
        <w:rPr>
          <w:rFonts w:hint="eastAsia"/>
          <w:color w:val="auto"/>
          <w:lang w:val="en-US" w:eastAsia="zh-CN"/>
        </w:rPr>
        <w:t>3</w:t>
      </w:r>
      <w:r>
        <w:rPr>
          <w:rFonts w:hint="default"/>
          <w:color w:val="auto"/>
          <w:lang w:val="de-DE"/>
        </w:rPr>
        <w:t xml:space="preserve"> </w:t>
      </w:r>
      <w:r>
        <w:rPr>
          <w:color w:val="auto"/>
          <w:lang w:val="de-DE"/>
        </w:rPr>
        <w:t xml:space="preserve"> 浮选设备技术性能</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5"/>
        <w:gridCol w:w="974"/>
        <w:gridCol w:w="1966"/>
        <w:gridCol w:w="2094"/>
        <w:gridCol w:w="1881"/>
      </w:tblGrid>
      <w:tr w14:paraId="7CBC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22" w:type="pct"/>
            <w:tcBorders>
              <w:bottom w:val="single" w:color="auto" w:sz="4" w:space="0"/>
            </w:tcBorders>
            <w:vAlign w:val="center"/>
          </w:tcPr>
          <w:p w14:paraId="210E91D8">
            <w:pPr>
              <w:pStyle w:val="30"/>
              <w:bidi w:val="0"/>
              <w:rPr>
                <w:b/>
                <w:bCs/>
                <w:color w:val="auto"/>
              </w:rPr>
            </w:pPr>
            <w:r>
              <w:rPr>
                <w:b/>
                <w:bCs/>
                <w:color w:val="auto"/>
              </w:rPr>
              <w:t>设备名称及规格</w:t>
            </w:r>
          </w:p>
        </w:tc>
        <w:tc>
          <w:tcPr>
            <w:tcW w:w="518" w:type="pct"/>
            <w:tcBorders>
              <w:bottom w:val="single" w:color="auto" w:sz="4" w:space="0"/>
            </w:tcBorders>
            <w:vAlign w:val="center"/>
          </w:tcPr>
          <w:p w14:paraId="46FDCE3B">
            <w:pPr>
              <w:pStyle w:val="30"/>
              <w:bidi w:val="0"/>
              <w:rPr>
                <w:b/>
                <w:bCs/>
                <w:color w:val="auto"/>
              </w:rPr>
            </w:pPr>
            <w:r>
              <w:rPr>
                <w:b/>
                <w:bCs/>
                <w:color w:val="auto"/>
              </w:rPr>
              <w:t>台数</w:t>
            </w:r>
          </w:p>
        </w:tc>
        <w:tc>
          <w:tcPr>
            <w:tcW w:w="1046" w:type="pct"/>
            <w:tcBorders>
              <w:bottom w:val="single" w:color="auto" w:sz="4" w:space="0"/>
            </w:tcBorders>
            <w:vAlign w:val="center"/>
          </w:tcPr>
          <w:p w14:paraId="11DD8135">
            <w:pPr>
              <w:pStyle w:val="30"/>
              <w:bidi w:val="0"/>
              <w:rPr>
                <w:b/>
                <w:bCs/>
                <w:color w:val="auto"/>
              </w:rPr>
            </w:pPr>
            <w:r>
              <w:rPr>
                <w:b/>
                <w:bCs/>
                <w:color w:val="auto"/>
              </w:rPr>
              <w:t>设备处理能力（</w:t>
            </w:r>
            <w:r>
              <w:rPr>
                <w:rFonts w:hint="eastAsia"/>
                <w:b/>
                <w:bCs/>
                <w:color w:val="auto"/>
              </w:rPr>
              <w:t>m</w:t>
            </w:r>
            <w:r>
              <w:rPr>
                <w:b/>
                <w:bCs/>
                <w:color w:val="auto"/>
                <w:vertAlign w:val="superscript"/>
              </w:rPr>
              <w:t>3</w:t>
            </w:r>
            <w:r>
              <w:rPr>
                <w:b/>
                <w:bCs/>
                <w:color w:val="auto"/>
              </w:rPr>
              <w:t>/</w:t>
            </w:r>
            <w:r>
              <w:rPr>
                <w:rFonts w:hint="eastAsia"/>
                <w:b/>
                <w:bCs/>
                <w:color w:val="auto"/>
              </w:rPr>
              <w:t>min</w:t>
            </w:r>
            <w:r>
              <w:rPr>
                <w:b/>
                <w:bCs/>
                <w:color w:val="auto"/>
              </w:rPr>
              <w:t>）</w:t>
            </w:r>
          </w:p>
        </w:tc>
        <w:tc>
          <w:tcPr>
            <w:tcW w:w="1114" w:type="pct"/>
            <w:tcBorders>
              <w:bottom w:val="single" w:color="auto" w:sz="4" w:space="0"/>
            </w:tcBorders>
            <w:vAlign w:val="center"/>
          </w:tcPr>
          <w:p w14:paraId="79B28493">
            <w:pPr>
              <w:pStyle w:val="30"/>
              <w:bidi w:val="0"/>
              <w:rPr>
                <w:b/>
                <w:bCs/>
                <w:color w:val="auto"/>
              </w:rPr>
            </w:pPr>
            <w:r>
              <w:rPr>
                <w:b/>
                <w:bCs/>
                <w:color w:val="auto"/>
              </w:rPr>
              <w:t>实际给矿量（</w:t>
            </w:r>
            <w:r>
              <w:rPr>
                <w:rFonts w:hint="eastAsia"/>
                <w:b/>
                <w:bCs/>
                <w:color w:val="auto"/>
              </w:rPr>
              <w:t>m</w:t>
            </w:r>
            <w:r>
              <w:rPr>
                <w:b/>
                <w:bCs/>
                <w:color w:val="auto"/>
                <w:vertAlign w:val="superscript"/>
              </w:rPr>
              <w:t>3</w:t>
            </w:r>
            <w:r>
              <w:rPr>
                <w:b/>
                <w:bCs/>
                <w:color w:val="auto"/>
              </w:rPr>
              <w:t>/</w:t>
            </w:r>
            <w:r>
              <w:rPr>
                <w:rFonts w:hint="eastAsia"/>
                <w:b/>
                <w:bCs/>
                <w:color w:val="auto"/>
              </w:rPr>
              <w:t>min</w:t>
            </w:r>
            <w:r>
              <w:rPr>
                <w:b/>
                <w:bCs/>
                <w:color w:val="auto"/>
              </w:rPr>
              <w:t>）</w:t>
            </w:r>
          </w:p>
        </w:tc>
        <w:tc>
          <w:tcPr>
            <w:tcW w:w="1000" w:type="pct"/>
            <w:tcBorders>
              <w:bottom w:val="single" w:color="auto" w:sz="4" w:space="0"/>
            </w:tcBorders>
            <w:vAlign w:val="center"/>
          </w:tcPr>
          <w:p w14:paraId="5094EFB1">
            <w:pPr>
              <w:pStyle w:val="30"/>
              <w:bidi w:val="0"/>
              <w:rPr>
                <w:b/>
                <w:bCs/>
                <w:color w:val="auto"/>
              </w:rPr>
            </w:pPr>
            <w:r>
              <w:rPr>
                <w:b/>
                <w:bCs/>
                <w:color w:val="auto"/>
              </w:rPr>
              <w:t>负荷率（%）</w:t>
            </w:r>
          </w:p>
        </w:tc>
      </w:tr>
      <w:tr w14:paraId="7ED2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2" w:type="pct"/>
            <w:vAlign w:val="center"/>
          </w:tcPr>
          <w:p w14:paraId="5A78C3F5">
            <w:pPr>
              <w:pStyle w:val="30"/>
              <w:bidi w:val="0"/>
              <w:rPr>
                <w:color w:val="auto"/>
              </w:rPr>
            </w:pPr>
            <w:r>
              <w:rPr>
                <w:rFonts w:hint="eastAsia"/>
                <w:color w:val="auto"/>
              </w:rPr>
              <w:t>SF-2.8浮选机</w:t>
            </w:r>
          </w:p>
        </w:tc>
        <w:tc>
          <w:tcPr>
            <w:tcW w:w="518" w:type="pct"/>
            <w:vAlign w:val="center"/>
          </w:tcPr>
          <w:p w14:paraId="66026D89">
            <w:pPr>
              <w:pStyle w:val="30"/>
              <w:bidi w:val="0"/>
              <w:rPr>
                <w:color w:val="auto"/>
              </w:rPr>
            </w:pPr>
            <w:r>
              <w:rPr>
                <w:color w:val="auto"/>
              </w:rPr>
              <w:t>6</w:t>
            </w:r>
          </w:p>
        </w:tc>
        <w:tc>
          <w:tcPr>
            <w:tcW w:w="1046" w:type="pct"/>
            <w:vAlign w:val="center"/>
          </w:tcPr>
          <w:p w14:paraId="06311151">
            <w:pPr>
              <w:pStyle w:val="30"/>
              <w:bidi w:val="0"/>
              <w:rPr>
                <w:color w:val="auto"/>
              </w:rPr>
            </w:pPr>
            <w:r>
              <w:rPr>
                <w:color w:val="auto"/>
              </w:rPr>
              <w:t>1.5</w:t>
            </w:r>
          </w:p>
        </w:tc>
        <w:tc>
          <w:tcPr>
            <w:tcW w:w="1114" w:type="pct"/>
            <w:vAlign w:val="center"/>
          </w:tcPr>
          <w:p w14:paraId="2371FD29">
            <w:pPr>
              <w:pStyle w:val="30"/>
              <w:bidi w:val="0"/>
              <w:rPr>
                <w:color w:val="auto"/>
              </w:rPr>
            </w:pPr>
            <w:r>
              <w:rPr>
                <w:color w:val="auto"/>
              </w:rPr>
              <w:t>0.38</w:t>
            </w:r>
          </w:p>
        </w:tc>
        <w:tc>
          <w:tcPr>
            <w:tcW w:w="1000" w:type="pct"/>
            <w:vAlign w:val="center"/>
          </w:tcPr>
          <w:p w14:paraId="6709D23A">
            <w:pPr>
              <w:pStyle w:val="30"/>
              <w:bidi w:val="0"/>
              <w:rPr>
                <w:color w:val="auto"/>
              </w:rPr>
            </w:pPr>
            <w:r>
              <w:rPr>
                <w:color w:val="auto"/>
              </w:rPr>
              <w:t>25.33</w:t>
            </w:r>
          </w:p>
        </w:tc>
      </w:tr>
    </w:tbl>
    <w:p w14:paraId="7D0494DC">
      <w:pPr>
        <w:bidi w:val="0"/>
        <w:rPr>
          <w:color w:val="auto"/>
        </w:rPr>
      </w:pPr>
      <w:r>
        <w:rPr>
          <w:rFonts w:hint="eastAsia"/>
          <w:color w:val="auto"/>
        </w:rPr>
        <w:t>2）磁选设备</w:t>
      </w:r>
    </w:p>
    <w:p w14:paraId="33CFB83B">
      <w:pPr>
        <w:bidi w:val="0"/>
        <w:rPr>
          <w:color w:val="auto"/>
        </w:rPr>
      </w:pPr>
      <w:bookmarkStart w:id="42" w:name="_Hlk127780809"/>
      <w:r>
        <w:rPr>
          <w:rFonts w:hint="eastAsia"/>
          <w:color w:val="auto"/>
        </w:rPr>
        <w:t>磁选分离粗选一选择</w:t>
      </w:r>
      <w:r>
        <w:rPr>
          <w:color w:val="auto"/>
        </w:rPr>
        <w:t>2</w:t>
      </w:r>
      <w:r>
        <w:rPr>
          <w:rFonts w:hint="eastAsia"/>
          <w:color w:val="auto"/>
        </w:rPr>
        <w:t>台</w:t>
      </w:r>
      <w:r>
        <w:rPr>
          <w:color w:val="auto"/>
        </w:rPr>
        <w:t>CTB-900*1800</w:t>
      </w:r>
      <w:r>
        <w:rPr>
          <w:rFonts w:hint="eastAsia"/>
          <w:color w:val="auto"/>
        </w:rPr>
        <w:t>湿式弱磁选机（串联）。</w:t>
      </w:r>
    </w:p>
    <w:p w14:paraId="1103EE9B">
      <w:pPr>
        <w:pStyle w:val="29"/>
        <w:bidi w:val="0"/>
        <w:rPr>
          <w:color w:val="auto"/>
          <w:lang w:val="de-DE"/>
        </w:rPr>
      </w:pPr>
    </w:p>
    <w:p w14:paraId="42DB7019">
      <w:pPr>
        <w:pStyle w:val="29"/>
        <w:bidi w:val="0"/>
        <w:rPr>
          <w:rFonts w:hint="default"/>
          <w:color w:val="auto"/>
          <w:lang w:val="de-DE"/>
        </w:rPr>
      </w:pPr>
      <w:r>
        <w:rPr>
          <w:color w:val="auto"/>
          <w:lang w:val="de-DE"/>
        </w:rPr>
        <w:t>表</w:t>
      </w:r>
      <w:r>
        <w:rPr>
          <w:color w:val="auto"/>
        </w:rPr>
        <w:t>2</w:t>
      </w:r>
      <w:r>
        <w:rPr>
          <w:rFonts w:hint="default"/>
          <w:color w:val="auto"/>
        </w:rPr>
        <w:t>.</w:t>
      </w:r>
      <w:r>
        <w:rPr>
          <w:rFonts w:hint="eastAsia"/>
          <w:color w:val="auto"/>
          <w:lang w:val="en-US" w:eastAsia="zh-CN"/>
        </w:rPr>
        <w:t>9</w:t>
      </w:r>
      <w:r>
        <w:rPr>
          <w:color w:val="auto"/>
        </w:rPr>
        <w:t>-</w:t>
      </w:r>
      <w:r>
        <w:rPr>
          <w:rFonts w:hint="eastAsia"/>
          <w:color w:val="auto"/>
          <w:lang w:val="en-US" w:eastAsia="zh-CN"/>
        </w:rPr>
        <w:t>4</w:t>
      </w:r>
      <w:r>
        <w:rPr>
          <w:rFonts w:hint="default"/>
          <w:color w:val="auto"/>
          <w:lang w:val="de-DE"/>
        </w:rPr>
        <w:t xml:space="preserve"> </w:t>
      </w:r>
      <w:r>
        <w:rPr>
          <w:color w:val="auto"/>
          <w:lang w:val="de-DE"/>
        </w:rPr>
        <w:t xml:space="preserve"> 磁选设备技术性能</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5"/>
        <w:gridCol w:w="974"/>
        <w:gridCol w:w="1966"/>
        <w:gridCol w:w="2094"/>
        <w:gridCol w:w="1881"/>
      </w:tblGrid>
      <w:tr w14:paraId="1280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2" w:type="pct"/>
            <w:tcBorders>
              <w:bottom w:val="single" w:color="auto" w:sz="4" w:space="0"/>
            </w:tcBorders>
            <w:vAlign w:val="center"/>
          </w:tcPr>
          <w:p w14:paraId="77683F8D">
            <w:pPr>
              <w:pStyle w:val="30"/>
              <w:bidi w:val="0"/>
              <w:rPr>
                <w:b/>
                <w:bCs/>
                <w:color w:val="auto"/>
              </w:rPr>
            </w:pPr>
            <w:r>
              <w:rPr>
                <w:b/>
                <w:bCs/>
                <w:color w:val="auto"/>
              </w:rPr>
              <w:t>设备名称及规格</w:t>
            </w:r>
          </w:p>
        </w:tc>
        <w:tc>
          <w:tcPr>
            <w:tcW w:w="518" w:type="pct"/>
            <w:tcBorders>
              <w:bottom w:val="single" w:color="auto" w:sz="4" w:space="0"/>
            </w:tcBorders>
            <w:vAlign w:val="center"/>
          </w:tcPr>
          <w:p w14:paraId="755B0792">
            <w:pPr>
              <w:pStyle w:val="30"/>
              <w:bidi w:val="0"/>
              <w:rPr>
                <w:b/>
                <w:bCs/>
                <w:color w:val="auto"/>
              </w:rPr>
            </w:pPr>
            <w:r>
              <w:rPr>
                <w:b/>
                <w:bCs/>
                <w:color w:val="auto"/>
              </w:rPr>
              <w:t>台数</w:t>
            </w:r>
          </w:p>
        </w:tc>
        <w:tc>
          <w:tcPr>
            <w:tcW w:w="1046" w:type="pct"/>
            <w:tcBorders>
              <w:bottom w:val="single" w:color="auto" w:sz="4" w:space="0"/>
            </w:tcBorders>
            <w:vAlign w:val="center"/>
          </w:tcPr>
          <w:p w14:paraId="403E55EA">
            <w:pPr>
              <w:pStyle w:val="30"/>
              <w:bidi w:val="0"/>
              <w:rPr>
                <w:b/>
                <w:bCs/>
                <w:color w:val="auto"/>
              </w:rPr>
            </w:pPr>
            <w:r>
              <w:rPr>
                <w:b/>
                <w:bCs/>
                <w:color w:val="auto"/>
              </w:rPr>
              <w:t>设备处理能力（t/h）</w:t>
            </w:r>
          </w:p>
        </w:tc>
        <w:tc>
          <w:tcPr>
            <w:tcW w:w="1114" w:type="pct"/>
            <w:tcBorders>
              <w:bottom w:val="single" w:color="auto" w:sz="4" w:space="0"/>
            </w:tcBorders>
            <w:vAlign w:val="center"/>
          </w:tcPr>
          <w:p w14:paraId="3272BECF">
            <w:pPr>
              <w:pStyle w:val="30"/>
              <w:bidi w:val="0"/>
              <w:rPr>
                <w:b/>
                <w:bCs/>
                <w:color w:val="auto"/>
              </w:rPr>
            </w:pPr>
            <w:r>
              <w:rPr>
                <w:b/>
                <w:bCs/>
                <w:color w:val="auto"/>
              </w:rPr>
              <w:t>实际给矿量（t/h）</w:t>
            </w:r>
          </w:p>
        </w:tc>
        <w:tc>
          <w:tcPr>
            <w:tcW w:w="1000" w:type="pct"/>
            <w:tcBorders>
              <w:bottom w:val="single" w:color="auto" w:sz="4" w:space="0"/>
            </w:tcBorders>
            <w:vAlign w:val="center"/>
          </w:tcPr>
          <w:p w14:paraId="770EEC01">
            <w:pPr>
              <w:pStyle w:val="30"/>
              <w:bidi w:val="0"/>
              <w:rPr>
                <w:b/>
                <w:bCs/>
                <w:color w:val="auto"/>
              </w:rPr>
            </w:pPr>
            <w:r>
              <w:rPr>
                <w:b/>
                <w:bCs/>
                <w:color w:val="auto"/>
              </w:rPr>
              <w:t>负荷率（%）</w:t>
            </w:r>
          </w:p>
        </w:tc>
      </w:tr>
      <w:tr w14:paraId="6987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2" w:type="pct"/>
            <w:vAlign w:val="center"/>
          </w:tcPr>
          <w:p w14:paraId="73A93BA1">
            <w:pPr>
              <w:pStyle w:val="30"/>
              <w:bidi w:val="0"/>
              <w:rPr>
                <w:color w:val="auto"/>
              </w:rPr>
            </w:pPr>
            <w:r>
              <w:rPr>
                <w:color w:val="auto"/>
              </w:rPr>
              <w:t>CTB-900*1800</w:t>
            </w:r>
          </w:p>
        </w:tc>
        <w:tc>
          <w:tcPr>
            <w:tcW w:w="518" w:type="pct"/>
            <w:vAlign w:val="center"/>
          </w:tcPr>
          <w:p w14:paraId="3E618786">
            <w:pPr>
              <w:pStyle w:val="30"/>
              <w:bidi w:val="0"/>
              <w:rPr>
                <w:color w:val="auto"/>
              </w:rPr>
            </w:pPr>
            <w:r>
              <w:rPr>
                <w:color w:val="auto"/>
              </w:rPr>
              <w:t>2</w:t>
            </w:r>
          </w:p>
        </w:tc>
        <w:tc>
          <w:tcPr>
            <w:tcW w:w="1046" w:type="pct"/>
            <w:vAlign w:val="center"/>
          </w:tcPr>
          <w:p w14:paraId="3E98F938">
            <w:pPr>
              <w:pStyle w:val="30"/>
              <w:bidi w:val="0"/>
              <w:rPr>
                <w:color w:val="auto"/>
              </w:rPr>
            </w:pPr>
            <w:r>
              <w:rPr>
                <w:color w:val="auto"/>
              </w:rPr>
              <w:t>60</w:t>
            </w:r>
          </w:p>
        </w:tc>
        <w:tc>
          <w:tcPr>
            <w:tcW w:w="1114" w:type="pct"/>
            <w:vAlign w:val="center"/>
          </w:tcPr>
          <w:p w14:paraId="0D9DB582">
            <w:pPr>
              <w:pStyle w:val="30"/>
              <w:bidi w:val="0"/>
              <w:rPr>
                <w:color w:val="auto"/>
              </w:rPr>
            </w:pPr>
            <w:r>
              <w:rPr>
                <w:color w:val="auto"/>
              </w:rPr>
              <w:t>26</w:t>
            </w:r>
          </w:p>
        </w:tc>
        <w:tc>
          <w:tcPr>
            <w:tcW w:w="1000" w:type="pct"/>
            <w:vAlign w:val="center"/>
          </w:tcPr>
          <w:p w14:paraId="7648FFBC">
            <w:pPr>
              <w:pStyle w:val="30"/>
              <w:bidi w:val="0"/>
              <w:rPr>
                <w:color w:val="auto"/>
              </w:rPr>
            </w:pPr>
            <w:r>
              <w:rPr>
                <w:color w:val="auto"/>
              </w:rPr>
              <w:t>43.33</w:t>
            </w:r>
          </w:p>
        </w:tc>
      </w:tr>
      <w:bookmarkEnd w:id="42"/>
    </w:tbl>
    <w:p w14:paraId="2A2A8B67">
      <w:pPr>
        <w:bidi w:val="0"/>
        <w:rPr>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rPr>
        <w:t>精矿脱水设备</w:t>
      </w:r>
    </w:p>
    <w:p w14:paraId="491F9EFE">
      <w:pPr>
        <w:bidi w:val="0"/>
        <w:rPr>
          <w:color w:val="auto"/>
        </w:rPr>
      </w:pPr>
      <w:r>
        <w:rPr>
          <w:rFonts w:hint="eastAsia"/>
          <w:color w:val="auto"/>
        </w:rPr>
        <w:t>1）</w:t>
      </w:r>
      <w:bookmarkStart w:id="43" w:name="_Hlk119052346"/>
      <w:r>
        <w:rPr>
          <w:rFonts w:hint="eastAsia"/>
          <w:color w:val="auto"/>
        </w:rPr>
        <w:t>铁精矿</w:t>
      </w:r>
      <w:bookmarkStart w:id="44" w:name="_Hlk62785662"/>
      <w:r>
        <w:rPr>
          <w:rFonts w:hint="eastAsia"/>
          <w:color w:val="auto"/>
        </w:rPr>
        <w:t>脱水设备</w:t>
      </w:r>
      <w:bookmarkEnd w:id="43"/>
      <w:bookmarkEnd w:id="44"/>
    </w:p>
    <w:p w14:paraId="5D234D1D">
      <w:pPr>
        <w:bidi w:val="0"/>
        <w:rPr>
          <w:color w:val="auto"/>
        </w:rPr>
      </w:pPr>
      <w:bookmarkStart w:id="45" w:name="_Hlk119052186"/>
      <w:r>
        <w:rPr>
          <w:rFonts w:hint="eastAsia"/>
          <w:color w:val="auto"/>
        </w:rPr>
        <w:t>铁精矿脱水选用</w:t>
      </w:r>
      <w:r>
        <w:rPr>
          <w:color w:val="auto"/>
        </w:rPr>
        <w:t>3</w:t>
      </w:r>
      <w:r>
        <w:rPr>
          <w:rFonts w:hint="eastAsia"/>
          <w:color w:val="auto"/>
        </w:rPr>
        <w:t>个澄清槽。脱水后，铁精矿水分不大于25%。</w:t>
      </w:r>
      <w:bookmarkEnd w:id="45"/>
    </w:p>
    <w:p w14:paraId="2E523F62">
      <w:pPr>
        <w:bidi w:val="0"/>
        <w:rPr>
          <w:color w:val="auto"/>
        </w:rPr>
      </w:pPr>
      <w:r>
        <w:rPr>
          <w:rFonts w:hint="eastAsia"/>
          <w:color w:val="auto"/>
        </w:rPr>
        <w:t>2）铜精矿脱水设备</w:t>
      </w:r>
    </w:p>
    <w:p w14:paraId="24565105">
      <w:pPr>
        <w:bidi w:val="0"/>
        <w:rPr>
          <w:color w:val="auto"/>
        </w:rPr>
      </w:pPr>
      <w:r>
        <w:rPr>
          <w:rFonts w:hint="eastAsia"/>
          <w:color w:val="auto"/>
        </w:rPr>
        <w:t>铜精矿脱水设备为技改新增设备。脱水设备主要包括</w:t>
      </w:r>
      <w:bookmarkStart w:id="46" w:name="_Hlk124746453"/>
      <w:r>
        <w:rPr>
          <w:rFonts w:hint="eastAsia"/>
          <w:color w:val="auto"/>
        </w:rPr>
        <w:t>板框式压滤机</w:t>
      </w:r>
      <w:bookmarkEnd w:id="46"/>
      <w:r>
        <w:rPr>
          <w:rFonts w:hint="eastAsia"/>
          <w:color w:val="auto"/>
        </w:rPr>
        <w:t>，铜精矿经过1个澄清槽沉淀后，再进入带式压滤机脱水。</w:t>
      </w:r>
    </w:p>
    <w:p w14:paraId="1E6EEC0F">
      <w:pPr>
        <w:bidi w:val="0"/>
        <w:rPr>
          <w:color w:val="auto"/>
        </w:rPr>
      </w:pPr>
      <w:r>
        <w:rPr>
          <w:rFonts w:hint="eastAsia"/>
          <w:color w:val="auto"/>
        </w:rPr>
        <w:t>脱水选用</w:t>
      </w:r>
      <w:r>
        <w:rPr>
          <w:color w:val="auto"/>
        </w:rPr>
        <w:t>1</w:t>
      </w:r>
      <w:r>
        <w:rPr>
          <w:rFonts w:hint="eastAsia"/>
          <w:color w:val="auto"/>
        </w:rPr>
        <w:t>台</w:t>
      </w:r>
      <w:r>
        <w:rPr>
          <w:color w:val="auto"/>
        </w:rPr>
        <w:t>125</w:t>
      </w:r>
      <w:r>
        <w:rPr>
          <w:rFonts w:hint="eastAsia"/>
          <w:color w:val="auto"/>
        </w:rPr>
        <w:t>m</w:t>
      </w:r>
      <w:r>
        <w:rPr>
          <w:color w:val="auto"/>
          <w:vertAlign w:val="superscript"/>
        </w:rPr>
        <w:t>2</w:t>
      </w:r>
      <w:r>
        <w:rPr>
          <w:rFonts w:hint="eastAsia"/>
          <w:color w:val="auto"/>
        </w:rPr>
        <w:t>板框式压滤机，尾矿脱水后，尾矿水分不大于</w:t>
      </w:r>
      <w:r>
        <w:rPr>
          <w:color w:val="auto"/>
        </w:rPr>
        <w:t>20</w:t>
      </w:r>
      <w:r>
        <w:rPr>
          <w:rFonts w:hint="eastAsia"/>
          <w:color w:val="auto"/>
        </w:rPr>
        <w:t>%。</w:t>
      </w:r>
    </w:p>
    <w:p w14:paraId="2062BA9E">
      <w:pPr>
        <w:pStyle w:val="29"/>
        <w:bidi w:val="0"/>
        <w:rPr>
          <w:rFonts w:hint="default"/>
          <w:color w:val="auto"/>
        </w:rPr>
      </w:pPr>
      <w:r>
        <w:rPr>
          <w:color w:val="auto"/>
        </w:rPr>
        <w:t>表2</w:t>
      </w:r>
      <w:r>
        <w:rPr>
          <w:rFonts w:hint="default"/>
          <w:color w:val="auto"/>
        </w:rPr>
        <w:t>.</w:t>
      </w:r>
      <w:r>
        <w:rPr>
          <w:rFonts w:hint="eastAsia"/>
          <w:color w:val="auto"/>
          <w:lang w:val="en-US" w:eastAsia="zh-CN"/>
        </w:rPr>
        <w:t>9</w:t>
      </w:r>
      <w:r>
        <w:rPr>
          <w:color w:val="auto"/>
        </w:rPr>
        <w:t>-</w:t>
      </w:r>
      <w:r>
        <w:rPr>
          <w:rFonts w:hint="eastAsia"/>
          <w:color w:val="auto"/>
          <w:lang w:val="en-US" w:eastAsia="zh-CN"/>
        </w:rPr>
        <w:t>5</w:t>
      </w:r>
      <w:r>
        <w:rPr>
          <w:rFonts w:hint="default"/>
          <w:color w:val="auto"/>
        </w:rPr>
        <w:t xml:space="preserve"> </w:t>
      </w:r>
      <w:r>
        <w:rPr>
          <w:color w:val="auto"/>
        </w:rPr>
        <w:t xml:space="preserve"> 压滤机技术性能</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2265"/>
        <w:gridCol w:w="1597"/>
        <w:gridCol w:w="1164"/>
        <w:gridCol w:w="1014"/>
        <w:gridCol w:w="2145"/>
      </w:tblGrid>
      <w:tr w14:paraId="1F11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46" w:type="pct"/>
            <w:vAlign w:val="center"/>
          </w:tcPr>
          <w:p w14:paraId="069DF799">
            <w:pPr>
              <w:pStyle w:val="30"/>
              <w:bidi w:val="0"/>
              <w:rPr>
                <w:b/>
                <w:bCs/>
                <w:color w:val="auto"/>
              </w:rPr>
            </w:pPr>
            <w:r>
              <w:rPr>
                <w:b/>
                <w:bCs/>
                <w:color w:val="auto"/>
              </w:rPr>
              <w:t>产品名称</w:t>
            </w:r>
          </w:p>
        </w:tc>
        <w:tc>
          <w:tcPr>
            <w:tcW w:w="1204" w:type="pct"/>
            <w:vAlign w:val="center"/>
          </w:tcPr>
          <w:p w14:paraId="753064E5">
            <w:pPr>
              <w:pStyle w:val="30"/>
              <w:bidi w:val="0"/>
              <w:rPr>
                <w:b/>
                <w:bCs/>
                <w:color w:val="auto"/>
              </w:rPr>
            </w:pPr>
            <w:r>
              <w:rPr>
                <w:b/>
                <w:bCs/>
                <w:color w:val="auto"/>
              </w:rPr>
              <w:t>实际给矿量（t/d）</w:t>
            </w:r>
          </w:p>
        </w:tc>
        <w:tc>
          <w:tcPr>
            <w:tcW w:w="849" w:type="pct"/>
            <w:vAlign w:val="center"/>
          </w:tcPr>
          <w:p w14:paraId="5C9BADDC">
            <w:pPr>
              <w:pStyle w:val="30"/>
              <w:bidi w:val="0"/>
              <w:rPr>
                <w:b/>
                <w:bCs/>
                <w:color w:val="auto"/>
              </w:rPr>
            </w:pPr>
            <w:r>
              <w:rPr>
                <w:b/>
                <w:bCs/>
                <w:color w:val="auto"/>
              </w:rPr>
              <w:t>给矿粒度</w:t>
            </w:r>
          </w:p>
        </w:tc>
        <w:tc>
          <w:tcPr>
            <w:tcW w:w="619" w:type="pct"/>
            <w:vAlign w:val="center"/>
          </w:tcPr>
          <w:p w14:paraId="5B69B6C0">
            <w:pPr>
              <w:pStyle w:val="30"/>
              <w:bidi w:val="0"/>
              <w:rPr>
                <w:b/>
                <w:bCs/>
                <w:color w:val="auto"/>
              </w:rPr>
            </w:pPr>
            <w:r>
              <w:rPr>
                <w:b/>
                <w:bCs/>
                <w:color w:val="auto"/>
              </w:rPr>
              <w:t>规格</w:t>
            </w:r>
          </w:p>
        </w:tc>
        <w:tc>
          <w:tcPr>
            <w:tcW w:w="539" w:type="pct"/>
            <w:vAlign w:val="center"/>
          </w:tcPr>
          <w:p w14:paraId="0194B7D3">
            <w:pPr>
              <w:pStyle w:val="30"/>
              <w:bidi w:val="0"/>
              <w:rPr>
                <w:b/>
                <w:bCs/>
                <w:color w:val="auto"/>
              </w:rPr>
            </w:pPr>
            <w:r>
              <w:rPr>
                <w:b/>
                <w:bCs/>
                <w:color w:val="auto"/>
              </w:rPr>
              <w:t>台数</w:t>
            </w:r>
          </w:p>
        </w:tc>
        <w:tc>
          <w:tcPr>
            <w:tcW w:w="1140" w:type="pct"/>
            <w:vAlign w:val="center"/>
          </w:tcPr>
          <w:p w14:paraId="415CC57C">
            <w:pPr>
              <w:pStyle w:val="30"/>
              <w:bidi w:val="0"/>
              <w:rPr>
                <w:b/>
                <w:bCs/>
                <w:color w:val="auto"/>
              </w:rPr>
            </w:pPr>
            <w:r>
              <w:rPr>
                <w:b/>
                <w:bCs/>
                <w:color w:val="auto"/>
              </w:rPr>
              <w:t>单位定额（t/d）</w:t>
            </w:r>
          </w:p>
        </w:tc>
      </w:tr>
      <w:tr w14:paraId="0A4A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6" w:type="pct"/>
            <w:vAlign w:val="center"/>
          </w:tcPr>
          <w:p w14:paraId="6BB3D366">
            <w:pPr>
              <w:pStyle w:val="30"/>
              <w:bidi w:val="0"/>
              <w:rPr>
                <w:color w:val="auto"/>
              </w:rPr>
            </w:pPr>
            <w:r>
              <w:rPr>
                <w:color w:val="auto"/>
              </w:rPr>
              <w:t>尾矿压滤</w:t>
            </w:r>
          </w:p>
        </w:tc>
        <w:tc>
          <w:tcPr>
            <w:tcW w:w="1204" w:type="pct"/>
            <w:vAlign w:val="center"/>
          </w:tcPr>
          <w:p w14:paraId="6CC1DCC6">
            <w:pPr>
              <w:pStyle w:val="30"/>
              <w:bidi w:val="0"/>
              <w:rPr>
                <w:color w:val="auto"/>
              </w:rPr>
            </w:pPr>
            <w:r>
              <w:rPr>
                <w:rFonts w:hint="eastAsia"/>
                <w:color w:val="auto"/>
              </w:rPr>
              <w:t>0</w:t>
            </w:r>
            <w:r>
              <w:rPr>
                <w:color w:val="auto"/>
              </w:rPr>
              <w:t>.92</w:t>
            </w:r>
          </w:p>
        </w:tc>
        <w:tc>
          <w:tcPr>
            <w:tcW w:w="849" w:type="pct"/>
            <w:vAlign w:val="center"/>
          </w:tcPr>
          <w:p w14:paraId="643F8759">
            <w:pPr>
              <w:pStyle w:val="30"/>
              <w:bidi w:val="0"/>
              <w:rPr>
                <w:color w:val="auto"/>
              </w:rPr>
            </w:pPr>
            <w:r>
              <w:rPr>
                <w:color w:val="auto"/>
              </w:rPr>
              <w:t>75%-80目</w:t>
            </w:r>
          </w:p>
        </w:tc>
        <w:tc>
          <w:tcPr>
            <w:tcW w:w="619" w:type="pct"/>
            <w:vAlign w:val="center"/>
          </w:tcPr>
          <w:p w14:paraId="74383F11">
            <w:pPr>
              <w:pStyle w:val="30"/>
              <w:bidi w:val="0"/>
              <w:rPr>
                <w:color w:val="auto"/>
              </w:rPr>
            </w:pPr>
            <w:r>
              <w:rPr>
                <w:color w:val="auto"/>
              </w:rPr>
              <w:t>125m</w:t>
            </w:r>
            <w:r>
              <w:rPr>
                <w:color w:val="auto"/>
                <w:vertAlign w:val="superscript"/>
              </w:rPr>
              <w:t>2</w:t>
            </w:r>
          </w:p>
        </w:tc>
        <w:tc>
          <w:tcPr>
            <w:tcW w:w="539" w:type="pct"/>
            <w:vAlign w:val="center"/>
          </w:tcPr>
          <w:p w14:paraId="2CD851EF">
            <w:pPr>
              <w:pStyle w:val="30"/>
              <w:bidi w:val="0"/>
              <w:rPr>
                <w:color w:val="auto"/>
              </w:rPr>
            </w:pPr>
            <w:r>
              <w:rPr>
                <w:color w:val="auto"/>
              </w:rPr>
              <w:t>1</w:t>
            </w:r>
          </w:p>
        </w:tc>
        <w:tc>
          <w:tcPr>
            <w:tcW w:w="1140" w:type="pct"/>
            <w:vAlign w:val="center"/>
          </w:tcPr>
          <w:p w14:paraId="01CC00E4">
            <w:pPr>
              <w:pStyle w:val="30"/>
              <w:bidi w:val="0"/>
              <w:rPr>
                <w:color w:val="auto"/>
              </w:rPr>
            </w:pPr>
            <w:r>
              <w:rPr>
                <w:color w:val="auto"/>
              </w:rPr>
              <w:t>50</w:t>
            </w:r>
          </w:p>
        </w:tc>
      </w:tr>
    </w:tbl>
    <w:p w14:paraId="3A1717EC">
      <w:pPr>
        <w:bidi w:val="0"/>
        <w:rPr>
          <w:rFonts w:hint="default" w:eastAsia="宋体"/>
          <w:color w:val="auto"/>
          <w:lang w:val="en-US" w:eastAsia="zh-CN"/>
        </w:rPr>
      </w:pPr>
      <w:r>
        <w:rPr>
          <w:rFonts w:hint="eastAsia"/>
          <w:color w:val="auto"/>
          <w:lang w:val="en-US" w:eastAsia="zh-CN"/>
        </w:rPr>
        <w:t>2、建设概况</w:t>
      </w:r>
    </w:p>
    <w:p w14:paraId="5140B474">
      <w:pPr>
        <w:bidi w:val="0"/>
        <w:rPr>
          <w:rFonts w:hint="default" w:eastAsia="宋体"/>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破碎设备</w:t>
      </w:r>
    </w:p>
    <w:p w14:paraId="50524A98">
      <w:pPr>
        <w:bidi w:val="0"/>
        <w:rPr>
          <w:rFonts w:hint="default" w:eastAsia="宋体"/>
          <w:color w:val="auto"/>
          <w:lang w:val="en-US" w:eastAsia="zh-CN"/>
        </w:rPr>
      </w:pPr>
      <w:r>
        <w:rPr>
          <w:rFonts w:hint="eastAsia"/>
          <w:color w:val="auto"/>
        </w:rPr>
        <w:t>料仓、格筛、槽式给矿机、颚式破碎机及皮带输送机设备已进行了安装并生产，料仓采用钢筋混凝土独立结构，破碎机采用钢结构，基础稳固，满足破碎设备基础承载要求。根据现场生产情况，设备生产能力及性能满足选厂生产要求，选矿技术指标达到选厂要求。</w:t>
      </w:r>
      <w:r>
        <w:rPr>
          <w:rFonts w:hint="eastAsia"/>
          <w:color w:val="auto"/>
          <w:lang w:val="en-US" w:eastAsia="zh-CN"/>
        </w:rPr>
        <w:t>入料口设置了车挡、格栅、防撞墩和安全色，皮带等转动部位设置了安全防护罩，</w:t>
      </w:r>
      <w:r>
        <w:rPr>
          <w:rFonts w:hint="eastAsia"/>
          <w:color w:val="auto"/>
        </w:rPr>
        <w:t>皮带输送机</w:t>
      </w:r>
      <w:r>
        <w:rPr>
          <w:rFonts w:hint="eastAsia"/>
          <w:color w:val="auto"/>
          <w:lang w:val="en-US" w:eastAsia="zh-CN"/>
        </w:rPr>
        <w:t>设置了急停开关，设置了警示标识。</w:t>
      </w:r>
    </w:p>
    <w:p w14:paraId="2B92CC85">
      <w:pPr>
        <w:bidi w:val="0"/>
        <w:rPr>
          <w:rFonts w:hint="default" w:eastAsia="宋体"/>
          <w:color w:val="auto"/>
          <w:lang w:val="en-US" w:eastAsia="zh-CN"/>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磨矿设备</w:t>
      </w:r>
    </w:p>
    <w:p w14:paraId="5355ED9F">
      <w:pPr>
        <w:bidi w:val="0"/>
        <w:rPr>
          <w:rFonts w:hint="eastAsia" w:eastAsia="宋体"/>
          <w:color w:val="auto"/>
          <w:lang w:eastAsia="zh-CN"/>
        </w:rPr>
      </w:pPr>
      <w:r>
        <w:rPr>
          <w:rFonts w:hint="eastAsia"/>
          <w:color w:val="auto"/>
        </w:rPr>
        <w:t>球磨机、料仓及皮带输送机设备已进行了安装并生产，球磨机采用钢筋混凝土独立结构，基础稳固，满足磨矿设备基础承载要求。根据现场生产情况，设备生产能力及性能满足选厂生产要求，选矿技术指标达到选厂要求。球磨机转动部位</w:t>
      </w:r>
      <w:r>
        <w:rPr>
          <w:rFonts w:hint="eastAsia"/>
          <w:color w:val="auto"/>
          <w:lang w:val="en-US" w:eastAsia="zh-CN"/>
        </w:rPr>
        <w:t>设置了</w:t>
      </w:r>
      <w:r>
        <w:rPr>
          <w:rFonts w:hint="eastAsia"/>
          <w:color w:val="auto"/>
        </w:rPr>
        <w:t>防护栏杆</w:t>
      </w:r>
      <w:r>
        <w:rPr>
          <w:rFonts w:hint="eastAsia"/>
          <w:color w:val="auto"/>
          <w:lang w:eastAsia="zh-CN"/>
        </w:rPr>
        <w:t>，</w:t>
      </w:r>
      <w:r>
        <w:rPr>
          <w:rFonts w:hint="eastAsia"/>
          <w:color w:val="auto"/>
          <w:lang w:val="en-US" w:eastAsia="zh-CN"/>
        </w:rPr>
        <w:t>设置了警示标识。</w:t>
      </w:r>
    </w:p>
    <w:p w14:paraId="67608DFE">
      <w:pPr>
        <w:bidi w:val="0"/>
        <w:rPr>
          <w:rFonts w:hint="eastAsia" w:eastAsia="宋体"/>
          <w:color w:val="auto"/>
          <w:lang w:eastAsia="zh-CN"/>
        </w:rPr>
      </w:pPr>
      <w:r>
        <w:rPr>
          <w:rFonts w:hint="eastAsia"/>
          <w:color w:val="auto"/>
          <w:lang w:eastAsia="zh-CN"/>
        </w:rPr>
        <w:t>（</w:t>
      </w:r>
      <w:r>
        <w:rPr>
          <w:rFonts w:hint="eastAsia"/>
          <w:color w:val="auto"/>
          <w:lang w:val="en-US" w:eastAsia="zh-CN"/>
        </w:rPr>
        <w:t>3</w:t>
      </w:r>
      <w:r>
        <w:rPr>
          <w:rFonts w:hint="eastAsia"/>
          <w:color w:val="auto"/>
          <w:lang w:eastAsia="zh-CN"/>
        </w:rPr>
        <w:t>）浮选设备</w:t>
      </w:r>
    </w:p>
    <w:p w14:paraId="4D79A281">
      <w:pPr>
        <w:bidi w:val="0"/>
        <w:rPr>
          <w:rFonts w:hint="default"/>
          <w:color w:val="auto"/>
          <w:lang w:val="en-US"/>
        </w:rPr>
      </w:pPr>
      <w:r>
        <w:rPr>
          <w:rFonts w:hint="eastAsia"/>
          <w:color w:val="auto"/>
        </w:rPr>
        <w:t>浮选机设备已进行了安装并生产，采用钢筋混凝土独立结构，基础稳固，满足浮选设备安全生产要求。</w:t>
      </w:r>
      <w:r>
        <w:rPr>
          <w:rFonts w:hint="eastAsia"/>
          <w:color w:val="auto"/>
          <w:lang w:eastAsia="zh-CN"/>
        </w:rPr>
        <w:t>浮选设备</w:t>
      </w:r>
      <w:r>
        <w:rPr>
          <w:rFonts w:hint="eastAsia"/>
          <w:color w:val="auto"/>
          <w:lang w:val="en-US" w:eastAsia="zh-CN"/>
        </w:rPr>
        <w:t>转动部位设置了防护罩，操作平台设置了防护栏，设置了警示标识。</w:t>
      </w:r>
    </w:p>
    <w:p w14:paraId="3F8B341F">
      <w:pPr>
        <w:bidi w:val="0"/>
        <w:rPr>
          <w:rFonts w:hint="eastAsia" w:eastAsia="宋体"/>
          <w:color w:val="auto"/>
          <w:lang w:val="en-US" w:eastAsia="zh-CN"/>
        </w:rPr>
      </w:pPr>
      <w:r>
        <w:rPr>
          <w:rFonts w:hint="eastAsia"/>
          <w:color w:val="auto"/>
          <w:lang w:val="en-US" w:eastAsia="zh-CN"/>
        </w:rPr>
        <w:t>（4）磁选设备</w:t>
      </w:r>
    </w:p>
    <w:p w14:paraId="1B7D71F7">
      <w:pPr>
        <w:bidi w:val="0"/>
        <w:rPr>
          <w:rFonts w:hint="eastAsia"/>
          <w:color w:val="auto"/>
        </w:rPr>
      </w:pPr>
      <w:r>
        <w:rPr>
          <w:rFonts w:hint="eastAsia"/>
          <w:color w:val="auto"/>
        </w:rPr>
        <w:t>磁选机设备已进行了安装并生产，采用钢筋混凝土独立结构，基础稳固，满足磁选设备安全生产要求。</w:t>
      </w:r>
      <w:r>
        <w:rPr>
          <w:rFonts w:hint="eastAsia"/>
          <w:color w:val="auto"/>
          <w:lang w:val="en-US" w:eastAsia="zh-CN"/>
        </w:rPr>
        <w:t>操作平台设置了防护栏，设置了警示标识。</w:t>
      </w:r>
    </w:p>
    <w:p w14:paraId="610E80EF">
      <w:pPr>
        <w:bidi w:val="0"/>
        <w:rPr>
          <w:rFonts w:hint="default" w:eastAsia="宋体"/>
          <w:color w:val="auto"/>
          <w:lang w:val="en-US" w:eastAsia="zh-CN"/>
        </w:rPr>
      </w:pPr>
      <w:r>
        <w:rPr>
          <w:rFonts w:hint="eastAsia"/>
          <w:color w:val="auto"/>
          <w:lang w:eastAsia="zh-CN"/>
        </w:rPr>
        <w:t>（</w:t>
      </w:r>
      <w:r>
        <w:rPr>
          <w:rFonts w:hint="eastAsia"/>
          <w:color w:val="auto"/>
          <w:lang w:val="en-US" w:eastAsia="zh-CN"/>
        </w:rPr>
        <w:t>5</w:t>
      </w:r>
      <w:r>
        <w:rPr>
          <w:rFonts w:hint="eastAsia"/>
          <w:color w:val="auto"/>
          <w:lang w:eastAsia="zh-CN"/>
        </w:rPr>
        <w:t>）</w:t>
      </w:r>
      <w:r>
        <w:rPr>
          <w:rFonts w:hint="eastAsia"/>
          <w:color w:val="auto"/>
          <w:lang w:val="en-US" w:eastAsia="zh-CN"/>
        </w:rPr>
        <w:t>脱水设备</w:t>
      </w:r>
    </w:p>
    <w:p w14:paraId="3BEC2533">
      <w:pPr>
        <w:bidi w:val="0"/>
        <w:rPr>
          <w:rFonts w:hint="default"/>
          <w:color w:val="auto"/>
          <w:lang w:val="en-US"/>
        </w:rPr>
      </w:pPr>
      <w:r>
        <w:rPr>
          <w:rFonts w:hint="eastAsia"/>
          <w:color w:val="auto"/>
        </w:rPr>
        <w:t>新增尾矿脱水设备基础采用钢筋混凝土独立结构，坐落在基岩上。</w:t>
      </w:r>
      <w:r>
        <w:rPr>
          <w:rFonts w:hint="eastAsia"/>
          <w:color w:val="auto"/>
          <w:lang w:val="en-US" w:eastAsia="zh-CN"/>
        </w:rPr>
        <w:t>操作平台设置了防护栏，设置了警示标识。支撑柱设置了防撞墩和安全色。</w:t>
      </w:r>
    </w:p>
    <w:p w14:paraId="1FECDFE0">
      <w:pPr>
        <w:pStyle w:val="29"/>
        <w:bidi w:val="0"/>
        <w:rPr>
          <w:color w:val="auto"/>
        </w:rPr>
      </w:pPr>
      <w:r>
        <w:rPr>
          <w:rFonts w:hint="eastAsia"/>
          <w:color w:val="auto"/>
        </w:rPr>
        <w:t>表2.</w:t>
      </w:r>
      <w:r>
        <w:rPr>
          <w:rFonts w:hint="eastAsia"/>
          <w:color w:val="auto"/>
          <w:lang w:val="en-US" w:eastAsia="zh-CN"/>
        </w:rPr>
        <w:t>9</w:t>
      </w:r>
      <w:r>
        <w:rPr>
          <w:rFonts w:hint="eastAsia"/>
          <w:color w:val="auto"/>
        </w:rPr>
        <w:t>-</w:t>
      </w:r>
      <w:r>
        <w:rPr>
          <w:rFonts w:hint="eastAsia"/>
          <w:color w:val="auto"/>
          <w:lang w:val="en-US" w:eastAsia="zh-CN"/>
        </w:rPr>
        <w:t>6</w:t>
      </w:r>
      <w:r>
        <w:rPr>
          <w:rFonts w:hint="eastAsia"/>
          <w:color w:val="auto"/>
        </w:rPr>
        <w:t xml:space="preserve">  项目主要工艺设备表</w:t>
      </w:r>
    </w:p>
    <w:tbl>
      <w:tblPr>
        <w:tblStyle w:val="20"/>
        <w:tblW w:w="5000" w:type="pct"/>
        <w:tblInd w:w="0" w:type="dxa"/>
        <w:tblLayout w:type="autofit"/>
        <w:tblCellMar>
          <w:top w:w="0" w:type="dxa"/>
          <w:left w:w="108" w:type="dxa"/>
          <w:bottom w:w="0" w:type="dxa"/>
          <w:right w:w="108" w:type="dxa"/>
        </w:tblCellMar>
      </w:tblPr>
      <w:tblGrid>
        <w:gridCol w:w="806"/>
        <w:gridCol w:w="2149"/>
        <w:gridCol w:w="2482"/>
        <w:gridCol w:w="788"/>
        <w:gridCol w:w="741"/>
        <w:gridCol w:w="1419"/>
        <w:gridCol w:w="1015"/>
      </w:tblGrid>
      <w:tr w14:paraId="28019730">
        <w:tblPrEx>
          <w:tblCellMar>
            <w:top w:w="0" w:type="dxa"/>
            <w:left w:w="108" w:type="dxa"/>
            <w:bottom w:w="0" w:type="dxa"/>
            <w:right w:w="108" w:type="dxa"/>
          </w:tblCellMar>
        </w:tblPrEx>
        <w:trPr>
          <w:trHeight w:val="397" w:hRule="atLeast"/>
          <w:tblHeader/>
        </w:trPr>
        <w:tc>
          <w:tcPr>
            <w:tcW w:w="429" w:type="pct"/>
            <w:tcBorders>
              <w:top w:val="single" w:color="auto" w:sz="4" w:space="0"/>
              <w:left w:val="single" w:color="auto" w:sz="4" w:space="0"/>
              <w:bottom w:val="single" w:color="auto" w:sz="4" w:space="0"/>
              <w:right w:val="single" w:color="auto" w:sz="4" w:space="0"/>
            </w:tcBorders>
            <w:noWrap/>
            <w:vAlign w:val="center"/>
          </w:tcPr>
          <w:p w14:paraId="501FB85A">
            <w:pPr>
              <w:pStyle w:val="30"/>
              <w:bidi w:val="0"/>
              <w:rPr>
                <w:b/>
                <w:bCs/>
                <w:color w:val="auto"/>
              </w:rPr>
            </w:pPr>
            <w:r>
              <w:rPr>
                <w:rFonts w:hint="eastAsia"/>
                <w:b/>
                <w:bCs/>
                <w:color w:val="auto"/>
              </w:rPr>
              <w:t>序号</w:t>
            </w:r>
          </w:p>
        </w:tc>
        <w:tc>
          <w:tcPr>
            <w:tcW w:w="1143" w:type="pct"/>
            <w:tcBorders>
              <w:top w:val="single" w:color="auto" w:sz="4" w:space="0"/>
              <w:left w:val="nil"/>
              <w:bottom w:val="single" w:color="auto" w:sz="4" w:space="0"/>
              <w:right w:val="single" w:color="auto" w:sz="4" w:space="0"/>
            </w:tcBorders>
            <w:noWrap/>
            <w:vAlign w:val="center"/>
          </w:tcPr>
          <w:p w14:paraId="6BF02923">
            <w:pPr>
              <w:pStyle w:val="30"/>
              <w:bidi w:val="0"/>
              <w:rPr>
                <w:b/>
                <w:bCs/>
                <w:color w:val="auto"/>
              </w:rPr>
            </w:pPr>
            <w:r>
              <w:rPr>
                <w:rFonts w:hint="eastAsia"/>
                <w:b/>
                <w:bCs/>
                <w:color w:val="auto"/>
              </w:rPr>
              <w:t>设备名称</w:t>
            </w:r>
          </w:p>
        </w:tc>
        <w:tc>
          <w:tcPr>
            <w:tcW w:w="1320" w:type="pct"/>
            <w:tcBorders>
              <w:top w:val="single" w:color="auto" w:sz="4" w:space="0"/>
              <w:left w:val="nil"/>
              <w:bottom w:val="single" w:color="auto" w:sz="4" w:space="0"/>
              <w:right w:val="single" w:color="auto" w:sz="4" w:space="0"/>
            </w:tcBorders>
            <w:noWrap/>
            <w:vAlign w:val="center"/>
          </w:tcPr>
          <w:p w14:paraId="776718C0">
            <w:pPr>
              <w:pStyle w:val="30"/>
              <w:bidi w:val="0"/>
              <w:rPr>
                <w:b/>
                <w:bCs/>
                <w:color w:val="auto"/>
              </w:rPr>
            </w:pPr>
            <w:r>
              <w:rPr>
                <w:rFonts w:hint="eastAsia"/>
                <w:b/>
                <w:bCs/>
                <w:color w:val="auto"/>
              </w:rPr>
              <w:t>技术性能</w:t>
            </w:r>
          </w:p>
        </w:tc>
        <w:tc>
          <w:tcPr>
            <w:tcW w:w="419" w:type="pct"/>
            <w:tcBorders>
              <w:top w:val="single" w:color="auto" w:sz="4" w:space="0"/>
              <w:left w:val="nil"/>
              <w:bottom w:val="single" w:color="auto" w:sz="4" w:space="0"/>
              <w:right w:val="single" w:color="auto" w:sz="4" w:space="0"/>
            </w:tcBorders>
            <w:noWrap/>
            <w:vAlign w:val="center"/>
          </w:tcPr>
          <w:p w14:paraId="492D7376">
            <w:pPr>
              <w:pStyle w:val="30"/>
              <w:bidi w:val="0"/>
              <w:rPr>
                <w:b/>
                <w:bCs/>
                <w:color w:val="auto"/>
              </w:rPr>
            </w:pPr>
            <w:r>
              <w:rPr>
                <w:rFonts w:hint="eastAsia"/>
                <w:b/>
                <w:bCs/>
                <w:color w:val="auto"/>
              </w:rPr>
              <w:t>单位</w:t>
            </w:r>
          </w:p>
        </w:tc>
        <w:tc>
          <w:tcPr>
            <w:tcW w:w="394" w:type="pct"/>
            <w:tcBorders>
              <w:top w:val="single" w:color="auto" w:sz="4" w:space="0"/>
              <w:left w:val="nil"/>
              <w:bottom w:val="single" w:color="auto" w:sz="4" w:space="0"/>
              <w:right w:val="single" w:color="auto" w:sz="4" w:space="0"/>
            </w:tcBorders>
            <w:noWrap/>
            <w:vAlign w:val="center"/>
          </w:tcPr>
          <w:p w14:paraId="6FB35D7E">
            <w:pPr>
              <w:pStyle w:val="30"/>
              <w:bidi w:val="0"/>
              <w:rPr>
                <w:b/>
                <w:bCs/>
                <w:color w:val="auto"/>
              </w:rPr>
            </w:pPr>
            <w:r>
              <w:rPr>
                <w:rFonts w:hint="eastAsia"/>
                <w:b/>
                <w:bCs/>
                <w:color w:val="auto"/>
              </w:rPr>
              <w:t>数量</w:t>
            </w:r>
          </w:p>
        </w:tc>
        <w:tc>
          <w:tcPr>
            <w:tcW w:w="755" w:type="pct"/>
            <w:tcBorders>
              <w:top w:val="single" w:color="auto" w:sz="4" w:space="0"/>
              <w:left w:val="nil"/>
              <w:bottom w:val="single" w:color="auto" w:sz="4" w:space="0"/>
              <w:right w:val="single" w:color="auto" w:sz="4" w:space="0"/>
            </w:tcBorders>
            <w:noWrap/>
            <w:vAlign w:val="center"/>
          </w:tcPr>
          <w:p w14:paraId="4F168CA1">
            <w:pPr>
              <w:pStyle w:val="30"/>
              <w:bidi w:val="0"/>
              <w:rPr>
                <w:b/>
                <w:bCs/>
                <w:color w:val="auto"/>
              </w:rPr>
            </w:pPr>
            <w:r>
              <w:rPr>
                <w:rFonts w:hint="eastAsia"/>
                <w:b/>
                <w:bCs/>
                <w:color w:val="auto"/>
              </w:rPr>
              <w:t>负荷总功率</w:t>
            </w:r>
          </w:p>
        </w:tc>
        <w:tc>
          <w:tcPr>
            <w:tcW w:w="536" w:type="pct"/>
            <w:tcBorders>
              <w:top w:val="single" w:color="auto" w:sz="4" w:space="0"/>
              <w:left w:val="nil"/>
              <w:bottom w:val="single" w:color="auto" w:sz="4" w:space="0"/>
              <w:right w:val="single" w:color="auto" w:sz="4" w:space="0"/>
            </w:tcBorders>
            <w:noWrap/>
            <w:vAlign w:val="center"/>
          </w:tcPr>
          <w:p w14:paraId="2F1DDF05">
            <w:pPr>
              <w:pStyle w:val="30"/>
              <w:bidi w:val="0"/>
              <w:rPr>
                <w:b/>
                <w:bCs/>
                <w:color w:val="auto"/>
              </w:rPr>
            </w:pPr>
            <w:r>
              <w:rPr>
                <w:rFonts w:hint="eastAsia"/>
                <w:b/>
                <w:bCs/>
                <w:color w:val="auto"/>
              </w:rPr>
              <w:t>备注</w:t>
            </w:r>
          </w:p>
        </w:tc>
      </w:tr>
      <w:tr w14:paraId="270462C3">
        <w:tblPrEx>
          <w:tblCellMar>
            <w:top w:w="0" w:type="dxa"/>
            <w:left w:w="108" w:type="dxa"/>
            <w:bottom w:w="0" w:type="dxa"/>
            <w:right w:w="108" w:type="dxa"/>
          </w:tblCellMar>
        </w:tblPrEx>
        <w:trPr>
          <w:trHeight w:val="397" w:hRule="atLeast"/>
        </w:trPr>
        <w:tc>
          <w:tcPr>
            <w:tcW w:w="5000" w:type="pct"/>
            <w:gridSpan w:val="7"/>
            <w:tcBorders>
              <w:top w:val="single" w:color="auto" w:sz="4" w:space="0"/>
              <w:left w:val="single" w:color="auto" w:sz="4" w:space="0"/>
              <w:bottom w:val="single" w:color="auto" w:sz="4" w:space="0"/>
              <w:right w:val="single" w:color="auto" w:sz="4" w:space="0"/>
            </w:tcBorders>
            <w:noWrap/>
            <w:vAlign w:val="center"/>
          </w:tcPr>
          <w:p w14:paraId="6011D424">
            <w:pPr>
              <w:pStyle w:val="30"/>
              <w:bidi w:val="0"/>
              <w:rPr>
                <w:b/>
                <w:bCs/>
                <w:color w:val="auto"/>
              </w:rPr>
            </w:pPr>
            <w:r>
              <w:rPr>
                <w:rFonts w:hint="eastAsia"/>
                <w:b/>
                <w:bCs/>
                <w:color w:val="auto"/>
              </w:rPr>
              <w:t>一、破碎工序</w:t>
            </w:r>
          </w:p>
        </w:tc>
      </w:tr>
      <w:tr w14:paraId="4BE8281B">
        <w:tblPrEx>
          <w:tblCellMar>
            <w:top w:w="0" w:type="dxa"/>
            <w:left w:w="108" w:type="dxa"/>
            <w:bottom w:w="0" w:type="dxa"/>
            <w:right w:w="108" w:type="dxa"/>
          </w:tblCellMar>
        </w:tblPrEx>
        <w:trPr>
          <w:trHeight w:val="397" w:hRule="atLeast"/>
        </w:trPr>
        <w:tc>
          <w:tcPr>
            <w:tcW w:w="429" w:type="pct"/>
            <w:tcBorders>
              <w:top w:val="nil"/>
              <w:left w:val="single" w:color="auto" w:sz="4" w:space="0"/>
              <w:bottom w:val="single" w:color="auto" w:sz="4" w:space="0"/>
              <w:right w:val="single" w:color="auto" w:sz="4" w:space="0"/>
            </w:tcBorders>
            <w:noWrap/>
            <w:vAlign w:val="center"/>
          </w:tcPr>
          <w:p w14:paraId="6E4DAC14">
            <w:pPr>
              <w:pStyle w:val="30"/>
              <w:bidi w:val="0"/>
              <w:rPr>
                <w:color w:val="auto"/>
              </w:rPr>
            </w:pPr>
            <w:r>
              <w:rPr>
                <w:color w:val="auto"/>
              </w:rPr>
              <w:t>1</w:t>
            </w:r>
          </w:p>
        </w:tc>
        <w:tc>
          <w:tcPr>
            <w:tcW w:w="1143" w:type="pct"/>
            <w:tcBorders>
              <w:top w:val="nil"/>
              <w:left w:val="nil"/>
              <w:bottom w:val="single" w:color="auto" w:sz="4" w:space="0"/>
              <w:right w:val="single" w:color="auto" w:sz="4" w:space="0"/>
            </w:tcBorders>
            <w:noWrap/>
            <w:vAlign w:val="center"/>
          </w:tcPr>
          <w:p w14:paraId="34CF61EB">
            <w:pPr>
              <w:pStyle w:val="30"/>
              <w:bidi w:val="0"/>
              <w:rPr>
                <w:color w:val="auto"/>
              </w:rPr>
            </w:pPr>
            <w:r>
              <w:rPr>
                <w:rFonts w:hint="eastAsia"/>
                <w:color w:val="auto"/>
              </w:rPr>
              <w:t>料仓</w:t>
            </w:r>
          </w:p>
        </w:tc>
        <w:tc>
          <w:tcPr>
            <w:tcW w:w="1320" w:type="pct"/>
            <w:tcBorders>
              <w:top w:val="nil"/>
              <w:left w:val="nil"/>
              <w:bottom w:val="single" w:color="auto" w:sz="4" w:space="0"/>
              <w:right w:val="single" w:color="auto" w:sz="4" w:space="0"/>
            </w:tcBorders>
            <w:noWrap/>
            <w:vAlign w:val="center"/>
          </w:tcPr>
          <w:p w14:paraId="12EC4885">
            <w:pPr>
              <w:pStyle w:val="30"/>
              <w:bidi w:val="0"/>
              <w:rPr>
                <w:color w:val="auto"/>
              </w:rPr>
            </w:pPr>
            <w:r>
              <w:rPr>
                <w:color w:val="auto"/>
              </w:rPr>
              <w:t>2×2×2m</w:t>
            </w:r>
            <w:r>
              <w:rPr>
                <w:rFonts w:hint="eastAsia"/>
                <w:color w:val="auto"/>
              </w:rPr>
              <w:t>，</w:t>
            </w:r>
            <w:r>
              <w:rPr>
                <w:color w:val="auto"/>
              </w:rPr>
              <w:t>V=3m</w:t>
            </w:r>
            <w:r>
              <w:rPr>
                <w:color w:val="auto"/>
                <w:vertAlign w:val="superscript"/>
              </w:rPr>
              <w:t>3</w:t>
            </w:r>
          </w:p>
        </w:tc>
        <w:tc>
          <w:tcPr>
            <w:tcW w:w="419" w:type="pct"/>
            <w:tcBorders>
              <w:top w:val="nil"/>
              <w:left w:val="nil"/>
              <w:bottom w:val="single" w:color="auto" w:sz="4" w:space="0"/>
              <w:right w:val="single" w:color="auto" w:sz="4" w:space="0"/>
            </w:tcBorders>
            <w:noWrap/>
            <w:vAlign w:val="center"/>
          </w:tcPr>
          <w:p w14:paraId="0DA6C91F">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527E6395">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55BF233E">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20B7F2BE">
            <w:pPr>
              <w:pStyle w:val="30"/>
              <w:bidi w:val="0"/>
              <w:rPr>
                <w:rFonts w:hint="eastAsia" w:eastAsia="宋体"/>
                <w:color w:val="auto"/>
                <w:lang w:val="en-US" w:eastAsia="zh-CN"/>
              </w:rPr>
            </w:pPr>
            <w:r>
              <w:rPr>
                <w:rFonts w:hint="eastAsia"/>
                <w:color w:val="auto"/>
                <w:lang w:val="en-US" w:eastAsia="zh-CN"/>
              </w:rPr>
              <w:t>利旧</w:t>
            </w:r>
          </w:p>
        </w:tc>
      </w:tr>
      <w:tr w14:paraId="2DC3DD6A">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24577FC8">
            <w:pPr>
              <w:pStyle w:val="30"/>
              <w:bidi w:val="0"/>
              <w:rPr>
                <w:color w:val="auto"/>
              </w:rPr>
            </w:pPr>
            <w:r>
              <w:rPr>
                <w:color w:val="auto"/>
              </w:rPr>
              <w:t>2</w:t>
            </w:r>
          </w:p>
        </w:tc>
        <w:tc>
          <w:tcPr>
            <w:tcW w:w="1143" w:type="pct"/>
            <w:tcBorders>
              <w:top w:val="nil"/>
              <w:left w:val="nil"/>
              <w:bottom w:val="single" w:color="auto" w:sz="4" w:space="0"/>
              <w:right w:val="single" w:color="auto" w:sz="4" w:space="0"/>
            </w:tcBorders>
            <w:noWrap/>
            <w:vAlign w:val="center"/>
          </w:tcPr>
          <w:p w14:paraId="4BCDEBAE">
            <w:pPr>
              <w:pStyle w:val="30"/>
              <w:bidi w:val="0"/>
              <w:rPr>
                <w:color w:val="auto"/>
              </w:rPr>
            </w:pPr>
            <w:r>
              <w:rPr>
                <w:rFonts w:hint="eastAsia"/>
                <w:color w:val="auto"/>
              </w:rPr>
              <w:t>槽式给料机</w:t>
            </w:r>
          </w:p>
        </w:tc>
        <w:tc>
          <w:tcPr>
            <w:tcW w:w="1320" w:type="pct"/>
            <w:tcBorders>
              <w:top w:val="nil"/>
              <w:left w:val="nil"/>
              <w:bottom w:val="single" w:color="auto" w:sz="4" w:space="0"/>
              <w:right w:val="single" w:color="auto" w:sz="4" w:space="0"/>
            </w:tcBorders>
            <w:noWrap/>
            <w:vAlign w:val="center"/>
          </w:tcPr>
          <w:p w14:paraId="35D74BC0">
            <w:pPr>
              <w:pStyle w:val="30"/>
              <w:bidi w:val="0"/>
              <w:rPr>
                <w:color w:val="auto"/>
              </w:rPr>
            </w:pPr>
            <w:r>
              <w:rPr>
                <w:color w:val="auto"/>
              </w:rPr>
              <w:t>980</w:t>
            </w:r>
          </w:p>
        </w:tc>
        <w:tc>
          <w:tcPr>
            <w:tcW w:w="419" w:type="pct"/>
            <w:tcBorders>
              <w:top w:val="nil"/>
              <w:left w:val="nil"/>
              <w:bottom w:val="single" w:color="auto" w:sz="4" w:space="0"/>
              <w:right w:val="single" w:color="auto" w:sz="4" w:space="0"/>
            </w:tcBorders>
            <w:noWrap/>
            <w:vAlign w:val="center"/>
          </w:tcPr>
          <w:p w14:paraId="1F81E0EA">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549E3484">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54519F0B">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5A4F42D5">
            <w:pPr>
              <w:pStyle w:val="30"/>
              <w:bidi w:val="0"/>
              <w:rPr>
                <w:color w:val="auto"/>
              </w:rPr>
            </w:pPr>
            <w:r>
              <w:rPr>
                <w:rFonts w:hint="eastAsia"/>
                <w:color w:val="auto"/>
                <w:lang w:val="en-US" w:eastAsia="zh-CN"/>
              </w:rPr>
              <w:t>利旧</w:t>
            </w:r>
          </w:p>
        </w:tc>
      </w:tr>
      <w:tr w14:paraId="6A79710E">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4E1204E6">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2452B9C8">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14ADF969">
            <w:pPr>
              <w:pStyle w:val="30"/>
              <w:bidi w:val="0"/>
              <w:rPr>
                <w:color w:val="auto"/>
              </w:rPr>
            </w:pPr>
            <w:r>
              <w:rPr>
                <w:color w:val="auto"/>
              </w:rPr>
              <w:t>F=7.5kw</w:t>
            </w:r>
          </w:p>
        </w:tc>
        <w:tc>
          <w:tcPr>
            <w:tcW w:w="419" w:type="pct"/>
            <w:tcBorders>
              <w:top w:val="nil"/>
              <w:left w:val="nil"/>
              <w:bottom w:val="single" w:color="auto" w:sz="4" w:space="0"/>
              <w:right w:val="single" w:color="auto" w:sz="4" w:space="0"/>
            </w:tcBorders>
            <w:noWrap/>
            <w:vAlign w:val="center"/>
          </w:tcPr>
          <w:p w14:paraId="7145FD1E">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250C6F25">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6910B309">
            <w:pPr>
              <w:pStyle w:val="30"/>
              <w:bidi w:val="0"/>
              <w:rPr>
                <w:color w:val="auto"/>
              </w:rPr>
            </w:pPr>
            <w:r>
              <w:rPr>
                <w:color w:val="auto"/>
              </w:rPr>
              <w:t>15</w:t>
            </w:r>
          </w:p>
        </w:tc>
        <w:tc>
          <w:tcPr>
            <w:tcW w:w="536" w:type="pct"/>
            <w:tcBorders>
              <w:top w:val="nil"/>
              <w:left w:val="nil"/>
              <w:bottom w:val="single" w:color="auto" w:sz="4" w:space="0"/>
              <w:right w:val="single" w:color="auto" w:sz="4" w:space="0"/>
            </w:tcBorders>
            <w:noWrap/>
            <w:vAlign w:val="center"/>
          </w:tcPr>
          <w:p w14:paraId="40B13CE2">
            <w:pPr>
              <w:pStyle w:val="30"/>
              <w:bidi w:val="0"/>
              <w:rPr>
                <w:color w:val="auto"/>
              </w:rPr>
            </w:pPr>
          </w:p>
        </w:tc>
      </w:tr>
      <w:tr w14:paraId="5AADB5B8">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4FF326D0">
            <w:pPr>
              <w:pStyle w:val="30"/>
              <w:bidi w:val="0"/>
              <w:rPr>
                <w:color w:val="auto"/>
              </w:rPr>
            </w:pPr>
            <w:r>
              <w:rPr>
                <w:color w:val="auto"/>
              </w:rPr>
              <w:t>3</w:t>
            </w:r>
          </w:p>
        </w:tc>
        <w:tc>
          <w:tcPr>
            <w:tcW w:w="1143" w:type="pct"/>
            <w:tcBorders>
              <w:top w:val="nil"/>
              <w:left w:val="nil"/>
              <w:bottom w:val="single" w:color="auto" w:sz="4" w:space="0"/>
              <w:right w:val="single" w:color="auto" w:sz="4" w:space="0"/>
            </w:tcBorders>
            <w:noWrap/>
            <w:vAlign w:val="center"/>
          </w:tcPr>
          <w:p w14:paraId="3E24D5A6">
            <w:pPr>
              <w:pStyle w:val="30"/>
              <w:bidi w:val="0"/>
              <w:rPr>
                <w:color w:val="auto"/>
              </w:rPr>
            </w:pPr>
            <w:r>
              <w:rPr>
                <w:rFonts w:hint="eastAsia"/>
                <w:color w:val="auto"/>
              </w:rPr>
              <w:t>颚式破碎机（粗）</w:t>
            </w:r>
          </w:p>
        </w:tc>
        <w:tc>
          <w:tcPr>
            <w:tcW w:w="1320" w:type="pct"/>
            <w:tcBorders>
              <w:top w:val="nil"/>
              <w:left w:val="nil"/>
              <w:bottom w:val="single" w:color="auto" w:sz="4" w:space="0"/>
              <w:right w:val="single" w:color="auto" w:sz="4" w:space="0"/>
            </w:tcBorders>
            <w:noWrap/>
            <w:vAlign w:val="center"/>
          </w:tcPr>
          <w:p w14:paraId="26252436">
            <w:pPr>
              <w:pStyle w:val="30"/>
              <w:bidi w:val="0"/>
              <w:rPr>
                <w:color w:val="auto"/>
              </w:rPr>
            </w:pPr>
            <w:r>
              <w:rPr>
                <w:color w:val="auto"/>
              </w:rPr>
              <w:t>PE400×900</w:t>
            </w:r>
          </w:p>
        </w:tc>
        <w:tc>
          <w:tcPr>
            <w:tcW w:w="419" w:type="pct"/>
            <w:tcBorders>
              <w:top w:val="nil"/>
              <w:left w:val="nil"/>
              <w:bottom w:val="single" w:color="auto" w:sz="4" w:space="0"/>
              <w:right w:val="single" w:color="auto" w:sz="4" w:space="0"/>
            </w:tcBorders>
            <w:noWrap/>
            <w:vAlign w:val="center"/>
          </w:tcPr>
          <w:p w14:paraId="79EAFC76">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46E43AB2">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3CAC9402">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43B6E64B">
            <w:pPr>
              <w:pStyle w:val="30"/>
              <w:bidi w:val="0"/>
              <w:rPr>
                <w:color w:val="auto"/>
              </w:rPr>
            </w:pPr>
            <w:r>
              <w:rPr>
                <w:rFonts w:hint="eastAsia"/>
                <w:color w:val="auto"/>
                <w:lang w:val="en-US" w:eastAsia="zh-CN"/>
              </w:rPr>
              <w:t>利旧</w:t>
            </w:r>
          </w:p>
        </w:tc>
      </w:tr>
      <w:tr w14:paraId="3873956B">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552131F4">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75863CDF">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39DA320B">
            <w:pPr>
              <w:pStyle w:val="30"/>
              <w:bidi w:val="0"/>
              <w:rPr>
                <w:color w:val="auto"/>
              </w:rPr>
            </w:pPr>
            <w:r>
              <w:rPr>
                <w:color w:val="auto"/>
              </w:rPr>
              <w:t>F=30kw</w:t>
            </w:r>
          </w:p>
        </w:tc>
        <w:tc>
          <w:tcPr>
            <w:tcW w:w="419" w:type="pct"/>
            <w:tcBorders>
              <w:top w:val="nil"/>
              <w:left w:val="nil"/>
              <w:bottom w:val="single" w:color="auto" w:sz="4" w:space="0"/>
              <w:right w:val="single" w:color="auto" w:sz="4" w:space="0"/>
            </w:tcBorders>
            <w:noWrap/>
            <w:vAlign w:val="center"/>
          </w:tcPr>
          <w:p w14:paraId="02BEB3BB">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6901B757">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01E37D79">
            <w:pPr>
              <w:pStyle w:val="30"/>
              <w:bidi w:val="0"/>
              <w:rPr>
                <w:color w:val="auto"/>
              </w:rPr>
            </w:pPr>
            <w:r>
              <w:rPr>
                <w:color w:val="auto"/>
              </w:rPr>
              <w:t>60</w:t>
            </w:r>
          </w:p>
        </w:tc>
        <w:tc>
          <w:tcPr>
            <w:tcW w:w="536" w:type="pct"/>
            <w:tcBorders>
              <w:top w:val="nil"/>
              <w:left w:val="nil"/>
              <w:bottom w:val="single" w:color="auto" w:sz="4" w:space="0"/>
              <w:right w:val="single" w:color="auto" w:sz="4" w:space="0"/>
            </w:tcBorders>
            <w:noWrap/>
            <w:vAlign w:val="center"/>
          </w:tcPr>
          <w:p w14:paraId="0F512E8D">
            <w:pPr>
              <w:pStyle w:val="30"/>
              <w:bidi w:val="0"/>
              <w:rPr>
                <w:color w:val="auto"/>
              </w:rPr>
            </w:pPr>
          </w:p>
        </w:tc>
      </w:tr>
      <w:tr w14:paraId="25772E7D">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4537EB35">
            <w:pPr>
              <w:pStyle w:val="30"/>
              <w:bidi w:val="0"/>
              <w:rPr>
                <w:color w:val="auto"/>
              </w:rPr>
            </w:pPr>
            <w:r>
              <w:rPr>
                <w:color w:val="auto"/>
              </w:rPr>
              <w:t>4</w:t>
            </w:r>
          </w:p>
        </w:tc>
        <w:tc>
          <w:tcPr>
            <w:tcW w:w="1143" w:type="pct"/>
            <w:tcBorders>
              <w:top w:val="nil"/>
              <w:left w:val="nil"/>
              <w:bottom w:val="single" w:color="auto" w:sz="4" w:space="0"/>
              <w:right w:val="single" w:color="auto" w:sz="4" w:space="0"/>
            </w:tcBorders>
            <w:noWrap/>
            <w:vAlign w:val="center"/>
          </w:tcPr>
          <w:p w14:paraId="0D473915">
            <w:pPr>
              <w:pStyle w:val="30"/>
              <w:bidi w:val="0"/>
              <w:rPr>
                <w:color w:val="auto"/>
              </w:rPr>
            </w:pPr>
            <w:r>
              <w:rPr>
                <w:rFonts w:hint="eastAsia"/>
                <w:color w:val="auto"/>
              </w:rPr>
              <w:t>皮带输送机</w:t>
            </w:r>
          </w:p>
        </w:tc>
        <w:tc>
          <w:tcPr>
            <w:tcW w:w="1320" w:type="pct"/>
            <w:tcBorders>
              <w:top w:val="nil"/>
              <w:left w:val="nil"/>
              <w:bottom w:val="single" w:color="auto" w:sz="4" w:space="0"/>
              <w:right w:val="single" w:color="auto" w:sz="4" w:space="0"/>
            </w:tcBorders>
            <w:noWrap/>
            <w:vAlign w:val="center"/>
          </w:tcPr>
          <w:p w14:paraId="00659288">
            <w:pPr>
              <w:pStyle w:val="30"/>
              <w:bidi w:val="0"/>
              <w:rPr>
                <w:color w:val="auto"/>
              </w:rPr>
            </w:pPr>
            <w:r>
              <w:rPr>
                <w:color w:val="auto"/>
              </w:rPr>
              <w:t>D600mm</w:t>
            </w:r>
            <w:r>
              <w:rPr>
                <w:rFonts w:hint="eastAsia"/>
                <w:color w:val="auto"/>
              </w:rPr>
              <w:t>，</w:t>
            </w:r>
            <w:r>
              <w:rPr>
                <w:color w:val="auto"/>
              </w:rPr>
              <w:t>3m</w:t>
            </w:r>
          </w:p>
        </w:tc>
        <w:tc>
          <w:tcPr>
            <w:tcW w:w="419" w:type="pct"/>
            <w:tcBorders>
              <w:top w:val="nil"/>
              <w:left w:val="nil"/>
              <w:bottom w:val="single" w:color="auto" w:sz="4" w:space="0"/>
              <w:right w:val="single" w:color="auto" w:sz="4" w:space="0"/>
            </w:tcBorders>
            <w:noWrap/>
            <w:vAlign w:val="center"/>
          </w:tcPr>
          <w:p w14:paraId="53B30BD9">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16DA76A0">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5605A47A">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3183B9AF">
            <w:pPr>
              <w:pStyle w:val="30"/>
              <w:bidi w:val="0"/>
              <w:rPr>
                <w:color w:val="auto"/>
              </w:rPr>
            </w:pPr>
            <w:r>
              <w:rPr>
                <w:rFonts w:hint="eastAsia"/>
                <w:color w:val="auto"/>
                <w:lang w:val="en-US" w:eastAsia="zh-CN"/>
              </w:rPr>
              <w:t>利旧</w:t>
            </w:r>
          </w:p>
        </w:tc>
      </w:tr>
      <w:tr w14:paraId="2A09C315">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683F48ED">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5EDD8BEE">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744E0F83">
            <w:pPr>
              <w:pStyle w:val="30"/>
              <w:bidi w:val="0"/>
              <w:rPr>
                <w:color w:val="auto"/>
              </w:rPr>
            </w:pPr>
            <w:r>
              <w:rPr>
                <w:color w:val="auto"/>
              </w:rPr>
              <w:t>F=2.2kw</w:t>
            </w:r>
          </w:p>
        </w:tc>
        <w:tc>
          <w:tcPr>
            <w:tcW w:w="419" w:type="pct"/>
            <w:tcBorders>
              <w:top w:val="nil"/>
              <w:left w:val="nil"/>
              <w:bottom w:val="single" w:color="auto" w:sz="4" w:space="0"/>
              <w:right w:val="single" w:color="auto" w:sz="4" w:space="0"/>
            </w:tcBorders>
            <w:noWrap/>
            <w:vAlign w:val="center"/>
          </w:tcPr>
          <w:p w14:paraId="71B5FD90">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6DCD6995">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7C586519">
            <w:pPr>
              <w:pStyle w:val="30"/>
              <w:bidi w:val="0"/>
              <w:rPr>
                <w:color w:val="auto"/>
              </w:rPr>
            </w:pPr>
            <w:r>
              <w:rPr>
                <w:color w:val="auto"/>
              </w:rPr>
              <w:t>4.4</w:t>
            </w:r>
          </w:p>
        </w:tc>
        <w:tc>
          <w:tcPr>
            <w:tcW w:w="536" w:type="pct"/>
            <w:tcBorders>
              <w:top w:val="nil"/>
              <w:left w:val="nil"/>
              <w:bottom w:val="single" w:color="auto" w:sz="4" w:space="0"/>
              <w:right w:val="single" w:color="auto" w:sz="4" w:space="0"/>
            </w:tcBorders>
            <w:noWrap/>
            <w:vAlign w:val="center"/>
          </w:tcPr>
          <w:p w14:paraId="662B668B">
            <w:pPr>
              <w:pStyle w:val="30"/>
              <w:bidi w:val="0"/>
              <w:rPr>
                <w:color w:val="auto"/>
              </w:rPr>
            </w:pPr>
          </w:p>
        </w:tc>
      </w:tr>
      <w:tr w14:paraId="737012D5">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538DB546">
            <w:pPr>
              <w:pStyle w:val="30"/>
              <w:bidi w:val="0"/>
              <w:rPr>
                <w:color w:val="auto"/>
              </w:rPr>
            </w:pPr>
            <w:r>
              <w:rPr>
                <w:color w:val="auto"/>
              </w:rPr>
              <w:t>5</w:t>
            </w:r>
          </w:p>
        </w:tc>
        <w:tc>
          <w:tcPr>
            <w:tcW w:w="1143" w:type="pct"/>
            <w:tcBorders>
              <w:top w:val="nil"/>
              <w:left w:val="nil"/>
              <w:bottom w:val="single" w:color="auto" w:sz="4" w:space="0"/>
              <w:right w:val="single" w:color="auto" w:sz="4" w:space="0"/>
            </w:tcBorders>
            <w:noWrap/>
            <w:vAlign w:val="center"/>
          </w:tcPr>
          <w:p w14:paraId="7E70248E">
            <w:pPr>
              <w:pStyle w:val="30"/>
              <w:bidi w:val="0"/>
              <w:rPr>
                <w:color w:val="auto"/>
              </w:rPr>
            </w:pPr>
            <w:r>
              <w:rPr>
                <w:rFonts w:hint="eastAsia"/>
                <w:color w:val="auto"/>
              </w:rPr>
              <w:t>颚式破碎机（细）</w:t>
            </w:r>
          </w:p>
        </w:tc>
        <w:tc>
          <w:tcPr>
            <w:tcW w:w="1320" w:type="pct"/>
            <w:tcBorders>
              <w:top w:val="nil"/>
              <w:left w:val="nil"/>
              <w:bottom w:val="single" w:color="auto" w:sz="4" w:space="0"/>
              <w:right w:val="single" w:color="auto" w:sz="4" w:space="0"/>
            </w:tcBorders>
            <w:noWrap/>
            <w:vAlign w:val="center"/>
          </w:tcPr>
          <w:p w14:paraId="2F374B88">
            <w:pPr>
              <w:pStyle w:val="30"/>
              <w:bidi w:val="0"/>
              <w:rPr>
                <w:color w:val="auto"/>
              </w:rPr>
            </w:pPr>
            <w:r>
              <w:rPr>
                <w:color w:val="auto"/>
              </w:rPr>
              <w:t>PE250×400</w:t>
            </w:r>
          </w:p>
        </w:tc>
        <w:tc>
          <w:tcPr>
            <w:tcW w:w="419" w:type="pct"/>
            <w:tcBorders>
              <w:top w:val="nil"/>
              <w:left w:val="nil"/>
              <w:bottom w:val="single" w:color="auto" w:sz="4" w:space="0"/>
              <w:right w:val="single" w:color="auto" w:sz="4" w:space="0"/>
            </w:tcBorders>
            <w:noWrap/>
            <w:vAlign w:val="center"/>
          </w:tcPr>
          <w:p w14:paraId="77596244">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3B1BBDF2">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3252AE7A">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28FC55B0">
            <w:pPr>
              <w:pStyle w:val="30"/>
              <w:bidi w:val="0"/>
              <w:rPr>
                <w:color w:val="auto"/>
              </w:rPr>
            </w:pPr>
            <w:r>
              <w:rPr>
                <w:rFonts w:hint="eastAsia"/>
                <w:color w:val="auto"/>
                <w:lang w:val="en-US" w:eastAsia="zh-CN"/>
              </w:rPr>
              <w:t>利旧</w:t>
            </w:r>
          </w:p>
        </w:tc>
      </w:tr>
      <w:tr w14:paraId="7D1D0BBE">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2D8F63AD">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70EFA5B5">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34B503FF">
            <w:pPr>
              <w:pStyle w:val="30"/>
              <w:bidi w:val="0"/>
              <w:rPr>
                <w:color w:val="auto"/>
              </w:rPr>
            </w:pPr>
            <w:r>
              <w:rPr>
                <w:color w:val="auto"/>
              </w:rPr>
              <w:t>F=15kw</w:t>
            </w:r>
          </w:p>
        </w:tc>
        <w:tc>
          <w:tcPr>
            <w:tcW w:w="419" w:type="pct"/>
            <w:tcBorders>
              <w:top w:val="nil"/>
              <w:left w:val="nil"/>
              <w:bottom w:val="single" w:color="auto" w:sz="4" w:space="0"/>
              <w:right w:val="single" w:color="auto" w:sz="4" w:space="0"/>
            </w:tcBorders>
            <w:noWrap/>
            <w:vAlign w:val="center"/>
          </w:tcPr>
          <w:p w14:paraId="1F670F34">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4FBEEEE5">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6ADF9916">
            <w:pPr>
              <w:pStyle w:val="30"/>
              <w:bidi w:val="0"/>
              <w:rPr>
                <w:color w:val="auto"/>
              </w:rPr>
            </w:pPr>
            <w:r>
              <w:rPr>
                <w:color w:val="auto"/>
              </w:rPr>
              <w:t>30</w:t>
            </w:r>
          </w:p>
        </w:tc>
        <w:tc>
          <w:tcPr>
            <w:tcW w:w="536" w:type="pct"/>
            <w:tcBorders>
              <w:top w:val="nil"/>
              <w:left w:val="nil"/>
              <w:bottom w:val="single" w:color="auto" w:sz="4" w:space="0"/>
              <w:right w:val="single" w:color="auto" w:sz="4" w:space="0"/>
            </w:tcBorders>
            <w:noWrap/>
            <w:vAlign w:val="center"/>
          </w:tcPr>
          <w:p w14:paraId="1F00CF4A">
            <w:pPr>
              <w:pStyle w:val="30"/>
              <w:bidi w:val="0"/>
              <w:rPr>
                <w:color w:val="auto"/>
              </w:rPr>
            </w:pPr>
          </w:p>
        </w:tc>
      </w:tr>
      <w:tr w14:paraId="0AFC76F5">
        <w:tblPrEx>
          <w:tblCellMar>
            <w:top w:w="0" w:type="dxa"/>
            <w:left w:w="108" w:type="dxa"/>
            <w:bottom w:w="0" w:type="dxa"/>
            <w:right w:w="108" w:type="dxa"/>
          </w:tblCellMar>
        </w:tblPrEx>
        <w:trPr>
          <w:trHeight w:val="397" w:hRule="atLeast"/>
        </w:trPr>
        <w:tc>
          <w:tcPr>
            <w:tcW w:w="429" w:type="pct"/>
            <w:tcBorders>
              <w:top w:val="nil"/>
              <w:left w:val="single" w:color="auto" w:sz="4" w:space="0"/>
              <w:bottom w:val="single" w:color="auto" w:sz="4" w:space="0"/>
              <w:right w:val="single" w:color="auto" w:sz="4" w:space="0"/>
            </w:tcBorders>
            <w:noWrap/>
            <w:vAlign w:val="center"/>
          </w:tcPr>
          <w:p w14:paraId="5E586B43">
            <w:pPr>
              <w:pStyle w:val="30"/>
              <w:bidi w:val="0"/>
              <w:rPr>
                <w:color w:val="auto"/>
              </w:rPr>
            </w:pPr>
            <w:r>
              <w:rPr>
                <w:color w:val="auto"/>
              </w:rPr>
              <w:t>6</w:t>
            </w:r>
          </w:p>
        </w:tc>
        <w:tc>
          <w:tcPr>
            <w:tcW w:w="1143" w:type="pct"/>
            <w:tcBorders>
              <w:top w:val="nil"/>
              <w:left w:val="nil"/>
              <w:bottom w:val="single" w:color="auto" w:sz="4" w:space="0"/>
              <w:right w:val="single" w:color="auto" w:sz="4" w:space="0"/>
            </w:tcBorders>
            <w:noWrap/>
            <w:vAlign w:val="center"/>
          </w:tcPr>
          <w:p w14:paraId="0117D145">
            <w:pPr>
              <w:pStyle w:val="30"/>
              <w:bidi w:val="0"/>
              <w:rPr>
                <w:color w:val="auto"/>
              </w:rPr>
            </w:pPr>
            <w:r>
              <w:rPr>
                <w:rFonts w:hint="eastAsia"/>
                <w:color w:val="auto"/>
              </w:rPr>
              <w:t>料仓</w:t>
            </w:r>
          </w:p>
        </w:tc>
        <w:tc>
          <w:tcPr>
            <w:tcW w:w="1320" w:type="pct"/>
            <w:tcBorders>
              <w:top w:val="nil"/>
              <w:left w:val="nil"/>
              <w:bottom w:val="single" w:color="auto" w:sz="4" w:space="0"/>
              <w:right w:val="single" w:color="auto" w:sz="4" w:space="0"/>
            </w:tcBorders>
            <w:noWrap/>
            <w:vAlign w:val="center"/>
          </w:tcPr>
          <w:p w14:paraId="09C3F513">
            <w:pPr>
              <w:pStyle w:val="30"/>
              <w:bidi w:val="0"/>
              <w:rPr>
                <w:color w:val="auto"/>
              </w:rPr>
            </w:pPr>
            <w:r>
              <w:rPr>
                <w:color w:val="auto"/>
              </w:rPr>
              <w:t>φ2×3m</w:t>
            </w:r>
            <w:r>
              <w:rPr>
                <w:rFonts w:hint="eastAsia"/>
                <w:color w:val="auto"/>
              </w:rPr>
              <w:t>，</w:t>
            </w:r>
            <w:r>
              <w:rPr>
                <w:color w:val="auto"/>
              </w:rPr>
              <w:t>V=35m</w:t>
            </w:r>
            <w:r>
              <w:rPr>
                <w:color w:val="auto"/>
                <w:vertAlign w:val="superscript"/>
              </w:rPr>
              <w:t>3</w:t>
            </w:r>
          </w:p>
        </w:tc>
        <w:tc>
          <w:tcPr>
            <w:tcW w:w="419" w:type="pct"/>
            <w:tcBorders>
              <w:top w:val="nil"/>
              <w:left w:val="nil"/>
              <w:bottom w:val="single" w:color="auto" w:sz="4" w:space="0"/>
              <w:right w:val="single" w:color="auto" w:sz="4" w:space="0"/>
            </w:tcBorders>
            <w:noWrap/>
            <w:vAlign w:val="center"/>
          </w:tcPr>
          <w:p w14:paraId="3D9D8570">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5F14ED1E">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40D98EBC">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75459F48">
            <w:pPr>
              <w:pStyle w:val="30"/>
              <w:bidi w:val="0"/>
              <w:rPr>
                <w:color w:val="auto"/>
              </w:rPr>
            </w:pPr>
            <w:r>
              <w:rPr>
                <w:rFonts w:hint="eastAsia"/>
                <w:color w:val="auto"/>
                <w:lang w:val="en-US" w:eastAsia="zh-CN"/>
              </w:rPr>
              <w:t>利旧</w:t>
            </w:r>
          </w:p>
        </w:tc>
      </w:tr>
      <w:tr w14:paraId="61E2C8CC">
        <w:tblPrEx>
          <w:tblCellMar>
            <w:top w:w="0" w:type="dxa"/>
            <w:left w:w="108" w:type="dxa"/>
            <w:bottom w:w="0" w:type="dxa"/>
            <w:right w:w="108" w:type="dxa"/>
          </w:tblCellMar>
        </w:tblPrEx>
        <w:trPr>
          <w:trHeight w:val="397" w:hRule="atLeast"/>
        </w:trPr>
        <w:tc>
          <w:tcPr>
            <w:tcW w:w="5000" w:type="pct"/>
            <w:gridSpan w:val="7"/>
            <w:tcBorders>
              <w:top w:val="single" w:color="auto" w:sz="4" w:space="0"/>
              <w:left w:val="single" w:color="auto" w:sz="4" w:space="0"/>
              <w:bottom w:val="single" w:color="auto" w:sz="4" w:space="0"/>
              <w:right w:val="single" w:color="auto" w:sz="4" w:space="0"/>
            </w:tcBorders>
            <w:noWrap/>
            <w:vAlign w:val="center"/>
          </w:tcPr>
          <w:p w14:paraId="126C5AC4">
            <w:pPr>
              <w:pStyle w:val="30"/>
              <w:bidi w:val="0"/>
              <w:rPr>
                <w:b/>
                <w:bCs/>
                <w:color w:val="auto"/>
              </w:rPr>
            </w:pPr>
            <w:r>
              <w:rPr>
                <w:rFonts w:hint="eastAsia"/>
                <w:b/>
                <w:bCs/>
                <w:color w:val="auto"/>
              </w:rPr>
              <w:t>二、磨矿工序</w:t>
            </w:r>
          </w:p>
        </w:tc>
      </w:tr>
      <w:tr w14:paraId="653F2FC1">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543E31C5">
            <w:pPr>
              <w:pStyle w:val="30"/>
              <w:bidi w:val="0"/>
              <w:rPr>
                <w:color w:val="auto"/>
              </w:rPr>
            </w:pPr>
            <w:r>
              <w:rPr>
                <w:color w:val="auto"/>
              </w:rPr>
              <w:t>1</w:t>
            </w:r>
          </w:p>
        </w:tc>
        <w:tc>
          <w:tcPr>
            <w:tcW w:w="1143" w:type="pct"/>
            <w:tcBorders>
              <w:top w:val="nil"/>
              <w:left w:val="nil"/>
              <w:bottom w:val="single" w:color="auto" w:sz="4" w:space="0"/>
              <w:right w:val="single" w:color="auto" w:sz="4" w:space="0"/>
            </w:tcBorders>
            <w:noWrap/>
            <w:vAlign w:val="center"/>
          </w:tcPr>
          <w:p w14:paraId="71082F7A">
            <w:pPr>
              <w:pStyle w:val="30"/>
              <w:bidi w:val="0"/>
              <w:rPr>
                <w:color w:val="auto"/>
              </w:rPr>
            </w:pPr>
            <w:r>
              <w:rPr>
                <w:rFonts w:hint="eastAsia"/>
                <w:color w:val="auto"/>
              </w:rPr>
              <w:t>皮带输送机</w:t>
            </w:r>
          </w:p>
        </w:tc>
        <w:tc>
          <w:tcPr>
            <w:tcW w:w="1320" w:type="pct"/>
            <w:tcBorders>
              <w:top w:val="nil"/>
              <w:left w:val="nil"/>
              <w:bottom w:val="single" w:color="auto" w:sz="4" w:space="0"/>
              <w:right w:val="single" w:color="auto" w:sz="4" w:space="0"/>
            </w:tcBorders>
            <w:noWrap/>
            <w:vAlign w:val="center"/>
          </w:tcPr>
          <w:p w14:paraId="62123E26">
            <w:pPr>
              <w:pStyle w:val="30"/>
              <w:bidi w:val="0"/>
              <w:rPr>
                <w:color w:val="auto"/>
              </w:rPr>
            </w:pPr>
            <w:r>
              <w:rPr>
                <w:color w:val="auto"/>
              </w:rPr>
              <w:t>D600mm</w:t>
            </w:r>
            <w:r>
              <w:rPr>
                <w:rFonts w:hint="eastAsia"/>
                <w:color w:val="auto"/>
              </w:rPr>
              <w:t>，</w:t>
            </w:r>
            <w:r>
              <w:rPr>
                <w:color w:val="auto"/>
              </w:rPr>
              <w:t>3m</w:t>
            </w:r>
          </w:p>
        </w:tc>
        <w:tc>
          <w:tcPr>
            <w:tcW w:w="419" w:type="pct"/>
            <w:tcBorders>
              <w:top w:val="nil"/>
              <w:left w:val="nil"/>
              <w:bottom w:val="single" w:color="auto" w:sz="4" w:space="0"/>
              <w:right w:val="single" w:color="auto" w:sz="4" w:space="0"/>
            </w:tcBorders>
            <w:noWrap/>
            <w:vAlign w:val="center"/>
          </w:tcPr>
          <w:p w14:paraId="70E7281F">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6EFB11D0">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30E74FC6">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34EC3878">
            <w:pPr>
              <w:pStyle w:val="30"/>
              <w:bidi w:val="0"/>
              <w:rPr>
                <w:color w:val="auto"/>
              </w:rPr>
            </w:pPr>
            <w:r>
              <w:rPr>
                <w:rFonts w:hint="eastAsia"/>
                <w:color w:val="auto"/>
                <w:lang w:val="en-US" w:eastAsia="zh-CN"/>
              </w:rPr>
              <w:t>利旧</w:t>
            </w:r>
          </w:p>
        </w:tc>
      </w:tr>
      <w:tr w14:paraId="18F2D2F8">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4417E8FD">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6451FEA3">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38A28D0E">
            <w:pPr>
              <w:pStyle w:val="30"/>
              <w:bidi w:val="0"/>
              <w:rPr>
                <w:color w:val="auto"/>
              </w:rPr>
            </w:pPr>
            <w:r>
              <w:rPr>
                <w:color w:val="auto"/>
              </w:rPr>
              <w:t>F=2.2kw</w:t>
            </w:r>
          </w:p>
        </w:tc>
        <w:tc>
          <w:tcPr>
            <w:tcW w:w="419" w:type="pct"/>
            <w:tcBorders>
              <w:top w:val="nil"/>
              <w:left w:val="nil"/>
              <w:bottom w:val="single" w:color="auto" w:sz="4" w:space="0"/>
              <w:right w:val="single" w:color="auto" w:sz="4" w:space="0"/>
            </w:tcBorders>
            <w:noWrap/>
            <w:vAlign w:val="center"/>
          </w:tcPr>
          <w:p w14:paraId="4F0A23C2">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530AA2DD">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5A16ECDF">
            <w:pPr>
              <w:pStyle w:val="30"/>
              <w:bidi w:val="0"/>
              <w:rPr>
                <w:color w:val="auto"/>
              </w:rPr>
            </w:pPr>
            <w:r>
              <w:rPr>
                <w:color w:val="auto"/>
              </w:rPr>
              <w:t>4.4</w:t>
            </w:r>
          </w:p>
        </w:tc>
        <w:tc>
          <w:tcPr>
            <w:tcW w:w="536" w:type="pct"/>
            <w:tcBorders>
              <w:top w:val="nil"/>
              <w:left w:val="nil"/>
              <w:bottom w:val="single" w:color="auto" w:sz="4" w:space="0"/>
              <w:right w:val="single" w:color="auto" w:sz="4" w:space="0"/>
            </w:tcBorders>
            <w:noWrap/>
            <w:vAlign w:val="center"/>
          </w:tcPr>
          <w:p w14:paraId="3C8A1921">
            <w:pPr>
              <w:pStyle w:val="30"/>
              <w:bidi w:val="0"/>
              <w:rPr>
                <w:color w:val="auto"/>
              </w:rPr>
            </w:pPr>
          </w:p>
        </w:tc>
      </w:tr>
      <w:tr w14:paraId="50FC20BA">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36942E9D">
            <w:pPr>
              <w:pStyle w:val="30"/>
              <w:bidi w:val="0"/>
              <w:rPr>
                <w:color w:val="auto"/>
              </w:rPr>
            </w:pPr>
            <w:r>
              <w:rPr>
                <w:color w:val="auto"/>
              </w:rPr>
              <w:t>2</w:t>
            </w:r>
          </w:p>
        </w:tc>
        <w:tc>
          <w:tcPr>
            <w:tcW w:w="1143" w:type="pct"/>
            <w:tcBorders>
              <w:top w:val="nil"/>
              <w:left w:val="nil"/>
              <w:bottom w:val="single" w:color="auto" w:sz="4" w:space="0"/>
              <w:right w:val="single" w:color="auto" w:sz="4" w:space="0"/>
            </w:tcBorders>
            <w:noWrap/>
            <w:vAlign w:val="center"/>
          </w:tcPr>
          <w:p w14:paraId="6DCD118D">
            <w:pPr>
              <w:pStyle w:val="30"/>
              <w:bidi w:val="0"/>
              <w:rPr>
                <w:color w:val="auto"/>
              </w:rPr>
            </w:pPr>
            <w:r>
              <w:rPr>
                <w:rFonts w:hint="eastAsia"/>
                <w:color w:val="auto"/>
              </w:rPr>
              <w:t>球磨机</w:t>
            </w:r>
          </w:p>
        </w:tc>
        <w:tc>
          <w:tcPr>
            <w:tcW w:w="1320" w:type="pct"/>
            <w:tcBorders>
              <w:top w:val="nil"/>
              <w:left w:val="nil"/>
              <w:bottom w:val="single" w:color="auto" w:sz="4" w:space="0"/>
              <w:right w:val="single" w:color="auto" w:sz="4" w:space="0"/>
            </w:tcBorders>
            <w:noWrap/>
            <w:vAlign w:val="center"/>
          </w:tcPr>
          <w:p w14:paraId="6F274A3A">
            <w:pPr>
              <w:pStyle w:val="30"/>
              <w:bidi w:val="0"/>
              <w:rPr>
                <w:color w:val="auto"/>
              </w:rPr>
            </w:pPr>
            <w:r>
              <w:rPr>
                <w:color w:val="auto"/>
              </w:rPr>
              <w:t>φ2100×3000</w:t>
            </w:r>
          </w:p>
        </w:tc>
        <w:tc>
          <w:tcPr>
            <w:tcW w:w="419" w:type="pct"/>
            <w:tcBorders>
              <w:top w:val="nil"/>
              <w:left w:val="nil"/>
              <w:bottom w:val="single" w:color="auto" w:sz="4" w:space="0"/>
              <w:right w:val="single" w:color="auto" w:sz="4" w:space="0"/>
            </w:tcBorders>
            <w:noWrap/>
            <w:vAlign w:val="center"/>
          </w:tcPr>
          <w:p w14:paraId="51578496">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25864F87">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2CA5AA23">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6A7CCE1D">
            <w:pPr>
              <w:pStyle w:val="30"/>
              <w:bidi w:val="0"/>
              <w:rPr>
                <w:color w:val="auto"/>
              </w:rPr>
            </w:pPr>
            <w:r>
              <w:rPr>
                <w:rFonts w:hint="eastAsia"/>
                <w:color w:val="auto"/>
                <w:lang w:val="en-US" w:eastAsia="zh-CN"/>
              </w:rPr>
              <w:t>利旧</w:t>
            </w:r>
          </w:p>
        </w:tc>
      </w:tr>
      <w:tr w14:paraId="0BB94AFC">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73805283">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1CEA6EB8">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68A63786">
            <w:pPr>
              <w:pStyle w:val="30"/>
              <w:bidi w:val="0"/>
              <w:rPr>
                <w:color w:val="auto"/>
              </w:rPr>
            </w:pPr>
            <w:r>
              <w:rPr>
                <w:color w:val="auto"/>
              </w:rPr>
              <w:t>F=180kw</w:t>
            </w:r>
          </w:p>
        </w:tc>
        <w:tc>
          <w:tcPr>
            <w:tcW w:w="419" w:type="pct"/>
            <w:tcBorders>
              <w:top w:val="nil"/>
              <w:left w:val="nil"/>
              <w:bottom w:val="single" w:color="auto" w:sz="4" w:space="0"/>
              <w:right w:val="single" w:color="auto" w:sz="4" w:space="0"/>
            </w:tcBorders>
            <w:noWrap/>
            <w:vAlign w:val="center"/>
          </w:tcPr>
          <w:p w14:paraId="4BACEFBD">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4475FA41">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7D0E6C39">
            <w:pPr>
              <w:pStyle w:val="30"/>
              <w:bidi w:val="0"/>
              <w:rPr>
                <w:color w:val="auto"/>
              </w:rPr>
            </w:pPr>
            <w:r>
              <w:rPr>
                <w:color w:val="auto"/>
              </w:rPr>
              <w:t>360</w:t>
            </w:r>
          </w:p>
        </w:tc>
        <w:tc>
          <w:tcPr>
            <w:tcW w:w="536" w:type="pct"/>
            <w:tcBorders>
              <w:top w:val="nil"/>
              <w:left w:val="nil"/>
              <w:bottom w:val="single" w:color="auto" w:sz="4" w:space="0"/>
              <w:right w:val="single" w:color="auto" w:sz="4" w:space="0"/>
            </w:tcBorders>
            <w:noWrap/>
            <w:vAlign w:val="center"/>
          </w:tcPr>
          <w:p w14:paraId="2D5AB407">
            <w:pPr>
              <w:pStyle w:val="30"/>
              <w:bidi w:val="0"/>
              <w:rPr>
                <w:color w:val="auto"/>
              </w:rPr>
            </w:pPr>
          </w:p>
        </w:tc>
      </w:tr>
      <w:tr w14:paraId="21514A63">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5E7E623D">
            <w:pPr>
              <w:pStyle w:val="30"/>
              <w:bidi w:val="0"/>
              <w:rPr>
                <w:color w:val="auto"/>
              </w:rPr>
            </w:pPr>
            <w:r>
              <w:rPr>
                <w:color w:val="auto"/>
              </w:rPr>
              <w:t>3</w:t>
            </w:r>
          </w:p>
        </w:tc>
        <w:tc>
          <w:tcPr>
            <w:tcW w:w="1143" w:type="pct"/>
            <w:tcBorders>
              <w:top w:val="nil"/>
              <w:left w:val="nil"/>
              <w:bottom w:val="single" w:color="auto" w:sz="4" w:space="0"/>
              <w:right w:val="single" w:color="auto" w:sz="4" w:space="0"/>
            </w:tcBorders>
            <w:noWrap/>
            <w:vAlign w:val="center"/>
          </w:tcPr>
          <w:p w14:paraId="318B9CF2">
            <w:pPr>
              <w:pStyle w:val="30"/>
              <w:bidi w:val="0"/>
              <w:rPr>
                <w:color w:val="auto"/>
              </w:rPr>
            </w:pPr>
            <w:r>
              <w:rPr>
                <w:rFonts w:hint="eastAsia"/>
                <w:color w:val="auto"/>
              </w:rPr>
              <w:t>螺旋分级机</w:t>
            </w:r>
          </w:p>
        </w:tc>
        <w:tc>
          <w:tcPr>
            <w:tcW w:w="1320" w:type="pct"/>
            <w:tcBorders>
              <w:top w:val="nil"/>
              <w:left w:val="nil"/>
              <w:bottom w:val="single" w:color="auto" w:sz="4" w:space="0"/>
              <w:right w:val="single" w:color="auto" w:sz="4" w:space="0"/>
            </w:tcBorders>
            <w:noWrap/>
            <w:vAlign w:val="center"/>
          </w:tcPr>
          <w:p w14:paraId="5410C123">
            <w:pPr>
              <w:pStyle w:val="30"/>
              <w:bidi w:val="0"/>
              <w:rPr>
                <w:color w:val="auto"/>
              </w:rPr>
            </w:pPr>
            <w:r>
              <w:rPr>
                <w:color w:val="auto"/>
              </w:rPr>
              <w:t>Φ</w:t>
            </w:r>
            <w:r>
              <w:rPr>
                <w:rFonts w:hint="eastAsia"/>
                <w:color w:val="auto"/>
              </w:rPr>
              <w:t>30</w:t>
            </w:r>
            <w:r>
              <w:rPr>
                <w:color w:val="auto"/>
              </w:rPr>
              <w:t>0</w:t>
            </w:r>
          </w:p>
        </w:tc>
        <w:tc>
          <w:tcPr>
            <w:tcW w:w="419" w:type="pct"/>
            <w:tcBorders>
              <w:top w:val="nil"/>
              <w:left w:val="nil"/>
              <w:bottom w:val="single" w:color="auto" w:sz="4" w:space="0"/>
              <w:right w:val="single" w:color="auto" w:sz="4" w:space="0"/>
            </w:tcBorders>
            <w:noWrap/>
            <w:vAlign w:val="center"/>
          </w:tcPr>
          <w:p w14:paraId="21CE31A9">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7E53E0FB">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72EAED0C">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3994ECE8">
            <w:pPr>
              <w:pStyle w:val="30"/>
              <w:bidi w:val="0"/>
              <w:rPr>
                <w:color w:val="auto"/>
              </w:rPr>
            </w:pPr>
            <w:r>
              <w:rPr>
                <w:rFonts w:hint="eastAsia"/>
                <w:color w:val="auto"/>
                <w:lang w:val="en-US" w:eastAsia="zh-CN"/>
              </w:rPr>
              <w:t>利旧</w:t>
            </w:r>
          </w:p>
        </w:tc>
      </w:tr>
      <w:tr w14:paraId="2D12C71E">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469F8418">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709B552C">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121F6BA1">
            <w:pPr>
              <w:pStyle w:val="30"/>
              <w:bidi w:val="0"/>
              <w:rPr>
                <w:color w:val="auto"/>
              </w:rPr>
            </w:pPr>
            <w:r>
              <w:rPr>
                <w:color w:val="auto"/>
              </w:rPr>
              <w:t>F=1.5kw</w:t>
            </w:r>
          </w:p>
        </w:tc>
        <w:tc>
          <w:tcPr>
            <w:tcW w:w="419" w:type="pct"/>
            <w:tcBorders>
              <w:top w:val="nil"/>
              <w:left w:val="nil"/>
              <w:bottom w:val="single" w:color="auto" w:sz="4" w:space="0"/>
              <w:right w:val="single" w:color="auto" w:sz="4" w:space="0"/>
            </w:tcBorders>
            <w:noWrap/>
            <w:vAlign w:val="center"/>
          </w:tcPr>
          <w:p w14:paraId="5A70AFAA">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30100518">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71A0389E">
            <w:pPr>
              <w:pStyle w:val="30"/>
              <w:bidi w:val="0"/>
              <w:rPr>
                <w:color w:val="auto"/>
              </w:rPr>
            </w:pPr>
            <w:r>
              <w:rPr>
                <w:color w:val="auto"/>
              </w:rPr>
              <w:t>3</w:t>
            </w:r>
          </w:p>
        </w:tc>
        <w:tc>
          <w:tcPr>
            <w:tcW w:w="536" w:type="pct"/>
            <w:tcBorders>
              <w:top w:val="nil"/>
              <w:left w:val="nil"/>
              <w:bottom w:val="single" w:color="auto" w:sz="4" w:space="0"/>
              <w:right w:val="single" w:color="auto" w:sz="4" w:space="0"/>
            </w:tcBorders>
            <w:noWrap/>
            <w:vAlign w:val="center"/>
          </w:tcPr>
          <w:p w14:paraId="2AA8E981">
            <w:pPr>
              <w:pStyle w:val="30"/>
              <w:bidi w:val="0"/>
              <w:rPr>
                <w:color w:val="auto"/>
              </w:rPr>
            </w:pPr>
          </w:p>
        </w:tc>
      </w:tr>
      <w:tr w14:paraId="38FF2B92">
        <w:tblPrEx>
          <w:tblCellMar>
            <w:top w:w="0" w:type="dxa"/>
            <w:left w:w="108" w:type="dxa"/>
            <w:bottom w:w="0" w:type="dxa"/>
            <w:right w:w="108" w:type="dxa"/>
          </w:tblCellMar>
        </w:tblPrEx>
        <w:trPr>
          <w:trHeight w:val="397" w:hRule="atLeast"/>
        </w:trPr>
        <w:tc>
          <w:tcPr>
            <w:tcW w:w="5000" w:type="pct"/>
            <w:gridSpan w:val="7"/>
            <w:tcBorders>
              <w:top w:val="single" w:color="auto" w:sz="4" w:space="0"/>
              <w:left w:val="single" w:color="auto" w:sz="4" w:space="0"/>
              <w:bottom w:val="single" w:color="auto" w:sz="4" w:space="0"/>
              <w:right w:val="single" w:color="auto" w:sz="4" w:space="0"/>
            </w:tcBorders>
            <w:noWrap/>
            <w:vAlign w:val="center"/>
          </w:tcPr>
          <w:p w14:paraId="446D87CA">
            <w:pPr>
              <w:pStyle w:val="30"/>
              <w:bidi w:val="0"/>
              <w:rPr>
                <w:b/>
                <w:bCs/>
                <w:color w:val="auto"/>
              </w:rPr>
            </w:pPr>
            <w:r>
              <w:rPr>
                <w:rFonts w:hint="eastAsia"/>
                <w:b/>
                <w:bCs/>
                <w:color w:val="auto"/>
              </w:rPr>
              <w:t>三、浮选工序</w:t>
            </w:r>
          </w:p>
        </w:tc>
      </w:tr>
      <w:tr w14:paraId="75D29030">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30375C0D">
            <w:pPr>
              <w:pStyle w:val="30"/>
              <w:bidi w:val="0"/>
              <w:rPr>
                <w:color w:val="auto"/>
              </w:rPr>
            </w:pPr>
            <w:r>
              <w:rPr>
                <w:color w:val="auto"/>
              </w:rPr>
              <w:t>1</w:t>
            </w:r>
          </w:p>
        </w:tc>
        <w:tc>
          <w:tcPr>
            <w:tcW w:w="1143" w:type="pct"/>
            <w:tcBorders>
              <w:top w:val="nil"/>
              <w:left w:val="nil"/>
              <w:bottom w:val="single" w:color="auto" w:sz="4" w:space="0"/>
              <w:right w:val="single" w:color="auto" w:sz="4" w:space="0"/>
            </w:tcBorders>
            <w:noWrap/>
            <w:vAlign w:val="center"/>
          </w:tcPr>
          <w:p w14:paraId="56D33AA9">
            <w:pPr>
              <w:pStyle w:val="30"/>
              <w:bidi w:val="0"/>
              <w:rPr>
                <w:color w:val="auto"/>
              </w:rPr>
            </w:pPr>
            <w:r>
              <w:rPr>
                <w:rFonts w:hint="eastAsia"/>
                <w:color w:val="auto"/>
              </w:rPr>
              <w:t>搅拌槽</w:t>
            </w:r>
          </w:p>
        </w:tc>
        <w:tc>
          <w:tcPr>
            <w:tcW w:w="1320" w:type="pct"/>
            <w:tcBorders>
              <w:top w:val="nil"/>
              <w:left w:val="nil"/>
              <w:bottom w:val="single" w:color="auto" w:sz="4" w:space="0"/>
              <w:right w:val="single" w:color="auto" w:sz="4" w:space="0"/>
            </w:tcBorders>
            <w:noWrap/>
            <w:vAlign w:val="center"/>
          </w:tcPr>
          <w:p w14:paraId="007E3A5E">
            <w:pPr>
              <w:pStyle w:val="30"/>
              <w:bidi w:val="0"/>
              <w:rPr>
                <w:color w:val="auto"/>
              </w:rPr>
            </w:pPr>
            <w:r>
              <w:rPr>
                <w:color w:val="auto"/>
              </w:rPr>
              <w:t>φ1500×1000</w:t>
            </w:r>
          </w:p>
        </w:tc>
        <w:tc>
          <w:tcPr>
            <w:tcW w:w="419" w:type="pct"/>
            <w:tcBorders>
              <w:top w:val="nil"/>
              <w:left w:val="nil"/>
              <w:bottom w:val="single" w:color="auto" w:sz="4" w:space="0"/>
              <w:right w:val="single" w:color="auto" w:sz="4" w:space="0"/>
            </w:tcBorders>
            <w:noWrap/>
            <w:vAlign w:val="center"/>
          </w:tcPr>
          <w:p w14:paraId="0591DAE1">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47869C17">
            <w:pPr>
              <w:pStyle w:val="30"/>
              <w:bidi w:val="0"/>
              <w:rPr>
                <w:color w:val="auto"/>
              </w:rPr>
            </w:pPr>
            <w:r>
              <w:rPr>
                <w:color w:val="auto"/>
              </w:rPr>
              <w:t>1</w:t>
            </w:r>
          </w:p>
        </w:tc>
        <w:tc>
          <w:tcPr>
            <w:tcW w:w="755" w:type="pct"/>
            <w:tcBorders>
              <w:top w:val="nil"/>
              <w:left w:val="nil"/>
              <w:bottom w:val="single" w:color="auto" w:sz="4" w:space="0"/>
              <w:right w:val="single" w:color="auto" w:sz="4" w:space="0"/>
            </w:tcBorders>
            <w:noWrap/>
            <w:vAlign w:val="center"/>
          </w:tcPr>
          <w:p w14:paraId="121F0618">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4B3971E1">
            <w:pPr>
              <w:pStyle w:val="30"/>
              <w:bidi w:val="0"/>
              <w:rPr>
                <w:color w:val="auto"/>
              </w:rPr>
            </w:pPr>
            <w:r>
              <w:rPr>
                <w:rFonts w:hint="eastAsia"/>
                <w:color w:val="auto"/>
                <w:lang w:val="en-US" w:eastAsia="zh-CN"/>
              </w:rPr>
              <w:t>利旧</w:t>
            </w:r>
          </w:p>
        </w:tc>
      </w:tr>
      <w:tr w14:paraId="7B3E86A0">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29F27E45">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56E2E838">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59F38D4D">
            <w:pPr>
              <w:pStyle w:val="30"/>
              <w:bidi w:val="0"/>
              <w:rPr>
                <w:color w:val="auto"/>
              </w:rPr>
            </w:pPr>
            <w:r>
              <w:rPr>
                <w:color w:val="auto"/>
              </w:rPr>
              <w:t>F=11kw</w:t>
            </w:r>
          </w:p>
        </w:tc>
        <w:tc>
          <w:tcPr>
            <w:tcW w:w="419" w:type="pct"/>
            <w:tcBorders>
              <w:top w:val="nil"/>
              <w:left w:val="nil"/>
              <w:bottom w:val="single" w:color="auto" w:sz="4" w:space="0"/>
              <w:right w:val="single" w:color="auto" w:sz="4" w:space="0"/>
            </w:tcBorders>
            <w:noWrap/>
            <w:vAlign w:val="center"/>
          </w:tcPr>
          <w:p w14:paraId="6F809E75">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344BE664">
            <w:pPr>
              <w:pStyle w:val="30"/>
              <w:bidi w:val="0"/>
              <w:rPr>
                <w:color w:val="auto"/>
              </w:rPr>
            </w:pPr>
            <w:r>
              <w:rPr>
                <w:color w:val="auto"/>
              </w:rPr>
              <w:t>1</w:t>
            </w:r>
          </w:p>
        </w:tc>
        <w:tc>
          <w:tcPr>
            <w:tcW w:w="755" w:type="pct"/>
            <w:tcBorders>
              <w:top w:val="nil"/>
              <w:left w:val="nil"/>
              <w:bottom w:val="single" w:color="auto" w:sz="4" w:space="0"/>
              <w:right w:val="single" w:color="auto" w:sz="4" w:space="0"/>
            </w:tcBorders>
            <w:noWrap/>
            <w:vAlign w:val="center"/>
          </w:tcPr>
          <w:p w14:paraId="5ED255C8">
            <w:pPr>
              <w:pStyle w:val="30"/>
              <w:bidi w:val="0"/>
              <w:rPr>
                <w:color w:val="auto"/>
              </w:rPr>
            </w:pPr>
            <w:r>
              <w:rPr>
                <w:color w:val="auto"/>
              </w:rPr>
              <w:t>11</w:t>
            </w:r>
          </w:p>
        </w:tc>
        <w:tc>
          <w:tcPr>
            <w:tcW w:w="536" w:type="pct"/>
            <w:tcBorders>
              <w:top w:val="nil"/>
              <w:left w:val="nil"/>
              <w:bottom w:val="single" w:color="auto" w:sz="4" w:space="0"/>
              <w:right w:val="single" w:color="auto" w:sz="4" w:space="0"/>
            </w:tcBorders>
            <w:noWrap/>
            <w:vAlign w:val="center"/>
          </w:tcPr>
          <w:p w14:paraId="4631B020">
            <w:pPr>
              <w:pStyle w:val="30"/>
              <w:bidi w:val="0"/>
              <w:rPr>
                <w:color w:val="auto"/>
              </w:rPr>
            </w:pPr>
          </w:p>
        </w:tc>
      </w:tr>
      <w:tr w14:paraId="4608704B">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28BFA183">
            <w:pPr>
              <w:pStyle w:val="30"/>
              <w:bidi w:val="0"/>
              <w:rPr>
                <w:color w:val="auto"/>
              </w:rPr>
            </w:pPr>
            <w:r>
              <w:rPr>
                <w:color w:val="auto"/>
              </w:rPr>
              <w:t>4</w:t>
            </w:r>
          </w:p>
        </w:tc>
        <w:tc>
          <w:tcPr>
            <w:tcW w:w="1143" w:type="pct"/>
            <w:tcBorders>
              <w:top w:val="nil"/>
              <w:left w:val="nil"/>
              <w:bottom w:val="single" w:color="auto" w:sz="4" w:space="0"/>
              <w:right w:val="single" w:color="auto" w:sz="4" w:space="0"/>
            </w:tcBorders>
            <w:noWrap/>
            <w:vAlign w:val="center"/>
          </w:tcPr>
          <w:p w14:paraId="5AA3DBF4">
            <w:pPr>
              <w:pStyle w:val="30"/>
              <w:bidi w:val="0"/>
              <w:rPr>
                <w:color w:val="auto"/>
              </w:rPr>
            </w:pPr>
            <w:r>
              <w:rPr>
                <w:rFonts w:hint="eastAsia"/>
                <w:color w:val="auto"/>
              </w:rPr>
              <w:t>浮选机</w:t>
            </w:r>
          </w:p>
        </w:tc>
        <w:tc>
          <w:tcPr>
            <w:tcW w:w="1320" w:type="pct"/>
            <w:tcBorders>
              <w:top w:val="nil"/>
              <w:left w:val="nil"/>
              <w:bottom w:val="single" w:color="auto" w:sz="4" w:space="0"/>
              <w:right w:val="single" w:color="auto" w:sz="4" w:space="0"/>
            </w:tcBorders>
            <w:noWrap/>
            <w:vAlign w:val="center"/>
          </w:tcPr>
          <w:p w14:paraId="5B3A16C6">
            <w:pPr>
              <w:pStyle w:val="30"/>
              <w:bidi w:val="0"/>
              <w:rPr>
                <w:color w:val="auto"/>
              </w:rPr>
            </w:pPr>
            <w:r>
              <w:rPr>
                <w:color w:val="auto"/>
              </w:rPr>
              <w:t>SF-2.8</w:t>
            </w:r>
          </w:p>
        </w:tc>
        <w:tc>
          <w:tcPr>
            <w:tcW w:w="419" w:type="pct"/>
            <w:tcBorders>
              <w:top w:val="nil"/>
              <w:left w:val="nil"/>
              <w:bottom w:val="single" w:color="auto" w:sz="4" w:space="0"/>
              <w:right w:val="single" w:color="auto" w:sz="4" w:space="0"/>
            </w:tcBorders>
            <w:noWrap/>
            <w:vAlign w:val="center"/>
          </w:tcPr>
          <w:p w14:paraId="5E88A2CA">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3AD9F8B3">
            <w:pPr>
              <w:pStyle w:val="30"/>
              <w:bidi w:val="0"/>
              <w:rPr>
                <w:color w:val="auto"/>
              </w:rPr>
            </w:pPr>
            <w:r>
              <w:rPr>
                <w:color w:val="auto"/>
              </w:rPr>
              <w:t>6</w:t>
            </w:r>
          </w:p>
        </w:tc>
        <w:tc>
          <w:tcPr>
            <w:tcW w:w="755" w:type="pct"/>
            <w:tcBorders>
              <w:top w:val="nil"/>
              <w:left w:val="nil"/>
              <w:bottom w:val="single" w:color="auto" w:sz="4" w:space="0"/>
              <w:right w:val="single" w:color="auto" w:sz="4" w:space="0"/>
            </w:tcBorders>
            <w:noWrap/>
            <w:vAlign w:val="center"/>
          </w:tcPr>
          <w:p w14:paraId="5726B248">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02926A66">
            <w:pPr>
              <w:pStyle w:val="30"/>
              <w:bidi w:val="0"/>
              <w:rPr>
                <w:color w:val="auto"/>
              </w:rPr>
            </w:pPr>
            <w:r>
              <w:rPr>
                <w:rFonts w:hint="eastAsia"/>
                <w:color w:val="auto"/>
                <w:lang w:val="en-US" w:eastAsia="zh-CN"/>
              </w:rPr>
              <w:t>利旧</w:t>
            </w:r>
          </w:p>
        </w:tc>
      </w:tr>
      <w:tr w14:paraId="1E5CF9CA">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4CC8D1A7">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4F1FCD6E">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1218E608">
            <w:pPr>
              <w:pStyle w:val="30"/>
              <w:bidi w:val="0"/>
              <w:rPr>
                <w:color w:val="auto"/>
              </w:rPr>
            </w:pPr>
            <w:r>
              <w:rPr>
                <w:color w:val="auto"/>
              </w:rPr>
              <w:t>F=11kw</w:t>
            </w:r>
          </w:p>
        </w:tc>
        <w:tc>
          <w:tcPr>
            <w:tcW w:w="419" w:type="pct"/>
            <w:tcBorders>
              <w:top w:val="nil"/>
              <w:left w:val="nil"/>
              <w:bottom w:val="single" w:color="auto" w:sz="4" w:space="0"/>
              <w:right w:val="single" w:color="auto" w:sz="4" w:space="0"/>
            </w:tcBorders>
            <w:noWrap/>
            <w:vAlign w:val="center"/>
          </w:tcPr>
          <w:p w14:paraId="603D780D">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31337EF0">
            <w:pPr>
              <w:pStyle w:val="30"/>
              <w:bidi w:val="0"/>
              <w:rPr>
                <w:color w:val="auto"/>
              </w:rPr>
            </w:pPr>
            <w:r>
              <w:rPr>
                <w:color w:val="auto"/>
              </w:rPr>
              <w:t>6</w:t>
            </w:r>
          </w:p>
        </w:tc>
        <w:tc>
          <w:tcPr>
            <w:tcW w:w="755" w:type="pct"/>
            <w:tcBorders>
              <w:top w:val="nil"/>
              <w:left w:val="nil"/>
              <w:bottom w:val="single" w:color="auto" w:sz="4" w:space="0"/>
              <w:right w:val="single" w:color="auto" w:sz="4" w:space="0"/>
            </w:tcBorders>
            <w:noWrap/>
            <w:vAlign w:val="center"/>
          </w:tcPr>
          <w:p w14:paraId="1F998C77">
            <w:pPr>
              <w:pStyle w:val="30"/>
              <w:bidi w:val="0"/>
              <w:rPr>
                <w:color w:val="auto"/>
              </w:rPr>
            </w:pPr>
            <w:r>
              <w:rPr>
                <w:color w:val="auto"/>
              </w:rPr>
              <w:t>66</w:t>
            </w:r>
          </w:p>
        </w:tc>
        <w:tc>
          <w:tcPr>
            <w:tcW w:w="536" w:type="pct"/>
            <w:tcBorders>
              <w:top w:val="nil"/>
              <w:left w:val="nil"/>
              <w:bottom w:val="single" w:color="auto" w:sz="4" w:space="0"/>
              <w:right w:val="single" w:color="auto" w:sz="4" w:space="0"/>
            </w:tcBorders>
            <w:noWrap/>
            <w:vAlign w:val="center"/>
          </w:tcPr>
          <w:p w14:paraId="60AE6B73">
            <w:pPr>
              <w:pStyle w:val="30"/>
              <w:bidi w:val="0"/>
              <w:rPr>
                <w:color w:val="auto"/>
              </w:rPr>
            </w:pPr>
          </w:p>
        </w:tc>
      </w:tr>
      <w:tr w14:paraId="1E45CD63">
        <w:tblPrEx>
          <w:tblCellMar>
            <w:top w:w="0" w:type="dxa"/>
            <w:left w:w="108" w:type="dxa"/>
            <w:bottom w:w="0" w:type="dxa"/>
            <w:right w:w="108" w:type="dxa"/>
          </w:tblCellMar>
        </w:tblPrEx>
        <w:trPr>
          <w:trHeight w:val="397" w:hRule="atLeast"/>
        </w:trPr>
        <w:tc>
          <w:tcPr>
            <w:tcW w:w="5000" w:type="pct"/>
            <w:gridSpan w:val="7"/>
            <w:tcBorders>
              <w:top w:val="single" w:color="auto" w:sz="4" w:space="0"/>
              <w:left w:val="single" w:color="auto" w:sz="4" w:space="0"/>
              <w:bottom w:val="single" w:color="auto" w:sz="4" w:space="0"/>
              <w:right w:val="single" w:color="auto" w:sz="4" w:space="0"/>
            </w:tcBorders>
            <w:noWrap/>
            <w:vAlign w:val="center"/>
          </w:tcPr>
          <w:p w14:paraId="6FE77A25">
            <w:pPr>
              <w:pStyle w:val="30"/>
              <w:bidi w:val="0"/>
              <w:rPr>
                <w:b/>
                <w:bCs/>
                <w:color w:val="auto"/>
              </w:rPr>
            </w:pPr>
            <w:r>
              <w:rPr>
                <w:rFonts w:hint="eastAsia"/>
                <w:b/>
                <w:bCs/>
                <w:color w:val="auto"/>
              </w:rPr>
              <w:t>四、磁选工序</w:t>
            </w:r>
          </w:p>
        </w:tc>
      </w:tr>
      <w:tr w14:paraId="7B211720">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76E510D3">
            <w:pPr>
              <w:pStyle w:val="30"/>
              <w:bidi w:val="0"/>
              <w:rPr>
                <w:color w:val="auto"/>
              </w:rPr>
            </w:pPr>
            <w:r>
              <w:rPr>
                <w:color w:val="auto"/>
              </w:rPr>
              <w:t>1</w:t>
            </w:r>
          </w:p>
        </w:tc>
        <w:tc>
          <w:tcPr>
            <w:tcW w:w="1143" w:type="pct"/>
            <w:tcBorders>
              <w:top w:val="nil"/>
              <w:left w:val="nil"/>
              <w:bottom w:val="single" w:color="auto" w:sz="4" w:space="0"/>
              <w:right w:val="single" w:color="auto" w:sz="4" w:space="0"/>
            </w:tcBorders>
            <w:noWrap/>
            <w:vAlign w:val="center"/>
          </w:tcPr>
          <w:p w14:paraId="4CC361E4">
            <w:pPr>
              <w:pStyle w:val="30"/>
              <w:bidi w:val="0"/>
              <w:rPr>
                <w:color w:val="auto"/>
              </w:rPr>
            </w:pPr>
            <w:r>
              <w:rPr>
                <w:rFonts w:hint="eastAsia"/>
                <w:color w:val="auto"/>
              </w:rPr>
              <w:t>滚筒磁选机</w:t>
            </w:r>
          </w:p>
        </w:tc>
        <w:tc>
          <w:tcPr>
            <w:tcW w:w="1320" w:type="pct"/>
            <w:tcBorders>
              <w:top w:val="nil"/>
              <w:left w:val="nil"/>
              <w:bottom w:val="single" w:color="auto" w:sz="4" w:space="0"/>
              <w:right w:val="single" w:color="auto" w:sz="4" w:space="0"/>
            </w:tcBorders>
            <w:noWrap/>
            <w:vAlign w:val="center"/>
          </w:tcPr>
          <w:p w14:paraId="7E8F4FC0">
            <w:pPr>
              <w:pStyle w:val="30"/>
              <w:bidi w:val="0"/>
              <w:rPr>
                <w:color w:val="auto"/>
              </w:rPr>
            </w:pPr>
            <w:r>
              <w:rPr>
                <w:color w:val="auto"/>
              </w:rPr>
              <w:t>CTB-900*1800</w:t>
            </w:r>
          </w:p>
        </w:tc>
        <w:tc>
          <w:tcPr>
            <w:tcW w:w="419" w:type="pct"/>
            <w:tcBorders>
              <w:top w:val="nil"/>
              <w:left w:val="nil"/>
              <w:bottom w:val="single" w:color="auto" w:sz="4" w:space="0"/>
              <w:right w:val="single" w:color="auto" w:sz="4" w:space="0"/>
            </w:tcBorders>
            <w:noWrap/>
            <w:vAlign w:val="center"/>
          </w:tcPr>
          <w:p w14:paraId="5AF3767A">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49151EBB">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4A48C1CD">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643FB574">
            <w:pPr>
              <w:pStyle w:val="30"/>
              <w:bidi w:val="0"/>
              <w:rPr>
                <w:color w:val="auto"/>
              </w:rPr>
            </w:pPr>
            <w:r>
              <w:rPr>
                <w:rFonts w:hint="eastAsia"/>
                <w:color w:val="auto"/>
                <w:lang w:val="en-US" w:eastAsia="zh-CN"/>
              </w:rPr>
              <w:t>利旧</w:t>
            </w:r>
          </w:p>
        </w:tc>
      </w:tr>
      <w:tr w14:paraId="3D3D8DBF">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3F812DB9">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59C3D8DD">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49637B23">
            <w:pPr>
              <w:pStyle w:val="30"/>
              <w:bidi w:val="0"/>
              <w:rPr>
                <w:color w:val="auto"/>
              </w:rPr>
            </w:pPr>
            <w:r>
              <w:rPr>
                <w:color w:val="auto"/>
              </w:rPr>
              <w:t>F=4kw</w:t>
            </w:r>
          </w:p>
        </w:tc>
        <w:tc>
          <w:tcPr>
            <w:tcW w:w="419" w:type="pct"/>
            <w:tcBorders>
              <w:top w:val="nil"/>
              <w:left w:val="nil"/>
              <w:bottom w:val="single" w:color="auto" w:sz="4" w:space="0"/>
              <w:right w:val="single" w:color="auto" w:sz="4" w:space="0"/>
            </w:tcBorders>
            <w:noWrap/>
            <w:vAlign w:val="center"/>
          </w:tcPr>
          <w:p w14:paraId="0877DA4A">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78FE03EC">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43E97A08">
            <w:pPr>
              <w:pStyle w:val="30"/>
              <w:bidi w:val="0"/>
              <w:rPr>
                <w:color w:val="auto"/>
              </w:rPr>
            </w:pPr>
            <w:r>
              <w:rPr>
                <w:color w:val="auto"/>
              </w:rPr>
              <w:t>8</w:t>
            </w:r>
          </w:p>
        </w:tc>
        <w:tc>
          <w:tcPr>
            <w:tcW w:w="536" w:type="pct"/>
            <w:tcBorders>
              <w:top w:val="nil"/>
              <w:left w:val="nil"/>
              <w:bottom w:val="single" w:color="auto" w:sz="4" w:space="0"/>
              <w:right w:val="single" w:color="auto" w:sz="4" w:space="0"/>
            </w:tcBorders>
            <w:noWrap/>
            <w:vAlign w:val="center"/>
          </w:tcPr>
          <w:p w14:paraId="6EFB6423">
            <w:pPr>
              <w:pStyle w:val="30"/>
              <w:bidi w:val="0"/>
              <w:rPr>
                <w:color w:val="auto"/>
              </w:rPr>
            </w:pPr>
          </w:p>
        </w:tc>
      </w:tr>
      <w:tr w14:paraId="7295CBB7">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7D73BC1D">
            <w:pPr>
              <w:pStyle w:val="30"/>
              <w:bidi w:val="0"/>
              <w:rPr>
                <w:color w:val="auto"/>
              </w:rPr>
            </w:pPr>
            <w:r>
              <w:rPr>
                <w:color w:val="auto"/>
              </w:rPr>
              <w:t>2</w:t>
            </w:r>
          </w:p>
        </w:tc>
        <w:tc>
          <w:tcPr>
            <w:tcW w:w="1143" w:type="pct"/>
            <w:tcBorders>
              <w:top w:val="nil"/>
              <w:left w:val="nil"/>
              <w:bottom w:val="single" w:color="auto" w:sz="4" w:space="0"/>
              <w:right w:val="single" w:color="auto" w:sz="4" w:space="0"/>
            </w:tcBorders>
            <w:noWrap/>
            <w:vAlign w:val="center"/>
          </w:tcPr>
          <w:p w14:paraId="5C049BAB">
            <w:pPr>
              <w:pStyle w:val="30"/>
              <w:bidi w:val="0"/>
              <w:rPr>
                <w:color w:val="auto"/>
              </w:rPr>
            </w:pPr>
            <w:r>
              <w:rPr>
                <w:rFonts w:hint="eastAsia"/>
                <w:color w:val="auto"/>
              </w:rPr>
              <w:t>砂浆泵</w:t>
            </w:r>
          </w:p>
        </w:tc>
        <w:tc>
          <w:tcPr>
            <w:tcW w:w="1320" w:type="pct"/>
            <w:tcBorders>
              <w:top w:val="nil"/>
              <w:left w:val="nil"/>
              <w:bottom w:val="single" w:color="auto" w:sz="4" w:space="0"/>
              <w:right w:val="single" w:color="auto" w:sz="4" w:space="0"/>
            </w:tcBorders>
            <w:noWrap/>
            <w:vAlign w:val="center"/>
          </w:tcPr>
          <w:p w14:paraId="37D4E822">
            <w:pPr>
              <w:pStyle w:val="30"/>
              <w:bidi w:val="0"/>
              <w:rPr>
                <w:color w:val="auto"/>
              </w:rPr>
            </w:pPr>
            <w:r>
              <w:rPr>
                <w:color w:val="auto"/>
              </w:rPr>
              <w:t>Q=20m</w:t>
            </w:r>
            <w:r>
              <w:rPr>
                <w:color w:val="auto"/>
                <w:vertAlign w:val="superscript"/>
              </w:rPr>
              <w:t>3</w:t>
            </w:r>
            <w:r>
              <w:rPr>
                <w:color w:val="auto"/>
              </w:rPr>
              <w:t>/h</w:t>
            </w:r>
            <w:r>
              <w:rPr>
                <w:rFonts w:hint="eastAsia"/>
                <w:color w:val="auto"/>
              </w:rPr>
              <w:t>，</w:t>
            </w:r>
            <w:r>
              <w:rPr>
                <w:color w:val="auto"/>
              </w:rPr>
              <w:t>H=15m</w:t>
            </w:r>
          </w:p>
        </w:tc>
        <w:tc>
          <w:tcPr>
            <w:tcW w:w="419" w:type="pct"/>
            <w:tcBorders>
              <w:top w:val="nil"/>
              <w:left w:val="nil"/>
              <w:bottom w:val="single" w:color="auto" w:sz="4" w:space="0"/>
              <w:right w:val="single" w:color="auto" w:sz="4" w:space="0"/>
            </w:tcBorders>
            <w:noWrap/>
            <w:vAlign w:val="center"/>
          </w:tcPr>
          <w:p w14:paraId="7DDA213C">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343A068A">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3119ACD5">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410832E8">
            <w:pPr>
              <w:pStyle w:val="30"/>
              <w:bidi w:val="0"/>
              <w:rPr>
                <w:color w:val="auto"/>
              </w:rPr>
            </w:pPr>
            <w:r>
              <w:rPr>
                <w:rFonts w:hint="eastAsia"/>
                <w:color w:val="auto"/>
                <w:lang w:val="en-US" w:eastAsia="zh-CN"/>
              </w:rPr>
              <w:t>利旧</w:t>
            </w:r>
          </w:p>
        </w:tc>
      </w:tr>
      <w:tr w14:paraId="097A78CE">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77B518B9">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79826B1D">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1B5425C2">
            <w:pPr>
              <w:pStyle w:val="30"/>
              <w:bidi w:val="0"/>
              <w:rPr>
                <w:color w:val="auto"/>
              </w:rPr>
            </w:pPr>
            <w:r>
              <w:rPr>
                <w:color w:val="auto"/>
              </w:rPr>
              <w:t>N=5.5kw</w:t>
            </w:r>
          </w:p>
        </w:tc>
        <w:tc>
          <w:tcPr>
            <w:tcW w:w="419" w:type="pct"/>
            <w:tcBorders>
              <w:top w:val="nil"/>
              <w:left w:val="nil"/>
              <w:bottom w:val="single" w:color="auto" w:sz="4" w:space="0"/>
              <w:right w:val="single" w:color="auto" w:sz="4" w:space="0"/>
            </w:tcBorders>
            <w:noWrap/>
            <w:vAlign w:val="center"/>
          </w:tcPr>
          <w:p w14:paraId="06393E73">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5D1D7361">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4DE03385">
            <w:pPr>
              <w:pStyle w:val="30"/>
              <w:bidi w:val="0"/>
              <w:rPr>
                <w:color w:val="auto"/>
              </w:rPr>
            </w:pPr>
            <w:r>
              <w:rPr>
                <w:color w:val="auto"/>
              </w:rPr>
              <w:t>11</w:t>
            </w:r>
          </w:p>
        </w:tc>
        <w:tc>
          <w:tcPr>
            <w:tcW w:w="536" w:type="pct"/>
            <w:tcBorders>
              <w:top w:val="nil"/>
              <w:left w:val="nil"/>
              <w:bottom w:val="single" w:color="auto" w:sz="4" w:space="0"/>
              <w:right w:val="single" w:color="auto" w:sz="4" w:space="0"/>
            </w:tcBorders>
            <w:noWrap/>
            <w:vAlign w:val="center"/>
          </w:tcPr>
          <w:p w14:paraId="2D2542A5">
            <w:pPr>
              <w:pStyle w:val="30"/>
              <w:bidi w:val="0"/>
              <w:rPr>
                <w:color w:val="auto"/>
              </w:rPr>
            </w:pPr>
          </w:p>
        </w:tc>
      </w:tr>
      <w:tr w14:paraId="54EEB585">
        <w:tblPrEx>
          <w:tblCellMar>
            <w:top w:w="0" w:type="dxa"/>
            <w:left w:w="108" w:type="dxa"/>
            <w:bottom w:w="0" w:type="dxa"/>
            <w:right w:w="108" w:type="dxa"/>
          </w:tblCellMar>
        </w:tblPrEx>
        <w:trPr>
          <w:trHeight w:val="397" w:hRule="atLeast"/>
        </w:trPr>
        <w:tc>
          <w:tcPr>
            <w:tcW w:w="5000" w:type="pct"/>
            <w:gridSpan w:val="7"/>
            <w:tcBorders>
              <w:top w:val="single" w:color="auto" w:sz="4" w:space="0"/>
              <w:left w:val="single" w:color="auto" w:sz="4" w:space="0"/>
              <w:bottom w:val="single" w:color="auto" w:sz="4" w:space="0"/>
              <w:right w:val="single" w:color="auto" w:sz="4" w:space="0"/>
            </w:tcBorders>
            <w:noWrap/>
            <w:vAlign w:val="center"/>
          </w:tcPr>
          <w:p w14:paraId="3A79278A">
            <w:pPr>
              <w:pStyle w:val="30"/>
              <w:bidi w:val="0"/>
              <w:rPr>
                <w:b/>
                <w:bCs/>
                <w:color w:val="auto"/>
              </w:rPr>
            </w:pPr>
            <w:r>
              <w:rPr>
                <w:rFonts w:hint="eastAsia"/>
                <w:b/>
                <w:bCs/>
                <w:color w:val="auto"/>
              </w:rPr>
              <w:t>五、精矿脱水车间</w:t>
            </w:r>
          </w:p>
        </w:tc>
      </w:tr>
      <w:tr w14:paraId="5B12F026">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64B687BB">
            <w:pPr>
              <w:pStyle w:val="30"/>
              <w:bidi w:val="0"/>
              <w:rPr>
                <w:color w:val="auto"/>
              </w:rPr>
            </w:pPr>
            <w:r>
              <w:rPr>
                <w:color w:val="auto"/>
              </w:rPr>
              <w:t>1</w:t>
            </w:r>
          </w:p>
        </w:tc>
        <w:tc>
          <w:tcPr>
            <w:tcW w:w="1143" w:type="pct"/>
            <w:tcBorders>
              <w:top w:val="nil"/>
              <w:left w:val="nil"/>
              <w:bottom w:val="single" w:color="auto" w:sz="4" w:space="0"/>
              <w:right w:val="single" w:color="auto" w:sz="4" w:space="0"/>
            </w:tcBorders>
            <w:noWrap/>
            <w:vAlign w:val="center"/>
          </w:tcPr>
          <w:p w14:paraId="4981F7A9">
            <w:pPr>
              <w:pStyle w:val="30"/>
              <w:bidi w:val="0"/>
              <w:rPr>
                <w:color w:val="auto"/>
              </w:rPr>
            </w:pPr>
            <w:r>
              <w:rPr>
                <w:rFonts w:hint="eastAsia"/>
                <w:color w:val="auto"/>
              </w:rPr>
              <w:t>压滤机</w:t>
            </w:r>
          </w:p>
        </w:tc>
        <w:tc>
          <w:tcPr>
            <w:tcW w:w="1320" w:type="pct"/>
            <w:tcBorders>
              <w:top w:val="nil"/>
              <w:left w:val="nil"/>
              <w:bottom w:val="single" w:color="auto" w:sz="4" w:space="0"/>
              <w:right w:val="single" w:color="auto" w:sz="4" w:space="0"/>
            </w:tcBorders>
            <w:noWrap/>
            <w:vAlign w:val="center"/>
          </w:tcPr>
          <w:p w14:paraId="1A06E95C">
            <w:pPr>
              <w:pStyle w:val="30"/>
              <w:bidi w:val="0"/>
              <w:rPr>
                <w:color w:val="auto"/>
              </w:rPr>
            </w:pPr>
            <w:r>
              <w:rPr>
                <w:color w:val="auto"/>
              </w:rPr>
              <w:t>125m</w:t>
            </w:r>
            <w:r>
              <w:rPr>
                <w:color w:val="auto"/>
                <w:vertAlign w:val="superscript"/>
              </w:rPr>
              <w:t>2</w:t>
            </w:r>
          </w:p>
        </w:tc>
        <w:tc>
          <w:tcPr>
            <w:tcW w:w="419" w:type="pct"/>
            <w:tcBorders>
              <w:top w:val="nil"/>
              <w:left w:val="nil"/>
              <w:bottom w:val="single" w:color="auto" w:sz="4" w:space="0"/>
              <w:right w:val="single" w:color="auto" w:sz="4" w:space="0"/>
            </w:tcBorders>
            <w:noWrap/>
            <w:vAlign w:val="center"/>
          </w:tcPr>
          <w:p w14:paraId="16333588">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45996458">
            <w:pPr>
              <w:pStyle w:val="30"/>
              <w:bidi w:val="0"/>
              <w:rPr>
                <w:color w:val="auto"/>
              </w:rPr>
            </w:pPr>
            <w:r>
              <w:rPr>
                <w:color w:val="auto"/>
              </w:rPr>
              <w:t>1</w:t>
            </w:r>
          </w:p>
        </w:tc>
        <w:tc>
          <w:tcPr>
            <w:tcW w:w="755" w:type="pct"/>
            <w:tcBorders>
              <w:top w:val="nil"/>
              <w:left w:val="nil"/>
              <w:bottom w:val="single" w:color="auto" w:sz="4" w:space="0"/>
              <w:right w:val="single" w:color="auto" w:sz="4" w:space="0"/>
            </w:tcBorders>
            <w:noWrap/>
            <w:vAlign w:val="center"/>
          </w:tcPr>
          <w:p w14:paraId="28AB57D1">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5054AA37">
            <w:pPr>
              <w:pStyle w:val="30"/>
              <w:bidi w:val="0"/>
              <w:rPr>
                <w:rFonts w:hint="eastAsia" w:eastAsia="宋体"/>
                <w:color w:val="auto"/>
                <w:lang w:val="en-US" w:eastAsia="zh-CN"/>
              </w:rPr>
            </w:pPr>
            <w:r>
              <w:rPr>
                <w:rFonts w:hint="eastAsia"/>
                <w:color w:val="auto"/>
                <w:lang w:val="en-US" w:eastAsia="zh-CN"/>
              </w:rPr>
              <w:t>新增</w:t>
            </w:r>
          </w:p>
        </w:tc>
      </w:tr>
      <w:tr w14:paraId="16F528B5">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0093B86D">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3E16E02D">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0EA2E921">
            <w:pPr>
              <w:pStyle w:val="30"/>
              <w:bidi w:val="0"/>
              <w:rPr>
                <w:color w:val="auto"/>
              </w:rPr>
            </w:pPr>
            <w:r>
              <w:rPr>
                <w:color w:val="auto"/>
              </w:rPr>
              <w:t>F=4kw</w:t>
            </w:r>
          </w:p>
        </w:tc>
        <w:tc>
          <w:tcPr>
            <w:tcW w:w="419" w:type="pct"/>
            <w:tcBorders>
              <w:top w:val="nil"/>
              <w:left w:val="nil"/>
              <w:bottom w:val="single" w:color="auto" w:sz="4" w:space="0"/>
              <w:right w:val="single" w:color="auto" w:sz="4" w:space="0"/>
            </w:tcBorders>
            <w:noWrap/>
            <w:vAlign w:val="center"/>
          </w:tcPr>
          <w:p w14:paraId="1AD66092">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2D4382C1">
            <w:pPr>
              <w:pStyle w:val="30"/>
              <w:bidi w:val="0"/>
              <w:rPr>
                <w:color w:val="auto"/>
              </w:rPr>
            </w:pPr>
            <w:r>
              <w:rPr>
                <w:color w:val="auto"/>
              </w:rPr>
              <w:t>1</w:t>
            </w:r>
          </w:p>
        </w:tc>
        <w:tc>
          <w:tcPr>
            <w:tcW w:w="755" w:type="pct"/>
            <w:tcBorders>
              <w:top w:val="nil"/>
              <w:left w:val="nil"/>
              <w:bottom w:val="single" w:color="auto" w:sz="4" w:space="0"/>
              <w:right w:val="single" w:color="auto" w:sz="4" w:space="0"/>
            </w:tcBorders>
            <w:noWrap/>
            <w:vAlign w:val="center"/>
          </w:tcPr>
          <w:p w14:paraId="11FBE50E">
            <w:pPr>
              <w:pStyle w:val="30"/>
              <w:bidi w:val="0"/>
              <w:rPr>
                <w:color w:val="auto"/>
              </w:rPr>
            </w:pPr>
            <w:r>
              <w:rPr>
                <w:color w:val="auto"/>
              </w:rPr>
              <w:t>4</w:t>
            </w:r>
          </w:p>
        </w:tc>
        <w:tc>
          <w:tcPr>
            <w:tcW w:w="536" w:type="pct"/>
            <w:tcBorders>
              <w:top w:val="nil"/>
              <w:left w:val="nil"/>
              <w:bottom w:val="single" w:color="auto" w:sz="4" w:space="0"/>
              <w:right w:val="single" w:color="auto" w:sz="4" w:space="0"/>
            </w:tcBorders>
            <w:noWrap/>
            <w:vAlign w:val="center"/>
          </w:tcPr>
          <w:p w14:paraId="078F13BF">
            <w:pPr>
              <w:pStyle w:val="30"/>
              <w:bidi w:val="0"/>
              <w:rPr>
                <w:color w:val="auto"/>
              </w:rPr>
            </w:pPr>
          </w:p>
        </w:tc>
      </w:tr>
      <w:tr w14:paraId="51B11B01">
        <w:tblPrEx>
          <w:tblCellMar>
            <w:top w:w="0" w:type="dxa"/>
            <w:left w:w="108" w:type="dxa"/>
            <w:bottom w:w="0" w:type="dxa"/>
            <w:right w:w="108" w:type="dxa"/>
          </w:tblCellMar>
        </w:tblPrEx>
        <w:trPr>
          <w:trHeight w:val="397" w:hRule="atLeast"/>
        </w:trPr>
        <w:tc>
          <w:tcPr>
            <w:tcW w:w="429" w:type="pct"/>
            <w:vMerge w:val="restart"/>
            <w:tcBorders>
              <w:top w:val="nil"/>
              <w:left w:val="single" w:color="auto" w:sz="4" w:space="0"/>
              <w:bottom w:val="single" w:color="auto" w:sz="4" w:space="0"/>
              <w:right w:val="single" w:color="auto" w:sz="4" w:space="0"/>
            </w:tcBorders>
            <w:noWrap/>
            <w:vAlign w:val="center"/>
          </w:tcPr>
          <w:p w14:paraId="56276292">
            <w:pPr>
              <w:pStyle w:val="30"/>
              <w:bidi w:val="0"/>
              <w:rPr>
                <w:color w:val="auto"/>
              </w:rPr>
            </w:pPr>
            <w:r>
              <w:rPr>
                <w:color w:val="auto"/>
              </w:rPr>
              <w:t>2</w:t>
            </w:r>
          </w:p>
        </w:tc>
        <w:tc>
          <w:tcPr>
            <w:tcW w:w="1143" w:type="pct"/>
            <w:tcBorders>
              <w:top w:val="nil"/>
              <w:left w:val="nil"/>
              <w:bottom w:val="single" w:color="auto" w:sz="4" w:space="0"/>
              <w:right w:val="single" w:color="auto" w:sz="4" w:space="0"/>
            </w:tcBorders>
            <w:noWrap/>
            <w:vAlign w:val="center"/>
          </w:tcPr>
          <w:p w14:paraId="3FFD6B6F">
            <w:pPr>
              <w:pStyle w:val="30"/>
              <w:bidi w:val="0"/>
              <w:rPr>
                <w:color w:val="auto"/>
              </w:rPr>
            </w:pPr>
            <w:r>
              <w:rPr>
                <w:rFonts w:hint="eastAsia"/>
                <w:color w:val="auto"/>
              </w:rPr>
              <w:t>矿浆输送泵</w:t>
            </w:r>
          </w:p>
        </w:tc>
        <w:tc>
          <w:tcPr>
            <w:tcW w:w="1320" w:type="pct"/>
            <w:tcBorders>
              <w:top w:val="nil"/>
              <w:left w:val="nil"/>
              <w:bottom w:val="single" w:color="auto" w:sz="4" w:space="0"/>
              <w:right w:val="single" w:color="auto" w:sz="4" w:space="0"/>
            </w:tcBorders>
            <w:noWrap/>
            <w:vAlign w:val="center"/>
          </w:tcPr>
          <w:p w14:paraId="780F467B">
            <w:pPr>
              <w:pStyle w:val="30"/>
              <w:bidi w:val="0"/>
              <w:rPr>
                <w:color w:val="auto"/>
              </w:rPr>
            </w:pPr>
            <w:r>
              <w:rPr>
                <w:rFonts w:hint="eastAsia"/>
                <w:color w:val="auto"/>
              </w:rPr>
              <w:t>　</w:t>
            </w:r>
            <w:r>
              <w:rPr>
                <w:color w:val="auto"/>
              </w:rPr>
              <w:t>Q=40m</w:t>
            </w:r>
            <w:r>
              <w:rPr>
                <w:color w:val="auto"/>
                <w:vertAlign w:val="superscript"/>
              </w:rPr>
              <w:t>3</w:t>
            </w:r>
            <w:r>
              <w:rPr>
                <w:color w:val="auto"/>
              </w:rPr>
              <w:t>/h</w:t>
            </w:r>
            <w:r>
              <w:rPr>
                <w:rFonts w:hint="eastAsia"/>
                <w:color w:val="auto"/>
              </w:rPr>
              <w:t>，</w:t>
            </w:r>
            <w:r>
              <w:rPr>
                <w:color w:val="auto"/>
              </w:rPr>
              <w:t>H=40m</w:t>
            </w:r>
          </w:p>
        </w:tc>
        <w:tc>
          <w:tcPr>
            <w:tcW w:w="419" w:type="pct"/>
            <w:tcBorders>
              <w:top w:val="nil"/>
              <w:left w:val="nil"/>
              <w:bottom w:val="single" w:color="auto" w:sz="4" w:space="0"/>
              <w:right w:val="single" w:color="auto" w:sz="4" w:space="0"/>
            </w:tcBorders>
            <w:noWrap/>
            <w:vAlign w:val="center"/>
          </w:tcPr>
          <w:p w14:paraId="7D0FCF9F">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629CF92D">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3B101B46">
            <w:pPr>
              <w:pStyle w:val="30"/>
              <w:bidi w:val="0"/>
              <w:rPr>
                <w:color w:val="auto"/>
              </w:rPr>
            </w:pPr>
          </w:p>
        </w:tc>
        <w:tc>
          <w:tcPr>
            <w:tcW w:w="536" w:type="pct"/>
            <w:tcBorders>
              <w:top w:val="nil"/>
              <w:left w:val="nil"/>
              <w:bottom w:val="single" w:color="auto" w:sz="4" w:space="0"/>
              <w:right w:val="single" w:color="auto" w:sz="4" w:space="0"/>
            </w:tcBorders>
            <w:noWrap/>
            <w:vAlign w:val="center"/>
          </w:tcPr>
          <w:p w14:paraId="73F323CB">
            <w:pPr>
              <w:pStyle w:val="30"/>
              <w:bidi w:val="0"/>
              <w:rPr>
                <w:color w:val="auto"/>
              </w:rPr>
            </w:pPr>
            <w:r>
              <w:rPr>
                <w:rFonts w:hint="eastAsia"/>
                <w:color w:val="auto"/>
                <w:lang w:val="en-US" w:eastAsia="zh-CN"/>
              </w:rPr>
              <w:t>利旧</w:t>
            </w:r>
          </w:p>
        </w:tc>
      </w:tr>
      <w:tr w14:paraId="7A48B77D">
        <w:tblPrEx>
          <w:tblCellMar>
            <w:top w:w="0" w:type="dxa"/>
            <w:left w:w="108" w:type="dxa"/>
            <w:bottom w:w="0" w:type="dxa"/>
            <w:right w:w="108" w:type="dxa"/>
          </w:tblCellMar>
        </w:tblPrEx>
        <w:trPr>
          <w:trHeight w:val="397" w:hRule="atLeast"/>
        </w:trPr>
        <w:tc>
          <w:tcPr>
            <w:tcW w:w="429" w:type="pct"/>
            <w:vMerge w:val="continue"/>
            <w:tcBorders>
              <w:top w:val="nil"/>
              <w:left w:val="single" w:color="auto" w:sz="4" w:space="0"/>
              <w:bottom w:val="single" w:color="auto" w:sz="4" w:space="0"/>
              <w:right w:val="single" w:color="auto" w:sz="4" w:space="0"/>
            </w:tcBorders>
            <w:vAlign w:val="center"/>
          </w:tcPr>
          <w:p w14:paraId="1265E3BC">
            <w:pPr>
              <w:pStyle w:val="30"/>
              <w:bidi w:val="0"/>
              <w:rPr>
                <w:color w:val="auto"/>
              </w:rPr>
            </w:pPr>
          </w:p>
        </w:tc>
        <w:tc>
          <w:tcPr>
            <w:tcW w:w="1143" w:type="pct"/>
            <w:tcBorders>
              <w:top w:val="nil"/>
              <w:left w:val="nil"/>
              <w:bottom w:val="single" w:color="auto" w:sz="4" w:space="0"/>
              <w:right w:val="single" w:color="auto" w:sz="4" w:space="0"/>
            </w:tcBorders>
            <w:noWrap/>
            <w:vAlign w:val="center"/>
          </w:tcPr>
          <w:p w14:paraId="69DE6C20">
            <w:pPr>
              <w:pStyle w:val="30"/>
              <w:bidi w:val="0"/>
              <w:rPr>
                <w:color w:val="auto"/>
              </w:rPr>
            </w:pPr>
            <w:r>
              <w:rPr>
                <w:rFonts w:hint="eastAsia"/>
                <w:color w:val="auto"/>
              </w:rPr>
              <w:t>附：电机</w:t>
            </w:r>
          </w:p>
        </w:tc>
        <w:tc>
          <w:tcPr>
            <w:tcW w:w="1320" w:type="pct"/>
            <w:tcBorders>
              <w:top w:val="nil"/>
              <w:left w:val="nil"/>
              <w:bottom w:val="single" w:color="auto" w:sz="4" w:space="0"/>
              <w:right w:val="single" w:color="auto" w:sz="4" w:space="0"/>
            </w:tcBorders>
            <w:noWrap/>
            <w:vAlign w:val="center"/>
          </w:tcPr>
          <w:p w14:paraId="14E6F6BF">
            <w:pPr>
              <w:pStyle w:val="30"/>
              <w:bidi w:val="0"/>
              <w:rPr>
                <w:color w:val="auto"/>
              </w:rPr>
            </w:pPr>
            <w:r>
              <w:rPr>
                <w:color w:val="auto"/>
              </w:rPr>
              <w:t>F=7.5kw</w:t>
            </w:r>
          </w:p>
        </w:tc>
        <w:tc>
          <w:tcPr>
            <w:tcW w:w="419" w:type="pct"/>
            <w:tcBorders>
              <w:top w:val="nil"/>
              <w:left w:val="nil"/>
              <w:bottom w:val="single" w:color="auto" w:sz="4" w:space="0"/>
              <w:right w:val="single" w:color="auto" w:sz="4" w:space="0"/>
            </w:tcBorders>
            <w:noWrap/>
            <w:vAlign w:val="center"/>
          </w:tcPr>
          <w:p w14:paraId="7B94BF2C">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noWrap/>
            <w:vAlign w:val="center"/>
          </w:tcPr>
          <w:p w14:paraId="1476E742">
            <w:pPr>
              <w:pStyle w:val="30"/>
              <w:bidi w:val="0"/>
              <w:rPr>
                <w:color w:val="auto"/>
              </w:rPr>
            </w:pPr>
            <w:r>
              <w:rPr>
                <w:color w:val="auto"/>
              </w:rPr>
              <w:t>2</w:t>
            </w:r>
          </w:p>
        </w:tc>
        <w:tc>
          <w:tcPr>
            <w:tcW w:w="755" w:type="pct"/>
            <w:tcBorders>
              <w:top w:val="nil"/>
              <w:left w:val="nil"/>
              <w:bottom w:val="single" w:color="auto" w:sz="4" w:space="0"/>
              <w:right w:val="single" w:color="auto" w:sz="4" w:space="0"/>
            </w:tcBorders>
            <w:noWrap/>
            <w:vAlign w:val="center"/>
          </w:tcPr>
          <w:p w14:paraId="30929496">
            <w:pPr>
              <w:pStyle w:val="30"/>
              <w:bidi w:val="0"/>
              <w:rPr>
                <w:color w:val="auto"/>
              </w:rPr>
            </w:pPr>
            <w:r>
              <w:rPr>
                <w:color w:val="auto"/>
              </w:rPr>
              <w:t>15</w:t>
            </w:r>
          </w:p>
        </w:tc>
        <w:tc>
          <w:tcPr>
            <w:tcW w:w="536" w:type="pct"/>
            <w:tcBorders>
              <w:top w:val="nil"/>
              <w:left w:val="nil"/>
              <w:bottom w:val="single" w:color="auto" w:sz="4" w:space="0"/>
              <w:right w:val="single" w:color="auto" w:sz="4" w:space="0"/>
            </w:tcBorders>
            <w:noWrap/>
            <w:vAlign w:val="center"/>
          </w:tcPr>
          <w:p w14:paraId="025B0E85">
            <w:pPr>
              <w:pStyle w:val="30"/>
              <w:bidi w:val="0"/>
              <w:rPr>
                <w:color w:val="auto"/>
              </w:rPr>
            </w:pPr>
          </w:p>
        </w:tc>
      </w:tr>
      <w:tr w14:paraId="66F929C6">
        <w:tblPrEx>
          <w:tblCellMar>
            <w:top w:w="0" w:type="dxa"/>
            <w:left w:w="108" w:type="dxa"/>
            <w:bottom w:w="0" w:type="dxa"/>
            <w:right w:w="108" w:type="dxa"/>
          </w:tblCellMar>
        </w:tblPrEx>
        <w:trPr>
          <w:trHeight w:val="397" w:hRule="atLeast"/>
        </w:trPr>
        <w:tc>
          <w:tcPr>
            <w:tcW w:w="5000" w:type="pct"/>
            <w:gridSpan w:val="7"/>
            <w:tcBorders>
              <w:top w:val="nil"/>
              <w:left w:val="single" w:color="auto" w:sz="4" w:space="0"/>
              <w:bottom w:val="single" w:color="auto" w:sz="4" w:space="0"/>
              <w:right w:val="single" w:color="auto" w:sz="4" w:space="0"/>
            </w:tcBorders>
            <w:vAlign w:val="center"/>
          </w:tcPr>
          <w:p w14:paraId="52B438F0">
            <w:pPr>
              <w:pStyle w:val="30"/>
              <w:bidi w:val="0"/>
              <w:rPr>
                <w:b/>
                <w:bCs/>
                <w:color w:val="auto"/>
              </w:rPr>
            </w:pPr>
            <w:r>
              <w:rPr>
                <w:rFonts w:hint="eastAsia"/>
                <w:b/>
                <w:bCs/>
                <w:color w:val="auto"/>
              </w:rPr>
              <w:t>六、其他</w:t>
            </w:r>
          </w:p>
        </w:tc>
      </w:tr>
      <w:tr w14:paraId="3218209A">
        <w:tblPrEx>
          <w:tblCellMar>
            <w:top w:w="0" w:type="dxa"/>
            <w:left w:w="108" w:type="dxa"/>
            <w:bottom w:w="0" w:type="dxa"/>
            <w:right w:w="108" w:type="dxa"/>
          </w:tblCellMar>
        </w:tblPrEx>
        <w:trPr>
          <w:trHeight w:val="397" w:hRule="atLeast"/>
        </w:trPr>
        <w:tc>
          <w:tcPr>
            <w:tcW w:w="429" w:type="pct"/>
            <w:tcBorders>
              <w:top w:val="nil"/>
              <w:left w:val="single" w:color="auto" w:sz="4" w:space="0"/>
              <w:bottom w:val="single" w:color="auto" w:sz="4" w:space="0"/>
              <w:right w:val="single" w:color="auto" w:sz="4" w:space="0"/>
            </w:tcBorders>
            <w:vAlign w:val="center"/>
          </w:tcPr>
          <w:p w14:paraId="7FC481EB">
            <w:pPr>
              <w:pStyle w:val="30"/>
              <w:bidi w:val="0"/>
              <w:rPr>
                <w:color w:val="auto"/>
              </w:rPr>
            </w:pPr>
            <w:r>
              <w:rPr>
                <w:color w:val="auto"/>
              </w:rPr>
              <w:t>1</w:t>
            </w:r>
          </w:p>
        </w:tc>
        <w:tc>
          <w:tcPr>
            <w:tcW w:w="1143" w:type="pct"/>
            <w:tcBorders>
              <w:top w:val="nil"/>
              <w:left w:val="nil"/>
              <w:bottom w:val="single" w:color="auto" w:sz="4" w:space="0"/>
              <w:right w:val="single" w:color="auto" w:sz="4" w:space="0"/>
            </w:tcBorders>
            <w:vAlign w:val="center"/>
          </w:tcPr>
          <w:p w14:paraId="30B91147">
            <w:pPr>
              <w:pStyle w:val="30"/>
              <w:bidi w:val="0"/>
              <w:rPr>
                <w:color w:val="auto"/>
              </w:rPr>
            </w:pPr>
            <w:r>
              <w:rPr>
                <w:rFonts w:hint="eastAsia"/>
                <w:color w:val="auto"/>
              </w:rPr>
              <w:t>地磅</w:t>
            </w:r>
          </w:p>
        </w:tc>
        <w:tc>
          <w:tcPr>
            <w:tcW w:w="1320" w:type="pct"/>
            <w:tcBorders>
              <w:top w:val="nil"/>
              <w:left w:val="nil"/>
              <w:bottom w:val="single" w:color="auto" w:sz="4" w:space="0"/>
              <w:right w:val="single" w:color="auto" w:sz="4" w:space="0"/>
            </w:tcBorders>
            <w:vAlign w:val="center"/>
          </w:tcPr>
          <w:p w14:paraId="46D8A2D7">
            <w:pPr>
              <w:pStyle w:val="30"/>
              <w:bidi w:val="0"/>
              <w:rPr>
                <w:color w:val="auto"/>
              </w:rPr>
            </w:pPr>
            <w:r>
              <w:rPr>
                <w:color w:val="auto"/>
              </w:rPr>
              <w:t>60t</w:t>
            </w:r>
          </w:p>
        </w:tc>
        <w:tc>
          <w:tcPr>
            <w:tcW w:w="419" w:type="pct"/>
            <w:tcBorders>
              <w:top w:val="nil"/>
              <w:left w:val="nil"/>
              <w:bottom w:val="single" w:color="auto" w:sz="4" w:space="0"/>
              <w:right w:val="single" w:color="auto" w:sz="4" w:space="0"/>
            </w:tcBorders>
            <w:vAlign w:val="center"/>
          </w:tcPr>
          <w:p w14:paraId="7FEBE7F8">
            <w:pPr>
              <w:pStyle w:val="30"/>
              <w:bidi w:val="0"/>
              <w:rPr>
                <w:color w:val="auto"/>
              </w:rPr>
            </w:pPr>
            <w:r>
              <w:rPr>
                <w:rFonts w:hint="eastAsia"/>
                <w:color w:val="auto"/>
              </w:rPr>
              <w:t>台</w:t>
            </w:r>
          </w:p>
        </w:tc>
        <w:tc>
          <w:tcPr>
            <w:tcW w:w="394" w:type="pct"/>
            <w:tcBorders>
              <w:top w:val="nil"/>
              <w:left w:val="nil"/>
              <w:bottom w:val="single" w:color="auto" w:sz="4" w:space="0"/>
              <w:right w:val="single" w:color="auto" w:sz="4" w:space="0"/>
            </w:tcBorders>
            <w:vAlign w:val="center"/>
          </w:tcPr>
          <w:p w14:paraId="182F1B71">
            <w:pPr>
              <w:pStyle w:val="30"/>
              <w:bidi w:val="0"/>
              <w:rPr>
                <w:color w:val="auto"/>
              </w:rPr>
            </w:pPr>
            <w:r>
              <w:rPr>
                <w:color w:val="auto"/>
              </w:rPr>
              <w:t>1</w:t>
            </w:r>
          </w:p>
        </w:tc>
        <w:tc>
          <w:tcPr>
            <w:tcW w:w="755" w:type="pct"/>
            <w:tcBorders>
              <w:top w:val="nil"/>
              <w:left w:val="nil"/>
              <w:bottom w:val="single" w:color="auto" w:sz="4" w:space="0"/>
              <w:right w:val="single" w:color="auto" w:sz="4" w:space="0"/>
            </w:tcBorders>
            <w:vAlign w:val="center"/>
          </w:tcPr>
          <w:p w14:paraId="623C8BC0">
            <w:pPr>
              <w:pStyle w:val="30"/>
              <w:bidi w:val="0"/>
              <w:rPr>
                <w:color w:val="auto"/>
              </w:rPr>
            </w:pPr>
          </w:p>
        </w:tc>
        <w:tc>
          <w:tcPr>
            <w:tcW w:w="536" w:type="pct"/>
            <w:tcBorders>
              <w:top w:val="nil"/>
              <w:left w:val="nil"/>
              <w:bottom w:val="single" w:color="auto" w:sz="4" w:space="0"/>
              <w:right w:val="single" w:color="auto" w:sz="4" w:space="0"/>
            </w:tcBorders>
            <w:vAlign w:val="center"/>
          </w:tcPr>
          <w:p w14:paraId="47CA2C73">
            <w:pPr>
              <w:pStyle w:val="30"/>
              <w:bidi w:val="0"/>
              <w:rPr>
                <w:color w:val="auto"/>
              </w:rPr>
            </w:pPr>
            <w:r>
              <w:rPr>
                <w:rFonts w:hint="eastAsia"/>
                <w:color w:val="auto"/>
                <w:lang w:val="en-US" w:eastAsia="zh-CN"/>
              </w:rPr>
              <w:t>利旧</w:t>
            </w:r>
          </w:p>
        </w:tc>
      </w:tr>
    </w:tbl>
    <w:p w14:paraId="53A565DA">
      <w:pPr>
        <w:bidi w:val="0"/>
        <w:rPr>
          <w:rFonts w:hint="eastAsia"/>
          <w:color w:val="auto"/>
          <w:lang w:val="en-US" w:eastAsia="zh-CN"/>
        </w:rPr>
      </w:pPr>
      <w:r>
        <w:rPr>
          <w:rFonts w:hint="eastAsia"/>
          <w:color w:val="auto"/>
          <w:lang w:val="en-US" w:eastAsia="zh-CN"/>
        </w:rPr>
        <w:t>项目未使用空压机、起重设备等特种设备。</w:t>
      </w:r>
    </w:p>
    <w:p w14:paraId="3D8AFACA">
      <w:pPr>
        <w:pStyle w:val="3"/>
        <w:bidi w:val="0"/>
        <w:rPr>
          <w:rFonts w:hint="eastAsia"/>
          <w:color w:val="auto"/>
        </w:rPr>
      </w:pPr>
      <w:bookmarkStart w:id="47" w:name="_Toc16434"/>
      <w:r>
        <w:rPr>
          <w:rFonts w:hint="eastAsia"/>
          <w:color w:val="auto"/>
          <w:lang w:val="en-US" w:eastAsia="zh-CN"/>
        </w:rPr>
        <w:t xml:space="preserve">2.10 </w:t>
      </w:r>
      <w:r>
        <w:rPr>
          <w:rFonts w:hint="eastAsia"/>
          <w:color w:val="auto"/>
        </w:rPr>
        <w:t>辅助设施</w:t>
      </w:r>
      <w:bookmarkEnd w:id="47"/>
    </w:p>
    <w:p w14:paraId="76EFB288">
      <w:pPr>
        <w:bidi w:val="0"/>
        <w:rPr>
          <w:rFonts w:hint="default" w:eastAsia="宋体"/>
          <w:color w:val="auto"/>
          <w:lang w:val="en-US" w:eastAsia="zh-CN"/>
        </w:rPr>
      </w:pPr>
      <w:r>
        <w:rPr>
          <w:rFonts w:hint="eastAsia"/>
          <w:color w:val="auto"/>
          <w:lang w:val="en-US" w:eastAsia="zh-CN"/>
        </w:rPr>
        <w:t>1、设计概况</w:t>
      </w:r>
    </w:p>
    <w:p w14:paraId="3727EE8C">
      <w:pPr>
        <w:bidi w:val="0"/>
        <w:rPr>
          <w:rFonts w:hint="eastAsia"/>
          <w:color w:val="auto"/>
        </w:rPr>
      </w:pPr>
      <w:r>
        <w:rPr>
          <w:rFonts w:hint="eastAsia"/>
          <w:color w:val="auto"/>
        </w:rPr>
        <w:t>辅助设施利用原有设施。</w:t>
      </w:r>
    </w:p>
    <w:p w14:paraId="62253D14">
      <w:pPr>
        <w:bidi w:val="0"/>
        <w:rPr>
          <w:rFonts w:hint="eastAsia"/>
          <w:color w:val="auto"/>
        </w:rPr>
      </w:pPr>
      <w:r>
        <w:rPr>
          <w:rFonts w:hint="eastAsia"/>
          <w:color w:val="auto"/>
        </w:rPr>
        <w:t>选矿厂生产辅助设施包括配电室、值班室、材料库房等。</w:t>
      </w:r>
    </w:p>
    <w:p w14:paraId="3A5DF8DB">
      <w:pPr>
        <w:bidi w:val="0"/>
        <w:rPr>
          <w:rFonts w:hint="eastAsia"/>
          <w:color w:val="auto"/>
        </w:rPr>
      </w:pPr>
      <w:r>
        <w:rPr>
          <w:rFonts w:hint="eastAsia"/>
          <w:color w:val="auto"/>
        </w:rPr>
        <w:t>选矿厂生活辅助设施包括职工宿舍、食堂、浴室等。</w:t>
      </w:r>
    </w:p>
    <w:p w14:paraId="48A2778D">
      <w:pPr>
        <w:bidi w:val="0"/>
        <w:rPr>
          <w:rFonts w:hint="default" w:eastAsia="宋体"/>
          <w:color w:val="auto"/>
          <w:lang w:val="en-US" w:eastAsia="zh-CN"/>
        </w:rPr>
      </w:pPr>
      <w:r>
        <w:rPr>
          <w:rFonts w:hint="eastAsia"/>
          <w:color w:val="auto"/>
          <w:lang w:val="en-US" w:eastAsia="zh-CN"/>
        </w:rPr>
        <w:t>2、建设概况</w:t>
      </w:r>
    </w:p>
    <w:p w14:paraId="0C15F2D8">
      <w:pPr>
        <w:bidi w:val="0"/>
        <w:rPr>
          <w:rFonts w:hint="eastAsia"/>
          <w:color w:val="auto"/>
        </w:rPr>
      </w:pPr>
      <w:r>
        <w:rPr>
          <w:rFonts w:hint="eastAsia"/>
          <w:color w:val="auto"/>
        </w:rPr>
        <w:t>根据现场勘察，上述设施均为利旧设施。</w:t>
      </w:r>
      <w:r>
        <w:rPr>
          <w:rFonts w:hint="eastAsia"/>
          <w:color w:val="auto"/>
          <w:lang w:val="en-US" w:eastAsia="zh-CN"/>
        </w:rPr>
        <w:t>选厂未设置集中配电系统，采用分布式配电柜，</w:t>
      </w:r>
      <w:r>
        <w:rPr>
          <w:rFonts w:hint="eastAsia"/>
          <w:color w:val="auto"/>
        </w:rPr>
        <w:t>配备了灭火器。</w:t>
      </w:r>
    </w:p>
    <w:p w14:paraId="5C45089C">
      <w:pPr>
        <w:pStyle w:val="3"/>
        <w:bidi w:val="0"/>
        <w:rPr>
          <w:rFonts w:hint="eastAsia"/>
          <w:color w:val="auto"/>
        </w:rPr>
      </w:pPr>
      <w:bookmarkStart w:id="48" w:name="_Toc24627"/>
      <w:r>
        <w:rPr>
          <w:rFonts w:hint="eastAsia"/>
          <w:color w:val="auto"/>
          <w:lang w:val="en-US" w:eastAsia="zh-CN"/>
        </w:rPr>
        <w:t xml:space="preserve">2.11 </w:t>
      </w:r>
      <w:r>
        <w:rPr>
          <w:rFonts w:hint="eastAsia"/>
          <w:color w:val="auto"/>
        </w:rPr>
        <w:t>临时堆场</w:t>
      </w:r>
      <w:bookmarkEnd w:id="48"/>
    </w:p>
    <w:p w14:paraId="59C06DBA">
      <w:pPr>
        <w:bidi w:val="0"/>
        <w:rPr>
          <w:rFonts w:hint="default"/>
          <w:color w:val="auto"/>
          <w:lang w:val="en-US" w:eastAsia="zh-CN"/>
        </w:rPr>
      </w:pPr>
      <w:r>
        <w:rPr>
          <w:rFonts w:hint="eastAsia"/>
          <w:color w:val="auto"/>
          <w:lang w:val="en-US" w:eastAsia="zh-CN"/>
        </w:rPr>
        <w:t>1、设计概况</w:t>
      </w:r>
    </w:p>
    <w:p w14:paraId="4AAE21B1">
      <w:pPr>
        <w:bidi w:val="0"/>
        <w:rPr>
          <w:rFonts w:hint="eastAsia"/>
          <w:color w:val="auto"/>
        </w:rPr>
      </w:pPr>
      <w:r>
        <w:rPr>
          <w:rFonts w:hint="eastAsia"/>
          <w:color w:val="auto"/>
          <w:lang w:val="en-US" w:eastAsia="zh-CN"/>
        </w:rPr>
        <w:t>（1）</w:t>
      </w:r>
      <w:r>
        <w:rPr>
          <w:rFonts w:hint="eastAsia"/>
          <w:color w:val="auto"/>
        </w:rPr>
        <w:t>原矿堆场</w:t>
      </w:r>
    </w:p>
    <w:p w14:paraId="67DD45FF">
      <w:pPr>
        <w:bidi w:val="0"/>
        <w:rPr>
          <w:rFonts w:hint="eastAsia"/>
          <w:color w:val="auto"/>
        </w:rPr>
      </w:pPr>
      <w:r>
        <w:rPr>
          <w:rFonts w:hint="eastAsia"/>
          <w:color w:val="auto"/>
        </w:rPr>
        <w:t>原矿堆场位于</w:t>
      </w:r>
      <w:r>
        <w:rPr>
          <w:rFonts w:hint="eastAsia"/>
          <w:color w:val="auto"/>
          <w:lang w:val="en-US" w:eastAsia="zh-CN"/>
        </w:rPr>
        <w:t>破碎</w:t>
      </w:r>
      <w:r>
        <w:rPr>
          <w:rFonts w:hint="eastAsia"/>
          <w:color w:val="auto"/>
        </w:rPr>
        <w:t>车间旁，占地约3000m</w:t>
      </w:r>
      <w:r>
        <w:rPr>
          <w:rFonts w:hint="eastAsia"/>
          <w:color w:val="auto"/>
          <w:vertAlign w:val="superscript"/>
        </w:rPr>
        <w:t>2</w:t>
      </w:r>
      <w:r>
        <w:rPr>
          <w:rFonts w:hint="eastAsia"/>
          <w:color w:val="auto"/>
        </w:rPr>
        <w:t>，最大堆高4m，堆积最大外坡1:1.5，一次最大可堆放原矿约14400t，选厂一天处理原矿600t，一次最大可满足选厂堆放约24d原矿量。</w:t>
      </w:r>
    </w:p>
    <w:p w14:paraId="102987FA">
      <w:pPr>
        <w:bidi w:val="0"/>
        <w:rPr>
          <w:rFonts w:hint="eastAsia"/>
          <w:color w:val="auto"/>
        </w:rPr>
      </w:pPr>
      <w:r>
        <w:rPr>
          <w:rFonts w:hint="eastAsia"/>
          <w:color w:val="auto"/>
          <w:lang w:val="en-US" w:eastAsia="zh-CN"/>
        </w:rPr>
        <w:t>（2）</w:t>
      </w:r>
      <w:r>
        <w:rPr>
          <w:rFonts w:hint="eastAsia"/>
          <w:color w:val="auto"/>
        </w:rPr>
        <w:t>精矿临时堆放场</w:t>
      </w:r>
    </w:p>
    <w:p w14:paraId="31F3D3C0">
      <w:pPr>
        <w:bidi w:val="0"/>
        <w:rPr>
          <w:rFonts w:hint="eastAsia"/>
          <w:color w:val="auto"/>
        </w:rPr>
      </w:pPr>
      <w:r>
        <w:rPr>
          <w:rFonts w:hint="eastAsia"/>
          <w:color w:val="auto"/>
        </w:rPr>
        <w:t>铁精矿临时堆场位于铁精矿澄清槽旁，占地200m</w:t>
      </w:r>
      <w:r>
        <w:rPr>
          <w:rFonts w:hint="eastAsia"/>
          <w:color w:val="auto"/>
          <w:vertAlign w:val="superscript"/>
        </w:rPr>
        <w:t>2</w:t>
      </w:r>
      <w:r>
        <w:rPr>
          <w:rFonts w:hint="eastAsia"/>
          <w:color w:val="auto"/>
        </w:rPr>
        <w:t>，最大堆高3m，堆积最大外坡1:1.5，一次最大可堆放铁精矿约720t，选厂一天生产铁精矿107t，一次最大可满足选矿厂堆放约6.7</w:t>
      </w:r>
      <w:r>
        <w:rPr>
          <w:rFonts w:hint="eastAsia"/>
          <w:color w:val="auto"/>
          <w:lang w:val="en-US" w:eastAsia="zh-CN"/>
        </w:rPr>
        <w:t>d</w:t>
      </w:r>
      <w:r>
        <w:rPr>
          <w:rFonts w:hint="eastAsia"/>
          <w:color w:val="auto"/>
        </w:rPr>
        <w:t>铁精矿量。</w:t>
      </w:r>
    </w:p>
    <w:p w14:paraId="2FF253E3">
      <w:pPr>
        <w:bidi w:val="0"/>
        <w:rPr>
          <w:rFonts w:hint="eastAsia"/>
          <w:color w:val="auto"/>
        </w:rPr>
      </w:pPr>
      <w:r>
        <w:rPr>
          <w:rFonts w:hint="eastAsia"/>
          <w:color w:val="auto"/>
        </w:rPr>
        <w:t>铜精矿临时堆场位于铜精矿脱水间旁，占地约50m</w:t>
      </w:r>
      <w:r>
        <w:rPr>
          <w:rFonts w:hint="eastAsia"/>
          <w:color w:val="auto"/>
          <w:vertAlign w:val="superscript"/>
        </w:rPr>
        <w:t>2</w:t>
      </w:r>
      <w:r>
        <w:rPr>
          <w:rFonts w:hint="eastAsia"/>
          <w:color w:val="auto"/>
        </w:rPr>
        <w:t>，最大堆高3m，堆积最大外坡1:1.5，一次最大可堆放铜精矿约180t，选厂一天生产铜精矿7.3</w:t>
      </w:r>
      <w:r>
        <w:rPr>
          <w:rFonts w:hint="eastAsia"/>
          <w:color w:val="auto"/>
          <w:lang w:val="en-US" w:eastAsia="zh-CN"/>
        </w:rPr>
        <w:t>t</w:t>
      </w:r>
      <w:r>
        <w:rPr>
          <w:rFonts w:hint="eastAsia"/>
          <w:color w:val="auto"/>
        </w:rPr>
        <w:t>，一次最大可满足选矿厂堆放约25</w:t>
      </w:r>
      <w:r>
        <w:rPr>
          <w:rFonts w:hint="eastAsia"/>
          <w:color w:val="auto"/>
          <w:lang w:val="en-US" w:eastAsia="zh-CN"/>
        </w:rPr>
        <w:t>d</w:t>
      </w:r>
      <w:r>
        <w:rPr>
          <w:rFonts w:hint="eastAsia"/>
          <w:color w:val="auto"/>
        </w:rPr>
        <w:t>铁精矿量。</w:t>
      </w:r>
    </w:p>
    <w:p w14:paraId="17E3500C">
      <w:pPr>
        <w:bidi w:val="0"/>
        <w:rPr>
          <w:rFonts w:hint="default" w:eastAsia="宋体"/>
          <w:color w:val="auto"/>
          <w:lang w:val="en-US" w:eastAsia="zh-CN"/>
        </w:rPr>
      </w:pPr>
      <w:r>
        <w:rPr>
          <w:rFonts w:hint="eastAsia"/>
          <w:color w:val="auto"/>
          <w:lang w:val="en-US" w:eastAsia="zh-CN"/>
        </w:rPr>
        <w:t>2、建设概况</w:t>
      </w:r>
    </w:p>
    <w:p w14:paraId="0ED32A79">
      <w:pPr>
        <w:bidi w:val="0"/>
        <w:rPr>
          <w:rFonts w:hint="eastAsia"/>
          <w:color w:val="auto"/>
        </w:rPr>
      </w:pPr>
      <w:r>
        <w:rPr>
          <w:rFonts w:hint="eastAsia"/>
          <w:color w:val="auto"/>
        </w:rPr>
        <w:t>（1）原矿堆场：</w:t>
      </w:r>
    </w:p>
    <w:p w14:paraId="5784606F">
      <w:pPr>
        <w:bidi w:val="0"/>
        <w:rPr>
          <w:rFonts w:hint="eastAsia"/>
          <w:color w:val="auto"/>
        </w:rPr>
      </w:pPr>
      <w:r>
        <w:rPr>
          <w:rFonts w:hint="eastAsia"/>
          <w:color w:val="auto"/>
        </w:rPr>
        <w:t>原矿堆场利用原有，位于磨矿车间旁，满足原矿堆放。原矿堆场</w:t>
      </w:r>
      <w:r>
        <w:rPr>
          <w:rFonts w:hint="eastAsia"/>
          <w:color w:val="auto"/>
          <w:lang w:val="en-US" w:eastAsia="zh-CN"/>
        </w:rPr>
        <w:t>为露天</w:t>
      </w:r>
      <w:r>
        <w:rPr>
          <w:rFonts w:hint="eastAsia"/>
          <w:color w:val="auto"/>
        </w:rPr>
        <w:t>，设有相关标志，现场踏勘时堆高约2m，原矿堆场有足够的回车坪。原矿堆场周边设有排水沟。</w:t>
      </w:r>
    </w:p>
    <w:p w14:paraId="5018C5BB">
      <w:pPr>
        <w:bidi w:val="0"/>
        <w:rPr>
          <w:rFonts w:hint="eastAsia"/>
          <w:color w:val="auto"/>
        </w:rPr>
      </w:pPr>
      <w:r>
        <w:rPr>
          <w:rFonts w:hint="eastAsia"/>
          <w:color w:val="auto"/>
        </w:rPr>
        <w:t>（2）精矿临时堆放场：</w:t>
      </w:r>
    </w:p>
    <w:p w14:paraId="3E62D7DB">
      <w:pPr>
        <w:bidi w:val="0"/>
        <w:rPr>
          <w:rFonts w:hint="eastAsia"/>
          <w:color w:val="auto"/>
        </w:rPr>
      </w:pPr>
      <w:r>
        <w:rPr>
          <w:rFonts w:hint="eastAsia"/>
          <w:color w:val="auto"/>
          <w:lang w:val="en-US" w:eastAsia="zh-CN"/>
        </w:rPr>
        <w:t>铜</w:t>
      </w:r>
      <w:r>
        <w:rPr>
          <w:rFonts w:hint="eastAsia"/>
          <w:color w:val="auto"/>
        </w:rPr>
        <w:t>精矿临时堆场位于铜精矿脱水间旁，满足铜精矿临时堆放。铜精矿临时堆场现场踏勘时堆高约1.5m，铜精矿临时堆场</w:t>
      </w:r>
      <w:r>
        <w:rPr>
          <w:rFonts w:hint="eastAsia"/>
          <w:color w:val="auto"/>
          <w:lang w:val="en-US" w:eastAsia="zh-CN"/>
        </w:rPr>
        <w:t>设有顶棚，支撑柱设有防撞安全色</w:t>
      </w:r>
      <w:r>
        <w:rPr>
          <w:rFonts w:hint="eastAsia"/>
          <w:color w:val="auto"/>
        </w:rPr>
        <w:t>。铜精矿临时堆场旁有排水沟，</w:t>
      </w:r>
    </w:p>
    <w:p w14:paraId="4C8D75D1">
      <w:pPr>
        <w:bidi w:val="0"/>
        <w:rPr>
          <w:rFonts w:hint="eastAsia"/>
          <w:color w:val="auto"/>
        </w:rPr>
      </w:pPr>
      <w:r>
        <w:rPr>
          <w:rFonts w:hint="eastAsia"/>
          <w:color w:val="auto"/>
        </w:rPr>
        <w:t>铁精矿临时堆场位于铁精矿澄清槽旁，满足铁精矿临时堆放。铁精矿临时堆场现场踏勘时堆高约1.5m，铁精矿临时堆场设有顶棚，支撑柱设有防撞安全色。</w:t>
      </w:r>
      <w:r>
        <w:rPr>
          <w:rFonts w:hint="eastAsia"/>
          <w:color w:val="auto"/>
          <w:lang w:val="en-US" w:eastAsia="zh-CN"/>
        </w:rPr>
        <w:t>铁</w:t>
      </w:r>
      <w:r>
        <w:rPr>
          <w:rFonts w:hint="eastAsia"/>
          <w:color w:val="auto"/>
        </w:rPr>
        <w:t>精矿临时堆场旁有排水沟</w:t>
      </w:r>
      <w:r>
        <w:rPr>
          <w:rFonts w:hint="eastAsia"/>
          <w:color w:val="auto"/>
          <w:lang w:eastAsia="zh-CN"/>
        </w:rPr>
        <w:t>。</w:t>
      </w:r>
    </w:p>
    <w:p w14:paraId="16C6649A">
      <w:pPr>
        <w:pStyle w:val="3"/>
        <w:bidi w:val="0"/>
        <w:rPr>
          <w:rFonts w:hint="eastAsia"/>
          <w:color w:val="auto"/>
        </w:rPr>
      </w:pPr>
      <w:bookmarkStart w:id="49" w:name="_Toc9968"/>
      <w:r>
        <w:rPr>
          <w:rFonts w:hint="eastAsia"/>
          <w:color w:val="auto"/>
          <w:lang w:val="en-US" w:eastAsia="zh-CN"/>
        </w:rPr>
        <w:t xml:space="preserve">2.12 </w:t>
      </w:r>
      <w:r>
        <w:rPr>
          <w:rFonts w:hint="eastAsia"/>
          <w:color w:val="auto"/>
        </w:rPr>
        <w:t>回水池</w:t>
      </w:r>
      <w:bookmarkEnd w:id="49"/>
    </w:p>
    <w:p w14:paraId="7189E252">
      <w:pPr>
        <w:bidi w:val="0"/>
        <w:rPr>
          <w:rFonts w:hint="default" w:eastAsia="宋体"/>
          <w:color w:val="auto"/>
          <w:lang w:val="en-US" w:eastAsia="zh-CN"/>
        </w:rPr>
      </w:pPr>
      <w:r>
        <w:rPr>
          <w:rFonts w:hint="eastAsia"/>
          <w:color w:val="auto"/>
          <w:lang w:val="en-US" w:eastAsia="zh-CN"/>
        </w:rPr>
        <w:t>1、设计概况</w:t>
      </w:r>
    </w:p>
    <w:p w14:paraId="5EE9EABB">
      <w:pPr>
        <w:bidi w:val="0"/>
        <w:rPr>
          <w:rFonts w:hint="eastAsia"/>
          <w:color w:val="auto"/>
        </w:rPr>
      </w:pPr>
      <w:r>
        <w:rPr>
          <w:rFonts w:hint="eastAsia"/>
          <w:color w:val="auto"/>
        </w:rPr>
        <w:t>回水池有效容积约900m</w:t>
      </w:r>
      <w:r>
        <w:rPr>
          <w:rFonts w:hint="eastAsia"/>
          <w:color w:val="auto"/>
          <w:vertAlign w:val="superscript"/>
        </w:rPr>
        <w:t>3</w:t>
      </w:r>
      <w:r>
        <w:rPr>
          <w:rFonts w:hint="eastAsia"/>
          <w:color w:val="auto"/>
        </w:rPr>
        <w:t>，最大深约4m，混凝土结构。使用回水池过程中池内最高水位低于池顶（挡坝）标高1.0m以上，挡坝坝高约1.5m，顶宽大于3m，坝外坡比为1:1.5，内坡比为1:1.5。</w:t>
      </w:r>
    </w:p>
    <w:p w14:paraId="3F5AFFB4">
      <w:pPr>
        <w:bidi w:val="0"/>
        <w:rPr>
          <w:rFonts w:hint="default" w:eastAsia="宋体"/>
          <w:color w:val="auto"/>
          <w:lang w:val="en-US" w:eastAsia="zh-CN"/>
        </w:rPr>
      </w:pPr>
      <w:r>
        <w:rPr>
          <w:rFonts w:hint="eastAsia"/>
          <w:color w:val="auto"/>
          <w:lang w:val="en-US" w:eastAsia="zh-CN"/>
        </w:rPr>
        <w:t>2、建设概况</w:t>
      </w:r>
    </w:p>
    <w:p w14:paraId="1153D9B7">
      <w:pPr>
        <w:bidi w:val="0"/>
        <w:rPr>
          <w:rFonts w:hint="eastAsia"/>
          <w:color w:val="auto"/>
        </w:rPr>
      </w:pPr>
      <w:r>
        <w:rPr>
          <w:rFonts w:hint="eastAsia"/>
          <w:color w:val="auto"/>
        </w:rPr>
        <w:t>回水池利用原回水池。有效容积约</w:t>
      </w:r>
      <w:r>
        <w:rPr>
          <w:rFonts w:hint="eastAsia"/>
          <w:color w:val="auto"/>
          <w:lang w:val="en-US" w:eastAsia="zh-CN"/>
        </w:rPr>
        <w:t>900</w:t>
      </w:r>
      <w:r>
        <w:rPr>
          <w:rFonts w:hint="eastAsia"/>
          <w:color w:val="auto"/>
        </w:rPr>
        <w:t>m</w:t>
      </w:r>
      <w:r>
        <w:rPr>
          <w:rFonts w:hint="eastAsia"/>
          <w:color w:val="auto"/>
          <w:vertAlign w:val="superscript"/>
        </w:rPr>
        <w:t>3</w:t>
      </w:r>
      <w:r>
        <w:rPr>
          <w:rFonts w:hint="eastAsia"/>
          <w:color w:val="auto"/>
        </w:rPr>
        <w:t>，最大深约</w:t>
      </w:r>
      <w:r>
        <w:rPr>
          <w:rFonts w:hint="eastAsia"/>
          <w:color w:val="auto"/>
          <w:lang w:val="en-US" w:eastAsia="zh-CN"/>
        </w:rPr>
        <w:t>4</w:t>
      </w:r>
      <w:r>
        <w:rPr>
          <w:rFonts w:hint="eastAsia"/>
          <w:color w:val="auto"/>
        </w:rPr>
        <w:t>m</w:t>
      </w:r>
      <w:r>
        <w:rPr>
          <w:rFonts w:hint="eastAsia"/>
          <w:color w:val="auto"/>
          <w:lang w:eastAsia="zh-CN"/>
        </w:rPr>
        <w:t>，挡坝坝高约1.5m，顶宽大于3m，坝外坡比为1:1.5，内坡比为1:1.5</w:t>
      </w:r>
      <w:r>
        <w:rPr>
          <w:rFonts w:hint="eastAsia"/>
          <w:color w:val="auto"/>
        </w:rPr>
        <w:t>。</w:t>
      </w:r>
    </w:p>
    <w:p w14:paraId="65870D0E">
      <w:pPr>
        <w:bidi w:val="0"/>
        <w:rPr>
          <w:rFonts w:hint="eastAsia"/>
          <w:color w:val="auto"/>
        </w:rPr>
      </w:pPr>
      <w:r>
        <w:rPr>
          <w:rFonts w:hint="eastAsia"/>
          <w:color w:val="auto"/>
        </w:rPr>
        <w:t>回水池周围已安装安全防护栏，在明显位置设置安全警示标识。</w:t>
      </w:r>
    </w:p>
    <w:p w14:paraId="740774E2">
      <w:pPr>
        <w:pStyle w:val="3"/>
        <w:bidi w:val="0"/>
        <w:rPr>
          <w:rFonts w:hint="eastAsia"/>
          <w:color w:val="auto"/>
        </w:rPr>
      </w:pPr>
      <w:bookmarkStart w:id="50" w:name="_Toc7465"/>
      <w:r>
        <w:rPr>
          <w:rFonts w:hint="eastAsia"/>
          <w:color w:val="auto"/>
          <w:lang w:val="en-US" w:eastAsia="zh-CN"/>
        </w:rPr>
        <w:t xml:space="preserve">2.13 </w:t>
      </w:r>
      <w:r>
        <w:rPr>
          <w:rFonts w:hint="eastAsia"/>
          <w:color w:val="auto"/>
        </w:rPr>
        <w:t>尾矿设施</w:t>
      </w:r>
      <w:bookmarkEnd w:id="50"/>
    </w:p>
    <w:p w14:paraId="2DDCE21A">
      <w:pPr>
        <w:bidi w:val="0"/>
        <w:rPr>
          <w:rFonts w:hint="default" w:eastAsia="宋体"/>
          <w:color w:val="auto"/>
          <w:lang w:val="en-US" w:eastAsia="zh-CN"/>
        </w:rPr>
      </w:pPr>
      <w:r>
        <w:rPr>
          <w:rFonts w:hint="eastAsia"/>
          <w:color w:val="auto"/>
        </w:rPr>
        <w:t>选厂产生的尾矿通过尾矿沟流入公司原尾矿库，不在本项目</w:t>
      </w:r>
      <w:r>
        <w:rPr>
          <w:rFonts w:hint="eastAsia"/>
          <w:color w:val="auto"/>
          <w:lang w:val="en-US" w:eastAsia="zh-CN"/>
        </w:rPr>
        <w:t>验收评价</w:t>
      </w:r>
      <w:r>
        <w:rPr>
          <w:rFonts w:hint="eastAsia"/>
          <w:color w:val="auto"/>
        </w:rPr>
        <w:t>范围内。该尾矿库2010年投入使用，总库容42.59万m</w:t>
      </w:r>
      <w:r>
        <w:rPr>
          <w:rFonts w:hint="eastAsia"/>
          <w:color w:val="auto"/>
          <w:vertAlign w:val="superscript"/>
        </w:rPr>
        <w:t>3</w:t>
      </w:r>
      <w:r>
        <w:rPr>
          <w:rFonts w:hint="eastAsia"/>
          <w:color w:val="auto"/>
        </w:rPr>
        <w:t>，还剩余8万m</w:t>
      </w:r>
      <w:r>
        <w:rPr>
          <w:rFonts w:hint="eastAsia"/>
          <w:color w:val="auto"/>
          <w:vertAlign w:val="superscript"/>
        </w:rPr>
        <w:t>3</w:t>
      </w:r>
      <w:r>
        <w:rPr>
          <w:rFonts w:hint="eastAsia"/>
          <w:color w:val="auto"/>
        </w:rPr>
        <w:t>，满足项目6年的正常运营需要</w:t>
      </w:r>
      <w:r>
        <w:rPr>
          <w:rFonts w:hint="eastAsia"/>
          <w:color w:val="auto"/>
          <w:lang w:eastAsia="zh-CN"/>
        </w:rPr>
        <w:t>。</w:t>
      </w:r>
      <w:r>
        <w:rPr>
          <w:rFonts w:hint="eastAsia"/>
          <w:color w:val="auto"/>
          <w:lang w:val="en-US" w:eastAsia="zh-CN"/>
        </w:rPr>
        <w:t>已取得安全生产许可证</w:t>
      </w:r>
      <w:r>
        <w:rPr>
          <w:rFonts w:hint="eastAsia"/>
          <w:color w:val="auto"/>
          <w:lang w:eastAsia="zh-CN"/>
        </w:rPr>
        <w:t>，证号：（楚）FM安许证字【2022】007，有效期：2022年02月11日至2025年02月10日</w:t>
      </w:r>
      <w:r>
        <w:rPr>
          <w:rFonts w:hint="eastAsia"/>
          <w:color w:val="auto"/>
          <w:lang w:val="en-US" w:eastAsia="zh-CN"/>
        </w:rPr>
        <w:t>。</w:t>
      </w:r>
    </w:p>
    <w:p w14:paraId="7B53E524">
      <w:pPr>
        <w:pStyle w:val="3"/>
        <w:bidi w:val="0"/>
        <w:rPr>
          <w:rFonts w:hint="eastAsia"/>
          <w:color w:val="auto"/>
        </w:rPr>
      </w:pPr>
      <w:bookmarkStart w:id="51" w:name="_Toc24349"/>
      <w:r>
        <w:rPr>
          <w:rFonts w:hint="eastAsia"/>
          <w:color w:val="auto"/>
          <w:lang w:val="en-US" w:eastAsia="zh-CN"/>
        </w:rPr>
        <w:t xml:space="preserve">2.14 </w:t>
      </w:r>
      <w:r>
        <w:rPr>
          <w:rFonts w:hint="eastAsia"/>
          <w:color w:val="auto"/>
        </w:rPr>
        <w:t>配套工程</w:t>
      </w:r>
      <w:bookmarkEnd w:id="51"/>
    </w:p>
    <w:p w14:paraId="66FE79A8">
      <w:pPr>
        <w:pStyle w:val="4"/>
        <w:bidi w:val="0"/>
        <w:rPr>
          <w:rFonts w:hint="default"/>
          <w:color w:val="auto"/>
          <w:lang w:val="en-US" w:eastAsia="zh-CN"/>
        </w:rPr>
      </w:pPr>
      <w:bookmarkStart w:id="52" w:name="_Toc24468"/>
      <w:r>
        <w:rPr>
          <w:rFonts w:hint="eastAsia"/>
          <w:color w:val="auto"/>
          <w:lang w:val="en-US" w:eastAsia="zh-CN"/>
        </w:rPr>
        <w:t>2.14.1 设计概况</w:t>
      </w:r>
      <w:bookmarkEnd w:id="52"/>
    </w:p>
    <w:p w14:paraId="22B0D39D">
      <w:pPr>
        <w:bidi w:val="0"/>
        <w:rPr>
          <w:rFonts w:hint="eastAsia"/>
          <w:color w:val="auto"/>
        </w:rPr>
      </w:pPr>
      <w:r>
        <w:rPr>
          <w:rFonts w:hint="eastAsia"/>
          <w:color w:val="auto"/>
          <w:lang w:val="en-US" w:eastAsia="zh-CN"/>
        </w:rPr>
        <w:t>一、</w:t>
      </w:r>
      <w:r>
        <w:rPr>
          <w:rFonts w:hint="eastAsia"/>
          <w:color w:val="auto"/>
        </w:rPr>
        <w:t>给排水</w:t>
      </w:r>
    </w:p>
    <w:p w14:paraId="2D925429">
      <w:pPr>
        <w:bidi w:val="0"/>
        <w:rPr>
          <w:rFonts w:hint="eastAsia"/>
          <w:color w:val="auto"/>
        </w:rPr>
      </w:pPr>
      <w:r>
        <w:rPr>
          <w:rFonts w:hint="eastAsia"/>
          <w:color w:val="auto"/>
          <w:lang w:val="en-US" w:eastAsia="zh-CN"/>
        </w:rPr>
        <w:t>1、</w:t>
      </w:r>
      <w:r>
        <w:rPr>
          <w:rFonts w:hint="eastAsia"/>
          <w:color w:val="auto"/>
        </w:rPr>
        <w:t>用水量、水质及水压</w:t>
      </w:r>
    </w:p>
    <w:p w14:paraId="3A4C6991">
      <w:pPr>
        <w:bidi w:val="0"/>
        <w:rPr>
          <w:rFonts w:hint="eastAsia"/>
          <w:color w:val="auto"/>
        </w:rPr>
      </w:pPr>
      <w:r>
        <w:rPr>
          <w:rFonts w:hint="eastAsia"/>
          <w:color w:val="auto"/>
        </w:rPr>
        <w:t>1）用水量</w:t>
      </w:r>
    </w:p>
    <w:p w14:paraId="4EC54239">
      <w:pPr>
        <w:bidi w:val="0"/>
        <w:rPr>
          <w:rFonts w:hint="eastAsia"/>
          <w:color w:val="auto"/>
        </w:rPr>
      </w:pPr>
      <w:r>
        <w:rPr>
          <w:rFonts w:hint="eastAsia"/>
          <w:color w:val="auto"/>
        </w:rPr>
        <w:t>选厂生产用水量580.89m</w:t>
      </w:r>
      <w:r>
        <w:rPr>
          <w:rFonts w:hint="eastAsia"/>
          <w:color w:val="auto"/>
          <w:vertAlign w:val="superscript"/>
        </w:rPr>
        <w:t>3</w:t>
      </w:r>
      <w:r>
        <w:rPr>
          <w:rFonts w:hint="eastAsia"/>
          <w:color w:val="auto"/>
        </w:rPr>
        <w:t>/d，其中选厂回水量为：519.85m</w:t>
      </w:r>
      <w:r>
        <w:rPr>
          <w:rFonts w:hint="eastAsia"/>
          <w:color w:val="auto"/>
          <w:vertAlign w:val="superscript"/>
        </w:rPr>
        <w:t>3</w:t>
      </w:r>
      <w:r>
        <w:rPr>
          <w:rFonts w:hint="eastAsia"/>
          <w:color w:val="auto"/>
        </w:rPr>
        <w:t>/d，选厂生产不足水量从选厂回水池（新水补加入回水池）供给，新水58.08m</w:t>
      </w:r>
      <w:r>
        <w:rPr>
          <w:rFonts w:hint="eastAsia"/>
          <w:color w:val="auto"/>
          <w:vertAlign w:val="superscript"/>
        </w:rPr>
        <w:t>3</w:t>
      </w:r>
      <w:r>
        <w:rPr>
          <w:rFonts w:hint="eastAsia"/>
          <w:color w:val="auto"/>
        </w:rPr>
        <w:t>/d；生活用水量2.4m</w:t>
      </w:r>
      <w:r>
        <w:rPr>
          <w:rFonts w:hint="eastAsia"/>
          <w:color w:val="auto"/>
          <w:vertAlign w:val="superscript"/>
        </w:rPr>
        <w:t>3</w:t>
      </w:r>
      <w:r>
        <w:rPr>
          <w:rFonts w:hint="eastAsia"/>
          <w:color w:val="auto"/>
        </w:rPr>
        <w:t>/d。</w:t>
      </w:r>
    </w:p>
    <w:p w14:paraId="7A570509">
      <w:pPr>
        <w:bidi w:val="0"/>
        <w:rPr>
          <w:rFonts w:hint="eastAsia"/>
          <w:color w:val="auto"/>
        </w:rPr>
      </w:pPr>
      <w:r>
        <w:rPr>
          <w:rFonts w:hint="eastAsia"/>
          <w:color w:val="auto"/>
        </w:rPr>
        <w:t>2）供水水质</w:t>
      </w:r>
    </w:p>
    <w:p w14:paraId="70764E69">
      <w:pPr>
        <w:bidi w:val="0"/>
        <w:rPr>
          <w:rFonts w:hint="eastAsia"/>
          <w:color w:val="auto"/>
        </w:rPr>
      </w:pPr>
      <w:r>
        <w:rPr>
          <w:rFonts w:hint="eastAsia"/>
          <w:color w:val="auto"/>
        </w:rPr>
        <w:t>生产新水水质为一般工业生产新水水质标准，生活用水水质达到国家生活饮用水水质标准。</w:t>
      </w:r>
    </w:p>
    <w:p w14:paraId="23175594">
      <w:pPr>
        <w:bidi w:val="0"/>
        <w:rPr>
          <w:rFonts w:hint="eastAsia"/>
          <w:color w:val="auto"/>
        </w:rPr>
      </w:pPr>
      <w:r>
        <w:rPr>
          <w:rFonts w:hint="eastAsia"/>
          <w:color w:val="auto"/>
        </w:rPr>
        <w:t>3）供水压力</w:t>
      </w:r>
    </w:p>
    <w:p w14:paraId="2DCC793F">
      <w:pPr>
        <w:bidi w:val="0"/>
        <w:rPr>
          <w:rFonts w:hint="eastAsia"/>
          <w:color w:val="auto"/>
        </w:rPr>
      </w:pPr>
      <w:r>
        <w:rPr>
          <w:rFonts w:hint="eastAsia"/>
          <w:color w:val="auto"/>
        </w:rPr>
        <w:t>满足生产、生活用水要求。</w:t>
      </w:r>
    </w:p>
    <w:p w14:paraId="4669532D">
      <w:pPr>
        <w:bidi w:val="0"/>
        <w:rPr>
          <w:rFonts w:hint="eastAsia"/>
          <w:color w:val="auto"/>
        </w:rPr>
      </w:pPr>
      <w:r>
        <w:rPr>
          <w:rFonts w:hint="eastAsia"/>
          <w:color w:val="auto"/>
        </w:rPr>
        <w:t>（2）供水水源</w:t>
      </w:r>
    </w:p>
    <w:p w14:paraId="224AA73F">
      <w:pPr>
        <w:bidi w:val="0"/>
        <w:rPr>
          <w:rFonts w:hint="eastAsia"/>
          <w:color w:val="auto"/>
        </w:rPr>
      </w:pPr>
      <w:r>
        <w:rPr>
          <w:rFonts w:hint="eastAsia"/>
          <w:color w:val="auto"/>
        </w:rPr>
        <w:t>本选厂生产用水为山泉水，经过引入回水池（新水补加进回水池）净化处理后供生产用水。厂区建有回水池，利用水泵把回水池内的水向生产车间供水。从现引入水源看，水质及水量均满足生产要求。</w:t>
      </w:r>
    </w:p>
    <w:p w14:paraId="47617C41">
      <w:pPr>
        <w:bidi w:val="0"/>
        <w:rPr>
          <w:rFonts w:hint="eastAsia"/>
          <w:color w:val="auto"/>
        </w:rPr>
      </w:pPr>
      <w:r>
        <w:rPr>
          <w:rFonts w:hint="eastAsia"/>
          <w:color w:val="auto"/>
        </w:rPr>
        <w:t>生活用水采用现城市自来水管道供应。</w:t>
      </w:r>
    </w:p>
    <w:p w14:paraId="506E6865">
      <w:pPr>
        <w:bidi w:val="0"/>
        <w:rPr>
          <w:rFonts w:hint="eastAsia"/>
          <w:color w:val="auto"/>
        </w:rPr>
      </w:pPr>
      <w:r>
        <w:rPr>
          <w:rFonts w:hint="eastAsia"/>
          <w:color w:val="auto"/>
        </w:rPr>
        <w:t>（3）给水系统</w:t>
      </w:r>
    </w:p>
    <w:p w14:paraId="4A37695B">
      <w:pPr>
        <w:bidi w:val="0"/>
        <w:rPr>
          <w:rFonts w:hint="eastAsia"/>
          <w:color w:val="auto"/>
        </w:rPr>
      </w:pPr>
      <w:r>
        <w:rPr>
          <w:rFonts w:hint="eastAsia"/>
          <w:color w:val="auto"/>
        </w:rPr>
        <w:t>1）给水标准</w:t>
      </w:r>
    </w:p>
    <w:p w14:paraId="7FE02A9F">
      <w:pPr>
        <w:bidi w:val="0"/>
        <w:rPr>
          <w:rFonts w:hint="eastAsia"/>
          <w:color w:val="auto"/>
        </w:rPr>
      </w:pPr>
      <w:r>
        <w:rPr>
          <w:rFonts w:hint="eastAsia"/>
          <w:color w:val="auto"/>
        </w:rPr>
        <w:t>选厂及生产辅助设施给水标准按生产工艺要求确定。</w:t>
      </w:r>
    </w:p>
    <w:p w14:paraId="01FE8975">
      <w:pPr>
        <w:bidi w:val="0"/>
        <w:rPr>
          <w:rFonts w:hint="eastAsia"/>
          <w:color w:val="auto"/>
        </w:rPr>
      </w:pPr>
      <w:r>
        <w:rPr>
          <w:rFonts w:hint="eastAsia"/>
          <w:color w:val="auto"/>
        </w:rPr>
        <w:t>生活区综合用水2.4m</w:t>
      </w:r>
      <w:r>
        <w:rPr>
          <w:rFonts w:hint="eastAsia"/>
          <w:color w:val="auto"/>
          <w:vertAlign w:val="superscript"/>
        </w:rPr>
        <w:t>3</w:t>
      </w:r>
      <w:r>
        <w:rPr>
          <w:rFonts w:hint="eastAsia"/>
          <w:color w:val="auto"/>
        </w:rPr>
        <w:t>/d。</w:t>
      </w:r>
    </w:p>
    <w:p w14:paraId="63FF2DEF">
      <w:pPr>
        <w:bidi w:val="0"/>
        <w:rPr>
          <w:rFonts w:hint="eastAsia"/>
          <w:color w:val="auto"/>
        </w:rPr>
      </w:pPr>
      <w:r>
        <w:rPr>
          <w:rFonts w:hint="eastAsia"/>
          <w:color w:val="auto"/>
        </w:rPr>
        <w:t>2）选厂生产给水系统</w:t>
      </w:r>
    </w:p>
    <w:p w14:paraId="2879F38C">
      <w:pPr>
        <w:bidi w:val="0"/>
        <w:rPr>
          <w:rFonts w:hint="eastAsia"/>
          <w:color w:val="auto"/>
        </w:rPr>
      </w:pPr>
      <w:r>
        <w:rPr>
          <w:rFonts w:hint="eastAsia"/>
          <w:color w:val="auto"/>
        </w:rPr>
        <w:t>本项目用水大部分为精矿、尾矿脱水回水，回水返回回水池，用泵泵至选矿厂回水系统重复利用，满足生产要求。</w:t>
      </w:r>
    </w:p>
    <w:p w14:paraId="6A76AFBC">
      <w:pPr>
        <w:bidi w:val="0"/>
        <w:rPr>
          <w:rFonts w:hint="eastAsia"/>
          <w:color w:val="auto"/>
        </w:rPr>
      </w:pPr>
      <w:r>
        <w:rPr>
          <w:rFonts w:hint="eastAsia"/>
          <w:color w:val="auto"/>
        </w:rPr>
        <w:t>3）选厂供水系统</w:t>
      </w:r>
    </w:p>
    <w:p w14:paraId="2CCA6687">
      <w:pPr>
        <w:bidi w:val="0"/>
        <w:rPr>
          <w:rFonts w:hint="eastAsia"/>
          <w:color w:val="auto"/>
        </w:rPr>
      </w:pPr>
      <w:r>
        <w:rPr>
          <w:rFonts w:hint="eastAsia"/>
          <w:color w:val="auto"/>
        </w:rPr>
        <w:t>从选厂回水池接一根DN150×5，长约20m的管供至选厂附近，再从主管上接管，供至选厂房各个用水点，满足生产用水要求。管线敷设方式，穿越公路时，架设或是埋设。</w:t>
      </w:r>
    </w:p>
    <w:p w14:paraId="15A1106C">
      <w:pPr>
        <w:bidi w:val="0"/>
        <w:rPr>
          <w:rFonts w:hint="eastAsia"/>
          <w:color w:val="auto"/>
        </w:rPr>
      </w:pPr>
      <w:r>
        <w:rPr>
          <w:rFonts w:hint="eastAsia"/>
          <w:color w:val="auto"/>
        </w:rPr>
        <w:t>磨矿区渣浆泵轴封用水要求为新水，从选厂原有生产新水系统接一根DN50管至磨矿机旁新建钢制水箱，水箱体积为1.5m³，尺寸：L×B×H：1.5×1×1.2m，在水箱旁设2台管道泵，一用一备，型号：XBD3.1/1-2.5GDL3，水泵及相关参数：Q=3.6m³/h，H=31m，n=2900r/min，N=1.1kW，水泵出口接DN20管道至渣浆泵处满足其轴封水要求。</w:t>
      </w:r>
    </w:p>
    <w:p w14:paraId="01154BE4">
      <w:pPr>
        <w:bidi w:val="0"/>
        <w:rPr>
          <w:rFonts w:hint="eastAsia"/>
          <w:color w:val="auto"/>
        </w:rPr>
      </w:pPr>
      <w:r>
        <w:rPr>
          <w:rFonts w:hint="eastAsia"/>
          <w:color w:val="auto"/>
        </w:rPr>
        <w:t>4）回水系统</w:t>
      </w:r>
    </w:p>
    <w:p w14:paraId="0E14B7AC">
      <w:pPr>
        <w:bidi w:val="0"/>
        <w:rPr>
          <w:rFonts w:hint="eastAsia"/>
          <w:color w:val="auto"/>
        </w:rPr>
      </w:pPr>
      <w:r>
        <w:rPr>
          <w:rFonts w:hint="eastAsia"/>
          <w:color w:val="auto"/>
        </w:rPr>
        <w:t>脱水后的尾矿水经管道自流输送到尾矿库，在尾矿库内经过降解自净、沉淀后经回水泵加压输送到回水池，作为生产用水。</w:t>
      </w:r>
    </w:p>
    <w:p w14:paraId="5AABC1D4">
      <w:pPr>
        <w:bidi w:val="0"/>
        <w:rPr>
          <w:rFonts w:hint="eastAsia"/>
          <w:color w:val="auto"/>
        </w:rPr>
      </w:pPr>
      <w:r>
        <w:rPr>
          <w:rFonts w:hint="eastAsia"/>
          <w:color w:val="auto"/>
        </w:rPr>
        <w:t>尾矿回水量518.85m</w:t>
      </w:r>
      <w:r>
        <w:rPr>
          <w:rFonts w:hint="eastAsia"/>
          <w:color w:val="auto"/>
          <w:vertAlign w:val="superscript"/>
        </w:rPr>
        <w:t>3</w:t>
      </w:r>
      <w:r>
        <w:rPr>
          <w:rFonts w:hint="eastAsia"/>
          <w:color w:val="auto"/>
        </w:rPr>
        <w:t>/d（21.62m</w:t>
      </w:r>
      <w:r>
        <w:rPr>
          <w:rFonts w:hint="eastAsia"/>
          <w:color w:val="auto"/>
          <w:vertAlign w:val="superscript"/>
        </w:rPr>
        <w:t>3</w:t>
      </w:r>
      <w:r>
        <w:rPr>
          <w:rFonts w:hint="eastAsia"/>
          <w:color w:val="auto"/>
        </w:rPr>
        <w:t>/h），尾矿回水泵选用D50-50×4多级卧式离心泵2台，1台工作1台备用，水泵性能为Q=100m</w:t>
      </w:r>
      <w:r>
        <w:rPr>
          <w:rFonts w:hint="eastAsia"/>
          <w:color w:val="auto"/>
          <w:vertAlign w:val="superscript"/>
        </w:rPr>
        <w:t>3</w:t>
      </w:r>
      <w:r>
        <w:rPr>
          <w:rFonts w:hint="eastAsia"/>
          <w:color w:val="auto"/>
        </w:rPr>
        <w:t>/h，H=200m，P=12.5kW。</w:t>
      </w:r>
    </w:p>
    <w:p w14:paraId="5EAD8FB1">
      <w:pPr>
        <w:bidi w:val="0"/>
        <w:rPr>
          <w:rFonts w:hint="eastAsia"/>
          <w:color w:val="auto"/>
        </w:rPr>
      </w:pPr>
      <w:r>
        <w:rPr>
          <w:rFonts w:hint="eastAsia"/>
          <w:color w:val="auto"/>
        </w:rPr>
        <w:t>从回水泵房到回水高位水池的输送管道选用De200钢丝网骨架塑料复合钢管，输送距离约250m。</w:t>
      </w:r>
    </w:p>
    <w:p w14:paraId="769EA3E3">
      <w:pPr>
        <w:bidi w:val="0"/>
        <w:rPr>
          <w:rFonts w:hint="eastAsia"/>
          <w:color w:val="auto"/>
        </w:rPr>
      </w:pPr>
      <w:r>
        <w:rPr>
          <w:rFonts w:hint="eastAsia"/>
          <w:color w:val="auto"/>
        </w:rPr>
        <w:t>回水由经场地生产回水管网供给到磨浮车间返回工艺使用。</w:t>
      </w:r>
    </w:p>
    <w:p w14:paraId="67E775EC">
      <w:pPr>
        <w:bidi w:val="0"/>
        <w:rPr>
          <w:rFonts w:hint="eastAsia"/>
          <w:color w:val="auto"/>
        </w:rPr>
      </w:pPr>
      <w:r>
        <w:rPr>
          <w:rFonts w:hint="eastAsia"/>
          <w:color w:val="auto"/>
        </w:rPr>
        <w:t>（4）排水</w:t>
      </w:r>
    </w:p>
    <w:p w14:paraId="7F482709">
      <w:pPr>
        <w:bidi w:val="0"/>
        <w:rPr>
          <w:rFonts w:hint="eastAsia"/>
          <w:color w:val="auto"/>
        </w:rPr>
      </w:pPr>
      <w:r>
        <w:rPr>
          <w:rFonts w:hint="eastAsia"/>
          <w:color w:val="auto"/>
        </w:rPr>
        <w:t>本</w:t>
      </w:r>
      <w:r>
        <w:rPr>
          <w:rFonts w:hint="eastAsia"/>
          <w:color w:val="auto"/>
          <w:lang w:val="en-US" w:eastAsia="zh-CN"/>
        </w:rPr>
        <w:t>项目</w:t>
      </w:r>
      <w:r>
        <w:rPr>
          <w:rFonts w:hint="eastAsia"/>
          <w:color w:val="auto"/>
        </w:rPr>
        <w:t>的所有生产排水，包括尾矿排水、设备冷却排水、车间洗手池排水等，均随尾矿一起排入尾矿库内，经尾矿库自然沉淀、澄清后，作为回水送至回水池供厂区各回水点回用。</w:t>
      </w:r>
    </w:p>
    <w:p w14:paraId="4A0193B0">
      <w:pPr>
        <w:bidi w:val="0"/>
        <w:rPr>
          <w:rFonts w:hint="eastAsia"/>
          <w:color w:val="auto"/>
        </w:rPr>
      </w:pPr>
      <w:r>
        <w:rPr>
          <w:rFonts w:hint="eastAsia"/>
          <w:color w:val="auto"/>
        </w:rPr>
        <w:t>选矿厂工业场地主要排水为磨浮车间排出的选矿废水、澄清槽、浓缩槽溢流水等。选矿车间排出的选矿废水与其它排水（精矿澄清槽溢流水、尾矿、浓缩、压滤后滤液）汇合自流送入尾矿库。尾矿在尾矿池内经过降解自净、沉淀后进入回水池，然后返回选厂使用，无外排水。</w:t>
      </w:r>
    </w:p>
    <w:p w14:paraId="20CF0291">
      <w:pPr>
        <w:bidi w:val="0"/>
        <w:rPr>
          <w:rFonts w:hint="eastAsia"/>
          <w:color w:val="auto"/>
        </w:rPr>
      </w:pPr>
      <w:r>
        <w:rPr>
          <w:rFonts w:hint="eastAsia"/>
          <w:color w:val="auto"/>
        </w:rPr>
        <w:t>本</w:t>
      </w:r>
      <w:r>
        <w:rPr>
          <w:rFonts w:hint="eastAsia"/>
          <w:color w:val="auto"/>
          <w:lang w:val="en-US" w:eastAsia="zh-CN"/>
        </w:rPr>
        <w:t>项目</w:t>
      </w:r>
      <w:r>
        <w:rPr>
          <w:rFonts w:hint="eastAsia"/>
          <w:color w:val="auto"/>
        </w:rPr>
        <w:t>生活排水量1.92m</w:t>
      </w:r>
      <w:r>
        <w:rPr>
          <w:rFonts w:hint="eastAsia"/>
          <w:color w:val="auto"/>
          <w:vertAlign w:val="superscript"/>
        </w:rPr>
        <w:t>3</w:t>
      </w:r>
      <w:r>
        <w:rPr>
          <w:rFonts w:hint="eastAsia"/>
          <w:color w:val="auto"/>
        </w:rPr>
        <w:t>/d，生活污水经化粪池处理后，再经一套处理能力为5m</w:t>
      </w:r>
      <w:r>
        <w:rPr>
          <w:rFonts w:hint="eastAsia"/>
          <w:color w:val="auto"/>
          <w:vertAlign w:val="superscript"/>
        </w:rPr>
        <w:t>3</w:t>
      </w:r>
      <w:r>
        <w:rPr>
          <w:rFonts w:hint="eastAsia"/>
          <w:color w:val="auto"/>
        </w:rPr>
        <w:t>/h的SEJ-5型一元化污水处理装置进行生活污水二级处理，使生活污水的排放达到国家《污水综合排放标准》（GB8978-1996）中的一级排放标准。经一元化污水处理装置处理后的生活污水，用于厂区绿化、浇洒路面。</w:t>
      </w:r>
    </w:p>
    <w:p w14:paraId="0644C8BB">
      <w:pPr>
        <w:bidi w:val="0"/>
        <w:rPr>
          <w:rFonts w:hint="eastAsia"/>
          <w:color w:val="auto"/>
        </w:rPr>
      </w:pPr>
      <w:r>
        <w:rPr>
          <w:rFonts w:hint="eastAsia"/>
          <w:color w:val="auto"/>
        </w:rPr>
        <w:t>（5）消防系统</w:t>
      </w:r>
    </w:p>
    <w:p w14:paraId="43CC7361">
      <w:pPr>
        <w:bidi w:val="0"/>
        <w:rPr>
          <w:rFonts w:hint="eastAsia"/>
          <w:color w:val="auto"/>
        </w:rPr>
      </w:pPr>
      <w:r>
        <w:rPr>
          <w:rFonts w:hint="eastAsia"/>
          <w:color w:val="auto"/>
        </w:rPr>
        <w:t>选矿厂建筑耐火等级属三级，火灾危险性类别为戊类，根据《建筑设计防火规范》（GB50016-2014，2018修订版）的规定，选矿厂室内消防主要采用灭火器进行灭火。</w:t>
      </w:r>
    </w:p>
    <w:p w14:paraId="101317DF">
      <w:pPr>
        <w:bidi w:val="0"/>
        <w:rPr>
          <w:rFonts w:hint="eastAsia"/>
          <w:color w:val="auto"/>
        </w:rPr>
      </w:pPr>
      <w:r>
        <w:rPr>
          <w:rFonts w:hint="eastAsia"/>
          <w:color w:val="auto"/>
        </w:rPr>
        <w:t>灭火器配置如下：</w:t>
      </w:r>
    </w:p>
    <w:p w14:paraId="743DC25A">
      <w:pPr>
        <w:bidi w:val="0"/>
        <w:rPr>
          <w:rFonts w:hint="eastAsia"/>
          <w:color w:val="auto"/>
        </w:rPr>
      </w:pPr>
      <w:r>
        <w:rPr>
          <w:rFonts w:hint="eastAsia"/>
          <w:color w:val="auto"/>
        </w:rPr>
        <w:t>破碎车间：属于轻危险级，配置MF4ABC型灭火器6具；</w:t>
      </w:r>
    </w:p>
    <w:p w14:paraId="6C9505AB">
      <w:pPr>
        <w:bidi w:val="0"/>
        <w:rPr>
          <w:rFonts w:hint="eastAsia"/>
          <w:color w:val="auto"/>
        </w:rPr>
      </w:pPr>
      <w:r>
        <w:rPr>
          <w:rFonts w:hint="eastAsia"/>
          <w:color w:val="auto"/>
        </w:rPr>
        <w:t>选矿车间：属于轻危险级，配置MF4ABC型灭火器6具；</w:t>
      </w:r>
    </w:p>
    <w:p w14:paraId="2499EE4A">
      <w:pPr>
        <w:bidi w:val="0"/>
        <w:rPr>
          <w:rFonts w:hint="eastAsia"/>
          <w:color w:val="auto"/>
        </w:rPr>
      </w:pPr>
      <w:r>
        <w:rPr>
          <w:rFonts w:hint="eastAsia"/>
          <w:color w:val="auto"/>
        </w:rPr>
        <w:t>脱水车间：属于轻危险级，配置MF4ABC型灭火器2具。</w:t>
      </w:r>
    </w:p>
    <w:p w14:paraId="42E0FE46">
      <w:pPr>
        <w:bidi w:val="0"/>
        <w:rPr>
          <w:rFonts w:hint="eastAsia"/>
          <w:color w:val="auto"/>
        </w:rPr>
      </w:pPr>
      <w:r>
        <w:rPr>
          <w:rFonts w:hint="eastAsia"/>
          <w:color w:val="auto"/>
        </w:rPr>
        <w:t>配电室：属于中危险级，配置MF4ABC型灭火器4具。</w:t>
      </w:r>
    </w:p>
    <w:p w14:paraId="5D81193B">
      <w:pPr>
        <w:bidi w:val="0"/>
        <w:rPr>
          <w:rFonts w:hint="eastAsia"/>
          <w:color w:val="auto"/>
        </w:rPr>
      </w:pPr>
      <w:r>
        <w:rPr>
          <w:rFonts w:hint="eastAsia"/>
          <w:color w:val="auto"/>
          <w:lang w:val="en-US" w:eastAsia="zh-CN"/>
        </w:rPr>
        <w:t>二、</w:t>
      </w:r>
      <w:r>
        <w:rPr>
          <w:rFonts w:hint="eastAsia"/>
          <w:color w:val="auto"/>
        </w:rPr>
        <w:t>供电</w:t>
      </w:r>
    </w:p>
    <w:p w14:paraId="3C4D836F">
      <w:pPr>
        <w:bidi w:val="0"/>
        <w:rPr>
          <w:rFonts w:hint="eastAsia"/>
          <w:color w:val="auto"/>
        </w:rPr>
      </w:pPr>
      <w:r>
        <w:rPr>
          <w:rFonts w:hint="eastAsia"/>
          <w:color w:val="auto"/>
          <w:lang w:val="en-US" w:eastAsia="zh-CN"/>
        </w:rPr>
        <w:t>1、</w:t>
      </w:r>
      <w:r>
        <w:rPr>
          <w:rFonts w:hint="eastAsia"/>
          <w:color w:val="auto"/>
        </w:rPr>
        <w:t>用电负荷</w:t>
      </w:r>
    </w:p>
    <w:p w14:paraId="4A138F07">
      <w:pPr>
        <w:bidi w:val="0"/>
        <w:rPr>
          <w:rFonts w:hint="eastAsia"/>
          <w:color w:val="auto"/>
        </w:rPr>
      </w:pPr>
      <w:r>
        <w:rPr>
          <w:rFonts w:hint="eastAsia"/>
          <w:color w:val="auto"/>
        </w:rPr>
        <w:t>本</w:t>
      </w:r>
      <w:r>
        <w:rPr>
          <w:rFonts w:hint="eastAsia"/>
          <w:color w:val="auto"/>
          <w:lang w:val="en-US" w:eastAsia="zh-CN"/>
        </w:rPr>
        <w:t>项目</w:t>
      </w:r>
      <w:r>
        <w:rPr>
          <w:rFonts w:hint="eastAsia"/>
          <w:color w:val="auto"/>
        </w:rPr>
        <w:t>所有用电设备均为低压负荷，均为三级负荷，仅需一回电源进线，项目利用原有1台630kVA变压器和1台100kVA变压器。根据各专业提供的条件进行了电气负荷计算，结果如下。</w:t>
      </w:r>
    </w:p>
    <w:p w14:paraId="63AA041B">
      <w:pPr>
        <w:bidi w:val="0"/>
        <w:rPr>
          <w:rFonts w:hint="eastAsia"/>
          <w:color w:val="auto"/>
        </w:rPr>
      </w:pPr>
      <w:r>
        <w:rPr>
          <w:rFonts w:hint="eastAsia"/>
          <w:color w:val="auto"/>
        </w:rPr>
        <w:t>选厂380V侧：    安装容量591.8kW，61台；</w:t>
      </w:r>
    </w:p>
    <w:p w14:paraId="3F97C994">
      <w:pPr>
        <w:bidi w:val="0"/>
        <w:rPr>
          <w:rFonts w:hint="eastAsia"/>
          <w:color w:val="auto"/>
        </w:rPr>
      </w:pPr>
      <w:r>
        <w:rPr>
          <w:rFonts w:hint="eastAsia"/>
          <w:color w:val="auto"/>
        </w:rPr>
        <w:t xml:space="preserve">                  工作容量130.5kW，56台；</w:t>
      </w:r>
    </w:p>
    <w:p w14:paraId="2E635264">
      <w:pPr>
        <w:bidi w:val="0"/>
        <w:rPr>
          <w:rFonts w:hint="eastAsia"/>
          <w:color w:val="auto"/>
        </w:rPr>
      </w:pPr>
      <w:r>
        <w:rPr>
          <w:rFonts w:hint="eastAsia"/>
          <w:color w:val="auto"/>
        </w:rPr>
        <w:t>选矿厂总的生产总耗电量209.27×10</w:t>
      </w:r>
      <w:r>
        <w:rPr>
          <w:rFonts w:hint="eastAsia"/>
          <w:color w:val="auto"/>
          <w:vertAlign w:val="superscript"/>
        </w:rPr>
        <w:t>4</w:t>
      </w:r>
      <w:r>
        <w:rPr>
          <w:rFonts w:hint="eastAsia"/>
          <w:color w:val="auto"/>
        </w:rPr>
        <w:t>kwh/a。</w:t>
      </w:r>
    </w:p>
    <w:p w14:paraId="116D0A93">
      <w:pPr>
        <w:bidi w:val="0"/>
        <w:rPr>
          <w:rFonts w:hint="eastAsia"/>
          <w:color w:val="auto"/>
        </w:rPr>
      </w:pPr>
      <w:r>
        <w:rPr>
          <w:rFonts w:hint="eastAsia"/>
          <w:color w:val="auto"/>
        </w:rPr>
        <w:t>本</w:t>
      </w:r>
      <w:r>
        <w:rPr>
          <w:rFonts w:hint="eastAsia"/>
          <w:color w:val="auto"/>
          <w:lang w:val="en-US" w:eastAsia="zh-CN"/>
        </w:rPr>
        <w:t>项目</w:t>
      </w:r>
      <w:r>
        <w:rPr>
          <w:rFonts w:hint="eastAsia"/>
          <w:color w:val="auto"/>
        </w:rPr>
        <w:t>所有用电设备均为低压负荷，没有一、二级负荷，仅需一回电源进线。</w:t>
      </w:r>
    </w:p>
    <w:p w14:paraId="355C7A94">
      <w:pPr>
        <w:bidi w:val="0"/>
        <w:rPr>
          <w:rFonts w:hint="eastAsia"/>
          <w:color w:val="auto"/>
        </w:rPr>
      </w:pPr>
      <w:r>
        <w:rPr>
          <w:rFonts w:hint="eastAsia"/>
          <w:color w:val="auto"/>
          <w:lang w:val="en-US" w:eastAsia="zh-CN"/>
        </w:rPr>
        <w:t>2、</w:t>
      </w:r>
      <w:r>
        <w:rPr>
          <w:rFonts w:hint="eastAsia"/>
          <w:color w:val="auto"/>
        </w:rPr>
        <w:t>电源</w:t>
      </w:r>
    </w:p>
    <w:p w14:paraId="419BC046">
      <w:pPr>
        <w:bidi w:val="0"/>
        <w:rPr>
          <w:rFonts w:hint="eastAsia"/>
          <w:color w:val="auto"/>
        </w:rPr>
      </w:pPr>
      <w:r>
        <w:rPr>
          <w:rFonts w:hint="eastAsia"/>
          <w:color w:val="auto"/>
        </w:rPr>
        <w:t>项目供电设施接引选矿厂现有电网，电源来自当地供电电网。</w:t>
      </w:r>
    </w:p>
    <w:p w14:paraId="4EFF695D">
      <w:pPr>
        <w:bidi w:val="0"/>
        <w:rPr>
          <w:rFonts w:hint="eastAsia"/>
          <w:color w:val="auto"/>
        </w:rPr>
      </w:pPr>
      <w:r>
        <w:rPr>
          <w:rFonts w:hint="eastAsia"/>
          <w:color w:val="auto"/>
          <w:lang w:val="en-US" w:eastAsia="zh-CN"/>
        </w:rPr>
        <w:t>3、</w:t>
      </w:r>
      <w:r>
        <w:rPr>
          <w:rFonts w:hint="eastAsia"/>
          <w:color w:val="auto"/>
        </w:rPr>
        <w:t>供电系统</w:t>
      </w:r>
    </w:p>
    <w:p w14:paraId="2812E983">
      <w:pPr>
        <w:bidi w:val="0"/>
        <w:rPr>
          <w:rFonts w:hint="eastAsia"/>
          <w:color w:val="auto"/>
        </w:rPr>
      </w:pPr>
      <w:r>
        <w:rPr>
          <w:rFonts w:hint="eastAsia"/>
          <w:color w:val="auto"/>
        </w:rPr>
        <w:t>由附近10kV电源引至本</w:t>
      </w:r>
      <w:r>
        <w:rPr>
          <w:rFonts w:hint="eastAsia"/>
          <w:color w:val="auto"/>
          <w:lang w:val="en-US" w:eastAsia="zh-CN"/>
        </w:rPr>
        <w:t>项目</w:t>
      </w:r>
      <w:r>
        <w:rPr>
          <w:rFonts w:hint="eastAsia"/>
          <w:color w:val="auto"/>
        </w:rPr>
        <w:t>生产车间旁的630kVA变压器和100kVA变压器。</w:t>
      </w:r>
    </w:p>
    <w:p w14:paraId="4EFDD0C6">
      <w:pPr>
        <w:bidi w:val="0"/>
        <w:rPr>
          <w:rFonts w:hint="eastAsia"/>
          <w:color w:val="auto"/>
        </w:rPr>
      </w:pPr>
      <w:r>
        <w:rPr>
          <w:rFonts w:hint="eastAsia"/>
          <w:color w:val="auto"/>
        </w:rPr>
        <w:t>地面配线：选厂变电所设低压配电屏或户外配电箱，采用电缆放射式向各用电设备供电。各车间、室内设动力配电箱或照明配电箱作二级低压配电。</w:t>
      </w:r>
    </w:p>
    <w:p w14:paraId="3748F184">
      <w:pPr>
        <w:bidi w:val="0"/>
        <w:rPr>
          <w:rFonts w:hint="eastAsia"/>
          <w:color w:val="auto"/>
        </w:rPr>
      </w:pPr>
      <w:r>
        <w:rPr>
          <w:rFonts w:hint="eastAsia"/>
          <w:color w:val="auto"/>
        </w:rPr>
        <w:t>配电室设低压配电屏或户外配电箱，采用电缆放射式向各用电设备供电。各车间、室内设动力配电箱或照明配电箱作二级低压配电。</w:t>
      </w:r>
    </w:p>
    <w:p w14:paraId="631AC408">
      <w:pPr>
        <w:bidi w:val="0"/>
        <w:rPr>
          <w:rFonts w:hint="eastAsia"/>
          <w:color w:val="auto"/>
        </w:rPr>
      </w:pPr>
      <w:r>
        <w:rPr>
          <w:rFonts w:hint="eastAsia"/>
          <w:color w:val="auto"/>
        </w:rPr>
        <w:t>各车间内配线方式为：电力电缆、控制电缆及信号电缆都沿电缆桥架明敷设。顺桥架到设备处穿管明（暗）敷设。电缆桥架（含穿线管）尽量沿工艺管桥、建构筑物的柱、墙等处敷设。无上述条件时自立支柱单独敷设。</w:t>
      </w:r>
    </w:p>
    <w:p w14:paraId="6D753F2E">
      <w:pPr>
        <w:bidi w:val="0"/>
        <w:rPr>
          <w:rFonts w:hint="eastAsia"/>
          <w:color w:val="auto"/>
        </w:rPr>
      </w:pPr>
      <w:r>
        <w:rPr>
          <w:rFonts w:hint="eastAsia"/>
          <w:color w:val="auto"/>
        </w:rPr>
        <w:t>车间内照明采用铜芯绝缘线穿钢管（或PVC）沿柱、墙、梁敷设。厂区内的道路、场地照明，用铜芯绝缘线穿管埋地敷设。一般穿PVC管，过路及运输通行处穿钢管埋地敷设。办公室、宿舍、等辅助用房照明用铜芯绝缘线穿PVC管暗敷设。</w:t>
      </w:r>
    </w:p>
    <w:p w14:paraId="2ABB6130">
      <w:pPr>
        <w:bidi w:val="0"/>
        <w:rPr>
          <w:rFonts w:hint="eastAsia"/>
          <w:color w:val="auto"/>
        </w:rPr>
      </w:pPr>
      <w:r>
        <w:rPr>
          <w:rFonts w:hint="eastAsia"/>
          <w:color w:val="auto"/>
          <w:lang w:val="en-US" w:eastAsia="zh-CN"/>
        </w:rPr>
        <w:t>4、</w:t>
      </w:r>
      <w:r>
        <w:rPr>
          <w:rFonts w:hint="eastAsia"/>
          <w:color w:val="auto"/>
        </w:rPr>
        <w:t>设备选择</w:t>
      </w:r>
    </w:p>
    <w:p w14:paraId="584E9033">
      <w:pPr>
        <w:bidi w:val="0"/>
        <w:rPr>
          <w:rFonts w:hint="eastAsia"/>
          <w:color w:val="auto"/>
        </w:rPr>
      </w:pPr>
      <w:r>
        <w:rPr>
          <w:rFonts w:hint="eastAsia"/>
          <w:color w:val="auto"/>
        </w:rPr>
        <w:t>电力变压器选铜芯油浸、新型、节能低耗、体积小、价格便宜的S13型。与S11型相比，空载损耗下降25%，空载电流下降35%，年运行成本下降10.5%。</w:t>
      </w:r>
    </w:p>
    <w:p w14:paraId="0C08A772">
      <w:pPr>
        <w:bidi w:val="0"/>
        <w:rPr>
          <w:rFonts w:hint="eastAsia"/>
          <w:color w:val="auto"/>
        </w:rPr>
      </w:pPr>
      <w:r>
        <w:rPr>
          <w:rFonts w:hint="eastAsia"/>
          <w:color w:val="auto"/>
        </w:rPr>
        <w:t>低压屏选用GGD型固定柜，动力箱选XL-21型，低压屏和动力箱内元器件选用国产中上等产品。大电机软启动器选用国产中上等产品。</w:t>
      </w:r>
    </w:p>
    <w:p w14:paraId="53C3265F">
      <w:pPr>
        <w:bidi w:val="0"/>
        <w:rPr>
          <w:rFonts w:hint="eastAsia"/>
          <w:color w:val="auto"/>
        </w:rPr>
      </w:pPr>
      <w:r>
        <w:rPr>
          <w:rFonts w:hint="eastAsia"/>
          <w:color w:val="auto"/>
        </w:rPr>
        <w:t>高、低压电力电缆选交联聚乙烯YJV型电缆，控制电缆选用KVV- 500V，电线选用BV-500V铜芯绝缘线。按照电压、电流、敷设环境、短路参数等各种条件作动、热稳定校验后，经济合理的选择电缆、导线的截面。</w:t>
      </w:r>
    </w:p>
    <w:p w14:paraId="771936EF">
      <w:pPr>
        <w:bidi w:val="0"/>
        <w:rPr>
          <w:rFonts w:hint="eastAsia"/>
          <w:color w:val="auto"/>
        </w:rPr>
      </w:pPr>
      <w:r>
        <w:rPr>
          <w:rFonts w:hint="eastAsia"/>
          <w:color w:val="auto"/>
          <w:lang w:val="en-US" w:eastAsia="zh-CN"/>
        </w:rPr>
        <w:t>5、</w:t>
      </w:r>
      <w:r>
        <w:rPr>
          <w:rFonts w:hint="eastAsia"/>
          <w:color w:val="auto"/>
        </w:rPr>
        <w:t>控制、保护及计量</w:t>
      </w:r>
    </w:p>
    <w:p w14:paraId="61518DF7">
      <w:pPr>
        <w:bidi w:val="0"/>
        <w:rPr>
          <w:rFonts w:hint="eastAsia"/>
          <w:color w:val="auto"/>
        </w:rPr>
      </w:pPr>
      <w:r>
        <w:rPr>
          <w:rFonts w:hint="eastAsia"/>
          <w:color w:val="auto"/>
        </w:rPr>
        <w:t>选厂变电所内选用直接装在开关柜上的综保模块，实现对进线、变压器出线等回路进行继电保护、控制、信号及测量。既先进、可靠、又方便。</w:t>
      </w:r>
    </w:p>
    <w:p w14:paraId="133F3723">
      <w:pPr>
        <w:bidi w:val="0"/>
        <w:rPr>
          <w:rFonts w:hint="eastAsia"/>
          <w:color w:val="auto"/>
        </w:rPr>
      </w:pPr>
      <w:r>
        <w:rPr>
          <w:rFonts w:hint="eastAsia"/>
          <w:color w:val="auto"/>
        </w:rPr>
        <w:t>低压电动机回路设短路及过负荷保护，低压配电回路主要设短路、过负荷保护。</w:t>
      </w:r>
    </w:p>
    <w:p w14:paraId="6E9B2FB6">
      <w:pPr>
        <w:bidi w:val="0"/>
        <w:rPr>
          <w:rFonts w:hint="eastAsia"/>
          <w:color w:val="auto"/>
        </w:rPr>
      </w:pPr>
      <w:r>
        <w:rPr>
          <w:rFonts w:hint="eastAsia"/>
          <w:color w:val="auto"/>
        </w:rPr>
        <w:t>低压电机大部分为就地控制，即：现场动力配电箱和磁力启动箱上控制。部分为两地控制，即：低压屏和现场按钮箱上控制。</w:t>
      </w:r>
    </w:p>
    <w:p w14:paraId="560C8B57">
      <w:pPr>
        <w:bidi w:val="0"/>
        <w:rPr>
          <w:rFonts w:hint="eastAsia"/>
          <w:color w:val="auto"/>
        </w:rPr>
      </w:pPr>
      <w:r>
        <w:rPr>
          <w:rFonts w:hint="eastAsia"/>
          <w:color w:val="auto"/>
        </w:rPr>
        <w:t>低压电机大部分为直接启动。对于低压大电机，生产不需调速的选用软启动柜现场控制启动；生产需调速的选用变频柜现场控制、调速和保护。这不仅可节电，还可使这些大电机处在平稳均衡的最佳工作状态。减少检修工作量，延长设备使用寿命。</w:t>
      </w:r>
    </w:p>
    <w:p w14:paraId="1A393418">
      <w:pPr>
        <w:bidi w:val="0"/>
        <w:rPr>
          <w:rFonts w:hint="eastAsia"/>
          <w:color w:val="auto"/>
        </w:rPr>
      </w:pPr>
      <w:r>
        <w:rPr>
          <w:rFonts w:hint="eastAsia"/>
          <w:color w:val="auto"/>
        </w:rPr>
        <w:t>低压电机凡需水位联动控制的均设数字式液位控制仪。以上所涉及到的控制，其控制电源电压一律定为220V。</w:t>
      </w:r>
    </w:p>
    <w:p w14:paraId="069EFC43">
      <w:pPr>
        <w:bidi w:val="0"/>
        <w:rPr>
          <w:rFonts w:hint="eastAsia"/>
          <w:color w:val="auto"/>
        </w:rPr>
      </w:pPr>
      <w:r>
        <w:rPr>
          <w:rFonts w:hint="eastAsia"/>
          <w:color w:val="auto"/>
        </w:rPr>
        <w:t>低压配电出线回路在低压屏或动力箱上配置电度表计量。55kW以上电机回路设电流表显示。</w:t>
      </w:r>
    </w:p>
    <w:p w14:paraId="5F640ECC">
      <w:pPr>
        <w:bidi w:val="0"/>
        <w:rPr>
          <w:rFonts w:hint="eastAsia"/>
          <w:color w:val="auto"/>
        </w:rPr>
      </w:pPr>
      <w:r>
        <w:rPr>
          <w:rFonts w:hint="eastAsia"/>
          <w:color w:val="auto"/>
          <w:lang w:val="en-US" w:eastAsia="zh-CN"/>
        </w:rPr>
        <w:t>三、</w:t>
      </w:r>
      <w:r>
        <w:rPr>
          <w:rFonts w:hint="eastAsia"/>
          <w:color w:val="auto"/>
        </w:rPr>
        <w:t>防雷接地</w:t>
      </w:r>
    </w:p>
    <w:p w14:paraId="373D5F96">
      <w:pPr>
        <w:bidi w:val="0"/>
        <w:rPr>
          <w:rFonts w:hint="eastAsia"/>
          <w:color w:val="auto"/>
        </w:rPr>
      </w:pPr>
      <w:r>
        <w:rPr>
          <w:rFonts w:hint="eastAsia"/>
          <w:color w:val="auto"/>
        </w:rPr>
        <w:t>地面高压架空线路的末端和小于200m分支处和分支线末端以及直线段每隔一公里处都须作一次重复接地或加装避雷器。接地阻值小于10Ω。</w:t>
      </w:r>
    </w:p>
    <w:p w14:paraId="18A06F8A">
      <w:pPr>
        <w:bidi w:val="0"/>
        <w:rPr>
          <w:rFonts w:hint="eastAsia"/>
          <w:color w:val="auto"/>
        </w:rPr>
      </w:pPr>
      <w:r>
        <w:rPr>
          <w:rFonts w:hint="eastAsia"/>
          <w:color w:val="auto"/>
        </w:rPr>
        <w:t>本</w:t>
      </w:r>
      <w:r>
        <w:rPr>
          <w:rFonts w:hint="eastAsia"/>
          <w:color w:val="auto"/>
          <w:lang w:val="en-US" w:eastAsia="zh-CN"/>
        </w:rPr>
        <w:t>项目</w:t>
      </w:r>
      <w:r>
        <w:rPr>
          <w:rFonts w:hint="eastAsia"/>
          <w:color w:val="auto"/>
        </w:rPr>
        <w:t>低压接线制式选用TN-S制。电缆或电线进建筑物时，需重复接地。</w:t>
      </w:r>
    </w:p>
    <w:p w14:paraId="56941AD6">
      <w:pPr>
        <w:bidi w:val="0"/>
        <w:rPr>
          <w:rFonts w:hint="eastAsia"/>
          <w:color w:val="auto"/>
        </w:rPr>
      </w:pPr>
      <w:r>
        <w:rPr>
          <w:rFonts w:hint="eastAsia"/>
          <w:color w:val="auto"/>
        </w:rPr>
        <w:t>本</w:t>
      </w:r>
      <w:r>
        <w:rPr>
          <w:rFonts w:hint="eastAsia"/>
          <w:color w:val="auto"/>
          <w:lang w:val="en-US" w:eastAsia="zh-CN"/>
        </w:rPr>
        <w:t>项目</w:t>
      </w:r>
      <w:r>
        <w:rPr>
          <w:rFonts w:hint="eastAsia"/>
          <w:color w:val="auto"/>
        </w:rPr>
        <w:t>建构筑物属于第三类防雷保护范畴。按规程规范进行各项设计。</w:t>
      </w:r>
    </w:p>
    <w:p w14:paraId="24B57622">
      <w:pPr>
        <w:bidi w:val="0"/>
        <w:rPr>
          <w:rFonts w:hint="eastAsia"/>
          <w:color w:val="auto"/>
        </w:rPr>
      </w:pPr>
      <w:r>
        <w:rPr>
          <w:rFonts w:hint="eastAsia"/>
          <w:color w:val="auto"/>
        </w:rPr>
        <w:t>本</w:t>
      </w:r>
      <w:r>
        <w:rPr>
          <w:rFonts w:hint="eastAsia"/>
          <w:color w:val="auto"/>
          <w:lang w:val="en-US" w:eastAsia="zh-CN"/>
        </w:rPr>
        <w:t>项目</w:t>
      </w:r>
      <w:r>
        <w:rPr>
          <w:rFonts w:hint="eastAsia"/>
          <w:color w:val="auto"/>
        </w:rPr>
        <w:t>所有设备正常不带电的金属外壳、金属基座及金属构架件（含电缆桥架）都须作保护接地。上述防雷接地和保护接地合二为一共用一接地系统时，接地阻值一般不大于4Ω。变配电所接地阻值不大于1Ω。</w:t>
      </w:r>
    </w:p>
    <w:p w14:paraId="0351809F">
      <w:pPr>
        <w:bidi w:val="0"/>
        <w:rPr>
          <w:rFonts w:hint="eastAsia"/>
          <w:color w:val="auto"/>
        </w:rPr>
      </w:pPr>
      <w:r>
        <w:rPr>
          <w:rFonts w:hint="eastAsia"/>
          <w:color w:val="auto"/>
        </w:rPr>
        <w:t>当上述接地装置接地阻值不够时，则增装扁钢接地带及角钢接地极，增装数量以达到阻值为准。</w:t>
      </w:r>
    </w:p>
    <w:p w14:paraId="57824635">
      <w:pPr>
        <w:bidi w:val="0"/>
        <w:rPr>
          <w:rFonts w:hint="eastAsia"/>
          <w:color w:val="auto"/>
        </w:rPr>
      </w:pPr>
      <w:r>
        <w:rPr>
          <w:rFonts w:hint="eastAsia"/>
          <w:color w:val="auto"/>
        </w:rPr>
        <w:t>防雷接地系统各部件间必须牢固电焊接。所用钢材必须热镀锌。</w:t>
      </w:r>
    </w:p>
    <w:p w14:paraId="7648B174">
      <w:pPr>
        <w:bidi w:val="0"/>
        <w:rPr>
          <w:rFonts w:hint="eastAsia"/>
          <w:color w:val="auto"/>
        </w:rPr>
      </w:pPr>
      <w:r>
        <w:rPr>
          <w:rFonts w:hint="eastAsia"/>
          <w:color w:val="auto"/>
          <w:lang w:val="en-US" w:eastAsia="zh-CN"/>
        </w:rPr>
        <w:t>四、</w:t>
      </w:r>
      <w:r>
        <w:rPr>
          <w:rFonts w:hint="eastAsia"/>
          <w:color w:val="auto"/>
        </w:rPr>
        <w:t>照明</w:t>
      </w:r>
    </w:p>
    <w:p w14:paraId="42DD427C">
      <w:pPr>
        <w:bidi w:val="0"/>
        <w:rPr>
          <w:rFonts w:hint="eastAsia"/>
          <w:color w:val="auto"/>
        </w:rPr>
      </w:pPr>
      <w:r>
        <w:rPr>
          <w:rFonts w:hint="eastAsia"/>
          <w:color w:val="auto"/>
        </w:rPr>
        <w:t>按“建筑照明设计标准”确定照度；按使用环境选不同灯具；光源一律选用节能光源，并满足照度标准要求。界区内地面及工业场地道路照明，采用路灯和投光灯照明。</w:t>
      </w:r>
    </w:p>
    <w:p w14:paraId="37C0D768">
      <w:pPr>
        <w:bidi w:val="0"/>
        <w:rPr>
          <w:rFonts w:hint="eastAsia"/>
          <w:color w:val="auto"/>
        </w:rPr>
      </w:pPr>
      <w:r>
        <w:rPr>
          <w:rFonts w:hint="eastAsia"/>
          <w:color w:val="auto"/>
        </w:rPr>
        <w:t>车间工作照明在照明箱上集中控制；车间周围弯杆局部照明灯及有些平台下的照明灯分散就地控制。</w:t>
      </w:r>
    </w:p>
    <w:p w14:paraId="5E7F8119">
      <w:pPr>
        <w:bidi w:val="0"/>
        <w:rPr>
          <w:rFonts w:hint="eastAsia"/>
          <w:color w:val="auto"/>
        </w:rPr>
      </w:pPr>
      <w:r>
        <w:rPr>
          <w:rFonts w:hint="eastAsia"/>
          <w:color w:val="auto"/>
        </w:rPr>
        <w:t>其他建筑物内的照明为分散就地控制。</w:t>
      </w:r>
    </w:p>
    <w:p w14:paraId="2B370356">
      <w:pPr>
        <w:bidi w:val="0"/>
        <w:rPr>
          <w:rFonts w:hint="eastAsia"/>
          <w:color w:val="auto"/>
        </w:rPr>
      </w:pPr>
      <w:r>
        <w:rPr>
          <w:rFonts w:hint="eastAsia"/>
          <w:color w:val="auto"/>
          <w:lang w:val="en-US" w:eastAsia="zh-CN"/>
        </w:rPr>
        <w:t>五、</w:t>
      </w:r>
      <w:r>
        <w:rPr>
          <w:rFonts w:hint="eastAsia"/>
          <w:color w:val="auto"/>
        </w:rPr>
        <w:t>通信</w:t>
      </w:r>
    </w:p>
    <w:p w14:paraId="7BAC42FA">
      <w:pPr>
        <w:bidi w:val="0"/>
        <w:rPr>
          <w:rFonts w:hint="eastAsia"/>
          <w:color w:val="auto"/>
        </w:rPr>
      </w:pPr>
      <w:r>
        <w:rPr>
          <w:rFonts w:hint="eastAsia"/>
          <w:color w:val="auto"/>
        </w:rPr>
        <w:t>办公室、值班室等处均设置电话，通讯电缆由当地电信网干线引来，委托当地电讯部门实施。</w:t>
      </w:r>
    </w:p>
    <w:p w14:paraId="5B381BA2">
      <w:pPr>
        <w:pStyle w:val="4"/>
        <w:bidi w:val="0"/>
        <w:rPr>
          <w:rFonts w:hint="default"/>
          <w:color w:val="auto"/>
          <w:lang w:val="en-US" w:eastAsia="zh-CN"/>
        </w:rPr>
      </w:pPr>
      <w:bookmarkStart w:id="53" w:name="_Toc11946"/>
      <w:r>
        <w:rPr>
          <w:rFonts w:hint="eastAsia"/>
          <w:color w:val="auto"/>
          <w:lang w:val="en-US" w:eastAsia="zh-CN"/>
        </w:rPr>
        <w:t>2.14.2 建设概况</w:t>
      </w:r>
      <w:bookmarkEnd w:id="53"/>
    </w:p>
    <w:p w14:paraId="5BF05BDB">
      <w:pPr>
        <w:bidi w:val="0"/>
        <w:rPr>
          <w:rFonts w:hint="eastAsia"/>
          <w:color w:val="auto"/>
        </w:rPr>
      </w:pPr>
      <w:r>
        <w:rPr>
          <w:rFonts w:hint="eastAsia"/>
          <w:color w:val="auto"/>
        </w:rPr>
        <w:t>本</w:t>
      </w:r>
      <w:r>
        <w:rPr>
          <w:rFonts w:hint="eastAsia"/>
          <w:color w:val="auto"/>
          <w:lang w:val="en-US" w:eastAsia="zh-CN"/>
        </w:rPr>
        <w:t>项目</w:t>
      </w:r>
      <w:r>
        <w:rPr>
          <w:rFonts w:hint="eastAsia"/>
          <w:color w:val="auto"/>
        </w:rPr>
        <w:t>的所有生产排水，包括尾矿排水、设备冷却排水、车间洗手池排水等，均随尾矿一起排入尾矿库内，经尾矿库自然沉淀、澄清后，作为回水送至回水池供厂区各回水点回用。</w:t>
      </w:r>
    </w:p>
    <w:p w14:paraId="22D9C561">
      <w:pPr>
        <w:bidi w:val="0"/>
        <w:rPr>
          <w:rFonts w:hint="eastAsia"/>
          <w:color w:val="auto"/>
        </w:rPr>
      </w:pPr>
      <w:r>
        <w:rPr>
          <w:rFonts w:hint="eastAsia"/>
          <w:color w:val="auto"/>
        </w:rPr>
        <w:t>选矿厂工业场地主要排水为磨浮车间排出的选矿废水、澄清槽、浓缩槽溢流水等。选矿车间排出的选矿废水与其它排水（精矿澄清槽溢流水、尾矿、浓缩、压滤后滤液）汇合自流送入尾矿库。尾矿在尾矿池内经过降解自净、沉淀后进入回水池，然后返回选厂使用，无外排水。</w:t>
      </w:r>
    </w:p>
    <w:p w14:paraId="16F07F4A">
      <w:pPr>
        <w:bidi w:val="0"/>
        <w:rPr>
          <w:rFonts w:hint="eastAsia"/>
          <w:color w:val="auto"/>
        </w:rPr>
      </w:pPr>
      <w:r>
        <w:rPr>
          <w:rFonts w:hint="eastAsia"/>
          <w:color w:val="auto"/>
        </w:rPr>
        <w:t>生活污水经化粪池处理后，再经一套处理能力为5m</w:t>
      </w:r>
      <w:r>
        <w:rPr>
          <w:rFonts w:hint="eastAsia"/>
          <w:color w:val="auto"/>
          <w:vertAlign w:val="superscript"/>
        </w:rPr>
        <w:t>3</w:t>
      </w:r>
      <w:r>
        <w:rPr>
          <w:rFonts w:hint="eastAsia"/>
          <w:color w:val="auto"/>
        </w:rPr>
        <w:t>/h的SEJ-5型一元化污水处理装置进行生活污水二级处理，使生活污水的排放达到国家《污水综合排放标准》（GB8978-1996）中的一级排放标准。经一元化污水处理装置处理后的生活污水，用于厂区绿化、浇洒路面。</w:t>
      </w:r>
    </w:p>
    <w:p w14:paraId="694ED2D8">
      <w:pPr>
        <w:bidi w:val="0"/>
        <w:rPr>
          <w:rFonts w:hint="eastAsia"/>
          <w:color w:val="auto"/>
        </w:rPr>
      </w:pPr>
      <w:r>
        <w:rPr>
          <w:rFonts w:hint="eastAsia"/>
          <w:color w:val="auto"/>
        </w:rPr>
        <w:t>室内消防：安全设施设计未设计室内消火栓系统，厂区未建设室内消火栓系统。</w:t>
      </w:r>
    </w:p>
    <w:p w14:paraId="410A8A3B">
      <w:pPr>
        <w:bidi w:val="0"/>
        <w:rPr>
          <w:rFonts w:hint="eastAsia"/>
          <w:color w:val="auto"/>
        </w:rPr>
      </w:pPr>
      <w:r>
        <w:rPr>
          <w:rFonts w:hint="eastAsia"/>
          <w:color w:val="auto"/>
        </w:rPr>
        <w:t>室外消防：室外消防管网与生产新水给水管网合用，满足消防要求。</w:t>
      </w:r>
    </w:p>
    <w:p w14:paraId="319E4942">
      <w:pPr>
        <w:bidi w:val="0"/>
        <w:rPr>
          <w:rFonts w:hint="eastAsia"/>
          <w:color w:val="auto"/>
        </w:rPr>
      </w:pPr>
      <w:r>
        <w:rPr>
          <w:rFonts w:hint="eastAsia"/>
          <w:color w:val="auto"/>
        </w:rPr>
        <w:t>厂区各建筑物内配置</w:t>
      </w:r>
      <w:r>
        <w:rPr>
          <w:rFonts w:hint="eastAsia"/>
          <w:color w:val="auto"/>
          <w:lang w:val="en-US" w:eastAsia="zh-CN"/>
        </w:rPr>
        <w:t>20</w:t>
      </w:r>
      <w:r>
        <w:rPr>
          <w:rFonts w:hint="eastAsia"/>
          <w:color w:val="auto"/>
        </w:rPr>
        <w:t>个手提式干粉灭火器。</w:t>
      </w:r>
    </w:p>
    <w:p w14:paraId="504E834B">
      <w:pPr>
        <w:bidi w:val="0"/>
        <w:rPr>
          <w:rFonts w:hint="eastAsia"/>
          <w:color w:val="auto"/>
        </w:rPr>
      </w:pPr>
      <w:r>
        <w:rPr>
          <w:rFonts w:hint="eastAsia"/>
          <w:color w:val="auto"/>
        </w:rPr>
        <w:t>经现场勘查，选厂已有1台630kVA变压器和1台100kVA变压器，</w:t>
      </w:r>
      <w:r>
        <w:rPr>
          <w:rFonts w:hint="eastAsia"/>
          <w:color w:val="auto"/>
          <w:lang w:val="en-US" w:eastAsia="zh-CN"/>
        </w:rPr>
        <w:t>未设置集中配电系统，采用分布式配电柜</w:t>
      </w:r>
      <w:r>
        <w:rPr>
          <w:rFonts w:hint="eastAsia"/>
          <w:color w:val="auto"/>
        </w:rPr>
        <w:t>。</w:t>
      </w:r>
    </w:p>
    <w:p w14:paraId="68DD9318">
      <w:pPr>
        <w:bidi w:val="0"/>
        <w:rPr>
          <w:rFonts w:hint="default" w:eastAsia="宋体"/>
          <w:color w:val="auto"/>
          <w:lang w:val="en-US" w:eastAsia="zh-CN"/>
        </w:rPr>
      </w:pPr>
      <w:r>
        <w:rPr>
          <w:rFonts w:hint="eastAsia"/>
          <w:color w:val="auto"/>
        </w:rPr>
        <w:t>厂区各建筑物机已进行防雷接地，</w:t>
      </w:r>
      <w:r>
        <w:rPr>
          <w:rFonts w:hint="eastAsia"/>
          <w:color w:val="auto"/>
          <w:lang w:val="en-US" w:eastAsia="zh-CN"/>
        </w:rPr>
        <w:t>但未进行防雷检测。</w:t>
      </w:r>
    </w:p>
    <w:p w14:paraId="2F4295F5">
      <w:pPr>
        <w:bidi w:val="0"/>
        <w:rPr>
          <w:rFonts w:hint="default" w:eastAsia="宋体"/>
          <w:color w:val="auto"/>
          <w:lang w:val="en-US" w:eastAsia="zh-CN"/>
        </w:rPr>
      </w:pPr>
      <w:r>
        <w:rPr>
          <w:rFonts w:hint="eastAsia"/>
          <w:color w:val="auto"/>
          <w:lang w:val="en-US" w:eastAsia="zh-CN"/>
        </w:rPr>
        <w:t>项目照明设置符合要求。</w:t>
      </w:r>
    </w:p>
    <w:p w14:paraId="544223D1">
      <w:pPr>
        <w:bidi w:val="0"/>
        <w:rPr>
          <w:rFonts w:hint="eastAsia" w:eastAsia="宋体"/>
          <w:color w:val="auto"/>
          <w:lang w:eastAsia="zh-CN"/>
        </w:rPr>
      </w:pPr>
      <w:r>
        <w:rPr>
          <w:rFonts w:hint="eastAsia"/>
          <w:color w:val="auto"/>
        </w:rPr>
        <w:t>选厂为中国移动、联通和电信网络覆盖区，对外通讯融入本地的通讯系统</w:t>
      </w:r>
      <w:r>
        <w:rPr>
          <w:rFonts w:hint="eastAsia"/>
          <w:color w:val="auto"/>
          <w:lang w:eastAsia="zh-CN"/>
        </w:rPr>
        <w:t>。</w:t>
      </w:r>
    </w:p>
    <w:p w14:paraId="5937DCEB">
      <w:pPr>
        <w:bidi w:val="0"/>
        <w:rPr>
          <w:rFonts w:hint="eastAsia"/>
          <w:color w:val="auto"/>
          <w:lang w:eastAsia="zh-CN"/>
        </w:rPr>
      </w:pPr>
      <w:r>
        <w:rPr>
          <w:rFonts w:hint="eastAsia"/>
          <w:color w:val="auto"/>
        </w:rPr>
        <w:t>项目仅装载机使用柴油，随用随拉，不储存。</w:t>
      </w:r>
      <w:r>
        <w:rPr>
          <w:rFonts w:hint="eastAsia"/>
          <w:color w:val="auto"/>
          <w:lang w:val="en-US" w:eastAsia="zh-CN"/>
        </w:rPr>
        <w:t>项目检维修时用到氧气和乙炔，</w:t>
      </w:r>
      <w:r>
        <w:rPr>
          <w:rFonts w:hint="eastAsia"/>
          <w:color w:val="auto"/>
        </w:rPr>
        <w:t>日常不存储，检修时储存量不一般</w:t>
      </w:r>
      <w:r>
        <w:rPr>
          <w:rFonts w:hint="eastAsia"/>
          <w:color w:val="auto"/>
          <w:lang w:val="en-US" w:eastAsia="zh-CN"/>
        </w:rPr>
        <w:t>各</w:t>
      </w:r>
      <w:r>
        <w:rPr>
          <w:rFonts w:hint="eastAsia"/>
          <w:color w:val="auto"/>
        </w:rPr>
        <w:t>不</w:t>
      </w:r>
      <w:r>
        <w:rPr>
          <w:rFonts w:hint="eastAsia"/>
          <w:color w:val="auto"/>
          <w:lang w:val="en-US" w:eastAsia="zh-CN"/>
        </w:rPr>
        <w:t>超</w:t>
      </w:r>
      <w:r>
        <w:rPr>
          <w:rFonts w:hint="eastAsia"/>
          <w:color w:val="auto"/>
        </w:rPr>
        <w:t>过2瓶</w:t>
      </w:r>
      <w:r>
        <w:rPr>
          <w:rFonts w:hint="eastAsia"/>
          <w:color w:val="auto"/>
          <w:lang w:eastAsia="zh-CN"/>
        </w:rPr>
        <w:t>。</w:t>
      </w:r>
    </w:p>
    <w:p w14:paraId="6DEAADC1">
      <w:pPr>
        <w:pStyle w:val="3"/>
        <w:bidi w:val="0"/>
        <w:rPr>
          <w:rFonts w:hint="default"/>
          <w:color w:val="auto"/>
          <w:lang w:val="en-US" w:eastAsia="zh-CN"/>
        </w:rPr>
      </w:pPr>
      <w:bookmarkStart w:id="54" w:name="_Toc9643"/>
      <w:r>
        <w:rPr>
          <w:rFonts w:hint="eastAsia"/>
          <w:color w:val="auto"/>
          <w:lang w:val="en-US" w:eastAsia="zh-CN"/>
        </w:rPr>
        <w:t>2.15 药剂设施</w:t>
      </w:r>
      <w:bookmarkEnd w:id="54"/>
    </w:p>
    <w:p w14:paraId="54927769">
      <w:pPr>
        <w:bidi w:val="0"/>
        <w:rPr>
          <w:rFonts w:hint="default"/>
          <w:color w:val="auto"/>
          <w:lang w:val="en-US" w:eastAsia="zh-CN"/>
        </w:rPr>
      </w:pPr>
      <w:r>
        <w:rPr>
          <w:rFonts w:hint="eastAsia"/>
          <w:color w:val="auto"/>
          <w:lang w:eastAsia="zh-CN"/>
        </w:rPr>
        <w:t>药剂储存利用原有厂房，</w:t>
      </w:r>
      <w:r>
        <w:rPr>
          <w:rFonts w:hint="eastAsia"/>
          <w:color w:val="auto"/>
          <w:lang w:val="en-US" w:eastAsia="zh-CN"/>
        </w:rPr>
        <w:t>位于选矿车间内，</w:t>
      </w:r>
      <w:r>
        <w:rPr>
          <w:rFonts w:hint="eastAsia"/>
          <w:color w:val="auto"/>
          <w:lang w:eastAsia="zh-CN"/>
        </w:rPr>
        <w:t>其储存量一般为15</w:t>
      </w:r>
      <w:r>
        <w:rPr>
          <w:rFonts w:hint="eastAsia"/>
          <w:color w:val="auto"/>
          <w:lang w:val="en-US" w:eastAsia="zh-CN"/>
        </w:rPr>
        <w:t>d</w:t>
      </w:r>
      <w:r>
        <w:rPr>
          <w:rFonts w:hint="eastAsia"/>
          <w:color w:val="auto"/>
          <w:lang w:eastAsia="zh-CN"/>
        </w:rPr>
        <w:t>。</w:t>
      </w:r>
      <w:r>
        <w:rPr>
          <w:rFonts w:hint="eastAsia"/>
          <w:color w:val="auto"/>
          <w:lang w:val="en-US" w:eastAsia="zh-CN"/>
        </w:rPr>
        <w:t>设置了喷淋洗眼器，配备了劳动防护用品，设置了警示标识，设置了灭火器，通风为自然通风。</w:t>
      </w:r>
    </w:p>
    <w:p w14:paraId="071E946C">
      <w:pPr>
        <w:pStyle w:val="3"/>
        <w:bidi w:val="0"/>
        <w:rPr>
          <w:rFonts w:hint="eastAsia"/>
          <w:color w:val="auto"/>
        </w:rPr>
      </w:pPr>
      <w:bookmarkStart w:id="55" w:name="_Toc21198"/>
      <w:r>
        <w:rPr>
          <w:rFonts w:hint="eastAsia"/>
          <w:color w:val="auto"/>
        </w:rPr>
        <w:t>2</w:t>
      </w:r>
      <w:r>
        <w:rPr>
          <w:rFonts w:hint="eastAsia"/>
          <w:color w:val="auto"/>
          <w:lang w:val="en-US" w:eastAsia="zh-CN"/>
        </w:rPr>
        <w:t>.</w:t>
      </w:r>
      <w:r>
        <w:rPr>
          <w:rFonts w:hint="eastAsia"/>
          <w:color w:val="auto"/>
        </w:rPr>
        <w:t>1</w:t>
      </w:r>
      <w:r>
        <w:rPr>
          <w:rFonts w:hint="eastAsia"/>
          <w:color w:val="auto"/>
          <w:lang w:val="en-US" w:eastAsia="zh-CN"/>
        </w:rPr>
        <w:t xml:space="preserve">6 </w:t>
      </w:r>
      <w:r>
        <w:rPr>
          <w:rFonts w:hint="eastAsia"/>
          <w:color w:val="auto"/>
        </w:rPr>
        <w:t>安全管理</w:t>
      </w:r>
      <w:bookmarkEnd w:id="55"/>
    </w:p>
    <w:p w14:paraId="431286DA">
      <w:pPr>
        <w:pStyle w:val="4"/>
        <w:bidi w:val="0"/>
        <w:rPr>
          <w:rFonts w:hint="eastAsia"/>
          <w:color w:val="auto"/>
        </w:rPr>
      </w:pPr>
      <w:bookmarkStart w:id="56" w:name="_Toc6176"/>
      <w:r>
        <w:rPr>
          <w:rFonts w:hint="eastAsia"/>
          <w:color w:val="auto"/>
          <w:lang w:eastAsia="zh-CN"/>
        </w:rPr>
        <w:t>2.16.</w:t>
      </w:r>
      <w:r>
        <w:rPr>
          <w:rFonts w:hint="eastAsia"/>
          <w:color w:val="auto"/>
        </w:rPr>
        <w:t>1</w:t>
      </w:r>
      <w:r>
        <w:rPr>
          <w:rFonts w:hint="eastAsia"/>
          <w:color w:val="auto"/>
          <w:lang w:val="en-US" w:eastAsia="zh-CN"/>
        </w:rPr>
        <w:t xml:space="preserve"> </w:t>
      </w:r>
      <w:r>
        <w:rPr>
          <w:rFonts w:hint="eastAsia"/>
          <w:color w:val="auto"/>
        </w:rPr>
        <w:t>安全生产管理机构</w:t>
      </w:r>
      <w:bookmarkEnd w:id="56"/>
    </w:p>
    <w:p w14:paraId="390F75EF">
      <w:pPr>
        <w:bidi w:val="0"/>
        <w:rPr>
          <w:rFonts w:hint="eastAsia"/>
          <w:color w:val="auto"/>
        </w:rPr>
      </w:pPr>
      <w:r>
        <w:rPr>
          <w:rFonts w:hint="eastAsia"/>
          <w:color w:val="auto"/>
        </w:rPr>
        <w:t>为全面贯彻实施《安全生产法》等相关法律法规，进一步提高公司的安全生产管理水平，适应安全生产新形势要求，加强基础工作，改进监管方式，依法落实各级安全生产责任制度，公司成立武定发荣矿业有限责任公司安全生产管理机构（</w:t>
      </w:r>
      <w:r>
        <w:rPr>
          <w:rFonts w:hint="eastAsia"/>
          <w:color w:val="auto"/>
          <w:lang w:val="en-US" w:eastAsia="zh-CN"/>
        </w:rPr>
        <w:t>安全环保部</w:t>
      </w:r>
      <w:r>
        <w:rPr>
          <w:rFonts w:hint="eastAsia"/>
          <w:color w:val="auto"/>
        </w:rPr>
        <w:t>），全面负责公司的各项安全管理工作，并任命了主要负责人及安全生产管理人员。</w:t>
      </w:r>
    </w:p>
    <w:p w14:paraId="4DB019CD">
      <w:pPr>
        <w:pStyle w:val="4"/>
        <w:bidi w:val="0"/>
        <w:rPr>
          <w:rFonts w:hint="eastAsia"/>
          <w:color w:val="auto"/>
        </w:rPr>
      </w:pPr>
      <w:bookmarkStart w:id="57" w:name="_Toc6249"/>
      <w:r>
        <w:rPr>
          <w:rFonts w:hint="eastAsia"/>
          <w:color w:val="auto"/>
          <w:lang w:eastAsia="zh-CN"/>
        </w:rPr>
        <w:t>2.16.</w:t>
      </w:r>
      <w:r>
        <w:rPr>
          <w:rFonts w:hint="eastAsia"/>
          <w:color w:val="auto"/>
        </w:rPr>
        <w:t>2安全教育培训及人员持证情况</w:t>
      </w:r>
      <w:bookmarkEnd w:id="57"/>
    </w:p>
    <w:p w14:paraId="04DA7054">
      <w:pPr>
        <w:bidi w:val="0"/>
        <w:rPr>
          <w:rFonts w:hint="eastAsia"/>
          <w:color w:val="auto"/>
        </w:rPr>
      </w:pPr>
      <w:r>
        <w:rPr>
          <w:rFonts w:hint="eastAsia"/>
          <w:color w:val="auto"/>
        </w:rPr>
        <w:t>企业配备任命了主要负责人及专职安全员，负责组织或者参与本单位安全生产教育和培训，如实记录安全生产教育和培训情况，安全管理人员已取得安全生产知识和管理能力培训合格证，相关证书见附件，安全管理人员</w:t>
      </w:r>
      <w:r>
        <w:rPr>
          <w:rFonts w:hint="eastAsia"/>
          <w:color w:val="auto"/>
          <w:lang w:eastAsia="zh-CN"/>
        </w:rPr>
        <w:t>、</w:t>
      </w:r>
      <w:r>
        <w:rPr>
          <w:rFonts w:hint="eastAsia"/>
          <w:color w:val="auto"/>
        </w:rPr>
        <w:t>主要负责人已报名参加培训，正在办理主要负责人证书；电工</w:t>
      </w:r>
      <w:r>
        <w:rPr>
          <w:rFonts w:hint="eastAsia"/>
          <w:color w:val="auto"/>
          <w:lang w:val="en-US" w:eastAsia="zh-CN"/>
        </w:rPr>
        <w:t>持证上岗</w:t>
      </w:r>
      <w:r>
        <w:rPr>
          <w:rFonts w:hint="eastAsia"/>
          <w:color w:val="auto"/>
        </w:rPr>
        <w:t>；企业职工经不定期的安全教育、考核合格后上岗。新进人员经厂级、车间、班组三级安全教育，培训合格后上岗。</w:t>
      </w:r>
    </w:p>
    <w:p w14:paraId="5AA1F94A">
      <w:pPr>
        <w:pStyle w:val="29"/>
        <w:bidi w:val="0"/>
        <w:rPr>
          <w:color w:val="auto"/>
        </w:rPr>
      </w:pPr>
      <w:r>
        <w:rPr>
          <w:rFonts w:hint="eastAsia"/>
          <w:color w:val="auto"/>
        </w:rPr>
        <w:t>表2.</w:t>
      </w:r>
      <w:r>
        <w:rPr>
          <w:rFonts w:hint="eastAsia"/>
          <w:color w:val="auto"/>
          <w:lang w:val="en-US" w:eastAsia="zh-CN"/>
        </w:rPr>
        <w:t>15</w:t>
      </w:r>
      <w:r>
        <w:rPr>
          <w:rFonts w:hint="eastAsia"/>
          <w:color w:val="auto"/>
        </w:rPr>
        <w:t>-</w:t>
      </w:r>
      <w:r>
        <w:rPr>
          <w:rFonts w:hint="eastAsia"/>
          <w:color w:val="auto"/>
          <w:lang w:val="en-US" w:eastAsia="zh-CN"/>
        </w:rPr>
        <w:t>1</w:t>
      </w:r>
      <w:r>
        <w:rPr>
          <w:rFonts w:hint="eastAsia"/>
          <w:color w:val="auto"/>
        </w:rPr>
        <w:t xml:space="preserve">  安全员管理人员及特种作业人员相关证书一览表</w:t>
      </w:r>
    </w:p>
    <w:tbl>
      <w:tblPr>
        <w:tblStyle w:val="20"/>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937"/>
        <w:gridCol w:w="2309"/>
        <w:gridCol w:w="1241"/>
        <w:gridCol w:w="2220"/>
        <w:gridCol w:w="2250"/>
      </w:tblGrid>
      <w:tr w14:paraId="2E2E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blHeader/>
          <w:jc w:val="center"/>
        </w:trPr>
        <w:tc>
          <w:tcPr>
            <w:tcW w:w="231" w:type="pct"/>
            <w:noWrap w:val="0"/>
            <w:vAlign w:val="center"/>
          </w:tcPr>
          <w:p w14:paraId="32892C34">
            <w:pPr>
              <w:pStyle w:val="30"/>
              <w:bidi w:val="0"/>
              <w:rPr>
                <w:rFonts w:hint="default"/>
                <w:b/>
                <w:bCs/>
                <w:color w:val="auto"/>
              </w:rPr>
            </w:pPr>
            <w:r>
              <w:rPr>
                <w:rFonts w:hint="default"/>
                <w:b/>
                <w:bCs/>
                <w:color w:val="auto"/>
              </w:rPr>
              <w:t>序号</w:t>
            </w:r>
          </w:p>
        </w:tc>
        <w:tc>
          <w:tcPr>
            <w:tcW w:w="498" w:type="pct"/>
            <w:noWrap w:val="0"/>
            <w:vAlign w:val="center"/>
          </w:tcPr>
          <w:p w14:paraId="7CA968BC">
            <w:pPr>
              <w:pStyle w:val="30"/>
              <w:bidi w:val="0"/>
              <w:rPr>
                <w:rFonts w:hint="default"/>
                <w:b/>
                <w:bCs/>
                <w:color w:val="auto"/>
              </w:rPr>
            </w:pPr>
            <w:r>
              <w:rPr>
                <w:rFonts w:hint="default"/>
                <w:b/>
                <w:bCs/>
                <w:color w:val="auto"/>
              </w:rPr>
              <w:t>姓名</w:t>
            </w:r>
          </w:p>
        </w:tc>
        <w:tc>
          <w:tcPr>
            <w:tcW w:w="1229" w:type="pct"/>
            <w:noWrap w:val="0"/>
            <w:vAlign w:val="center"/>
          </w:tcPr>
          <w:p w14:paraId="5F448ECB">
            <w:pPr>
              <w:pStyle w:val="30"/>
              <w:bidi w:val="0"/>
              <w:rPr>
                <w:rFonts w:hint="default"/>
                <w:b/>
                <w:bCs/>
                <w:color w:val="auto"/>
              </w:rPr>
            </w:pPr>
            <w:r>
              <w:rPr>
                <w:rFonts w:hint="default"/>
                <w:b/>
                <w:bCs/>
                <w:color w:val="auto"/>
              </w:rPr>
              <w:t>证号</w:t>
            </w:r>
          </w:p>
        </w:tc>
        <w:tc>
          <w:tcPr>
            <w:tcW w:w="660" w:type="pct"/>
            <w:noWrap w:val="0"/>
            <w:vAlign w:val="center"/>
          </w:tcPr>
          <w:p w14:paraId="7D7B2F37">
            <w:pPr>
              <w:pStyle w:val="30"/>
              <w:bidi w:val="0"/>
              <w:rPr>
                <w:rFonts w:hint="default"/>
                <w:b/>
                <w:bCs/>
                <w:color w:val="auto"/>
              </w:rPr>
            </w:pPr>
            <w:r>
              <w:rPr>
                <w:rFonts w:hint="default"/>
                <w:b/>
                <w:bCs/>
                <w:color w:val="auto"/>
              </w:rPr>
              <w:t>类别</w:t>
            </w:r>
          </w:p>
        </w:tc>
        <w:tc>
          <w:tcPr>
            <w:tcW w:w="1181" w:type="pct"/>
            <w:noWrap w:val="0"/>
            <w:vAlign w:val="center"/>
          </w:tcPr>
          <w:p w14:paraId="67710F5E">
            <w:pPr>
              <w:pStyle w:val="30"/>
              <w:bidi w:val="0"/>
              <w:rPr>
                <w:rFonts w:hint="default"/>
                <w:b/>
                <w:bCs/>
                <w:color w:val="auto"/>
              </w:rPr>
            </w:pPr>
            <w:r>
              <w:rPr>
                <w:rFonts w:hint="default"/>
                <w:b/>
                <w:bCs/>
                <w:color w:val="auto"/>
              </w:rPr>
              <w:t>有效期</w:t>
            </w:r>
          </w:p>
        </w:tc>
        <w:tc>
          <w:tcPr>
            <w:tcW w:w="1197" w:type="pct"/>
            <w:noWrap w:val="0"/>
            <w:vAlign w:val="center"/>
          </w:tcPr>
          <w:p w14:paraId="7BB0104C">
            <w:pPr>
              <w:pStyle w:val="30"/>
              <w:bidi w:val="0"/>
              <w:rPr>
                <w:rFonts w:hint="default"/>
                <w:b/>
                <w:bCs/>
                <w:color w:val="auto"/>
              </w:rPr>
            </w:pPr>
            <w:r>
              <w:rPr>
                <w:rFonts w:hint="default"/>
                <w:b/>
                <w:bCs/>
                <w:color w:val="auto"/>
              </w:rPr>
              <w:t>签发/培训机关</w:t>
            </w:r>
          </w:p>
        </w:tc>
      </w:tr>
      <w:tr w14:paraId="47CA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1" w:type="pct"/>
            <w:noWrap w:val="0"/>
            <w:vAlign w:val="center"/>
          </w:tcPr>
          <w:p w14:paraId="75D8A6D7">
            <w:pPr>
              <w:pStyle w:val="30"/>
              <w:bidi w:val="0"/>
              <w:rPr>
                <w:rFonts w:hint="eastAsia" w:eastAsia="宋体"/>
                <w:color w:val="auto"/>
                <w:lang w:eastAsia="zh-CN"/>
              </w:rPr>
            </w:pPr>
            <w:r>
              <w:rPr>
                <w:rFonts w:hint="eastAsia"/>
                <w:color w:val="auto"/>
                <w:lang w:val="en-US" w:eastAsia="zh-CN"/>
              </w:rPr>
              <w:t>1</w:t>
            </w:r>
          </w:p>
        </w:tc>
        <w:tc>
          <w:tcPr>
            <w:tcW w:w="498" w:type="pct"/>
            <w:noWrap w:val="0"/>
            <w:vAlign w:val="center"/>
          </w:tcPr>
          <w:p w14:paraId="6E2516E8">
            <w:pPr>
              <w:pStyle w:val="30"/>
              <w:bidi w:val="0"/>
              <w:rPr>
                <w:rFonts w:hint="default"/>
                <w:color w:val="auto"/>
                <w:lang w:val="en-US" w:eastAsia="zh-CN"/>
              </w:rPr>
            </w:pPr>
            <w:r>
              <w:rPr>
                <w:rFonts w:hint="eastAsia"/>
                <w:color w:val="auto"/>
                <w:lang w:val="en-US" w:eastAsia="zh-CN"/>
              </w:rPr>
              <w:t>雷震</w:t>
            </w:r>
          </w:p>
        </w:tc>
        <w:tc>
          <w:tcPr>
            <w:tcW w:w="1229" w:type="pct"/>
            <w:noWrap w:val="0"/>
            <w:vAlign w:val="center"/>
          </w:tcPr>
          <w:p w14:paraId="014DDC85">
            <w:pPr>
              <w:pStyle w:val="30"/>
              <w:bidi w:val="0"/>
              <w:rPr>
                <w:rFonts w:hint="default"/>
                <w:color w:val="auto"/>
                <w:lang w:val="en-US" w:eastAsia="zh-CN"/>
              </w:rPr>
            </w:pPr>
            <w:r>
              <w:rPr>
                <w:rFonts w:hint="eastAsia"/>
                <w:color w:val="auto"/>
                <w:lang w:val="en-US" w:eastAsia="zh-CN"/>
              </w:rPr>
              <w:t>532329199401011911</w:t>
            </w:r>
          </w:p>
        </w:tc>
        <w:tc>
          <w:tcPr>
            <w:tcW w:w="660" w:type="pct"/>
            <w:noWrap w:val="0"/>
            <w:vAlign w:val="center"/>
          </w:tcPr>
          <w:p w14:paraId="31BD4782">
            <w:pPr>
              <w:pStyle w:val="30"/>
              <w:bidi w:val="0"/>
              <w:rPr>
                <w:rFonts w:hint="default"/>
                <w:color w:val="auto"/>
                <w:lang w:val="en-US" w:eastAsia="zh-CN"/>
              </w:rPr>
            </w:pPr>
            <w:r>
              <w:rPr>
                <w:rFonts w:hint="default"/>
                <w:color w:val="auto"/>
                <w:lang w:val="en-US" w:eastAsia="zh-CN"/>
              </w:rPr>
              <w:t>安全生产管理人员</w:t>
            </w:r>
          </w:p>
        </w:tc>
        <w:tc>
          <w:tcPr>
            <w:tcW w:w="1181" w:type="pct"/>
            <w:noWrap w:val="0"/>
            <w:vAlign w:val="center"/>
          </w:tcPr>
          <w:p w14:paraId="0705AFE8">
            <w:pPr>
              <w:pStyle w:val="30"/>
              <w:bidi w:val="0"/>
              <w:rPr>
                <w:rFonts w:hint="default"/>
                <w:color w:val="auto"/>
                <w:lang w:val="en-US" w:eastAsia="zh-CN"/>
              </w:rPr>
            </w:pPr>
            <w:r>
              <w:rPr>
                <w:rFonts w:hint="default"/>
                <w:color w:val="auto"/>
              </w:rPr>
              <w:t>202</w:t>
            </w:r>
            <w:r>
              <w:rPr>
                <w:rFonts w:hint="eastAsia"/>
                <w:color w:val="auto"/>
                <w:lang w:val="en-US" w:eastAsia="zh-CN"/>
              </w:rPr>
              <w:t>4</w:t>
            </w:r>
            <w:r>
              <w:rPr>
                <w:rFonts w:hint="default"/>
                <w:color w:val="auto"/>
              </w:rPr>
              <w:t>.0</w:t>
            </w:r>
            <w:r>
              <w:rPr>
                <w:rFonts w:hint="eastAsia"/>
                <w:color w:val="auto"/>
                <w:lang w:val="en-US" w:eastAsia="zh-CN"/>
              </w:rPr>
              <w:t>8</w:t>
            </w:r>
            <w:r>
              <w:rPr>
                <w:rFonts w:hint="default"/>
                <w:color w:val="auto"/>
              </w:rPr>
              <w:t>.</w:t>
            </w:r>
            <w:r>
              <w:rPr>
                <w:rFonts w:hint="default"/>
                <w:color w:val="auto"/>
                <w:lang w:val="en-US" w:eastAsia="zh-CN"/>
              </w:rPr>
              <w:t>1</w:t>
            </w:r>
            <w:r>
              <w:rPr>
                <w:rFonts w:hint="eastAsia"/>
                <w:color w:val="auto"/>
                <w:lang w:val="en-US" w:eastAsia="zh-CN"/>
              </w:rPr>
              <w:t>6~</w:t>
            </w:r>
            <w:r>
              <w:rPr>
                <w:rFonts w:hint="default"/>
                <w:color w:val="auto"/>
              </w:rPr>
              <w:t>202</w:t>
            </w:r>
            <w:r>
              <w:rPr>
                <w:rFonts w:hint="eastAsia"/>
                <w:color w:val="auto"/>
                <w:lang w:val="en-US" w:eastAsia="zh-CN"/>
              </w:rPr>
              <w:t>7</w:t>
            </w:r>
            <w:r>
              <w:rPr>
                <w:rFonts w:hint="default"/>
                <w:color w:val="auto"/>
              </w:rPr>
              <w:t>.0</w:t>
            </w:r>
            <w:r>
              <w:rPr>
                <w:rFonts w:hint="eastAsia"/>
                <w:color w:val="auto"/>
                <w:lang w:val="en-US" w:eastAsia="zh-CN"/>
              </w:rPr>
              <w:t>8</w:t>
            </w:r>
            <w:r>
              <w:rPr>
                <w:rFonts w:hint="default"/>
                <w:color w:val="auto"/>
              </w:rPr>
              <w:t>.</w:t>
            </w:r>
            <w:r>
              <w:rPr>
                <w:rFonts w:hint="eastAsia"/>
                <w:color w:val="auto"/>
                <w:lang w:val="en-US" w:eastAsia="zh-CN"/>
              </w:rPr>
              <w:t>15</w:t>
            </w:r>
          </w:p>
        </w:tc>
        <w:tc>
          <w:tcPr>
            <w:tcW w:w="1197" w:type="pct"/>
            <w:noWrap w:val="0"/>
            <w:vAlign w:val="center"/>
          </w:tcPr>
          <w:p w14:paraId="60AD83E8">
            <w:pPr>
              <w:pStyle w:val="30"/>
              <w:bidi w:val="0"/>
              <w:jc w:val="center"/>
              <w:rPr>
                <w:rFonts w:hint="default"/>
                <w:color w:val="auto"/>
              </w:rPr>
            </w:pPr>
            <w:r>
              <w:rPr>
                <w:rFonts w:hint="eastAsia"/>
                <w:color w:val="auto"/>
                <w:lang w:val="en-US" w:eastAsia="zh-CN"/>
              </w:rPr>
              <w:t>昆明市</w:t>
            </w:r>
            <w:r>
              <w:rPr>
                <w:rFonts w:hint="default"/>
                <w:color w:val="auto"/>
                <w:lang w:val="en-US" w:eastAsia="zh-CN"/>
              </w:rPr>
              <w:t>应急管理局</w:t>
            </w:r>
          </w:p>
        </w:tc>
      </w:tr>
      <w:tr w14:paraId="21D6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1" w:type="pct"/>
            <w:noWrap w:val="0"/>
            <w:vAlign w:val="center"/>
          </w:tcPr>
          <w:p w14:paraId="193E59B3">
            <w:pPr>
              <w:pStyle w:val="30"/>
              <w:bidi w:val="0"/>
              <w:rPr>
                <w:rFonts w:hint="default"/>
                <w:color w:val="auto"/>
                <w:lang w:val="en-US" w:eastAsia="zh-CN"/>
              </w:rPr>
            </w:pPr>
            <w:r>
              <w:rPr>
                <w:rFonts w:hint="eastAsia"/>
                <w:color w:val="auto"/>
                <w:lang w:val="en-US" w:eastAsia="zh-CN"/>
              </w:rPr>
              <w:t>2</w:t>
            </w:r>
          </w:p>
        </w:tc>
        <w:tc>
          <w:tcPr>
            <w:tcW w:w="498" w:type="pct"/>
            <w:noWrap w:val="0"/>
            <w:vAlign w:val="center"/>
          </w:tcPr>
          <w:p w14:paraId="62950DF7">
            <w:pPr>
              <w:pStyle w:val="30"/>
              <w:bidi w:val="0"/>
              <w:rPr>
                <w:rFonts w:hint="default"/>
                <w:color w:val="auto"/>
                <w:lang w:val="en-US" w:eastAsia="zh-CN"/>
              </w:rPr>
            </w:pPr>
            <w:r>
              <w:rPr>
                <w:rFonts w:hint="eastAsia"/>
                <w:color w:val="auto"/>
                <w:lang w:val="en-US" w:eastAsia="zh-CN"/>
              </w:rPr>
              <w:t>杨太顺</w:t>
            </w:r>
          </w:p>
        </w:tc>
        <w:tc>
          <w:tcPr>
            <w:tcW w:w="1229" w:type="pct"/>
            <w:noWrap w:val="0"/>
            <w:vAlign w:val="center"/>
          </w:tcPr>
          <w:p w14:paraId="1F86F939">
            <w:pPr>
              <w:pStyle w:val="30"/>
              <w:bidi w:val="0"/>
              <w:rPr>
                <w:rFonts w:hint="default"/>
                <w:color w:val="auto"/>
                <w:lang w:val="en-US" w:eastAsia="zh-CN"/>
              </w:rPr>
            </w:pPr>
            <w:r>
              <w:rPr>
                <w:rFonts w:hint="eastAsia"/>
                <w:color w:val="auto"/>
                <w:lang w:val="en-US" w:eastAsia="zh-CN"/>
              </w:rPr>
              <w:t>T532329196810241538</w:t>
            </w:r>
          </w:p>
        </w:tc>
        <w:tc>
          <w:tcPr>
            <w:tcW w:w="660" w:type="pct"/>
            <w:noWrap w:val="0"/>
            <w:vAlign w:val="center"/>
          </w:tcPr>
          <w:p w14:paraId="59D57526">
            <w:pPr>
              <w:pStyle w:val="30"/>
              <w:bidi w:val="0"/>
              <w:rPr>
                <w:rFonts w:hint="default"/>
                <w:color w:val="auto"/>
                <w:lang w:val="en-US" w:eastAsia="zh-CN"/>
              </w:rPr>
            </w:pPr>
            <w:r>
              <w:rPr>
                <w:rFonts w:hint="eastAsia"/>
                <w:color w:val="auto"/>
                <w:lang w:val="en-US" w:eastAsia="zh-CN"/>
              </w:rPr>
              <w:t>电工作业</w:t>
            </w:r>
          </w:p>
        </w:tc>
        <w:tc>
          <w:tcPr>
            <w:tcW w:w="1181" w:type="pct"/>
            <w:noWrap w:val="0"/>
            <w:vAlign w:val="center"/>
          </w:tcPr>
          <w:p w14:paraId="0BB17259">
            <w:pPr>
              <w:pStyle w:val="30"/>
              <w:bidi w:val="0"/>
              <w:rPr>
                <w:rFonts w:hint="default"/>
                <w:color w:val="auto"/>
                <w:lang w:val="en-US" w:eastAsia="zh-CN"/>
              </w:rPr>
            </w:pPr>
            <w:r>
              <w:rPr>
                <w:rFonts w:hint="eastAsia"/>
                <w:color w:val="auto"/>
                <w:lang w:val="en-US" w:eastAsia="zh-CN"/>
              </w:rPr>
              <w:t>2024.01.04~2028.10.24</w:t>
            </w:r>
          </w:p>
        </w:tc>
        <w:tc>
          <w:tcPr>
            <w:tcW w:w="1197" w:type="pct"/>
            <w:noWrap w:val="0"/>
            <w:vAlign w:val="center"/>
          </w:tcPr>
          <w:p w14:paraId="02AEAB53">
            <w:pPr>
              <w:pStyle w:val="30"/>
              <w:bidi w:val="0"/>
              <w:rPr>
                <w:rFonts w:hint="eastAsia"/>
                <w:color w:val="auto"/>
                <w:lang w:val="en-US" w:eastAsia="zh-CN"/>
              </w:rPr>
            </w:pPr>
            <w:r>
              <w:rPr>
                <w:rFonts w:hint="eastAsia"/>
                <w:color w:val="auto"/>
                <w:lang w:val="en-US" w:eastAsia="zh-CN"/>
              </w:rPr>
              <w:t>楚雄州</w:t>
            </w:r>
            <w:r>
              <w:rPr>
                <w:rFonts w:hint="default"/>
                <w:color w:val="auto"/>
                <w:lang w:val="en-US" w:eastAsia="zh-CN"/>
              </w:rPr>
              <w:t>应急管理局</w:t>
            </w:r>
          </w:p>
        </w:tc>
      </w:tr>
    </w:tbl>
    <w:p w14:paraId="592148E6">
      <w:pPr>
        <w:pStyle w:val="4"/>
        <w:bidi w:val="0"/>
        <w:rPr>
          <w:rFonts w:hint="eastAsia"/>
          <w:color w:val="auto"/>
        </w:rPr>
      </w:pPr>
      <w:bookmarkStart w:id="58" w:name="_Toc17281"/>
      <w:r>
        <w:rPr>
          <w:rFonts w:hint="eastAsia"/>
          <w:color w:val="auto"/>
          <w:lang w:eastAsia="zh-CN"/>
        </w:rPr>
        <w:t>2.16.</w:t>
      </w:r>
      <w:r>
        <w:rPr>
          <w:rFonts w:hint="eastAsia"/>
          <w:color w:val="auto"/>
        </w:rPr>
        <w:t>3安全生产责任制、安全管理制度及安全操作规程</w:t>
      </w:r>
      <w:bookmarkEnd w:id="58"/>
    </w:p>
    <w:p w14:paraId="77059300">
      <w:pPr>
        <w:bidi w:val="0"/>
        <w:rPr>
          <w:rFonts w:hint="eastAsia"/>
          <w:color w:val="auto"/>
        </w:rPr>
      </w:pPr>
      <w:r>
        <w:rPr>
          <w:rFonts w:hint="eastAsia"/>
          <w:color w:val="auto"/>
        </w:rPr>
        <w:t>依据国家安全生产法律法规，</w:t>
      </w:r>
      <w:r>
        <w:rPr>
          <w:rFonts w:hint="eastAsia"/>
          <w:color w:val="auto"/>
          <w:lang w:eastAsia="zh-CN"/>
        </w:rPr>
        <w:t>武定发荣矿业有限责任公司</w:t>
      </w:r>
      <w:r>
        <w:rPr>
          <w:rFonts w:hint="eastAsia"/>
          <w:color w:val="auto"/>
        </w:rPr>
        <w:t>结合公司安全生产管理实际，编制了公司的安全生产责任制、安全管理制度及安全生产操作规程。</w:t>
      </w:r>
    </w:p>
    <w:p w14:paraId="6BD9D3DC">
      <w:pPr>
        <w:pStyle w:val="29"/>
        <w:bidi w:val="0"/>
        <w:rPr>
          <w:color w:val="auto"/>
        </w:rPr>
      </w:pPr>
      <w:r>
        <w:rPr>
          <w:rFonts w:hint="eastAsia"/>
          <w:color w:val="auto"/>
        </w:rPr>
        <w:t>表2.</w:t>
      </w:r>
      <w:r>
        <w:rPr>
          <w:rFonts w:hint="eastAsia"/>
          <w:color w:val="auto"/>
          <w:lang w:val="en-US" w:eastAsia="zh-CN"/>
        </w:rPr>
        <w:t>15</w:t>
      </w:r>
      <w:r>
        <w:rPr>
          <w:rFonts w:hint="eastAsia"/>
          <w:color w:val="auto"/>
        </w:rPr>
        <w:t>-</w:t>
      </w:r>
      <w:r>
        <w:rPr>
          <w:rFonts w:hint="eastAsia"/>
          <w:color w:val="auto"/>
          <w:lang w:val="en-US" w:eastAsia="zh-CN"/>
        </w:rPr>
        <w:t>2</w:t>
      </w:r>
      <w:r>
        <w:rPr>
          <w:rFonts w:hint="eastAsia"/>
          <w:color w:val="auto"/>
        </w:rPr>
        <w:t xml:space="preserve">  安全生产责任制</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6561"/>
        <w:gridCol w:w="1944"/>
      </w:tblGrid>
      <w:tr w14:paraId="33B5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blHeader/>
          <w:jc w:val="center"/>
        </w:trPr>
        <w:tc>
          <w:tcPr>
            <w:tcW w:w="778" w:type="dxa"/>
            <w:noWrap w:val="0"/>
            <w:vAlign w:val="center"/>
          </w:tcPr>
          <w:p w14:paraId="06C7E97D">
            <w:pPr>
              <w:pStyle w:val="30"/>
              <w:bidi w:val="0"/>
              <w:rPr>
                <w:rFonts w:hint="default"/>
                <w:b/>
                <w:bCs/>
                <w:color w:val="auto"/>
              </w:rPr>
            </w:pPr>
            <w:r>
              <w:rPr>
                <w:rFonts w:hint="default"/>
                <w:b/>
                <w:bCs/>
                <w:color w:val="auto"/>
              </w:rPr>
              <w:t>序号</w:t>
            </w:r>
          </w:p>
        </w:tc>
        <w:tc>
          <w:tcPr>
            <w:tcW w:w="6561" w:type="dxa"/>
            <w:noWrap w:val="0"/>
            <w:vAlign w:val="center"/>
          </w:tcPr>
          <w:p w14:paraId="41C544CC">
            <w:pPr>
              <w:pStyle w:val="30"/>
              <w:bidi w:val="0"/>
              <w:rPr>
                <w:rFonts w:hint="default"/>
                <w:b/>
                <w:bCs/>
                <w:color w:val="auto"/>
              </w:rPr>
            </w:pPr>
            <w:r>
              <w:rPr>
                <w:rFonts w:hint="default"/>
                <w:b/>
                <w:bCs/>
                <w:color w:val="auto"/>
              </w:rPr>
              <w:t>安全生产责任制名称</w:t>
            </w:r>
          </w:p>
        </w:tc>
        <w:tc>
          <w:tcPr>
            <w:tcW w:w="1944" w:type="dxa"/>
            <w:noWrap w:val="0"/>
            <w:vAlign w:val="center"/>
          </w:tcPr>
          <w:p w14:paraId="02745BAB">
            <w:pPr>
              <w:pStyle w:val="30"/>
              <w:bidi w:val="0"/>
              <w:rPr>
                <w:rFonts w:hint="default"/>
                <w:b/>
                <w:bCs/>
                <w:color w:val="auto"/>
              </w:rPr>
            </w:pPr>
            <w:r>
              <w:rPr>
                <w:rFonts w:hint="default"/>
                <w:b/>
                <w:bCs/>
                <w:color w:val="auto"/>
              </w:rPr>
              <w:t>备注</w:t>
            </w:r>
          </w:p>
        </w:tc>
      </w:tr>
      <w:tr w14:paraId="40AA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78" w:type="dxa"/>
            <w:noWrap w:val="0"/>
            <w:vAlign w:val="center"/>
          </w:tcPr>
          <w:p w14:paraId="3874FA8E">
            <w:pPr>
              <w:pStyle w:val="30"/>
              <w:bidi w:val="0"/>
              <w:rPr>
                <w:rFonts w:hint="default"/>
                <w:color w:val="auto"/>
              </w:rPr>
            </w:pPr>
            <w:r>
              <w:rPr>
                <w:rFonts w:hint="default"/>
                <w:color w:val="auto"/>
              </w:rPr>
              <w:t>1</w:t>
            </w:r>
          </w:p>
        </w:tc>
        <w:tc>
          <w:tcPr>
            <w:tcW w:w="6561" w:type="dxa"/>
            <w:noWrap w:val="0"/>
            <w:vAlign w:val="center"/>
          </w:tcPr>
          <w:p w14:paraId="446FA62D">
            <w:pPr>
              <w:pStyle w:val="30"/>
              <w:bidi w:val="0"/>
              <w:rPr>
                <w:rFonts w:hint="default"/>
                <w:color w:val="auto"/>
              </w:rPr>
            </w:pPr>
            <w:r>
              <w:rPr>
                <w:rFonts w:hint="default"/>
                <w:color w:val="auto"/>
              </w:rPr>
              <w:t>企业主要负责人安全生产责任制</w:t>
            </w:r>
          </w:p>
        </w:tc>
        <w:tc>
          <w:tcPr>
            <w:tcW w:w="1944" w:type="dxa"/>
            <w:noWrap w:val="0"/>
            <w:vAlign w:val="center"/>
          </w:tcPr>
          <w:p w14:paraId="1EFCEDFC">
            <w:pPr>
              <w:pStyle w:val="30"/>
              <w:bidi w:val="0"/>
              <w:rPr>
                <w:rFonts w:hint="default"/>
                <w:color w:val="auto"/>
              </w:rPr>
            </w:pPr>
          </w:p>
        </w:tc>
      </w:tr>
      <w:tr w14:paraId="3E92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484F9DD8">
            <w:pPr>
              <w:pStyle w:val="30"/>
              <w:bidi w:val="0"/>
              <w:rPr>
                <w:rFonts w:hint="default"/>
                <w:color w:val="auto"/>
              </w:rPr>
            </w:pPr>
            <w:r>
              <w:rPr>
                <w:rFonts w:hint="default"/>
                <w:color w:val="auto"/>
              </w:rPr>
              <w:t>2</w:t>
            </w:r>
          </w:p>
        </w:tc>
        <w:tc>
          <w:tcPr>
            <w:tcW w:w="6561" w:type="dxa"/>
            <w:noWrap w:val="0"/>
            <w:vAlign w:val="center"/>
          </w:tcPr>
          <w:p w14:paraId="323A6C3E">
            <w:pPr>
              <w:pStyle w:val="30"/>
              <w:bidi w:val="0"/>
              <w:rPr>
                <w:rFonts w:hint="default"/>
                <w:color w:val="auto"/>
              </w:rPr>
            </w:pPr>
            <w:r>
              <w:rPr>
                <w:rFonts w:hint="default"/>
                <w:color w:val="auto"/>
              </w:rPr>
              <w:t>经理安全生产责任制</w:t>
            </w:r>
          </w:p>
        </w:tc>
        <w:tc>
          <w:tcPr>
            <w:tcW w:w="1944" w:type="dxa"/>
            <w:noWrap w:val="0"/>
            <w:vAlign w:val="center"/>
          </w:tcPr>
          <w:p w14:paraId="1FAB1281">
            <w:pPr>
              <w:pStyle w:val="30"/>
              <w:bidi w:val="0"/>
              <w:rPr>
                <w:rFonts w:hint="default"/>
                <w:color w:val="auto"/>
              </w:rPr>
            </w:pPr>
          </w:p>
        </w:tc>
      </w:tr>
      <w:tr w14:paraId="7A85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78" w:type="dxa"/>
            <w:noWrap w:val="0"/>
            <w:vAlign w:val="center"/>
          </w:tcPr>
          <w:p w14:paraId="1DE148F6">
            <w:pPr>
              <w:pStyle w:val="30"/>
              <w:bidi w:val="0"/>
              <w:rPr>
                <w:rFonts w:hint="default"/>
                <w:color w:val="auto"/>
              </w:rPr>
            </w:pPr>
            <w:r>
              <w:rPr>
                <w:rFonts w:hint="default"/>
                <w:color w:val="auto"/>
              </w:rPr>
              <w:t>3</w:t>
            </w:r>
          </w:p>
        </w:tc>
        <w:tc>
          <w:tcPr>
            <w:tcW w:w="6561" w:type="dxa"/>
            <w:noWrap w:val="0"/>
            <w:vAlign w:val="center"/>
          </w:tcPr>
          <w:p w14:paraId="276BAC3A">
            <w:pPr>
              <w:pStyle w:val="30"/>
              <w:bidi w:val="0"/>
              <w:rPr>
                <w:rFonts w:hint="default"/>
                <w:color w:val="auto"/>
              </w:rPr>
            </w:pPr>
            <w:r>
              <w:rPr>
                <w:rFonts w:hint="default"/>
                <w:color w:val="auto"/>
              </w:rPr>
              <w:t>分管安全生产副经理安全生产责任制</w:t>
            </w:r>
          </w:p>
        </w:tc>
        <w:tc>
          <w:tcPr>
            <w:tcW w:w="1944" w:type="dxa"/>
            <w:noWrap w:val="0"/>
            <w:vAlign w:val="center"/>
          </w:tcPr>
          <w:p w14:paraId="33D8CE4A">
            <w:pPr>
              <w:pStyle w:val="30"/>
              <w:bidi w:val="0"/>
              <w:rPr>
                <w:rFonts w:hint="default"/>
                <w:color w:val="auto"/>
              </w:rPr>
            </w:pPr>
          </w:p>
        </w:tc>
      </w:tr>
      <w:tr w14:paraId="2024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35744ED5">
            <w:pPr>
              <w:pStyle w:val="30"/>
              <w:bidi w:val="0"/>
              <w:rPr>
                <w:rFonts w:hint="default"/>
                <w:color w:val="auto"/>
              </w:rPr>
            </w:pPr>
            <w:r>
              <w:rPr>
                <w:rFonts w:hint="default"/>
                <w:color w:val="auto"/>
              </w:rPr>
              <w:t>4</w:t>
            </w:r>
          </w:p>
        </w:tc>
        <w:tc>
          <w:tcPr>
            <w:tcW w:w="6561" w:type="dxa"/>
            <w:noWrap w:val="0"/>
            <w:vAlign w:val="center"/>
          </w:tcPr>
          <w:p w14:paraId="3EB15739">
            <w:pPr>
              <w:pStyle w:val="30"/>
              <w:bidi w:val="0"/>
              <w:rPr>
                <w:rFonts w:hint="default"/>
                <w:color w:val="auto"/>
              </w:rPr>
            </w:pPr>
            <w:r>
              <w:rPr>
                <w:rFonts w:hint="default"/>
                <w:color w:val="auto"/>
              </w:rPr>
              <w:t>工会主席安全生产责任制</w:t>
            </w:r>
          </w:p>
        </w:tc>
        <w:tc>
          <w:tcPr>
            <w:tcW w:w="1944" w:type="dxa"/>
            <w:noWrap w:val="0"/>
            <w:vAlign w:val="center"/>
          </w:tcPr>
          <w:p w14:paraId="0447C1C0">
            <w:pPr>
              <w:pStyle w:val="30"/>
              <w:bidi w:val="0"/>
              <w:rPr>
                <w:rFonts w:hint="default"/>
                <w:color w:val="auto"/>
              </w:rPr>
            </w:pPr>
          </w:p>
        </w:tc>
      </w:tr>
      <w:tr w14:paraId="14F9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39F85CA2">
            <w:pPr>
              <w:pStyle w:val="30"/>
              <w:bidi w:val="0"/>
              <w:rPr>
                <w:rFonts w:hint="default"/>
                <w:color w:val="auto"/>
              </w:rPr>
            </w:pPr>
            <w:r>
              <w:rPr>
                <w:rFonts w:hint="default"/>
                <w:color w:val="auto"/>
              </w:rPr>
              <w:t>5</w:t>
            </w:r>
          </w:p>
        </w:tc>
        <w:tc>
          <w:tcPr>
            <w:tcW w:w="6561" w:type="dxa"/>
            <w:noWrap w:val="0"/>
            <w:vAlign w:val="center"/>
          </w:tcPr>
          <w:p w14:paraId="5CC41608">
            <w:pPr>
              <w:pStyle w:val="30"/>
              <w:bidi w:val="0"/>
              <w:rPr>
                <w:rFonts w:hint="default"/>
                <w:color w:val="auto"/>
              </w:rPr>
            </w:pPr>
            <w:r>
              <w:rPr>
                <w:rFonts w:hint="default"/>
                <w:color w:val="auto"/>
              </w:rPr>
              <w:t>专职安全生产管理人员安全生产责任制</w:t>
            </w:r>
          </w:p>
        </w:tc>
        <w:tc>
          <w:tcPr>
            <w:tcW w:w="1944" w:type="dxa"/>
            <w:noWrap w:val="0"/>
            <w:vAlign w:val="center"/>
          </w:tcPr>
          <w:p w14:paraId="370AA084">
            <w:pPr>
              <w:pStyle w:val="30"/>
              <w:bidi w:val="0"/>
              <w:rPr>
                <w:rFonts w:hint="default"/>
                <w:color w:val="auto"/>
              </w:rPr>
            </w:pPr>
          </w:p>
        </w:tc>
      </w:tr>
      <w:tr w14:paraId="3A07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5D2F9F51">
            <w:pPr>
              <w:pStyle w:val="30"/>
              <w:bidi w:val="0"/>
              <w:rPr>
                <w:rFonts w:hint="default"/>
                <w:color w:val="auto"/>
              </w:rPr>
            </w:pPr>
            <w:r>
              <w:rPr>
                <w:rFonts w:hint="default"/>
                <w:color w:val="auto"/>
              </w:rPr>
              <w:t>6</w:t>
            </w:r>
          </w:p>
        </w:tc>
        <w:tc>
          <w:tcPr>
            <w:tcW w:w="6561" w:type="dxa"/>
            <w:noWrap w:val="0"/>
            <w:vAlign w:val="center"/>
          </w:tcPr>
          <w:p w14:paraId="23C917DD">
            <w:pPr>
              <w:pStyle w:val="30"/>
              <w:bidi w:val="0"/>
              <w:rPr>
                <w:rFonts w:hint="default"/>
                <w:color w:val="auto"/>
              </w:rPr>
            </w:pPr>
            <w:r>
              <w:rPr>
                <w:rFonts w:hint="default"/>
                <w:color w:val="auto"/>
              </w:rPr>
              <w:t>部门负责人安全生产责任制</w:t>
            </w:r>
          </w:p>
        </w:tc>
        <w:tc>
          <w:tcPr>
            <w:tcW w:w="1944" w:type="dxa"/>
            <w:noWrap w:val="0"/>
            <w:vAlign w:val="center"/>
          </w:tcPr>
          <w:p w14:paraId="2D2564BA">
            <w:pPr>
              <w:pStyle w:val="30"/>
              <w:bidi w:val="0"/>
              <w:rPr>
                <w:rFonts w:hint="default"/>
                <w:color w:val="auto"/>
              </w:rPr>
            </w:pPr>
          </w:p>
        </w:tc>
      </w:tr>
      <w:tr w14:paraId="181F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68C0B268">
            <w:pPr>
              <w:pStyle w:val="30"/>
              <w:bidi w:val="0"/>
              <w:rPr>
                <w:rFonts w:hint="default"/>
                <w:color w:val="auto"/>
              </w:rPr>
            </w:pPr>
            <w:r>
              <w:rPr>
                <w:rFonts w:hint="default"/>
                <w:color w:val="auto"/>
              </w:rPr>
              <w:t>7</w:t>
            </w:r>
          </w:p>
        </w:tc>
        <w:tc>
          <w:tcPr>
            <w:tcW w:w="6561" w:type="dxa"/>
            <w:noWrap w:val="0"/>
            <w:vAlign w:val="center"/>
          </w:tcPr>
          <w:p w14:paraId="665FD32F">
            <w:pPr>
              <w:pStyle w:val="30"/>
              <w:bidi w:val="0"/>
              <w:rPr>
                <w:rFonts w:hint="default"/>
                <w:color w:val="auto"/>
              </w:rPr>
            </w:pPr>
            <w:r>
              <w:rPr>
                <w:rFonts w:hint="default"/>
                <w:color w:val="auto"/>
              </w:rPr>
              <w:t>班组长安全生产责任制</w:t>
            </w:r>
          </w:p>
        </w:tc>
        <w:tc>
          <w:tcPr>
            <w:tcW w:w="1944" w:type="dxa"/>
            <w:noWrap w:val="0"/>
            <w:vAlign w:val="center"/>
          </w:tcPr>
          <w:p w14:paraId="5C15654E">
            <w:pPr>
              <w:pStyle w:val="30"/>
              <w:bidi w:val="0"/>
              <w:rPr>
                <w:rFonts w:hint="default"/>
                <w:color w:val="auto"/>
              </w:rPr>
            </w:pPr>
          </w:p>
        </w:tc>
      </w:tr>
      <w:tr w14:paraId="1FFA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63CEDE15">
            <w:pPr>
              <w:pStyle w:val="30"/>
              <w:bidi w:val="0"/>
              <w:rPr>
                <w:rFonts w:hint="default"/>
                <w:color w:val="auto"/>
              </w:rPr>
            </w:pPr>
            <w:r>
              <w:rPr>
                <w:rFonts w:hint="default"/>
                <w:color w:val="auto"/>
              </w:rPr>
              <w:t>8</w:t>
            </w:r>
          </w:p>
        </w:tc>
        <w:tc>
          <w:tcPr>
            <w:tcW w:w="6561" w:type="dxa"/>
            <w:noWrap w:val="0"/>
            <w:vAlign w:val="center"/>
          </w:tcPr>
          <w:p w14:paraId="6DD190B8">
            <w:pPr>
              <w:pStyle w:val="30"/>
              <w:bidi w:val="0"/>
              <w:rPr>
                <w:rFonts w:hint="default"/>
                <w:color w:val="auto"/>
              </w:rPr>
            </w:pPr>
            <w:r>
              <w:rPr>
                <w:rFonts w:hint="default"/>
                <w:color w:val="auto"/>
              </w:rPr>
              <w:t>安全员安全生产责任制</w:t>
            </w:r>
          </w:p>
        </w:tc>
        <w:tc>
          <w:tcPr>
            <w:tcW w:w="1944" w:type="dxa"/>
            <w:noWrap w:val="0"/>
            <w:vAlign w:val="center"/>
          </w:tcPr>
          <w:p w14:paraId="5532BA89">
            <w:pPr>
              <w:pStyle w:val="30"/>
              <w:bidi w:val="0"/>
              <w:rPr>
                <w:rFonts w:hint="default"/>
                <w:color w:val="auto"/>
              </w:rPr>
            </w:pPr>
          </w:p>
        </w:tc>
      </w:tr>
      <w:tr w14:paraId="0443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2059AE32">
            <w:pPr>
              <w:pStyle w:val="30"/>
              <w:bidi w:val="0"/>
              <w:rPr>
                <w:rFonts w:hint="default"/>
                <w:color w:val="auto"/>
              </w:rPr>
            </w:pPr>
            <w:r>
              <w:rPr>
                <w:rFonts w:hint="default"/>
                <w:color w:val="auto"/>
              </w:rPr>
              <w:t>9</w:t>
            </w:r>
          </w:p>
        </w:tc>
        <w:tc>
          <w:tcPr>
            <w:tcW w:w="6561" w:type="dxa"/>
            <w:noWrap w:val="0"/>
            <w:vAlign w:val="center"/>
          </w:tcPr>
          <w:p w14:paraId="5711A722">
            <w:pPr>
              <w:pStyle w:val="30"/>
              <w:bidi w:val="0"/>
              <w:rPr>
                <w:rFonts w:hint="default"/>
                <w:color w:val="auto"/>
              </w:rPr>
            </w:pPr>
            <w:r>
              <w:rPr>
                <w:rFonts w:hint="default"/>
                <w:color w:val="auto"/>
              </w:rPr>
              <w:t>各岗位操作员安全生产责任制</w:t>
            </w:r>
          </w:p>
        </w:tc>
        <w:tc>
          <w:tcPr>
            <w:tcW w:w="1944" w:type="dxa"/>
            <w:noWrap w:val="0"/>
            <w:vAlign w:val="center"/>
          </w:tcPr>
          <w:p w14:paraId="0538B997">
            <w:pPr>
              <w:pStyle w:val="30"/>
              <w:bidi w:val="0"/>
              <w:rPr>
                <w:rFonts w:hint="default"/>
                <w:color w:val="auto"/>
              </w:rPr>
            </w:pPr>
          </w:p>
        </w:tc>
      </w:tr>
      <w:tr w14:paraId="5F85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7E44E05C">
            <w:pPr>
              <w:pStyle w:val="30"/>
              <w:bidi w:val="0"/>
              <w:rPr>
                <w:rFonts w:hint="default"/>
                <w:color w:val="auto"/>
              </w:rPr>
            </w:pPr>
            <w:r>
              <w:rPr>
                <w:rFonts w:hint="default"/>
                <w:color w:val="auto"/>
              </w:rPr>
              <w:t>10</w:t>
            </w:r>
          </w:p>
        </w:tc>
        <w:tc>
          <w:tcPr>
            <w:tcW w:w="6561" w:type="dxa"/>
            <w:noWrap w:val="0"/>
            <w:vAlign w:val="center"/>
          </w:tcPr>
          <w:p w14:paraId="1589172D">
            <w:pPr>
              <w:pStyle w:val="30"/>
              <w:bidi w:val="0"/>
              <w:rPr>
                <w:rFonts w:hint="default"/>
                <w:color w:val="auto"/>
              </w:rPr>
            </w:pPr>
            <w:r>
              <w:rPr>
                <w:rFonts w:hint="default"/>
                <w:color w:val="auto"/>
              </w:rPr>
              <w:t>生产部安全生产责任制</w:t>
            </w:r>
          </w:p>
        </w:tc>
        <w:tc>
          <w:tcPr>
            <w:tcW w:w="1944" w:type="dxa"/>
            <w:noWrap w:val="0"/>
            <w:vAlign w:val="center"/>
          </w:tcPr>
          <w:p w14:paraId="26528040">
            <w:pPr>
              <w:pStyle w:val="30"/>
              <w:bidi w:val="0"/>
              <w:rPr>
                <w:rFonts w:hint="default"/>
                <w:color w:val="auto"/>
              </w:rPr>
            </w:pPr>
          </w:p>
        </w:tc>
      </w:tr>
      <w:tr w14:paraId="47A5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104F1463">
            <w:pPr>
              <w:pStyle w:val="30"/>
              <w:bidi w:val="0"/>
              <w:rPr>
                <w:rFonts w:hint="default"/>
                <w:color w:val="auto"/>
              </w:rPr>
            </w:pPr>
            <w:r>
              <w:rPr>
                <w:rFonts w:hint="default"/>
                <w:color w:val="auto"/>
              </w:rPr>
              <w:t>11</w:t>
            </w:r>
          </w:p>
        </w:tc>
        <w:tc>
          <w:tcPr>
            <w:tcW w:w="6561" w:type="dxa"/>
            <w:noWrap w:val="0"/>
            <w:vAlign w:val="center"/>
          </w:tcPr>
          <w:p w14:paraId="5631E6E1">
            <w:pPr>
              <w:pStyle w:val="30"/>
              <w:bidi w:val="0"/>
              <w:rPr>
                <w:rFonts w:hint="default"/>
                <w:color w:val="auto"/>
              </w:rPr>
            </w:pPr>
            <w:r>
              <w:rPr>
                <w:rFonts w:hint="default"/>
                <w:color w:val="auto"/>
              </w:rPr>
              <w:t>设备动力安全生产责任制</w:t>
            </w:r>
          </w:p>
        </w:tc>
        <w:tc>
          <w:tcPr>
            <w:tcW w:w="1944" w:type="dxa"/>
            <w:noWrap w:val="0"/>
            <w:vAlign w:val="center"/>
          </w:tcPr>
          <w:p w14:paraId="03A64436">
            <w:pPr>
              <w:pStyle w:val="30"/>
              <w:bidi w:val="0"/>
              <w:rPr>
                <w:rFonts w:hint="default"/>
                <w:color w:val="auto"/>
              </w:rPr>
            </w:pPr>
          </w:p>
        </w:tc>
      </w:tr>
      <w:tr w14:paraId="2E3B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7A00ED96">
            <w:pPr>
              <w:pStyle w:val="30"/>
              <w:bidi w:val="0"/>
              <w:rPr>
                <w:rFonts w:hint="default"/>
                <w:color w:val="auto"/>
              </w:rPr>
            </w:pPr>
            <w:r>
              <w:rPr>
                <w:rFonts w:hint="default"/>
                <w:color w:val="auto"/>
              </w:rPr>
              <w:t>12</w:t>
            </w:r>
          </w:p>
        </w:tc>
        <w:tc>
          <w:tcPr>
            <w:tcW w:w="6561" w:type="dxa"/>
            <w:noWrap w:val="0"/>
            <w:vAlign w:val="center"/>
          </w:tcPr>
          <w:p w14:paraId="63FA44EC">
            <w:pPr>
              <w:pStyle w:val="30"/>
              <w:bidi w:val="0"/>
              <w:rPr>
                <w:rFonts w:hint="default"/>
                <w:color w:val="auto"/>
              </w:rPr>
            </w:pPr>
            <w:r>
              <w:rPr>
                <w:rFonts w:hint="default"/>
                <w:color w:val="auto"/>
              </w:rPr>
              <w:t>仓库保管员安全生产责任制</w:t>
            </w:r>
          </w:p>
        </w:tc>
        <w:tc>
          <w:tcPr>
            <w:tcW w:w="1944" w:type="dxa"/>
            <w:noWrap w:val="0"/>
            <w:vAlign w:val="center"/>
          </w:tcPr>
          <w:p w14:paraId="3AEEE6C3">
            <w:pPr>
              <w:pStyle w:val="30"/>
              <w:bidi w:val="0"/>
              <w:rPr>
                <w:rFonts w:hint="default"/>
                <w:color w:val="auto"/>
              </w:rPr>
            </w:pPr>
          </w:p>
        </w:tc>
      </w:tr>
      <w:tr w14:paraId="744C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02B0C3AF">
            <w:pPr>
              <w:pStyle w:val="30"/>
              <w:bidi w:val="0"/>
              <w:rPr>
                <w:rFonts w:hint="default"/>
                <w:color w:val="auto"/>
              </w:rPr>
            </w:pPr>
            <w:r>
              <w:rPr>
                <w:rFonts w:hint="default"/>
                <w:color w:val="auto"/>
              </w:rPr>
              <w:t>13</w:t>
            </w:r>
          </w:p>
        </w:tc>
        <w:tc>
          <w:tcPr>
            <w:tcW w:w="6561" w:type="dxa"/>
            <w:noWrap w:val="0"/>
            <w:vAlign w:val="center"/>
          </w:tcPr>
          <w:p w14:paraId="4F83D21F">
            <w:pPr>
              <w:pStyle w:val="30"/>
              <w:bidi w:val="0"/>
              <w:rPr>
                <w:rFonts w:hint="default"/>
                <w:color w:val="auto"/>
              </w:rPr>
            </w:pPr>
            <w:r>
              <w:rPr>
                <w:rFonts w:hint="default"/>
                <w:color w:val="auto"/>
              </w:rPr>
              <w:t>供销人员安全生产责任制</w:t>
            </w:r>
          </w:p>
        </w:tc>
        <w:tc>
          <w:tcPr>
            <w:tcW w:w="1944" w:type="dxa"/>
            <w:noWrap w:val="0"/>
            <w:vAlign w:val="center"/>
          </w:tcPr>
          <w:p w14:paraId="66B36614">
            <w:pPr>
              <w:pStyle w:val="30"/>
              <w:bidi w:val="0"/>
              <w:rPr>
                <w:rFonts w:hint="default"/>
                <w:color w:val="auto"/>
              </w:rPr>
            </w:pPr>
          </w:p>
        </w:tc>
      </w:tr>
      <w:tr w14:paraId="1B71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7FDA9B51">
            <w:pPr>
              <w:pStyle w:val="30"/>
              <w:bidi w:val="0"/>
              <w:rPr>
                <w:rFonts w:hint="default"/>
                <w:color w:val="auto"/>
                <w:lang w:val="en-US" w:eastAsia="zh-CN"/>
              </w:rPr>
            </w:pPr>
            <w:r>
              <w:rPr>
                <w:rFonts w:hint="default"/>
                <w:color w:val="auto"/>
                <w:lang w:val="en-US" w:eastAsia="zh-CN"/>
              </w:rPr>
              <w:t>14</w:t>
            </w:r>
          </w:p>
        </w:tc>
        <w:tc>
          <w:tcPr>
            <w:tcW w:w="6561" w:type="dxa"/>
            <w:noWrap w:val="0"/>
            <w:vAlign w:val="center"/>
          </w:tcPr>
          <w:p w14:paraId="545514FA">
            <w:pPr>
              <w:pStyle w:val="30"/>
              <w:bidi w:val="0"/>
              <w:rPr>
                <w:rFonts w:hint="default"/>
                <w:color w:val="auto"/>
              </w:rPr>
            </w:pPr>
            <w:r>
              <w:rPr>
                <w:rFonts w:hint="default"/>
                <w:color w:val="auto"/>
              </w:rPr>
              <w:t>劳动人事、教育安全生产责任制</w:t>
            </w:r>
          </w:p>
        </w:tc>
        <w:tc>
          <w:tcPr>
            <w:tcW w:w="1944" w:type="dxa"/>
            <w:noWrap w:val="0"/>
            <w:vAlign w:val="center"/>
          </w:tcPr>
          <w:p w14:paraId="31A3B1FC">
            <w:pPr>
              <w:pStyle w:val="30"/>
              <w:bidi w:val="0"/>
              <w:rPr>
                <w:rFonts w:hint="default"/>
                <w:color w:val="auto"/>
              </w:rPr>
            </w:pPr>
          </w:p>
        </w:tc>
      </w:tr>
      <w:tr w14:paraId="24C8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8" w:type="dxa"/>
            <w:noWrap w:val="0"/>
            <w:vAlign w:val="center"/>
          </w:tcPr>
          <w:p w14:paraId="3EC1C080">
            <w:pPr>
              <w:pStyle w:val="30"/>
              <w:bidi w:val="0"/>
              <w:rPr>
                <w:rFonts w:hint="default"/>
                <w:color w:val="auto"/>
                <w:lang w:val="en-US" w:eastAsia="zh-CN"/>
              </w:rPr>
            </w:pPr>
            <w:r>
              <w:rPr>
                <w:rFonts w:hint="default"/>
                <w:color w:val="auto"/>
                <w:lang w:val="en-US" w:eastAsia="zh-CN"/>
              </w:rPr>
              <w:t>15</w:t>
            </w:r>
          </w:p>
        </w:tc>
        <w:tc>
          <w:tcPr>
            <w:tcW w:w="6561" w:type="dxa"/>
            <w:noWrap w:val="0"/>
            <w:vAlign w:val="center"/>
          </w:tcPr>
          <w:p w14:paraId="145C49FC">
            <w:pPr>
              <w:pStyle w:val="30"/>
              <w:bidi w:val="0"/>
              <w:rPr>
                <w:rFonts w:hint="default"/>
                <w:color w:val="auto"/>
              </w:rPr>
            </w:pPr>
            <w:r>
              <w:rPr>
                <w:rFonts w:hint="default"/>
                <w:color w:val="auto"/>
              </w:rPr>
              <w:t>行政、后勤安全生产责任制</w:t>
            </w:r>
          </w:p>
        </w:tc>
        <w:tc>
          <w:tcPr>
            <w:tcW w:w="1944" w:type="dxa"/>
            <w:noWrap w:val="0"/>
            <w:vAlign w:val="center"/>
          </w:tcPr>
          <w:p w14:paraId="2E2031FA">
            <w:pPr>
              <w:pStyle w:val="30"/>
              <w:bidi w:val="0"/>
              <w:rPr>
                <w:rFonts w:hint="default"/>
                <w:color w:val="auto"/>
              </w:rPr>
            </w:pPr>
          </w:p>
        </w:tc>
      </w:tr>
    </w:tbl>
    <w:p w14:paraId="2ADBB57B">
      <w:pPr>
        <w:pStyle w:val="29"/>
        <w:bidi w:val="0"/>
        <w:rPr>
          <w:color w:val="auto"/>
        </w:rPr>
      </w:pPr>
      <w:r>
        <w:rPr>
          <w:rFonts w:hint="eastAsia"/>
          <w:color w:val="auto"/>
        </w:rPr>
        <w:t>表2.</w:t>
      </w:r>
      <w:r>
        <w:rPr>
          <w:rFonts w:hint="eastAsia"/>
          <w:color w:val="auto"/>
          <w:lang w:val="en-US" w:eastAsia="zh-CN"/>
        </w:rPr>
        <w:t>15</w:t>
      </w:r>
      <w:r>
        <w:rPr>
          <w:rFonts w:hint="eastAsia"/>
          <w:color w:val="auto"/>
        </w:rPr>
        <w:t>-</w:t>
      </w:r>
      <w:r>
        <w:rPr>
          <w:rFonts w:hint="eastAsia"/>
          <w:color w:val="auto"/>
          <w:lang w:val="en-US" w:eastAsia="zh-CN"/>
        </w:rPr>
        <w:t>3</w:t>
      </w:r>
      <w:r>
        <w:rPr>
          <w:rFonts w:hint="eastAsia"/>
          <w:color w:val="auto"/>
        </w:rPr>
        <w:t xml:space="preserve">  安全生产管理制度</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6687"/>
        <w:gridCol w:w="1919"/>
      </w:tblGrid>
      <w:tr w14:paraId="29B2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blHeader/>
          <w:jc w:val="center"/>
        </w:trPr>
        <w:tc>
          <w:tcPr>
            <w:tcW w:w="797" w:type="dxa"/>
            <w:noWrap w:val="0"/>
            <w:vAlign w:val="center"/>
          </w:tcPr>
          <w:p w14:paraId="350E0B22">
            <w:pPr>
              <w:pStyle w:val="30"/>
              <w:bidi w:val="0"/>
              <w:rPr>
                <w:rFonts w:hint="default"/>
                <w:b/>
                <w:bCs/>
                <w:color w:val="auto"/>
              </w:rPr>
            </w:pPr>
            <w:r>
              <w:rPr>
                <w:rFonts w:hint="default"/>
                <w:b/>
                <w:bCs/>
                <w:color w:val="auto"/>
              </w:rPr>
              <w:t>序号</w:t>
            </w:r>
          </w:p>
        </w:tc>
        <w:tc>
          <w:tcPr>
            <w:tcW w:w="6687" w:type="dxa"/>
            <w:noWrap w:val="0"/>
            <w:vAlign w:val="center"/>
          </w:tcPr>
          <w:p w14:paraId="56B0FD87">
            <w:pPr>
              <w:pStyle w:val="30"/>
              <w:bidi w:val="0"/>
              <w:rPr>
                <w:rFonts w:hint="default"/>
                <w:b/>
                <w:bCs/>
                <w:color w:val="auto"/>
              </w:rPr>
            </w:pPr>
            <w:r>
              <w:rPr>
                <w:rFonts w:hint="default"/>
                <w:b/>
                <w:bCs/>
                <w:color w:val="auto"/>
              </w:rPr>
              <w:t>安全管理制度名称</w:t>
            </w:r>
          </w:p>
        </w:tc>
        <w:tc>
          <w:tcPr>
            <w:tcW w:w="1919" w:type="dxa"/>
            <w:noWrap w:val="0"/>
            <w:vAlign w:val="center"/>
          </w:tcPr>
          <w:p w14:paraId="459E8CEC">
            <w:pPr>
              <w:pStyle w:val="30"/>
              <w:bidi w:val="0"/>
              <w:rPr>
                <w:rFonts w:hint="default"/>
                <w:b/>
                <w:bCs/>
                <w:color w:val="auto"/>
              </w:rPr>
            </w:pPr>
            <w:r>
              <w:rPr>
                <w:rFonts w:hint="default"/>
                <w:b/>
                <w:bCs/>
                <w:color w:val="auto"/>
              </w:rPr>
              <w:t>备注</w:t>
            </w:r>
          </w:p>
        </w:tc>
      </w:tr>
      <w:tr w14:paraId="7457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7BA53212">
            <w:pPr>
              <w:pStyle w:val="30"/>
              <w:bidi w:val="0"/>
              <w:rPr>
                <w:rFonts w:hint="default"/>
                <w:color w:val="auto"/>
              </w:rPr>
            </w:pPr>
            <w:r>
              <w:rPr>
                <w:rFonts w:hint="default"/>
                <w:color w:val="auto"/>
              </w:rPr>
              <w:t>1</w:t>
            </w:r>
          </w:p>
        </w:tc>
        <w:tc>
          <w:tcPr>
            <w:tcW w:w="6687" w:type="dxa"/>
            <w:noWrap w:val="0"/>
            <w:vAlign w:val="center"/>
          </w:tcPr>
          <w:p w14:paraId="2EF6CFE2">
            <w:pPr>
              <w:pStyle w:val="30"/>
              <w:bidi w:val="0"/>
              <w:rPr>
                <w:rFonts w:hint="default"/>
                <w:color w:val="auto"/>
              </w:rPr>
            </w:pPr>
            <w:r>
              <w:rPr>
                <w:rFonts w:hint="default"/>
                <w:color w:val="auto"/>
              </w:rPr>
              <w:t>安全生产管理制度</w:t>
            </w:r>
          </w:p>
        </w:tc>
        <w:tc>
          <w:tcPr>
            <w:tcW w:w="1919" w:type="dxa"/>
            <w:noWrap w:val="0"/>
            <w:vAlign w:val="center"/>
          </w:tcPr>
          <w:p w14:paraId="292FB675">
            <w:pPr>
              <w:pStyle w:val="30"/>
              <w:bidi w:val="0"/>
              <w:rPr>
                <w:rFonts w:hint="default"/>
                <w:color w:val="auto"/>
              </w:rPr>
            </w:pPr>
          </w:p>
        </w:tc>
      </w:tr>
      <w:tr w14:paraId="56B7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19E44B92">
            <w:pPr>
              <w:pStyle w:val="30"/>
              <w:bidi w:val="0"/>
              <w:rPr>
                <w:rFonts w:hint="default"/>
                <w:color w:val="auto"/>
              </w:rPr>
            </w:pPr>
            <w:r>
              <w:rPr>
                <w:rFonts w:hint="default"/>
                <w:color w:val="auto"/>
              </w:rPr>
              <w:t>2</w:t>
            </w:r>
          </w:p>
        </w:tc>
        <w:tc>
          <w:tcPr>
            <w:tcW w:w="6687" w:type="dxa"/>
            <w:noWrap w:val="0"/>
            <w:vAlign w:val="center"/>
          </w:tcPr>
          <w:p w14:paraId="07055363">
            <w:pPr>
              <w:pStyle w:val="30"/>
              <w:bidi w:val="0"/>
              <w:rPr>
                <w:rFonts w:hint="default"/>
                <w:color w:val="auto"/>
              </w:rPr>
            </w:pPr>
            <w:r>
              <w:rPr>
                <w:rFonts w:hint="default"/>
                <w:color w:val="auto"/>
              </w:rPr>
              <w:t>安全培训制度</w:t>
            </w:r>
          </w:p>
        </w:tc>
        <w:tc>
          <w:tcPr>
            <w:tcW w:w="1919" w:type="dxa"/>
            <w:noWrap w:val="0"/>
            <w:vAlign w:val="center"/>
          </w:tcPr>
          <w:p w14:paraId="54D94722">
            <w:pPr>
              <w:pStyle w:val="30"/>
              <w:bidi w:val="0"/>
              <w:rPr>
                <w:rFonts w:hint="default"/>
                <w:color w:val="auto"/>
              </w:rPr>
            </w:pPr>
          </w:p>
        </w:tc>
      </w:tr>
      <w:tr w14:paraId="4AAF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97" w:type="dxa"/>
            <w:noWrap w:val="0"/>
            <w:vAlign w:val="center"/>
          </w:tcPr>
          <w:p w14:paraId="6CA30942">
            <w:pPr>
              <w:pStyle w:val="30"/>
              <w:bidi w:val="0"/>
              <w:rPr>
                <w:rFonts w:hint="default"/>
                <w:color w:val="auto"/>
              </w:rPr>
            </w:pPr>
            <w:r>
              <w:rPr>
                <w:rFonts w:hint="default"/>
                <w:color w:val="auto"/>
              </w:rPr>
              <w:t>3</w:t>
            </w:r>
          </w:p>
        </w:tc>
        <w:tc>
          <w:tcPr>
            <w:tcW w:w="6687" w:type="dxa"/>
            <w:noWrap w:val="0"/>
            <w:vAlign w:val="center"/>
          </w:tcPr>
          <w:p w14:paraId="63CC8B95">
            <w:pPr>
              <w:pStyle w:val="30"/>
              <w:bidi w:val="0"/>
              <w:rPr>
                <w:rFonts w:hint="default"/>
                <w:color w:val="auto"/>
              </w:rPr>
            </w:pPr>
            <w:r>
              <w:rPr>
                <w:rFonts w:hint="default"/>
                <w:color w:val="auto"/>
              </w:rPr>
              <w:t>劳动保护用品管理制度</w:t>
            </w:r>
          </w:p>
        </w:tc>
        <w:tc>
          <w:tcPr>
            <w:tcW w:w="1919" w:type="dxa"/>
            <w:noWrap w:val="0"/>
            <w:vAlign w:val="center"/>
          </w:tcPr>
          <w:p w14:paraId="370814E1">
            <w:pPr>
              <w:pStyle w:val="30"/>
              <w:bidi w:val="0"/>
              <w:rPr>
                <w:rFonts w:hint="default"/>
                <w:color w:val="auto"/>
              </w:rPr>
            </w:pPr>
          </w:p>
        </w:tc>
      </w:tr>
      <w:tr w14:paraId="2626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3A73F8CC">
            <w:pPr>
              <w:pStyle w:val="30"/>
              <w:bidi w:val="0"/>
              <w:rPr>
                <w:rFonts w:hint="default"/>
                <w:color w:val="auto"/>
              </w:rPr>
            </w:pPr>
            <w:r>
              <w:rPr>
                <w:rFonts w:hint="default"/>
                <w:color w:val="auto"/>
              </w:rPr>
              <w:t>4</w:t>
            </w:r>
          </w:p>
        </w:tc>
        <w:tc>
          <w:tcPr>
            <w:tcW w:w="6687" w:type="dxa"/>
            <w:noWrap w:val="0"/>
            <w:vAlign w:val="center"/>
          </w:tcPr>
          <w:p w14:paraId="58175311">
            <w:pPr>
              <w:pStyle w:val="30"/>
              <w:bidi w:val="0"/>
              <w:rPr>
                <w:rFonts w:hint="default"/>
                <w:color w:val="auto"/>
              </w:rPr>
            </w:pPr>
            <w:r>
              <w:rPr>
                <w:rFonts w:hint="default"/>
                <w:color w:val="auto"/>
              </w:rPr>
              <w:t>保健品发放管理制度</w:t>
            </w:r>
          </w:p>
        </w:tc>
        <w:tc>
          <w:tcPr>
            <w:tcW w:w="1919" w:type="dxa"/>
            <w:noWrap w:val="0"/>
            <w:vAlign w:val="center"/>
          </w:tcPr>
          <w:p w14:paraId="07190D31">
            <w:pPr>
              <w:pStyle w:val="30"/>
              <w:bidi w:val="0"/>
              <w:rPr>
                <w:rFonts w:hint="default"/>
                <w:color w:val="auto"/>
              </w:rPr>
            </w:pPr>
          </w:p>
        </w:tc>
      </w:tr>
      <w:tr w14:paraId="0780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2CFD1734">
            <w:pPr>
              <w:pStyle w:val="30"/>
              <w:bidi w:val="0"/>
              <w:rPr>
                <w:rFonts w:hint="default"/>
                <w:color w:val="auto"/>
              </w:rPr>
            </w:pPr>
            <w:r>
              <w:rPr>
                <w:rFonts w:hint="default"/>
                <w:color w:val="auto"/>
              </w:rPr>
              <w:t>5</w:t>
            </w:r>
          </w:p>
        </w:tc>
        <w:tc>
          <w:tcPr>
            <w:tcW w:w="6687" w:type="dxa"/>
            <w:noWrap w:val="0"/>
            <w:vAlign w:val="center"/>
          </w:tcPr>
          <w:p w14:paraId="2D1DD765">
            <w:pPr>
              <w:pStyle w:val="30"/>
              <w:bidi w:val="0"/>
              <w:rPr>
                <w:rFonts w:hint="default"/>
                <w:color w:val="auto"/>
              </w:rPr>
            </w:pPr>
            <w:r>
              <w:rPr>
                <w:rFonts w:hint="default"/>
                <w:color w:val="auto"/>
              </w:rPr>
              <w:t>安全设施管理制度</w:t>
            </w:r>
          </w:p>
        </w:tc>
        <w:tc>
          <w:tcPr>
            <w:tcW w:w="1919" w:type="dxa"/>
            <w:noWrap w:val="0"/>
            <w:vAlign w:val="center"/>
          </w:tcPr>
          <w:p w14:paraId="07931956">
            <w:pPr>
              <w:pStyle w:val="30"/>
              <w:bidi w:val="0"/>
              <w:rPr>
                <w:rFonts w:hint="default"/>
                <w:color w:val="auto"/>
              </w:rPr>
            </w:pPr>
          </w:p>
        </w:tc>
      </w:tr>
      <w:tr w14:paraId="5875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3F59ECB4">
            <w:pPr>
              <w:pStyle w:val="30"/>
              <w:bidi w:val="0"/>
              <w:rPr>
                <w:rFonts w:hint="default"/>
                <w:color w:val="auto"/>
              </w:rPr>
            </w:pPr>
            <w:r>
              <w:rPr>
                <w:rFonts w:hint="default"/>
                <w:color w:val="auto"/>
              </w:rPr>
              <w:t>6</w:t>
            </w:r>
          </w:p>
        </w:tc>
        <w:tc>
          <w:tcPr>
            <w:tcW w:w="6687" w:type="dxa"/>
            <w:noWrap w:val="0"/>
            <w:vAlign w:val="center"/>
          </w:tcPr>
          <w:p w14:paraId="07C9C565">
            <w:pPr>
              <w:pStyle w:val="30"/>
              <w:bidi w:val="0"/>
              <w:rPr>
                <w:rFonts w:hint="default"/>
                <w:color w:val="auto"/>
              </w:rPr>
            </w:pPr>
            <w:r>
              <w:rPr>
                <w:rFonts w:hint="default"/>
                <w:color w:val="auto"/>
              </w:rPr>
              <w:t>设备管理制度</w:t>
            </w:r>
          </w:p>
        </w:tc>
        <w:tc>
          <w:tcPr>
            <w:tcW w:w="1919" w:type="dxa"/>
            <w:noWrap w:val="0"/>
            <w:vAlign w:val="center"/>
          </w:tcPr>
          <w:p w14:paraId="27979566">
            <w:pPr>
              <w:pStyle w:val="30"/>
              <w:bidi w:val="0"/>
              <w:rPr>
                <w:rFonts w:hint="default"/>
                <w:color w:val="auto"/>
              </w:rPr>
            </w:pPr>
          </w:p>
        </w:tc>
      </w:tr>
      <w:tr w14:paraId="1EB0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43AA46EA">
            <w:pPr>
              <w:pStyle w:val="30"/>
              <w:bidi w:val="0"/>
              <w:rPr>
                <w:rFonts w:hint="default"/>
                <w:color w:val="auto"/>
              </w:rPr>
            </w:pPr>
            <w:r>
              <w:rPr>
                <w:rFonts w:hint="default"/>
                <w:color w:val="auto"/>
              </w:rPr>
              <w:t>7</w:t>
            </w:r>
          </w:p>
        </w:tc>
        <w:tc>
          <w:tcPr>
            <w:tcW w:w="6687" w:type="dxa"/>
            <w:noWrap w:val="0"/>
            <w:vAlign w:val="center"/>
          </w:tcPr>
          <w:p w14:paraId="35B24678">
            <w:pPr>
              <w:pStyle w:val="30"/>
              <w:bidi w:val="0"/>
              <w:rPr>
                <w:rFonts w:hint="default"/>
                <w:color w:val="auto"/>
              </w:rPr>
            </w:pPr>
            <w:r>
              <w:rPr>
                <w:rFonts w:hint="default"/>
                <w:color w:val="auto"/>
              </w:rPr>
              <w:t>作业场所防火、防爆管理制度</w:t>
            </w:r>
          </w:p>
        </w:tc>
        <w:tc>
          <w:tcPr>
            <w:tcW w:w="1919" w:type="dxa"/>
            <w:noWrap w:val="0"/>
            <w:vAlign w:val="center"/>
          </w:tcPr>
          <w:p w14:paraId="53F7A188">
            <w:pPr>
              <w:pStyle w:val="30"/>
              <w:bidi w:val="0"/>
              <w:rPr>
                <w:rFonts w:hint="default"/>
                <w:color w:val="auto"/>
              </w:rPr>
            </w:pPr>
          </w:p>
        </w:tc>
      </w:tr>
      <w:tr w14:paraId="1709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43643FBF">
            <w:pPr>
              <w:pStyle w:val="30"/>
              <w:bidi w:val="0"/>
              <w:rPr>
                <w:rFonts w:hint="default"/>
                <w:color w:val="auto"/>
              </w:rPr>
            </w:pPr>
            <w:r>
              <w:rPr>
                <w:rFonts w:hint="default"/>
                <w:color w:val="auto"/>
              </w:rPr>
              <w:t>8</w:t>
            </w:r>
          </w:p>
        </w:tc>
        <w:tc>
          <w:tcPr>
            <w:tcW w:w="6687" w:type="dxa"/>
            <w:noWrap w:val="0"/>
            <w:vAlign w:val="center"/>
          </w:tcPr>
          <w:p w14:paraId="29C29CEB">
            <w:pPr>
              <w:pStyle w:val="30"/>
              <w:bidi w:val="0"/>
              <w:rPr>
                <w:rFonts w:hint="default"/>
                <w:color w:val="auto"/>
              </w:rPr>
            </w:pPr>
            <w:r>
              <w:rPr>
                <w:rFonts w:hint="default"/>
                <w:color w:val="auto"/>
              </w:rPr>
              <w:t>作业场所防毒管理制度</w:t>
            </w:r>
          </w:p>
        </w:tc>
        <w:tc>
          <w:tcPr>
            <w:tcW w:w="1919" w:type="dxa"/>
            <w:noWrap w:val="0"/>
            <w:vAlign w:val="center"/>
          </w:tcPr>
          <w:p w14:paraId="49FB124A">
            <w:pPr>
              <w:pStyle w:val="30"/>
              <w:bidi w:val="0"/>
              <w:rPr>
                <w:rFonts w:hint="default"/>
                <w:color w:val="auto"/>
              </w:rPr>
            </w:pPr>
          </w:p>
        </w:tc>
      </w:tr>
      <w:tr w14:paraId="01D9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4966E541">
            <w:pPr>
              <w:pStyle w:val="30"/>
              <w:bidi w:val="0"/>
              <w:rPr>
                <w:rFonts w:hint="default"/>
                <w:color w:val="auto"/>
              </w:rPr>
            </w:pPr>
            <w:r>
              <w:rPr>
                <w:rFonts w:hint="default"/>
                <w:color w:val="auto"/>
              </w:rPr>
              <w:t>9</w:t>
            </w:r>
          </w:p>
        </w:tc>
        <w:tc>
          <w:tcPr>
            <w:tcW w:w="6687" w:type="dxa"/>
            <w:noWrap w:val="0"/>
            <w:vAlign w:val="center"/>
          </w:tcPr>
          <w:p w14:paraId="773ACEFD">
            <w:pPr>
              <w:pStyle w:val="30"/>
              <w:bidi w:val="0"/>
              <w:rPr>
                <w:rFonts w:hint="default"/>
                <w:color w:val="auto"/>
              </w:rPr>
            </w:pPr>
            <w:r>
              <w:rPr>
                <w:rFonts w:hint="default"/>
                <w:color w:val="auto"/>
              </w:rPr>
              <w:t>职业卫生管理制度</w:t>
            </w:r>
          </w:p>
        </w:tc>
        <w:tc>
          <w:tcPr>
            <w:tcW w:w="1919" w:type="dxa"/>
            <w:noWrap w:val="0"/>
            <w:vAlign w:val="center"/>
          </w:tcPr>
          <w:p w14:paraId="679C9238">
            <w:pPr>
              <w:pStyle w:val="30"/>
              <w:bidi w:val="0"/>
              <w:rPr>
                <w:rFonts w:hint="default"/>
                <w:color w:val="auto"/>
              </w:rPr>
            </w:pPr>
          </w:p>
        </w:tc>
      </w:tr>
      <w:tr w14:paraId="2C96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53C67D51">
            <w:pPr>
              <w:pStyle w:val="30"/>
              <w:bidi w:val="0"/>
              <w:rPr>
                <w:rFonts w:hint="default"/>
                <w:color w:val="auto"/>
              </w:rPr>
            </w:pPr>
            <w:r>
              <w:rPr>
                <w:rFonts w:hint="default"/>
                <w:color w:val="auto"/>
              </w:rPr>
              <w:t>10</w:t>
            </w:r>
          </w:p>
        </w:tc>
        <w:tc>
          <w:tcPr>
            <w:tcW w:w="6687" w:type="dxa"/>
            <w:noWrap w:val="0"/>
            <w:vAlign w:val="center"/>
          </w:tcPr>
          <w:p w14:paraId="6A7BD262">
            <w:pPr>
              <w:pStyle w:val="30"/>
              <w:bidi w:val="0"/>
              <w:rPr>
                <w:rFonts w:hint="default"/>
                <w:color w:val="auto"/>
              </w:rPr>
            </w:pPr>
            <w:r>
              <w:rPr>
                <w:rFonts w:hint="default"/>
                <w:color w:val="auto"/>
              </w:rPr>
              <w:t>安全生产检查制度</w:t>
            </w:r>
          </w:p>
        </w:tc>
        <w:tc>
          <w:tcPr>
            <w:tcW w:w="1919" w:type="dxa"/>
            <w:noWrap w:val="0"/>
            <w:vAlign w:val="center"/>
          </w:tcPr>
          <w:p w14:paraId="79C6ADA1">
            <w:pPr>
              <w:pStyle w:val="30"/>
              <w:bidi w:val="0"/>
              <w:rPr>
                <w:rFonts w:hint="default"/>
                <w:color w:val="auto"/>
              </w:rPr>
            </w:pPr>
          </w:p>
        </w:tc>
      </w:tr>
      <w:tr w14:paraId="1A1D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253B069F">
            <w:pPr>
              <w:pStyle w:val="30"/>
              <w:bidi w:val="0"/>
              <w:rPr>
                <w:rFonts w:hint="default"/>
                <w:color w:val="auto"/>
              </w:rPr>
            </w:pPr>
            <w:r>
              <w:rPr>
                <w:rFonts w:hint="default"/>
                <w:color w:val="auto"/>
              </w:rPr>
              <w:t>11</w:t>
            </w:r>
          </w:p>
        </w:tc>
        <w:tc>
          <w:tcPr>
            <w:tcW w:w="6687" w:type="dxa"/>
            <w:noWrap w:val="0"/>
            <w:vAlign w:val="center"/>
          </w:tcPr>
          <w:p w14:paraId="703FE00E">
            <w:pPr>
              <w:pStyle w:val="30"/>
              <w:bidi w:val="0"/>
              <w:rPr>
                <w:rFonts w:hint="default"/>
                <w:color w:val="auto"/>
              </w:rPr>
            </w:pPr>
            <w:r>
              <w:rPr>
                <w:rFonts w:hint="eastAsia"/>
                <w:color w:val="auto"/>
                <w:lang w:val="en-US" w:eastAsia="zh-CN"/>
              </w:rPr>
              <w:t>事故隐患排查与整改制度</w:t>
            </w:r>
          </w:p>
        </w:tc>
        <w:tc>
          <w:tcPr>
            <w:tcW w:w="1919" w:type="dxa"/>
            <w:noWrap w:val="0"/>
            <w:vAlign w:val="center"/>
          </w:tcPr>
          <w:p w14:paraId="62698E99">
            <w:pPr>
              <w:pStyle w:val="30"/>
              <w:bidi w:val="0"/>
              <w:rPr>
                <w:rFonts w:hint="default"/>
                <w:color w:val="auto"/>
              </w:rPr>
            </w:pPr>
          </w:p>
        </w:tc>
      </w:tr>
      <w:tr w14:paraId="0CCA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6D618DCA">
            <w:pPr>
              <w:pStyle w:val="30"/>
              <w:bidi w:val="0"/>
              <w:rPr>
                <w:rFonts w:hint="default"/>
                <w:color w:val="auto"/>
              </w:rPr>
            </w:pPr>
            <w:r>
              <w:rPr>
                <w:rFonts w:hint="default"/>
                <w:color w:val="auto"/>
              </w:rPr>
              <w:t>12</w:t>
            </w:r>
          </w:p>
        </w:tc>
        <w:tc>
          <w:tcPr>
            <w:tcW w:w="6687" w:type="dxa"/>
            <w:noWrap w:val="0"/>
            <w:vAlign w:val="center"/>
          </w:tcPr>
          <w:p w14:paraId="7E0BADAC">
            <w:pPr>
              <w:pStyle w:val="30"/>
              <w:bidi w:val="0"/>
              <w:rPr>
                <w:rFonts w:hint="default"/>
                <w:color w:val="auto"/>
              </w:rPr>
            </w:pPr>
            <w:r>
              <w:rPr>
                <w:rFonts w:hint="eastAsia"/>
                <w:color w:val="auto"/>
                <w:lang w:val="en-US" w:eastAsia="zh-CN"/>
              </w:rPr>
              <w:t>事故事件、调查与跟踪制度</w:t>
            </w:r>
          </w:p>
        </w:tc>
        <w:tc>
          <w:tcPr>
            <w:tcW w:w="1919" w:type="dxa"/>
            <w:noWrap w:val="0"/>
            <w:vAlign w:val="center"/>
          </w:tcPr>
          <w:p w14:paraId="2000632D">
            <w:pPr>
              <w:pStyle w:val="30"/>
              <w:bidi w:val="0"/>
              <w:rPr>
                <w:rFonts w:hint="default"/>
                <w:color w:val="auto"/>
              </w:rPr>
            </w:pPr>
          </w:p>
        </w:tc>
      </w:tr>
      <w:tr w14:paraId="13D6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69E4DDB1">
            <w:pPr>
              <w:pStyle w:val="30"/>
              <w:bidi w:val="0"/>
              <w:rPr>
                <w:rFonts w:hint="default"/>
                <w:color w:val="auto"/>
              </w:rPr>
            </w:pPr>
            <w:r>
              <w:rPr>
                <w:rFonts w:hint="default"/>
                <w:color w:val="auto"/>
              </w:rPr>
              <w:t>13</w:t>
            </w:r>
          </w:p>
        </w:tc>
        <w:tc>
          <w:tcPr>
            <w:tcW w:w="6687" w:type="dxa"/>
            <w:noWrap w:val="0"/>
            <w:vAlign w:val="center"/>
          </w:tcPr>
          <w:p w14:paraId="780AEC96">
            <w:pPr>
              <w:pStyle w:val="30"/>
              <w:bidi w:val="0"/>
              <w:rPr>
                <w:rFonts w:hint="default"/>
                <w:color w:val="auto"/>
              </w:rPr>
            </w:pPr>
            <w:r>
              <w:rPr>
                <w:rFonts w:hint="default"/>
                <w:color w:val="auto"/>
                <w:lang w:val="en-US" w:eastAsia="zh-CN"/>
              </w:rPr>
              <w:t>危险化学品储运管理制度</w:t>
            </w:r>
          </w:p>
        </w:tc>
        <w:tc>
          <w:tcPr>
            <w:tcW w:w="1919" w:type="dxa"/>
            <w:noWrap w:val="0"/>
            <w:vAlign w:val="center"/>
          </w:tcPr>
          <w:p w14:paraId="5F6139CA">
            <w:pPr>
              <w:pStyle w:val="30"/>
              <w:bidi w:val="0"/>
              <w:rPr>
                <w:rFonts w:hint="default"/>
                <w:color w:val="auto"/>
              </w:rPr>
            </w:pPr>
          </w:p>
        </w:tc>
      </w:tr>
      <w:tr w14:paraId="488C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27E65A45">
            <w:pPr>
              <w:pStyle w:val="30"/>
              <w:bidi w:val="0"/>
              <w:rPr>
                <w:rFonts w:hint="default"/>
                <w:color w:val="auto"/>
              </w:rPr>
            </w:pPr>
            <w:r>
              <w:rPr>
                <w:rFonts w:hint="default"/>
                <w:color w:val="auto"/>
              </w:rPr>
              <w:t>14</w:t>
            </w:r>
          </w:p>
        </w:tc>
        <w:tc>
          <w:tcPr>
            <w:tcW w:w="6687" w:type="dxa"/>
            <w:noWrap w:val="0"/>
            <w:vAlign w:val="center"/>
          </w:tcPr>
          <w:p w14:paraId="6FBD6F50">
            <w:pPr>
              <w:pStyle w:val="30"/>
              <w:bidi w:val="0"/>
              <w:rPr>
                <w:rFonts w:hint="default"/>
                <w:color w:val="auto"/>
              </w:rPr>
            </w:pPr>
            <w:r>
              <w:rPr>
                <w:rFonts w:hint="default"/>
                <w:color w:val="auto"/>
                <w:lang w:val="en-US" w:eastAsia="zh-CN"/>
              </w:rPr>
              <w:t>消防安全制度</w:t>
            </w:r>
          </w:p>
        </w:tc>
        <w:tc>
          <w:tcPr>
            <w:tcW w:w="1919" w:type="dxa"/>
            <w:noWrap w:val="0"/>
            <w:vAlign w:val="center"/>
          </w:tcPr>
          <w:p w14:paraId="639B5C53">
            <w:pPr>
              <w:pStyle w:val="30"/>
              <w:bidi w:val="0"/>
              <w:rPr>
                <w:rFonts w:hint="default"/>
                <w:color w:val="auto"/>
              </w:rPr>
            </w:pPr>
          </w:p>
        </w:tc>
      </w:tr>
      <w:tr w14:paraId="540D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jc w:val="center"/>
        </w:trPr>
        <w:tc>
          <w:tcPr>
            <w:tcW w:w="797" w:type="dxa"/>
            <w:noWrap w:val="0"/>
            <w:vAlign w:val="center"/>
          </w:tcPr>
          <w:p w14:paraId="33A0549D">
            <w:pPr>
              <w:pStyle w:val="30"/>
              <w:bidi w:val="0"/>
              <w:rPr>
                <w:rFonts w:hint="default"/>
                <w:color w:val="auto"/>
              </w:rPr>
            </w:pPr>
            <w:r>
              <w:rPr>
                <w:rFonts w:hint="default"/>
                <w:color w:val="auto"/>
              </w:rPr>
              <w:t>15</w:t>
            </w:r>
          </w:p>
        </w:tc>
        <w:tc>
          <w:tcPr>
            <w:tcW w:w="6687" w:type="dxa"/>
            <w:noWrap w:val="0"/>
            <w:vAlign w:val="center"/>
          </w:tcPr>
          <w:p w14:paraId="7D51925C">
            <w:pPr>
              <w:pStyle w:val="30"/>
              <w:bidi w:val="0"/>
              <w:rPr>
                <w:rFonts w:hint="default"/>
                <w:color w:val="auto"/>
              </w:rPr>
            </w:pPr>
            <w:r>
              <w:rPr>
                <w:rFonts w:hint="default"/>
                <w:color w:val="auto"/>
                <w:lang w:val="en-US" w:eastAsia="zh-CN"/>
              </w:rPr>
              <w:t>安全生产奖惩制度</w:t>
            </w:r>
          </w:p>
        </w:tc>
        <w:tc>
          <w:tcPr>
            <w:tcW w:w="1919" w:type="dxa"/>
            <w:noWrap w:val="0"/>
            <w:vAlign w:val="center"/>
          </w:tcPr>
          <w:p w14:paraId="5F547D80">
            <w:pPr>
              <w:pStyle w:val="30"/>
              <w:bidi w:val="0"/>
              <w:rPr>
                <w:rFonts w:hint="default"/>
                <w:color w:val="auto"/>
              </w:rPr>
            </w:pPr>
          </w:p>
        </w:tc>
      </w:tr>
      <w:tr w14:paraId="618F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3A945E96">
            <w:pPr>
              <w:pStyle w:val="30"/>
              <w:bidi w:val="0"/>
              <w:rPr>
                <w:rFonts w:hint="default"/>
                <w:color w:val="auto"/>
              </w:rPr>
            </w:pPr>
            <w:r>
              <w:rPr>
                <w:rFonts w:hint="default"/>
                <w:color w:val="auto"/>
              </w:rPr>
              <w:t>16</w:t>
            </w:r>
          </w:p>
        </w:tc>
        <w:tc>
          <w:tcPr>
            <w:tcW w:w="6687" w:type="dxa"/>
            <w:noWrap w:val="0"/>
            <w:vAlign w:val="center"/>
          </w:tcPr>
          <w:p w14:paraId="344EACEE">
            <w:pPr>
              <w:pStyle w:val="30"/>
              <w:bidi w:val="0"/>
              <w:rPr>
                <w:rFonts w:hint="default"/>
                <w:color w:val="auto"/>
                <w:lang w:val="en-US" w:eastAsia="zh-CN"/>
              </w:rPr>
            </w:pPr>
            <w:r>
              <w:rPr>
                <w:rFonts w:hint="default"/>
                <w:color w:val="auto"/>
                <w:lang w:val="en-US" w:eastAsia="zh-CN"/>
              </w:rPr>
              <w:t>安全作业证制度</w:t>
            </w:r>
          </w:p>
        </w:tc>
        <w:tc>
          <w:tcPr>
            <w:tcW w:w="1919" w:type="dxa"/>
            <w:noWrap w:val="0"/>
            <w:vAlign w:val="center"/>
          </w:tcPr>
          <w:p w14:paraId="4B80785E">
            <w:pPr>
              <w:pStyle w:val="30"/>
              <w:bidi w:val="0"/>
              <w:rPr>
                <w:rFonts w:hint="default"/>
                <w:color w:val="auto"/>
              </w:rPr>
            </w:pPr>
          </w:p>
        </w:tc>
      </w:tr>
      <w:tr w14:paraId="2830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1EE5C26F">
            <w:pPr>
              <w:pStyle w:val="30"/>
              <w:bidi w:val="0"/>
              <w:rPr>
                <w:rFonts w:hint="default"/>
                <w:color w:val="auto"/>
              </w:rPr>
            </w:pPr>
            <w:r>
              <w:rPr>
                <w:rFonts w:hint="default"/>
                <w:color w:val="auto"/>
              </w:rPr>
              <w:t>17</w:t>
            </w:r>
          </w:p>
        </w:tc>
        <w:tc>
          <w:tcPr>
            <w:tcW w:w="6687" w:type="dxa"/>
            <w:noWrap w:val="0"/>
            <w:vAlign w:val="center"/>
          </w:tcPr>
          <w:p w14:paraId="335CE98F">
            <w:pPr>
              <w:pStyle w:val="30"/>
              <w:bidi w:val="0"/>
              <w:rPr>
                <w:rFonts w:hint="default"/>
                <w:color w:val="auto"/>
                <w:lang w:val="en-US" w:eastAsia="zh-CN"/>
              </w:rPr>
            </w:pPr>
            <w:r>
              <w:rPr>
                <w:rFonts w:hint="default"/>
                <w:color w:val="auto"/>
                <w:lang w:val="en-US" w:eastAsia="zh-CN"/>
              </w:rPr>
              <w:t>新建、改建、扩建工程项目安全设施</w:t>
            </w:r>
            <w:r>
              <w:rPr>
                <w:rFonts w:hint="eastAsia"/>
                <w:color w:val="auto"/>
                <w:lang w:val="en-US" w:eastAsia="zh-CN"/>
              </w:rPr>
              <w:t>“</w:t>
            </w:r>
            <w:r>
              <w:rPr>
                <w:rFonts w:hint="default"/>
                <w:color w:val="auto"/>
                <w:lang w:val="en-US" w:eastAsia="zh-CN"/>
              </w:rPr>
              <w:t>三同时</w:t>
            </w:r>
            <w:r>
              <w:rPr>
                <w:rFonts w:hint="eastAsia"/>
                <w:color w:val="auto"/>
                <w:lang w:val="en-US" w:eastAsia="zh-CN"/>
              </w:rPr>
              <w:t>”</w:t>
            </w:r>
            <w:r>
              <w:rPr>
                <w:rFonts w:hint="default"/>
                <w:color w:val="auto"/>
                <w:lang w:val="en-US" w:eastAsia="zh-CN"/>
              </w:rPr>
              <w:t>制度</w:t>
            </w:r>
          </w:p>
        </w:tc>
        <w:tc>
          <w:tcPr>
            <w:tcW w:w="1919" w:type="dxa"/>
            <w:noWrap w:val="0"/>
            <w:vAlign w:val="center"/>
          </w:tcPr>
          <w:p w14:paraId="705CF82E">
            <w:pPr>
              <w:pStyle w:val="30"/>
              <w:bidi w:val="0"/>
              <w:rPr>
                <w:rFonts w:hint="default"/>
                <w:color w:val="auto"/>
              </w:rPr>
            </w:pPr>
          </w:p>
        </w:tc>
      </w:tr>
      <w:tr w14:paraId="71C4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370082B0">
            <w:pPr>
              <w:pStyle w:val="30"/>
              <w:bidi w:val="0"/>
              <w:rPr>
                <w:rFonts w:hint="default"/>
                <w:color w:val="auto"/>
              </w:rPr>
            </w:pPr>
            <w:r>
              <w:rPr>
                <w:rFonts w:hint="default"/>
                <w:color w:val="auto"/>
              </w:rPr>
              <w:t>18</w:t>
            </w:r>
          </w:p>
        </w:tc>
        <w:tc>
          <w:tcPr>
            <w:tcW w:w="6687" w:type="dxa"/>
            <w:noWrap w:val="0"/>
            <w:vAlign w:val="center"/>
          </w:tcPr>
          <w:p w14:paraId="0750590D">
            <w:pPr>
              <w:pStyle w:val="30"/>
              <w:bidi w:val="0"/>
              <w:rPr>
                <w:rFonts w:hint="default"/>
                <w:color w:val="auto"/>
                <w:lang w:val="en-US" w:eastAsia="zh-CN"/>
              </w:rPr>
            </w:pPr>
            <w:r>
              <w:rPr>
                <w:rFonts w:hint="default"/>
                <w:color w:val="auto"/>
                <w:lang w:val="en-US" w:eastAsia="zh-CN"/>
              </w:rPr>
              <w:t>厂区道路交通管理制度</w:t>
            </w:r>
          </w:p>
        </w:tc>
        <w:tc>
          <w:tcPr>
            <w:tcW w:w="1919" w:type="dxa"/>
            <w:noWrap w:val="0"/>
            <w:vAlign w:val="center"/>
          </w:tcPr>
          <w:p w14:paraId="4D9F6AF9">
            <w:pPr>
              <w:pStyle w:val="30"/>
              <w:bidi w:val="0"/>
              <w:rPr>
                <w:rFonts w:hint="default"/>
                <w:color w:val="auto"/>
              </w:rPr>
            </w:pPr>
          </w:p>
        </w:tc>
      </w:tr>
      <w:tr w14:paraId="66A7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4822286F">
            <w:pPr>
              <w:pStyle w:val="30"/>
              <w:bidi w:val="0"/>
              <w:rPr>
                <w:rFonts w:hint="default"/>
                <w:color w:val="auto"/>
              </w:rPr>
            </w:pPr>
            <w:r>
              <w:rPr>
                <w:rFonts w:hint="default"/>
                <w:color w:val="auto"/>
              </w:rPr>
              <w:t>19</w:t>
            </w:r>
          </w:p>
        </w:tc>
        <w:tc>
          <w:tcPr>
            <w:tcW w:w="6687" w:type="dxa"/>
            <w:noWrap w:val="0"/>
            <w:vAlign w:val="center"/>
          </w:tcPr>
          <w:p w14:paraId="3D2B0FEB">
            <w:pPr>
              <w:pStyle w:val="30"/>
              <w:bidi w:val="0"/>
              <w:rPr>
                <w:rFonts w:hint="default"/>
                <w:color w:val="auto"/>
                <w:lang w:val="en-US" w:eastAsia="zh-CN"/>
              </w:rPr>
            </w:pPr>
            <w:r>
              <w:rPr>
                <w:rFonts w:hint="eastAsia"/>
                <w:color w:val="auto"/>
                <w:lang w:val="en-US" w:eastAsia="zh-CN"/>
              </w:rPr>
              <w:t>安全生产费用提取、使用及管理制度</w:t>
            </w:r>
          </w:p>
        </w:tc>
        <w:tc>
          <w:tcPr>
            <w:tcW w:w="1919" w:type="dxa"/>
            <w:noWrap w:val="0"/>
            <w:vAlign w:val="center"/>
          </w:tcPr>
          <w:p w14:paraId="799416E2">
            <w:pPr>
              <w:pStyle w:val="30"/>
              <w:bidi w:val="0"/>
              <w:rPr>
                <w:rFonts w:hint="default"/>
                <w:color w:val="auto"/>
              </w:rPr>
            </w:pPr>
          </w:p>
        </w:tc>
      </w:tr>
      <w:tr w14:paraId="70EB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7D6DBEEC">
            <w:pPr>
              <w:pStyle w:val="30"/>
              <w:bidi w:val="0"/>
              <w:rPr>
                <w:rFonts w:hint="default"/>
                <w:color w:val="auto"/>
              </w:rPr>
            </w:pPr>
            <w:r>
              <w:rPr>
                <w:rFonts w:hint="default"/>
                <w:color w:val="auto"/>
              </w:rPr>
              <w:t>20</w:t>
            </w:r>
          </w:p>
        </w:tc>
        <w:tc>
          <w:tcPr>
            <w:tcW w:w="6687" w:type="dxa"/>
            <w:noWrap w:val="0"/>
            <w:vAlign w:val="center"/>
          </w:tcPr>
          <w:p w14:paraId="073FFDBA">
            <w:pPr>
              <w:pStyle w:val="30"/>
              <w:bidi w:val="0"/>
              <w:rPr>
                <w:rFonts w:hint="default"/>
                <w:color w:val="auto"/>
                <w:lang w:val="en-US" w:eastAsia="zh-CN"/>
              </w:rPr>
            </w:pPr>
            <w:r>
              <w:rPr>
                <w:rFonts w:hint="default"/>
                <w:color w:val="auto"/>
                <w:lang w:val="en-US" w:eastAsia="zh-CN"/>
              </w:rPr>
              <w:t>仓库安全管理制度</w:t>
            </w:r>
          </w:p>
        </w:tc>
        <w:tc>
          <w:tcPr>
            <w:tcW w:w="1919" w:type="dxa"/>
            <w:noWrap w:val="0"/>
            <w:vAlign w:val="center"/>
          </w:tcPr>
          <w:p w14:paraId="761A48E0">
            <w:pPr>
              <w:pStyle w:val="30"/>
              <w:bidi w:val="0"/>
              <w:rPr>
                <w:rFonts w:hint="default"/>
                <w:color w:val="auto"/>
              </w:rPr>
            </w:pPr>
          </w:p>
        </w:tc>
      </w:tr>
      <w:tr w14:paraId="00AA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6B1682C3">
            <w:pPr>
              <w:pStyle w:val="30"/>
              <w:bidi w:val="0"/>
              <w:rPr>
                <w:rFonts w:hint="default"/>
                <w:color w:val="auto"/>
              </w:rPr>
            </w:pPr>
            <w:r>
              <w:rPr>
                <w:rFonts w:hint="default"/>
                <w:color w:val="auto"/>
              </w:rPr>
              <w:t>21</w:t>
            </w:r>
          </w:p>
        </w:tc>
        <w:tc>
          <w:tcPr>
            <w:tcW w:w="6687" w:type="dxa"/>
            <w:noWrap w:val="0"/>
            <w:vAlign w:val="center"/>
          </w:tcPr>
          <w:p w14:paraId="761C145B">
            <w:pPr>
              <w:pStyle w:val="30"/>
              <w:bidi w:val="0"/>
              <w:rPr>
                <w:rFonts w:hint="default"/>
                <w:color w:val="auto"/>
                <w:lang w:val="sq-AL" w:eastAsia="zh-CN"/>
              </w:rPr>
            </w:pPr>
            <w:r>
              <w:rPr>
                <w:rFonts w:hint="default"/>
                <w:color w:val="auto"/>
                <w:lang w:val="en-US" w:eastAsia="zh-CN"/>
              </w:rPr>
              <w:t>化学危险品安全管理制度</w:t>
            </w:r>
          </w:p>
        </w:tc>
        <w:tc>
          <w:tcPr>
            <w:tcW w:w="1919" w:type="dxa"/>
            <w:noWrap w:val="0"/>
            <w:vAlign w:val="center"/>
          </w:tcPr>
          <w:p w14:paraId="2611C561">
            <w:pPr>
              <w:pStyle w:val="30"/>
              <w:bidi w:val="0"/>
              <w:rPr>
                <w:rFonts w:hint="default"/>
                <w:color w:val="auto"/>
              </w:rPr>
            </w:pPr>
          </w:p>
        </w:tc>
      </w:tr>
      <w:tr w14:paraId="32C5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3419AA7B">
            <w:pPr>
              <w:pStyle w:val="30"/>
              <w:bidi w:val="0"/>
              <w:rPr>
                <w:rFonts w:hint="default"/>
                <w:color w:val="auto"/>
              </w:rPr>
            </w:pPr>
            <w:r>
              <w:rPr>
                <w:rFonts w:hint="default"/>
                <w:color w:val="auto"/>
              </w:rPr>
              <w:t>22</w:t>
            </w:r>
          </w:p>
        </w:tc>
        <w:tc>
          <w:tcPr>
            <w:tcW w:w="6687" w:type="dxa"/>
            <w:noWrap w:val="0"/>
            <w:vAlign w:val="center"/>
          </w:tcPr>
          <w:p w14:paraId="4A5427EE">
            <w:pPr>
              <w:pStyle w:val="30"/>
              <w:bidi w:val="0"/>
              <w:rPr>
                <w:rFonts w:hint="default"/>
                <w:color w:val="auto"/>
                <w:lang w:val="en-US" w:eastAsia="zh-CN"/>
              </w:rPr>
            </w:pPr>
            <w:r>
              <w:rPr>
                <w:rFonts w:hint="default"/>
                <w:color w:val="auto"/>
                <w:lang w:val="en-US" w:eastAsia="zh-CN"/>
              </w:rPr>
              <w:t>交接班制度</w:t>
            </w:r>
          </w:p>
        </w:tc>
        <w:tc>
          <w:tcPr>
            <w:tcW w:w="1919" w:type="dxa"/>
            <w:noWrap w:val="0"/>
            <w:vAlign w:val="center"/>
          </w:tcPr>
          <w:p w14:paraId="13DB6730">
            <w:pPr>
              <w:pStyle w:val="30"/>
              <w:bidi w:val="0"/>
              <w:rPr>
                <w:rFonts w:hint="default"/>
                <w:color w:val="auto"/>
              </w:rPr>
            </w:pPr>
          </w:p>
        </w:tc>
      </w:tr>
      <w:tr w14:paraId="6012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97" w:type="dxa"/>
            <w:noWrap w:val="0"/>
            <w:vAlign w:val="center"/>
          </w:tcPr>
          <w:p w14:paraId="75C5B63D">
            <w:pPr>
              <w:pStyle w:val="30"/>
              <w:bidi w:val="0"/>
              <w:rPr>
                <w:rFonts w:hint="default"/>
                <w:color w:val="auto"/>
              </w:rPr>
            </w:pPr>
            <w:r>
              <w:rPr>
                <w:rFonts w:hint="default"/>
                <w:color w:val="auto"/>
              </w:rPr>
              <w:t>23</w:t>
            </w:r>
          </w:p>
        </w:tc>
        <w:tc>
          <w:tcPr>
            <w:tcW w:w="6687" w:type="dxa"/>
            <w:noWrap w:val="0"/>
            <w:vAlign w:val="center"/>
          </w:tcPr>
          <w:p w14:paraId="758A1E51">
            <w:pPr>
              <w:pStyle w:val="30"/>
              <w:bidi w:val="0"/>
              <w:rPr>
                <w:rFonts w:hint="default"/>
                <w:color w:val="auto"/>
              </w:rPr>
            </w:pPr>
            <w:r>
              <w:rPr>
                <w:rFonts w:hint="default"/>
                <w:color w:val="auto"/>
                <w:lang w:val="en-US" w:eastAsia="zh-CN"/>
              </w:rPr>
              <w:t>动火作业安全管理制度</w:t>
            </w:r>
          </w:p>
        </w:tc>
        <w:tc>
          <w:tcPr>
            <w:tcW w:w="1919" w:type="dxa"/>
            <w:noWrap w:val="0"/>
            <w:vAlign w:val="center"/>
          </w:tcPr>
          <w:p w14:paraId="32F259FD">
            <w:pPr>
              <w:pStyle w:val="30"/>
              <w:bidi w:val="0"/>
              <w:rPr>
                <w:rFonts w:hint="default"/>
                <w:color w:val="auto"/>
              </w:rPr>
            </w:pPr>
          </w:p>
        </w:tc>
      </w:tr>
      <w:tr w14:paraId="0B12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97" w:type="dxa"/>
            <w:noWrap w:val="0"/>
            <w:vAlign w:val="center"/>
          </w:tcPr>
          <w:p w14:paraId="6C5E153B">
            <w:pPr>
              <w:pStyle w:val="30"/>
              <w:bidi w:val="0"/>
              <w:rPr>
                <w:rFonts w:hint="default"/>
                <w:color w:val="auto"/>
              </w:rPr>
            </w:pPr>
            <w:r>
              <w:rPr>
                <w:rFonts w:hint="default"/>
                <w:color w:val="auto"/>
              </w:rPr>
              <w:t>24</w:t>
            </w:r>
          </w:p>
        </w:tc>
        <w:tc>
          <w:tcPr>
            <w:tcW w:w="6687" w:type="dxa"/>
            <w:noWrap w:val="0"/>
            <w:vAlign w:val="center"/>
          </w:tcPr>
          <w:p w14:paraId="0E5CD68C">
            <w:pPr>
              <w:pStyle w:val="30"/>
              <w:bidi w:val="0"/>
              <w:rPr>
                <w:rFonts w:hint="default"/>
                <w:color w:val="auto"/>
              </w:rPr>
            </w:pPr>
            <w:r>
              <w:rPr>
                <w:rFonts w:hint="eastAsia"/>
                <w:color w:val="auto"/>
                <w:lang w:val="en-US" w:eastAsia="zh-CN"/>
              </w:rPr>
              <w:t>特</w:t>
            </w:r>
            <w:r>
              <w:rPr>
                <w:rFonts w:hint="default"/>
                <w:color w:val="auto"/>
                <w:lang w:val="en-US" w:eastAsia="zh-CN"/>
              </w:rPr>
              <w:t>种作业人员</w:t>
            </w:r>
            <w:r>
              <w:rPr>
                <w:rFonts w:hint="eastAsia"/>
                <w:color w:val="auto"/>
                <w:lang w:val="en-US" w:eastAsia="zh-CN"/>
              </w:rPr>
              <w:t>管理</w:t>
            </w:r>
            <w:r>
              <w:rPr>
                <w:rFonts w:hint="default"/>
                <w:color w:val="auto"/>
                <w:lang w:val="en-US" w:eastAsia="zh-CN"/>
              </w:rPr>
              <w:t>制度</w:t>
            </w:r>
          </w:p>
        </w:tc>
        <w:tc>
          <w:tcPr>
            <w:tcW w:w="1919" w:type="dxa"/>
            <w:noWrap w:val="0"/>
            <w:vAlign w:val="center"/>
          </w:tcPr>
          <w:p w14:paraId="32609DFE">
            <w:pPr>
              <w:pStyle w:val="30"/>
              <w:bidi w:val="0"/>
              <w:rPr>
                <w:rFonts w:hint="default"/>
                <w:color w:val="auto"/>
              </w:rPr>
            </w:pPr>
          </w:p>
        </w:tc>
      </w:tr>
    </w:tbl>
    <w:p w14:paraId="65D68DEC">
      <w:pPr>
        <w:pStyle w:val="29"/>
        <w:bidi w:val="0"/>
        <w:rPr>
          <w:rFonts w:hint="default"/>
          <w:color w:val="auto"/>
        </w:rPr>
      </w:pPr>
      <w:r>
        <w:rPr>
          <w:rFonts w:hint="default"/>
          <w:color w:val="auto"/>
        </w:rPr>
        <w:t>表2.</w:t>
      </w:r>
      <w:r>
        <w:rPr>
          <w:rFonts w:hint="eastAsia"/>
          <w:color w:val="auto"/>
          <w:lang w:val="en-US" w:eastAsia="zh-CN"/>
        </w:rPr>
        <w:t>15</w:t>
      </w:r>
      <w:r>
        <w:rPr>
          <w:rFonts w:hint="default"/>
          <w:color w:val="auto"/>
        </w:rPr>
        <w:t>-</w:t>
      </w:r>
      <w:r>
        <w:rPr>
          <w:rFonts w:hint="eastAsia"/>
          <w:color w:val="auto"/>
          <w:lang w:val="en-US" w:eastAsia="zh-CN"/>
        </w:rPr>
        <w:t>4</w:t>
      </w:r>
      <w:r>
        <w:rPr>
          <w:rFonts w:hint="default"/>
          <w:color w:val="auto"/>
        </w:rPr>
        <w:t xml:space="preserve"> 安全生产操作规程</w:t>
      </w:r>
    </w:p>
    <w:tbl>
      <w:tblPr>
        <w:tblStyle w:val="20"/>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6686"/>
        <w:gridCol w:w="1919"/>
      </w:tblGrid>
      <w:tr w14:paraId="6952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blHeader/>
          <w:jc w:val="center"/>
        </w:trPr>
        <w:tc>
          <w:tcPr>
            <w:tcW w:w="798" w:type="dxa"/>
            <w:noWrap w:val="0"/>
            <w:vAlign w:val="center"/>
          </w:tcPr>
          <w:p w14:paraId="7BBA7EEB">
            <w:pPr>
              <w:pStyle w:val="30"/>
              <w:bidi w:val="0"/>
              <w:rPr>
                <w:rFonts w:hint="default"/>
                <w:b/>
                <w:bCs/>
                <w:color w:val="auto"/>
              </w:rPr>
            </w:pPr>
            <w:r>
              <w:rPr>
                <w:rFonts w:hint="default"/>
                <w:b/>
                <w:bCs/>
                <w:color w:val="auto"/>
              </w:rPr>
              <w:t>序号</w:t>
            </w:r>
          </w:p>
        </w:tc>
        <w:tc>
          <w:tcPr>
            <w:tcW w:w="6686" w:type="dxa"/>
            <w:noWrap w:val="0"/>
            <w:vAlign w:val="center"/>
          </w:tcPr>
          <w:p w14:paraId="13D32E92">
            <w:pPr>
              <w:pStyle w:val="30"/>
              <w:bidi w:val="0"/>
              <w:rPr>
                <w:rFonts w:hint="default"/>
                <w:b/>
                <w:bCs/>
                <w:color w:val="auto"/>
              </w:rPr>
            </w:pPr>
            <w:r>
              <w:rPr>
                <w:rFonts w:hint="default"/>
                <w:b/>
                <w:bCs/>
                <w:color w:val="auto"/>
              </w:rPr>
              <w:t>安全操作规程名称</w:t>
            </w:r>
          </w:p>
        </w:tc>
        <w:tc>
          <w:tcPr>
            <w:tcW w:w="1919" w:type="dxa"/>
            <w:noWrap w:val="0"/>
            <w:vAlign w:val="center"/>
          </w:tcPr>
          <w:p w14:paraId="6166AE74">
            <w:pPr>
              <w:pStyle w:val="30"/>
              <w:bidi w:val="0"/>
              <w:rPr>
                <w:rFonts w:hint="default"/>
                <w:b/>
                <w:bCs/>
                <w:color w:val="auto"/>
              </w:rPr>
            </w:pPr>
            <w:r>
              <w:rPr>
                <w:rFonts w:hint="default"/>
                <w:b/>
                <w:bCs/>
                <w:color w:val="auto"/>
              </w:rPr>
              <w:t>备注</w:t>
            </w:r>
          </w:p>
        </w:tc>
      </w:tr>
      <w:tr w14:paraId="3B4C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98" w:type="dxa"/>
            <w:noWrap w:val="0"/>
            <w:vAlign w:val="center"/>
          </w:tcPr>
          <w:p w14:paraId="3A8E07D1">
            <w:pPr>
              <w:pStyle w:val="30"/>
              <w:bidi w:val="0"/>
              <w:rPr>
                <w:rFonts w:hint="eastAsia"/>
                <w:color w:val="auto"/>
                <w:lang w:val="en-US" w:eastAsia="zh-CN"/>
              </w:rPr>
            </w:pPr>
            <w:r>
              <w:rPr>
                <w:rFonts w:hint="eastAsia"/>
                <w:color w:val="auto"/>
                <w:lang w:val="en-US" w:eastAsia="zh-CN"/>
              </w:rPr>
              <w:t>1</w:t>
            </w:r>
          </w:p>
        </w:tc>
        <w:tc>
          <w:tcPr>
            <w:tcW w:w="6686" w:type="dxa"/>
            <w:noWrap w:val="0"/>
            <w:vAlign w:val="center"/>
          </w:tcPr>
          <w:p w14:paraId="14D1DFBB">
            <w:pPr>
              <w:pStyle w:val="30"/>
              <w:bidi w:val="0"/>
              <w:rPr>
                <w:rFonts w:hint="default"/>
                <w:color w:val="auto"/>
              </w:rPr>
            </w:pPr>
            <w:r>
              <w:rPr>
                <w:rFonts w:hint="default"/>
                <w:color w:val="auto"/>
              </w:rPr>
              <w:t>料仓安全操作规程</w:t>
            </w:r>
          </w:p>
        </w:tc>
        <w:tc>
          <w:tcPr>
            <w:tcW w:w="1919" w:type="dxa"/>
            <w:noWrap w:val="0"/>
            <w:vAlign w:val="center"/>
          </w:tcPr>
          <w:p w14:paraId="2C0A6DA8">
            <w:pPr>
              <w:pStyle w:val="30"/>
              <w:bidi w:val="0"/>
              <w:rPr>
                <w:rFonts w:hint="default"/>
                <w:color w:val="auto"/>
              </w:rPr>
            </w:pPr>
          </w:p>
        </w:tc>
      </w:tr>
      <w:tr w14:paraId="7481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98" w:type="dxa"/>
            <w:noWrap w:val="0"/>
            <w:vAlign w:val="center"/>
          </w:tcPr>
          <w:p w14:paraId="59577BE4">
            <w:pPr>
              <w:pStyle w:val="30"/>
              <w:bidi w:val="0"/>
              <w:rPr>
                <w:rFonts w:hint="eastAsia"/>
                <w:color w:val="auto"/>
                <w:lang w:val="en-US" w:eastAsia="zh-CN"/>
              </w:rPr>
            </w:pPr>
            <w:r>
              <w:rPr>
                <w:rFonts w:hint="eastAsia"/>
                <w:color w:val="auto"/>
                <w:lang w:val="en-US" w:eastAsia="zh-CN"/>
              </w:rPr>
              <w:t>2</w:t>
            </w:r>
          </w:p>
        </w:tc>
        <w:tc>
          <w:tcPr>
            <w:tcW w:w="6686" w:type="dxa"/>
            <w:noWrap w:val="0"/>
            <w:vAlign w:val="center"/>
          </w:tcPr>
          <w:p w14:paraId="023C068F">
            <w:pPr>
              <w:pStyle w:val="30"/>
              <w:bidi w:val="0"/>
              <w:rPr>
                <w:rFonts w:hint="default"/>
                <w:color w:val="auto"/>
              </w:rPr>
            </w:pPr>
            <w:r>
              <w:rPr>
                <w:rFonts w:hint="default"/>
                <w:color w:val="auto"/>
              </w:rPr>
              <w:t>皮带输送机系统安全操作规程</w:t>
            </w:r>
          </w:p>
        </w:tc>
        <w:tc>
          <w:tcPr>
            <w:tcW w:w="1919" w:type="dxa"/>
            <w:noWrap w:val="0"/>
            <w:vAlign w:val="center"/>
          </w:tcPr>
          <w:p w14:paraId="285411C4">
            <w:pPr>
              <w:pStyle w:val="30"/>
              <w:bidi w:val="0"/>
              <w:rPr>
                <w:rFonts w:hint="default"/>
                <w:color w:val="auto"/>
              </w:rPr>
            </w:pPr>
          </w:p>
        </w:tc>
      </w:tr>
      <w:tr w14:paraId="4FF3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98" w:type="dxa"/>
            <w:noWrap w:val="0"/>
            <w:vAlign w:val="center"/>
          </w:tcPr>
          <w:p w14:paraId="430EA4C6">
            <w:pPr>
              <w:pStyle w:val="30"/>
              <w:bidi w:val="0"/>
              <w:rPr>
                <w:rFonts w:hint="eastAsia"/>
                <w:color w:val="auto"/>
                <w:lang w:val="en-US" w:eastAsia="zh-CN"/>
              </w:rPr>
            </w:pPr>
            <w:r>
              <w:rPr>
                <w:rFonts w:hint="eastAsia"/>
                <w:color w:val="auto"/>
                <w:lang w:val="en-US" w:eastAsia="zh-CN"/>
              </w:rPr>
              <w:t>3</w:t>
            </w:r>
          </w:p>
        </w:tc>
        <w:tc>
          <w:tcPr>
            <w:tcW w:w="6686" w:type="dxa"/>
            <w:noWrap w:val="0"/>
            <w:vAlign w:val="center"/>
          </w:tcPr>
          <w:p w14:paraId="3CA3DD6F">
            <w:pPr>
              <w:pStyle w:val="30"/>
              <w:bidi w:val="0"/>
              <w:rPr>
                <w:rFonts w:hint="default"/>
                <w:color w:val="auto"/>
              </w:rPr>
            </w:pPr>
            <w:r>
              <w:rPr>
                <w:rFonts w:hint="default"/>
                <w:color w:val="auto"/>
              </w:rPr>
              <w:t>球磨机安全操作规程</w:t>
            </w:r>
          </w:p>
        </w:tc>
        <w:tc>
          <w:tcPr>
            <w:tcW w:w="1919" w:type="dxa"/>
            <w:noWrap w:val="0"/>
            <w:vAlign w:val="center"/>
          </w:tcPr>
          <w:p w14:paraId="6669956C">
            <w:pPr>
              <w:pStyle w:val="30"/>
              <w:bidi w:val="0"/>
              <w:rPr>
                <w:rFonts w:hint="default"/>
                <w:color w:val="auto"/>
              </w:rPr>
            </w:pPr>
          </w:p>
        </w:tc>
      </w:tr>
      <w:tr w14:paraId="2C2A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98" w:type="dxa"/>
            <w:noWrap w:val="0"/>
            <w:vAlign w:val="center"/>
          </w:tcPr>
          <w:p w14:paraId="61A50943">
            <w:pPr>
              <w:pStyle w:val="30"/>
              <w:bidi w:val="0"/>
              <w:rPr>
                <w:rFonts w:hint="eastAsia"/>
                <w:color w:val="auto"/>
                <w:lang w:val="en-US" w:eastAsia="zh-CN"/>
              </w:rPr>
            </w:pPr>
            <w:r>
              <w:rPr>
                <w:rFonts w:hint="eastAsia"/>
                <w:color w:val="auto"/>
                <w:lang w:val="en-US" w:eastAsia="zh-CN"/>
              </w:rPr>
              <w:t>4</w:t>
            </w:r>
          </w:p>
        </w:tc>
        <w:tc>
          <w:tcPr>
            <w:tcW w:w="6686" w:type="dxa"/>
            <w:noWrap w:val="0"/>
            <w:vAlign w:val="center"/>
          </w:tcPr>
          <w:p w14:paraId="19841D96">
            <w:pPr>
              <w:pStyle w:val="30"/>
              <w:bidi w:val="0"/>
              <w:rPr>
                <w:rFonts w:hint="default"/>
                <w:color w:val="auto"/>
              </w:rPr>
            </w:pPr>
            <w:r>
              <w:rPr>
                <w:rFonts w:hint="default"/>
                <w:color w:val="auto"/>
              </w:rPr>
              <w:t>磁选机安全操作规程</w:t>
            </w:r>
          </w:p>
        </w:tc>
        <w:tc>
          <w:tcPr>
            <w:tcW w:w="1919" w:type="dxa"/>
            <w:noWrap w:val="0"/>
            <w:vAlign w:val="center"/>
          </w:tcPr>
          <w:p w14:paraId="54C4E5DD">
            <w:pPr>
              <w:pStyle w:val="30"/>
              <w:bidi w:val="0"/>
              <w:rPr>
                <w:rFonts w:hint="default"/>
                <w:color w:val="auto"/>
              </w:rPr>
            </w:pPr>
          </w:p>
        </w:tc>
      </w:tr>
      <w:tr w14:paraId="38F5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98" w:type="dxa"/>
            <w:noWrap w:val="0"/>
            <w:vAlign w:val="center"/>
          </w:tcPr>
          <w:p w14:paraId="48C5E37B">
            <w:pPr>
              <w:pStyle w:val="30"/>
              <w:bidi w:val="0"/>
              <w:rPr>
                <w:rFonts w:hint="default"/>
                <w:color w:val="auto"/>
                <w:lang w:val="en-US" w:eastAsia="zh-CN"/>
              </w:rPr>
            </w:pPr>
            <w:r>
              <w:rPr>
                <w:rFonts w:hint="eastAsia"/>
                <w:color w:val="auto"/>
                <w:lang w:val="en-US" w:eastAsia="zh-CN"/>
              </w:rPr>
              <w:t>5</w:t>
            </w:r>
          </w:p>
        </w:tc>
        <w:tc>
          <w:tcPr>
            <w:tcW w:w="6686" w:type="dxa"/>
            <w:noWrap w:val="0"/>
            <w:vAlign w:val="center"/>
          </w:tcPr>
          <w:p w14:paraId="557440E5">
            <w:pPr>
              <w:pStyle w:val="30"/>
              <w:bidi w:val="0"/>
              <w:rPr>
                <w:rFonts w:hint="default"/>
                <w:color w:val="auto"/>
              </w:rPr>
            </w:pPr>
            <w:r>
              <w:rPr>
                <w:rFonts w:hint="eastAsia"/>
                <w:color w:val="auto"/>
                <w:lang w:val="en-US" w:eastAsia="zh-CN"/>
              </w:rPr>
              <w:t>破碎机</w:t>
            </w:r>
            <w:r>
              <w:rPr>
                <w:rFonts w:hint="default"/>
                <w:color w:val="auto"/>
              </w:rPr>
              <w:t>安全操作规程</w:t>
            </w:r>
          </w:p>
        </w:tc>
        <w:tc>
          <w:tcPr>
            <w:tcW w:w="1919" w:type="dxa"/>
            <w:noWrap w:val="0"/>
            <w:vAlign w:val="center"/>
          </w:tcPr>
          <w:p w14:paraId="1949418A">
            <w:pPr>
              <w:pStyle w:val="30"/>
              <w:bidi w:val="0"/>
              <w:rPr>
                <w:rFonts w:hint="default"/>
                <w:color w:val="auto"/>
              </w:rPr>
            </w:pPr>
          </w:p>
        </w:tc>
      </w:tr>
      <w:tr w14:paraId="1410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98" w:type="dxa"/>
            <w:noWrap w:val="0"/>
            <w:vAlign w:val="center"/>
          </w:tcPr>
          <w:p w14:paraId="0B0CECA3">
            <w:pPr>
              <w:pStyle w:val="30"/>
              <w:bidi w:val="0"/>
              <w:rPr>
                <w:rFonts w:hint="eastAsia"/>
                <w:color w:val="auto"/>
                <w:lang w:val="en-US" w:eastAsia="zh-CN"/>
              </w:rPr>
            </w:pPr>
            <w:r>
              <w:rPr>
                <w:rFonts w:hint="eastAsia"/>
                <w:color w:val="auto"/>
                <w:lang w:val="en-US" w:eastAsia="zh-CN"/>
              </w:rPr>
              <w:t>6</w:t>
            </w:r>
          </w:p>
        </w:tc>
        <w:tc>
          <w:tcPr>
            <w:tcW w:w="6686" w:type="dxa"/>
            <w:noWrap w:val="0"/>
            <w:vAlign w:val="center"/>
          </w:tcPr>
          <w:p w14:paraId="6C78DB80">
            <w:pPr>
              <w:pStyle w:val="30"/>
              <w:bidi w:val="0"/>
              <w:rPr>
                <w:rFonts w:hint="default"/>
                <w:color w:val="auto"/>
              </w:rPr>
            </w:pPr>
            <w:r>
              <w:rPr>
                <w:rFonts w:hint="default"/>
                <w:color w:val="auto"/>
              </w:rPr>
              <w:t>压滤机安全操作规程</w:t>
            </w:r>
          </w:p>
        </w:tc>
        <w:tc>
          <w:tcPr>
            <w:tcW w:w="1919" w:type="dxa"/>
            <w:noWrap w:val="0"/>
            <w:vAlign w:val="center"/>
          </w:tcPr>
          <w:p w14:paraId="59FD3A07">
            <w:pPr>
              <w:pStyle w:val="30"/>
              <w:bidi w:val="0"/>
              <w:rPr>
                <w:rFonts w:hint="default"/>
                <w:color w:val="auto"/>
              </w:rPr>
            </w:pPr>
          </w:p>
        </w:tc>
      </w:tr>
      <w:tr w14:paraId="04B1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98" w:type="dxa"/>
            <w:noWrap w:val="0"/>
            <w:vAlign w:val="center"/>
          </w:tcPr>
          <w:p w14:paraId="75FACC38">
            <w:pPr>
              <w:pStyle w:val="30"/>
              <w:bidi w:val="0"/>
              <w:rPr>
                <w:rFonts w:hint="eastAsia"/>
                <w:color w:val="auto"/>
                <w:lang w:val="en-US" w:eastAsia="zh-CN"/>
              </w:rPr>
            </w:pPr>
            <w:r>
              <w:rPr>
                <w:rFonts w:hint="eastAsia"/>
                <w:color w:val="auto"/>
                <w:lang w:val="en-US" w:eastAsia="zh-CN"/>
              </w:rPr>
              <w:t>7</w:t>
            </w:r>
          </w:p>
        </w:tc>
        <w:tc>
          <w:tcPr>
            <w:tcW w:w="6686" w:type="dxa"/>
            <w:noWrap w:val="0"/>
            <w:vAlign w:val="center"/>
          </w:tcPr>
          <w:p w14:paraId="599D5AB8">
            <w:pPr>
              <w:pStyle w:val="30"/>
              <w:bidi w:val="0"/>
              <w:rPr>
                <w:rFonts w:hint="default"/>
                <w:color w:val="auto"/>
              </w:rPr>
            </w:pPr>
            <w:r>
              <w:rPr>
                <w:rFonts w:hint="eastAsia"/>
                <w:color w:val="auto"/>
                <w:lang w:val="en-US" w:eastAsia="zh-CN"/>
              </w:rPr>
              <w:t>浮选机</w:t>
            </w:r>
            <w:r>
              <w:rPr>
                <w:rFonts w:hint="default"/>
                <w:color w:val="auto"/>
              </w:rPr>
              <w:t>安全操作规程</w:t>
            </w:r>
          </w:p>
        </w:tc>
        <w:tc>
          <w:tcPr>
            <w:tcW w:w="1919" w:type="dxa"/>
            <w:noWrap w:val="0"/>
            <w:vAlign w:val="center"/>
          </w:tcPr>
          <w:p w14:paraId="2014453C">
            <w:pPr>
              <w:pStyle w:val="30"/>
              <w:bidi w:val="0"/>
              <w:rPr>
                <w:rFonts w:hint="default"/>
                <w:color w:val="auto"/>
              </w:rPr>
            </w:pPr>
          </w:p>
        </w:tc>
      </w:tr>
      <w:tr w14:paraId="405F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98" w:type="dxa"/>
            <w:noWrap w:val="0"/>
            <w:vAlign w:val="center"/>
          </w:tcPr>
          <w:p w14:paraId="6B7599C1">
            <w:pPr>
              <w:pStyle w:val="30"/>
              <w:bidi w:val="0"/>
              <w:rPr>
                <w:rFonts w:hint="default"/>
                <w:color w:val="auto"/>
                <w:lang w:val="en-US" w:eastAsia="zh-CN"/>
              </w:rPr>
            </w:pPr>
            <w:r>
              <w:rPr>
                <w:rFonts w:hint="eastAsia"/>
                <w:color w:val="auto"/>
                <w:lang w:val="en-US" w:eastAsia="zh-CN"/>
              </w:rPr>
              <w:t>8</w:t>
            </w:r>
          </w:p>
        </w:tc>
        <w:tc>
          <w:tcPr>
            <w:tcW w:w="6686" w:type="dxa"/>
            <w:noWrap w:val="0"/>
            <w:vAlign w:val="center"/>
          </w:tcPr>
          <w:p w14:paraId="144404FD">
            <w:pPr>
              <w:pStyle w:val="30"/>
              <w:bidi w:val="0"/>
              <w:rPr>
                <w:rFonts w:hint="eastAsia"/>
                <w:color w:val="auto"/>
                <w:lang w:val="en-US" w:eastAsia="zh-CN"/>
              </w:rPr>
            </w:pPr>
            <w:r>
              <w:rPr>
                <w:rFonts w:hint="eastAsia"/>
                <w:color w:val="auto"/>
                <w:lang w:val="en-US" w:eastAsia="zh-CN"/>
              </w:rPr>
              <w:t>螺旋分级机</w:t>
            </w:r>
            <w:r>
              <w:rPr>
                <w:rFonts w:hint="default"/>
                <w:color w:val="auto"/>
              </w:rPr>
              <w:t>安全操作规程</w:t>
            </w:r>
          </w:p>
        </w:tc>
        <w:tc>
          <w:tcPr>
            <w:tcW w:w="1919" w:type="dxa"/>
            <w:noWrap w:val="0"/>
            <w:vAlign w:val="center"/>
          </w:tcPr>
          <w:p w14:paraId="2B1288D6">
            <w:pPr>
              <w:pStyle w:val="30"/>
              <w:bidi w:val="0"/>
              <w:rPr>
                <w:rFonts w:hint="default"/>
                <w:color w:val="auto"/>
              </w:rPr>
            </w:pPr>
          </w:p>
        </w:tc>
      </w:tr>
      <w:tr w14:paraId="2927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98" w:type="dxa"/>
            <w:noWrap w:val="0"/>
            <w:vAlign w:val="center"/>
          </w:tcPr>
          <w:p w14:paraId="2DC43BE2">
            <w:pPr>
              <w:pStyle w:val="30"/>
              <w:bidi w:val="0"/>
              <w:rPr>
                <w:rFonts w:hint="default"/>
                <w:color w:val="auto"/>
                <w:lang w:val="en-US" w:eastAsia="zh-CN"/>
              </w:rPr>
            </w:pPr>
            <w:r>
              <w:rPr>
                <w:rFonts w:hint="eastAsia"/>
                <w:color w:val="auto"/>
                <w:lang w:val="en-US" w:eastAsia="zh-CN"/>
              </w:rPr>
              <w:t>9</w:t>
            </w:r>
          </w:p>
        </w:tc>
        <w:tc>
          <w:tcPr>
            <w:tcW w:w="6686" w:type="dxa"/>
            <w:noWrap w:val="0"/>
            <w:vAlign w:val="center"/>
          </w:tcPr>
          <w:p w14:paraId="13ABC98A">
            <w:pPr>
              <w:pStyle w:val="30"/>
              <w:bidi w:val="0"/>
              <w:rPr>
                <w:rFonts w:hint="default"/>
                <w:color w:val="auto"/>
              </w:rPr>
            </w:pPr>
            <w:r>
              <w:rPr>
                <w:rFonts w:hint="default"/>
                <w:color w:val="auto"/>
              </w:rPr>
              <w:t>水泵安全操作规程</w:t>
            </w:r>
          </w:p>
        </w:tc>
        <w:tc>
          <w:tcPr>
            <w:tcW w:w="1919" w:type="dxa"/>
            <w:noWrap w:val="0"/>
            <w:vAlign w:val="center"/>
          </w:tcPr>
          <w:p w14:paraId="6C700959">
            <w:pPr>
              <w:pStyle w:val="30"/>
              <w:bidi w:val="0"/>
              <w:rPr>
                <w:rFonts w:hint="default"/>
                <w:color w:val="auto"/>
              </w:rPr>
            </w:pPr>
          </w:p>
        </w:tc>
      </w:tr>
      <w:tr w14:paraId="03C3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98" w:type="dxa"/>
            <w:noWrap w:val="0"/>
            <w:vAlign w:val="center"/>
          </w:tcPr>
          <w:p w14:paraId="6970B6B3">
            <w:pPr>
              <w:pStyle w:val="30"/>
              <w:bidi w:val="0"/>
              <w:rPr>
                <w:rFonts w:hint="default"/>
                <w:color w:val="auto"/>
                <w:lang w:val="en-US" w:eastAsia="zh-CN"/>
              </w:rPr>
            </w:pPr>
            <w:r>
              <w:rPr>
                <w:rFonts w:hint="eastAsia"/>
                <w:color w:val="auto"/>
                <w:lang w:val="en-US" w:eastAsia="zh-CN"/>
              </w:rPr>
              <w:t>10</w:t>
            </w:r>
          </w:p>
        </w:tc>
        <w:tc>
          <w:tcPr>
            <w:tcW w:w="6686" w:type="dxa"/>
            <w:noWrap w:val="0"/>
            <w:vAlign w:val="center"/>
          </w:tcPr>
          <w:p w14:paraId="095D17CB">
            <w:pPr>
              <w:pStyle w:val="30"/>
              <w:bidi w:val="0"/>
              <w:rPr>
                <w:rFonts w:hint="default"/>
                <w:color w:val="auto"/>
              </w:rPr>
            </w:pPr>
            <w:r>
              <w:rPr>
                <w:rFonts w:hint="default"/>
                <w:color w:val="auto"/>
              </w:rPr>
              <w:t>电气安全操作规程</w:t>
            </w:r>
          </w:p>
        </w:tc>
        <w:tc>
          <w:tcPr>
            <w:tcW w:w="1919" w:type="dxa"/>
            <w:noWrap w:val="0"/>
            <w:vAlign w:val="center"/>
          </w:tcPr>
          <w:p w14:paraId="2CECB5EF">
            <w:pPr>
              <w:pStyle w:val="30"/>
              <w:bidi w:val="0"/>
              <w:rPr>
                <w:rFonts w:hint="default"/>
                <w:color w:val="auto"/>
              </w:rPr>
            </w:pPr>
          </w:p>
        </w:tc>
      </w:tr>
      <w:tr w14:paraId="1BEE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98" w:type="dxa"/>
            <w:noWrap w:val="0"/>
            <w:vAlign w:val="center"/>
          </w:tcPr>
          <w:p w14:paraId="4B297AF0">
            <w:pPr>
              <w:pStyle w:val="30"/>
              <w:bidi w:val="0"/>
              <w:rPr>
                <w:rFonts w:hint="default"/>
                <w:color w:val="auto"/>
                <w:lang w:val="en-US" w:eastAsia="zh-CN"/>
              </w:rPr>
            </w:pPr>
            <w:r>
              <w:rPr>
                <w:rFonts w:hint="eastAsia"/>
                <w:color w:val="auto"/>
                <w:lang w:val="en-US" w:eastAsia="zh-CN"/>
              </w:rPr>
              <w:t>11</w:t>
            </w:r>
          </w:p>
        </w:tc>
        <w:tc>
          <w:tcPr>
            <w:tcW w:w="6686" w:type="dxa"/>
            <w:noWrap w:val="0"/>
            <w:vAlign w:val="center"/>
          </w:tcPr>
          <w:p w14:paraId="7EA71421">
            <w:pPr>
              <w:pStyle w:val="30"/>
              <w:bidi w:val="0"/>
              <w:rPr>
                <w:rFonts w:hint="default"/>
                <w:color w:val="auto"/>
              </w:rPr>
            </w:pPr>
            <w:r>
              <w:rPr>
                <w:rFonts w:hint="default"/>
                <w:color w:val="auto"/>
              </w:rPr>
              <w:t>电工安全操作规程</w:t>
            </w:r>
          </w:p>
        </w:tc>
        <w:tc>
          <w:tcPr>
            <w:tcW w:w="1919" w:type="dxa"/>
            <w:noWrap w:val="0"/>
            <w:vAlign w:val="center"/>
          </w:tcPr>
          <w:p w14:paraId="27C6535D">
            <w:pPr>
              <w:pStyle w:val="30"/>
              <w:bidi w:val="0"/>
              <w:rPr>
                <w:rFonts w:hint="default"/>
                <w:color w:val="auto"/>
              </w:rPr>
            </w:pPr>
          </w:p>
        </w:tc>
      </w:tr>
      <w:tr w14:paraId="522F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98" w:type="dxa"/>
            <w:noWrap w:val="0"/>
            <w:vAlign w:val="center"/>
          </w:tcPr>
          <w:p w14:paraId="7B904E27">
            <w:pPr>
              <w:pStyle w:val="30"/>
              <w:bidi w:val="0"/>
              <w:rPr>
                <w:rFonts w:hint="default"/>
                <w:color w:val="auto"/>
                <w:lang w:val="en-US" w:eastAsia="zh-CN"/>
              </w:rPr>
            </w:pPr>
            <w:r>
              <w:rPr>
                <w:rFonts w:hint="eastAsia"/>
                <w:color w:val="auto"/>
                <w:lang w:val="en-US" w:eastAsia="zh-CN"/>
              </w:rPr>
              <w:t>12</w:t>
            </w:r>
          </w:p>
        </w:tc>
        <w:tc>
          <w:tcPr>
            <w:tcW w:w="6686" w:type="dxa"/>
            <w:noWrap w:val="0"/>
            <w:vAlign w:val="center"/>
          </w:tcPr>
          <w:p w14:paraId="3E1A09D4">
            <w:pPr>
              <w:pStyle w:val="30"/>
              <w:bidi w:val="0"/>
              <w:rPr>
                <w:rFonts w:hint="eastAsia"/>
                <w:color w:val="auto"/>
                <w:lang w:val="en-US" w:eastAsia="zh-CN"/>
              </w:rPr>
            </w:pPr>
            <w:r>
              <w:rPr>
                <w:rFonts w:hint="eastAsia"/>
                <w:color w:val="auto"/>
                <w:lang w:val="en-US" w:eastAsia="zh-CN"/>
              </w:rPr>
              <w:t>装载机</w:t>
            </w:r>
            <w:r>
              <w:rPr>
                <w:rFonts w:hint="default"/>
                <w:color w:val="auto"/>
              </w:rPr>
              <w:t>安全操作规程</w:t>
            </w:r>
          </w:p>
        </w:tc>
        <w:tc>
          <w:tcPr>
            <w:tcW w:w="1919" w:type="dxa"/>
            <w:noWrap w:val="0"/>
            <w:vAlign w:val="center"/>
          </w:tcPr>
          <w:p w14:paraId="2A894DB7">
            <w:pPr>
              <w:pStyle w:val="30"/>
              <w:bidi w:val="0"/>
              <w:rPr>
                <w:rFonts w:hint="default"/>
                <w:color w:val="auto"/>
              </w:rPr>
            </w:pPr>
          </w:p>
        </w:tc>
      </w:tr>
    </w:tbl>
    <w:p w14:paraId="33BA2CEC">
      <w:pPr>
        <w:pStyle w:val="4"/>
        <w:bidi w:val="0"/>
        <w:rPr>
          <w:rFonts w:hint="eastAsia"/>
          <w:color w:val="auto"/>
        </w:rPr>
      </w:pPr>
      <w:bookmarkStart w:id="59" w:name="_Toc10323"/>
      <w:r>
        <w:rPr>
          <w:rFonts w:hint="eastAsia"/>
          <w:color w:val="auto"/>
          <w:lang w:val="en-US" w:eastAsia="zh-CN"/>
        </w:rPr>
        <w:t xml:space="preserve">2.16.4 </w:t>
      </w:r>
      <w:r>
        <w:rPr>
          <w:rFonts w:hint="eastAsia"/>
          <w:color w:val="auto"/>
        </w:rPr>
        <w:t>安全管理档案</w:t>
      </w:r>
      <w:bookmarkEnd w:id="59"/>
    </w:p>
    <w:p w14:paraId="11001404">
      <w:pPr>
        <w:bidi w:val="0"/>
        <w:rPr>
          <w:rFonts w:hint="eastAsia"/>
          <w:color w:val="auto"/>
        </w:rPr>
      </w:pPr>
      <w:r>
        <w:rPr>
          <w:rFonts w:hint="eastAsia"/>
          <w:color w:val="auto"/>
        </w:rPr>
        <w:t>现场检查选厂建立了以下安全生产台帐：</w:t>
      </w:r>
    </w:p>
    <w:p w14:paraId="4D95F803">
      <w:pPr>
        <w:bidi w:val="0"/>
        <w:rPr>
          <w:rFonts w:hint="eastAsia"/>
          <w:color w:val="auto"/>
        </w:rPr>
      </w:pPr>
      <w:r>
        <w:rPr>
          <w:rFonts w:hint="eastAsia"/>
          <w:color w:val="auto"/>
        </w:rPr>
        <w:t>1、安全教育台账</w:t>
      </w:r>
    </w:p>
    <w:p w14:paraId="3A278ADB">
      <w:pPr>
        <w:bidi w:val="0"/>
        <w:rPr>
          <w:rFonts w:hint="eastAsia"/>
          <w:color w:val="auto"/>
        </w:rPr>
      </w:pPr>
      <w:r>
        <w:rPr>
          <w:rFonts w:hint="eastAsia"/>
          <w:color w:val="auto"/>
        </w:rPr>
        <w:t>2、安全检查记录台账</w:t>
      </w:r>
    </w:p>
    <w:p w14:paraId="74EF5B73">
      <w:pPr>
        <w:bidi w:val="0"/>
        <w:rPr>
          <w:rFonts w:hint="eastAsia"/>
          <w:color w:val="auto"/>
        </w:rPr>
      </w:pPr>
      <w:r>
        <w:rPr>
          <w:rFonts w:hint="eastAsia"/>
          <w:color w:val="auto"/>
        </w:rPr>
        <w:t>3、安全组织台账</w:t>
      </w:r>
    </w:p>
    <w:p w14:paraId="701D2BE0">
      <w:pPr>
        <w:bidi w:val="0"/>
        <w:rPr>
          <w:rFonts w:hint="eastAsia"/>
          <w:color w:val="auto"/>
        </w:rPr>
      </w:pPr>
      <w:r>
        <w:rPr>
          <w:rFonts w:hint="eastAsia"/>
          <w:color w:val="auto"/>
        </w:rPr>
        <w:t>4、安全会议台账</w:t>
      </w:r>
    </w:p>
    <w:p w14:paraId="5BE9C7CE">
      <w:pPr>
        <w:bidi w:val="0"/>
        <w:rPr>
          <w:rFonts w:hint="eastAsia"/>
          <w:color w:val="auto"/>
        </w:rPr>
      </w:pPr>
      <w:r>
        <w:rPr>
          <w:rFonts w:hint="eastAsia"/>
          <w:color w:val="auto"/>
        </w:rPr>
        <w:t>5、隐患治理台账</w:t>
      </w:r>
    </w:p>
    <w:p w14:paraId="55097C86">
      <w:pPr>
        <w:bidi w:val="0"/>
        <w:rPr>
          <w:rFonts w:hint="eastAsia"/>
          <w:color w:val="auto"/>
        </w:rPr>
      </w:pPr>
      <w:r>
        <w:rPr>
          <w:rFonts w:hint="eastAsia"/>
          <w:color w:val="auto"/>
        </w:rPr>
        <w:t>6、事故台账</w:t>
      </w:r>
    </w:p>
    <w:p w14:paraId="4CAFBAE6">
      <w:pPr>
        <w:bidi w:val="0"/>
        <w:rPr>
          <w:rFonts w:hint="eastAsia"/>
          <w:color w:val="auto"/>
        </w:rPr>
      </w:pPr>
      <w:r>
        <w:rPr>
          <w:rFonts w:hint="eastAsia"/>
          <w:color w:val="auto"/>
        </w:rPr>
        <w:t>7、设备台账</w:t>
      </w:r>
    </w:p>
    <w:p w14:paraId="0C0CDD8A">
      <w:pPr>
        <w:bidi w:val="0"/>
        <w:rPr>
          <w:rFonts w:hint="eastAsia"/>
          <w:color w:val="auto"/>
        </w:rPr>
      </w:pPr>
      <w:r>
        <w:rPr>
          <w:rFonts w:hint="eastAsia"/>
          <w:color w:val="auto"/>
        </w:rPr>
        <w:t>8、劳保用品发放台账</w:t>
      </w:r>
    </w:p>
    <w:p w14:paraId="07D841F9">
      <w:pPr>
        <w:bidi w:val="0"/>
        <w:rPr>
          <w:rFonts w:hint="eastAsia"/>
          <w:color w:val="auto"/>
        </w:rPr>
      </w:pPr>
      <w:r>
        <w:rPr>
          <w:rFonts w:hint="eastAsia"/>
          <w:color w:val="auto"/>
        </w:rPr>
        <w:t>9、安全工作考核和奖惩台账</w:t>
      </w:r>
    </w:p>
    <w:p w14:paraId="640EBD96">
      <w:pPr>
        <w:bidi w:val="0"/>
        <w:rPr>
          <w:rFonts w:hint="eastAsia"/>
          <w:color w:val="auto"/>
        </w:rPr>
      </w:pPr>
      <w:r>
        <w:rPr>
          <w:rFonts w:hint="eastAsia"/>
          <w:color w:val="auto"/>
        </w:rPr>
        <w:t>10、职业健康台账</w:t>
      </w:r>
    </w:p>
    <w:p w14:paraId="6991EF12">
      <w:pPr>
        <w:bidi w:val="0"/>
        <w:rPr>
          <w:rFonts w:hint="eastAsia"/>
          <w:color w:val="auto"/>
        </w:rPr>
      </w:pPr>
      <w:r>
        <w:rPr>
          <w:rFonts w:hint="eastAsia"/>
          <w:color w:val="auto"/>
        </w:rPr>
        <w:t>11、安全费用投入台账</w:t>
      </w:r>
    </w:p>
    <w:p w14:paraId="7662FBA4">
      <w:pPr>
        <w:bidi w:val="0"/>
        <w:rPr>
          <w:rFonts w:hint="eastAsia"/>
          <w:color w:val="auto"/>
        </w:rPr>
      </w:pPr>
      <w:r>
        <w:rPr>
          <w:rFonts w:hint="eastAsia"/>
          <w:color w:val="auto"/>
        </w:rPr>
        <w:t>12、车辆管理台帐</w:t>
      </w:r>
    </w:p>
    <w:p w14:paraId="2F6C72AB">
      <w:pPr>
        <w:bidi w:val="0"/>
        <w:rPr>
          <w:rFonts w:hint="eastAsia"/>
          <w:color w:val="auto"/>
        </w:rPr>
      </w:pPr>
      <w:r>
        <w:rPr>
          <w:rFonts w:hint="eastAsia"/>
          <w:color w:val="auto"/>
        </w:rPr>
        <w:t>13、重大环境因素台帐</w:t>
      </w:r>
    </w:p>
    <w:p w14:paraId="121C2604">
      <w:pPr>
        <w:bidi w:val="0"/>
        <w:rPr>
          <w:color w:val="auto"/>
        </w:rPr>
      </w:pPr>
      <w:r>
        <w:rPr>
          <w:rFonts w:hint="eastAsia"/>
          <w:color w:val="auto"/>
        </w:rPr>
        <w:t>企业应按照《选矿安全规程》（GB/T 18152-2000）规定的安全管理台帐建立健全本厂安全管理台帐，并做好相关记录内容。</w:t>
      </w:r>
    </w:p>
    <w:p w14:paraId="5AD15513">
      <w:pPr>
        <w:pStyle w:val="4"/>
        <w:bidi w:val="0"/>
        <w:rPr>
          <w:rFonts w:hint="eastAsia"/>
          <w:color w:val="auto"/>
        </w:rPr>
      </w:pPr>
      <w:bookmarkStart w:id="60" w:name="_Toc18877"/>
      <w:r>
        <w:rPr>
          <w:rFonts w:hint="eastAsia"/>
          <w:color w:val="auto"/>
          <w:lang w:eastAsia="zh-CN"/>
        </w:rPr>
        <w:t>2.16.</w:t>
      </w:r>
      <w:r>
        <w:rPr>
          <w:rFonts w:hint="eastAsia"/>
          <w:color w:val="auto"/>
        </w:rPr>
        <w:t>5应急管理</w:t>
      </w:r>
      <w:bookmarkEnd w:id="60"/>
    </w:p>
    <w:p w14:paraId="6BC4566F">
      <w:pPr>
        <w:bidi w:val="0"/>
        <w:rPr>
          <w:rFonts w:hint="eastAsia"/>
          <w:color w:val="auto"/>
        </w:rPr>
      </w:pPr>
      <w:r>
        <w:rPr>
          <w:rFonts w:hint="eastAsia"/>
          <w:color w:val="auto"/>
        </w:rPr>
        <w:t>企业202</w:t>
      </w:r>
      <w:r>
        <w:rPr>
          <w:rFonts w:hint="eastAsia"/>
          <w:color w:val="auto"/>
          <w:lang w:val="en-US" w:eastAsia="zh-CN"/>
        </w:rPr>
        <w:t>4</w:t>
      </w:r>
      <w:r>
        <w:rPr>
          <w:rFonts w:hint="eastAsia"/>
          <w:color w:val="auto"/>
        </w:rPr>
        <w:t>年1</w:t>
      </w:r>
      <w:r>
        <w:rPr>
          <w:rFonts w:hint="eastAsia"/>
          <w:color w:val="auto"/>
          <w:lang w:val="en-US" w:eastAsia="zh-CN"/>
        </w:rPr>
        <w:t>2</w:t>
      </w:r>
      <w:r>
        <w:rPr>
          <w:rFonts w:hint="eastAsia"/>
          <w:color w:val="auto"/>
        </w:rPr>
        <w:t>月发布了《武定发荣矿业有限责任公司猫街大炉箐繁茂采选厂生产安全事故应急预案》并到武定县应急管理局备案，备案编号为</w:t>
      </w:r>
      <w:r>
        <w:rPr>
          <w:rFonts w:hint="eastAsia"/>
          <w:color w:val="auto"/>
          <w:lang w:val="en-US" w:eastAsia="zh-CN"/>
        </w:rPr>
        <w:t>532329-2024-FM016</w:t>
      </w:r>
      <w:r>
        <w:rPr>
          <w:rFonts w:hint="eastAsia"/>
          <w:color w:val="auto"/>
        </w:rPr>
        <w:t>。选厂配备了应急救援物资，建议选厂定期检查、维护。</w:t>
      </w:r>
    </w:p>
    <w:p w14:paraId="446AC274">
      <w:pPr>
        <w:pStyle w:val="4"/>
        <w:bidi w:val="0"/>
        <w:rPr>
          <w:rFonts w:hint="eastAsia"/>
          <w:color w:val="auto"/>
        </w:rPr>
      </w:pPr>
      <w:bookmarkStart w:id="61" w:name="_Toc12112"/>
      <w:r>
        <w:rPr>
          <w:rFonts w:hint="eastAsia"/>
          <w:color w:val="auto"/>
          <w:lang w:eastAsia="zh-CN"/>
        </w:rPr>
        <w:t>2.16.</w:t>
      </w:r>
      <w:r>
        <w:rPr>
          <w:rFonts w:hint="eastAsia"/>
          <w:color w:val="auto"/>
        </w:rPr>
        <w:t>6保险</w:t>
      </w:r>
      <w:bookmarkEnd w:id="61"/>
    </w:p>
    <w:p w14:paraId="2B5E1F0D">
      <w:pPr>
        <w:bidi w:val="0"/>
        <w:rPr>
          <w:rFonts w:hint="default"/>
          <w:color w:val="auto"/>
          <w:lang w:val="en-US"/>
        </w:rPr>
      </w:pPr>
      <w:r>
        <w:rPr>
          <w:rFonts w:hint="eastAsia"/>
          <w:color w:val="auto"/>
          <w:lang w:val="en-US" w:eastAsia="zh-CN"/>
        </w:rPr>
        <w:t>企业</w:t>
      </w:r>
      <w:r>
        <w:rPr>
          <w:rFonts w:hint="eastAsia"/>
          <w:color w:val="auto"/>
        </w:rPr>
        <w:t>已购买安全生产责任险（详见附件）</w:t>
      </w:r>
      <w:r>
        <w:rPr>
          <w:rFonts w:hint="eastAsia"/>
          <w:color w:val="auto"/>
          <w:lang w:eastAsia="zh-CN"/>
        </w:rPr>
        <w:t>，</w:t>
      </w:r>
      <w:r>
        <w:rPr>
          <w:rFonts w:hint="eastAsia"/>
          <w:color w:val="auto"/>
          <w:lang w:val="en-US" w:eastAsia="zh-CN"/>
        </w:rPr>
        <w:t>未购买工伤保险。</w:t>
      </w:r>
    </w:p>
    <w:p w14:paraId="5E3F3B68">
      <w:pPr>
        <w:pStyle w:val="4"/>
        <w:bidi w:val="0"/>
        <w:rPr>
          <w:rFonts w:hint="eastAsia"/>
          <w:color w:val="auto"/>
        </w:rPr>
      </w:pPr>
      <w:bookmarkStart w:id="62" w:name="_Toc13523"/>
      <w:r>
        <w:rPr>
          <w:rFonts w:hint="eastAsia"/>
          <w:color w:val="auto"/>
          <w:lang w:eastAsia="zh-CN"/>
        </w:rPr>
        <w:t>2.16.</w:t>
      </w:r>
      <w:r>
        <w:rPr>
          <w:rFonts w:hint="eastAsia"/>
          <w:color w:val="auto"/>
        </w:rPr>
        <w:t>7劳保用品</w:t>
      </w:r>
      <w:bookmarkEnd w:id="62"/>
    </w:p>
    <w:p w14:paraId="27D4401B">
      <w:pPr>
        <w:bidi w:val="0"/>
        <w:rPr>
          <w:rFonts w:hint="eastAsia"/>
          <w:color w:val="auto"/>
        </w:rPr>
      </w:pPr>
      <w:r>
        <w:rPr>
          <w:rFonts w:hint="eastAsia"/>
          <w:color w:val="auto"/>
        </w:rPr>
        <w:t>选厂已为员工购买劳动防护用品（劳保服、劳保鞋、安全帽、手套、防尘口罩、耳塞等），并有劳动防护物品发放记录。</w:t>
      </w:r>
    </w:p>
    <w:p w14:paraId="0E035712">
      <w:pPr>
        <w:pStyle w:val="3"/>
        <w:bidi w:val="0"/>
        <w:rPr>
          <w:rFonts w:hint="eastAsia"/>
          <w:color w:val="auto"/>
        </w:rPr>
      </w:pPr>
      <w:bookmarkStart w:id="63" w:name="_Toc1668"/>
      <w:r>
        <w:rPr>
          <w:rFonts w:hint="eastAsia"/>
          <w:color w:val="auto"/>
        </w:rPr>
        <w:t>2.1</w:t>
      </w:r>
      <w:r>
        <w:rPr>
          <w:rFonts w:hint="eastAsia"/>
          <w:color w:val="auto"/>
          <w:lang w:val="en-US" w:eastAsia="zh-CN"/>
        </w:rPr>
        <w:t xml:space="preserve">7 </w:t>
      </w:r>
      <w:r>
        <w:rPr>
          <w:rFonts w:hint="eastAsia"/>
          <w:color w:val="auto"/>
        </w:rPr>
        <w:t>安全设施投入</w:t>
      </w:r>
      <w:bookmarkEnd w:id="63"/>
    </w:p>
    <w:p w14:paraId="1A88AA84">
      <w:pPr>
        <w:bidi w:val="0"/>
        <w:rPr>
          <w:rFonts w:hint="eastAsia"/>
          <w:color w:val="auto"/>
        </w:rPr>
      </w:pPr>
      <w:r>
        <w:rPr>
          <w:rFonts w:hint="eastAsia"/>
          <w:color w:val="auto"/>
          <w:lang w:val="en-US" w:eastAsia="zh-CN"/>
        </w:rPr>
        <w:t>本项目</w:t>
      </w:r>
      <w:r>
        <w:rPr>
          <w:rFonts w:hint="eastAsia"/>
          <w:color w:val="auto"/>
        </w:rPr>
        <w:t>安全设施投资318.74万元，主要用于以下内容：</w:t>
      </w:r>
    </w:p>
    <w:p w14:paraId="0680A57E">
      <w:pPr>
        <w:bidi w:val="0"/>
        <w:rPr>
          <w:rFonts w:hint="eastAsia"/>
          <w:color w:val="auto"/>
        </w:rPr>
      </w:pPr>
      <w:r>
        <w:rPr>
          <w:rFonts w:hint="eastAsia"/>
          <w:color w:val="auto"/>
        </w:rPr>
        <w:t>（1）安全技术措施工程建设；</w:t>
      </w:r>
    </w:p>
    <w:p w14:paraId="0B8C6F3D">
      <w:pPr>
        <w:bidi w:val="0"/>
        <w:rPr>
          <w:rFonts w:hint="eastAsia"/>
          <w:color w:val="auto"/>
        </w:rPr>
      </w:pPr>
      <w:r>
        <w:rPr>
          <w:rFonts w:hint="eastAsia"/>
          <w:color w:val="auto"/>
        </w:rPr>
        <w:t>（2）安全设备、设施的更新、改造和维护；</w:t>
      </w:r>
    </w:p>
    <w:p w14:paraId="322C8A77">
      <w:pPr>
        <w:bidi w:val="0"/>
        <w:rPr>
          <w:rFonts w:hint="eastAsia"/>
          <w:color w:val="auto"/>
        </w:rPr>
      </w:pPr>
      <w:r>
        <w:rPr>
          <w:rFonts w:hint="eastAsia"/>
          <w:color w:val="auto"/>
        </w:rPr>
        <w:t>（3）安全生产宣传、教育和培训；</w:t>
      </w:r>
    </w:p>
    <w:p w14:paraId="1F0B4804">
      <w:pPr>
        <w:bidi w:val="0"/>
        <w:rPr>
          <w:rFonts w:hint="eastAsia"/>
          <w:color w:val="auto"/>
        </w:rPr>
      </w:pPr>
      <w:r>
        <w:rPr>
          <w:rFonts w:hint="eastAsia"/>
          <w:color w:val="auto"/>
        </w:rPr>
        <w:t>（4）劳动防护用品配备、救生用品和特殊生活用品；</w:t>
      </w:r>
    </w:p>
    <w:p w14:paraId="6C58FF30">
      <w:pPr>
        <w:bidi w:val="0"/>
        <w:rPr>
          <w:rFonts w:hint="eastAsia"/>
          <w:color w:val="auto"/>
        </w:rPr>
      </w:pPr>
      <w:r>
        <w:rPr>
          <w:rFonts w:hint="eastAsia"/>
          <w:color w:val="auto"/>
        </w:rPr>
        <w:t>（5）安全生产检查与评价支出；</w:t>
      </w:r>
      <w:r>
        <w:rPr>
          <w:rFonts w:hint="eastAsia"/>
          <w:color w:val="auto"/>
        </w:rPr>
        <w:tab/>
      </w:r>
    </w:p>
    <w:p w14:paraId="068DA003">
      <w:pPr>
        <w:bidi w:val="0"/>
        <w:rPr>
          <w:rFonts w:hint="eastAsia"/>
          <w:color w:val="auto"/>
        </w:rPr>
      </w:pPr>
      <w:r>
        <w:rPr>
          <w:rFonts w:hint="eastAsia"/>
          <w:color w:val="auto"/>
        </w:rPr>
        <w:t>（6）配备必要的应急救援器材、设备和现场作业人员安全防护物品；</w:t>
      </w:r>
    </w:p>
    <w:p w14:paraId="422FBEA8">
      <w:pPr>
        <w:bidi w:val="0"/>
        <w:rPr>
          <w:rFonts w:hint="eastAsia"/>
          <w:color w:val="auto"/>
        </w:rPr>
      </w:pPr>
      <w:r>
        <w:rPr>
          <w:rFonts w:hint="eastAsia"/>
          <w:color w:val="auto"/>
        </w:rPr>
        <w:t>（7）完善、改造和维护安全防护设备、设施支出，主要是指：监测监控系统、防火、灭火、防暴、泄压、防潮、防静电、防腐或者隔离操作等设施设备；</w:t>
      </w:r>
    </w:p>
    <w:p w14:paraId="0E66EA20">
      <w:pPr>
        <w:bidi w:val="0"/>
        <w:rPr>
          <w:rFonts w:hint="eastAsia"/>
          <w:color w:val="auto"/>
        </w:rPr>
      </w:pPr>
      <w:r>
        <w:rPr>
          <w:rFonts w:hint="eastAsia"/>
          <w:color w:val="auto"/>
        </w:rPr>
        <w:t>（8）重大危险源、重大事故隐患的评估、整改、监控支出；</w:t>
      </w:r>
    </w:p>
    <w:p w14:paraId="5702BA42">
      <w:pPr>
        <w:bidi w:val="0"/>
        <w:rPr>
          <w:rFonts w:hint="eastAsia"/>
          <w:color w:val="auto"/>
        </w:rPr>
      </w:pPr>
      <w:r>
        <w:rPr>
          <w:rFonts w:hint="eastAsia"/>
          <w:color w:val="auto"/>
        </w:rPr>
        <w:t>（9）进行应急救援演练支出；</w:t>
      </w:r>
    </w:p>
    <w:p w14:paraId="625C344B">
      <w:pPr>
        <w:bidi w:val="0"/>
        <w:rPr>
          <w:rFonts w:hint="eastAsia"/>
          <w:color w:val="auto"/>
        </w:rPr>
      </w:pPr>
      <w:r>
        <w:rPr>
          <w:rFonts w:hint="eastAsia"/>
          <w:color w:val="auto"/>
        </w:rPr>
        <w:t>（10）其他与安全生产直接相关的支出。</w:t>
      </w:r>
    </w:p>
    <w:p w14:paraId="503F1F77">
      <w:pPr>
        <w:pStyle w:val="29"/>
        <w:bidi w:val="0"/>
        <w:rPr>
          <w:rFonts w:hint="eastAsia"/>
        </w:rPr>
      </w:pPr>
      <w:r>
        <w:rPr>
          <w:rFonts w:hint="eastAsia"/>
        </w:rPr>
        <w:t>表</w:t>
      </w:r>
      <w:r>
        <w:rPr>
          <w:rFonts w:hint="eastAsia"/>
          <w:lang w:val="en-US" w:eastAsia="zh-CN"/>
        </w:rPr>
        <w:t>2.7</w:t>
      </w:r>
      <w:r>
        <w:rPr>
          <w:rFonts w:hint="eastAsia"/>
        </w:rPr>
        <w:t xml:space="preserve">-1 </w:t>
      </w:r>
      <w:r>
        <w:rPr>
          <w:rFonts w:hint="eastAsia"/>
          <w:lang w:val="en-US" w:eastAsia="zh-CN"/>
        </w:rPr>
        <w:t xml:space="preserve"> </w:t>
      </w:r>
      <w:r>
        <w:rPr>
          <w:rFonts w:hint="eastAsia"/>
        </w:rPr>
        <w:t>安全设施投资情况表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3074"/>
        <w:gridCol w:w="2251"/>
        <w:gridCol w:w="2723"/>
      </w:tblGrid>
      <w:tr w14:paraId="0431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vAlign w:val="center"/>
          </w:tcPr>
          <w:p w14:paraId="7AEA216A">
            <w:pPr>
              <w:pStyle w:val="30"/>
              <w:bidi w:val="0"/>
              <w:rPr>
                <w:b/>
                <w:bCs/>
              </w:rPr>
            </w:pPr>
            <w:r>
              <w:rPr>
                <w:b/>
                <w:bCs/>
              </w:rPr>
              <w:t>序号</w:t>
            </w:r>
          </w:p>
        </w:tc>
        <w:tc>
          <w:tcPr>
            <w:tcW w:w="3074" w:type="dxa"/>
            <w:vAlign w:val="center"/>
          </w:tcPr>
          <w:p w14:paraId="0310CEC8">
            <w:pPr>
              <w:pStyle w:val="30"/>
              <w:bidi w:val="0"/>
              <w:rPr>
                <w:b/>
                <w:bCs/>
              </w:rPr>
            </w:pPr>
            <w:r>
              <w:rPr>
                <w:b/>
                <w:bCs/>
              </w:rPr>
              <w:t>项目名称</w:t>
            </w:r>
          </w:p>
        </w:tc>
        <w:tc>
          <w:tcPr>
            <w:tcW w:w="2251" w:type="dxa"/>
            <w:vAlign w:val="center"/>
          </w:tcPr>
          <w:p w14:paraId="36D97818">
            <w:pPr>
              <w:pStyle w:val="30"/>
              <w:bidi w:val="0"/>
              <w:rPr>
                <w:b/>
                <w:bCs/>
              </w:rPr>
            </w:pPr>
            <w:r>
              <w:rPr>
                <w:b/>
                <w:bCs/>
              </w:rPr>
              <w:t>金额（万元）</w:t>
            </w:r>
          </w:p>
        </w:tc>
        <w:tc>
          <w:tcPr>
            <w:tcW w:w="2723" w:type="dxa"/>
            <w:vAlign w:val="center"/>
          </w:tcPr>
          <w:p w14:paraId="4FE0F55B">
            <w:pPr>
              <w:pStyle w:val="30"/>
              <w:bidi w:val="0"/>
              <w:rPr>
                <w:b/>
                <w:bCs/>
              </w:rPr>
            </w:pPr>
            <w:r>
              <w:rPr>
                <w:b/>
                <w:bCs/>
              </w:rPr>
              <w:t>占安全投资比例(%)</w:t>
            </w:r>
          </w:p>
        </w:tc>
      </w:tr>
      <w:tr w14:paraId="045E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vAlign w:val="center"/>
          </w:tcPr>
          <w:p w14:paraId="799DD363">
            <w:pPr>
              <w:pStyle w:val="30"/>
              <w:bidi w:val="0"/>
            </w:pPr>
            <w:r>
              <w:t>1</w:t>
            </w:r>
          </w:p>
        </w:tc>
        <w:tc>
          <w:tcPr>
            <w:tcW w:w="3074" w:type="dxa"/>
            <w:vAlign w:val="center"/>
          </w:tcPr>
          <w:p w14:paraId="36C37B72">
            <w:pPr>
              <w:pStyle w:val="30"/>
              <w:bidi w:val="0"/>
            </w:pPr>
            <w:r>
              <w:t>工艺、土建安全设施投资</w:t>
            </w:r>
          </w:p>
        </w:tc>
        <w:tc>
          <w:tcPr>
            <w:tcW w:w="2251" w:type="dxa"/>
            <w:vAlign w:val="center"/>
          </w:tcPr>
          <w:p w14:paraId="04638F45">
            <w:pPr>
              <w:pStyle w:val="30"/>
              <w:bidi w:val="0"/>
            </w:pPr>
            <w:r>
              <w:t>20</w:t>
            </w:r>
            <w:r>
              <w:rPr>
                <w:rFonts w:hint="eastAsia"/>
                <w:lang w:val="en-US" w:eastAsia="zh-CN"/>
              </w:rPr>
              <w:t>8</w:t>
            </w:r>
            <w:r>
              <w:t>.24</w:t>
            </w:r>
          </w:p>
        </w:tc>
        <w:tc>
          <w:tcPr>
            <w:tcW w:w="2723" w:type="dxa"/>
            <w:vAlign w:val="center"/>
          </w:tcPr>
          <w:p w14:paraId="7A7C0F26">
            <w:pPr>
              <w:pStyle w:val="30"/>
              <w:bidi w:val="0"/>
              <w:rPr>
                <w:rFonts w:hint="default" w:eastAsia="宋体"/>
                <w:lang w:val="en-US" w:eastAsia="zh-CN"/>
              </w:rPr>
            </w:pPr>
            <w:r>
              <w:t>65.</w:t>
            </w:r>
            <w:r>
              <w:rPr>
                <w:rFonts w:hint="eastAsia"/>
                <w:lang w:val="en-US" w:eastAsia="zh-CN"/>
              </w:rPr>
              <w:t>34</w:t>
            </w:r>
          </w:p>
        </w:tc>
      </w:tr>
      <w:tr w14:paraId="5FD3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vAlign w:val="center"/>
          </w:tcPr>
          <w:p w14:paraId="27B67265">
            <w:pPr>
              <w:pStyle w:val="30"/>
              <w:bidi w:val="0"/>
            </w:pPr>
            <w:r>
              <w:t>2</w:t>
            </w:r>
          </w:p>
        </w:tc>
        <w:tc>
          <w:tcPr>
            <w:tcW w:w="3074" w:type="dxa"/>
            <w:vAlign w:val="center"/>
          </w:tcPr>
          <w:p w14:paraId="1D4F46D7">
            <w:pPr>
              <w:pStyle w:val="30"/>
              <w:bidi w:val="0"/>
            </w:pPr>
            <w:r>
              <w:t>防雷防静电设施费用</w:t>
            </w:r>
          </w:p>
        </w:tc>
        <w:tc>
          <w:tcPr>
            <w:tcW w:w="2251" w:type="dxa"/>
            <w:vAlign w:val="center"/>
          </w:tcPr>
          <w:p w14:paraId="055D57C9">
            <w:pPr>
              <w:pStyle w:val="30"/>
              <w:bidi w:val="0"/>
            </w:pPr>
            <w:r>
              <w:t>10</w:t>
            </w:r>
          </w:p>
        </w:tc>
        <w:tc>
          <w:tcPr>
            <w:tcW w:w="2723" w:type="dxa"/>
            <w:vAlign w:val="center"/>
          </w:tcPr>
          <w:p w14:paraId="68FD7DE7">
            <w:pPr>
              <w:pStyle w:val="30"/>
              <w:bidi w:val="0"/>
              <w:rPr>
                <w:rFonts w:hint="eastAsia" w:eastAsia="宋体"/>
                <w:lang w:val="en-US" w:eastAsia="zh-CN"/>
              </w:rPr>
            </w:pPr>
            <w:r>
              <w:t>3.1</w:t>
            </w:r>
            <w:r>
              <w:rPr>
                <w:rFonts w:hint="eastAsia"/>
                <w:lang w:val="en-US" w:eastAsia="zh-CN"/>
              </w:rPr>
              <w:t>4</w:t>
            </w:r>
          </w:p>
        </w:tc>
      </w:tr>
      <w:tr w14:paraId="3745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vAlign w:val="center"/>
          </w:tcPr>
          <w:p w14:paraId="61A3DEA4">
            <w:pPr>
              <w:pStyle w:val="30"/>
              <w:bidi w:val="0"/>
            </w:pPr>
            <w:r>
              <w:t>3</w:t>
            </w:r>
          </w:p>
        </w:tc>
        <w:tc>
          <w:tcPr>
            <w:tcW w:w="3074" w:type="dxa"/>
            <w:vAlign w:val="center"/>
          </w:tcPr>
          <w:p w14:paraId="66A1337C">
            <w:pPr>
              <w:pStyle w:val="30"/>
              <w:bidi w:val="0"/>
            </w:pPr>
            <w:r>
              <w:t>消防设施费用</w:t>
            </w:r>
          </w:p>
        </w:tc>
        <w:tc>
          <w:tcPr>
            <w:tcW w:w="2251" w:type="dxa"/>
            <w:vAlign w:val="center"/>
          </w:tcPr>
          <w:p w14:paraId="51410A31">
            <w:pPr>
              <w:pStyle w:val="30"/>
              <w:bidi w:val="0"/>
              <w:rPr>
                <w:rFonts w:hint="default" w:eastAsia="宋体"/>
                <w:lang w:val="en-US" w:eastAsia="zh-CN"/>
              </w:rPr>
            </w:pPr>
            <w:r>
              <w:t>30</w:t>
            </w:r>
            <w:r>
              <w:rPr>
                <w:rFonts w:hint="eastAsia"/>
                <w:lang w:val="en-US" w:eastAsia="zh-CN"/>
              </w:rPr>
              <w:t>.5</w:t>
            </w:r>
          </w:p>
        </w:tc>
        <w:tc>
          <w:tcPr>
            <w:tcW w:w="2723" w:type="dxa"/>
            <w:vAlign w:val="center"/>
          </w:tcPr>
          <w:p w14:paraId="4730D417">
            <w:pPr>
              <w:pStyle w:val="30"/>
              <w:bidi w:val="0"/>
              <w:rPr>
                <w:rFonts w:hint="default" w:eastAsia="宋体"/>
                <w:lang w:val="en-US" w:eastAsia="zh-CN"/>
              </w:rPr>
            </w:pPr>
            <w:r>
              <w:t>9.</w:t>
            </w:r>
            <w:r>
              <w:rPr>
                <w:rFonts w:hint="eastAsia"/>
                <w:lang w:val="en-US" w:eastAsia="zh-CN"/>
              </w:rPr>
              <w:t>57</w:t>
            </w:r>
          </w:p>
        </w:tc>
      </w:tr>
      <w:tr w14:paraId="2ECA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jc w:val="center"/>
        </w:trPr>
        <w:tc>
          <w:tcPr>
            <w:tcW w:w="955" w:type="dxa"/>
            <w:vAlign w:val="center"/>
          </w:tcPr>
          <w:p w14:paraId="786D47FB">
            <w:pPr>
              <w:pStyle w:val="30"/>
              <w:bidi w:val="0"/>
            </w:pPr>
            <w:r>
              <w:t>4</w:t>
            </w:r>
          </w:p>
        </w:tc>
        <w:tc>
          <w:tcPr>
            <w:tcW w:w="3074" w:type="dxa"/>
            <w:vAlign w:val="center"/>
          </w:tcPr>
          <w:p w14:paraId="136F5F06">
            <w:pPr>
              <w:pStyle w:val="30"/>
              <w:bidi w:val="0"/>
            </w:pPr>
            <w:r>
              <w:t>安全应急照明、电气防爆器材</w:t>
            </w:r>
          </w:p>
        </w:tc>
        <w:tc>
          <w:tcPr>
            <w:tcW w:w="2251" w:type="dxa"/>
            <w:vAlign w:val="center"/>
          </w:tcPr>
          <w:p w14:paraId="329D1FF4">
            <w:pPr>
              <w:pStyle w:val="30"/>
              <w:bidi w:val="0"/>
            </w:pPr>
            <w:r>
              <w:rPr>
                <w:rFonts w:hint="eastAsia"/>
              </w:rPr>
              <w:t>20</w:t>
            </w:r>
          </w:p>
        </w:tc>
        <w:tc>
          <w:tcPr>
            <w:tcW w:w="2723" w:type="dxa"/>
            <w:vAlign w:val="center"/>
          </w:tcPr>
          <w:p w14:paraId="50DFA503">
            <w:pPr>
              <w:pStyle w:val="30"/>
              <w:bidi w:val="0"/>
              <w:rPr>
                <w:rFonts w:hint="default" w:eastAsia="宋体"/>
                <w:lang w:val="en-US" w:eastAsia="zh-CN"/>
              </w:rPr>
            </w:pPr>
            <w:r>
              <w:t>6.</w:t>
            </w:r>
            <w:r>
              <w:rPr>
                <w:rFonts w:hint="eastAsia"/>
                <w:lang w:val="en-US" w:eastAsia="zh-CN"/>
              </w:rPr>
              <w:t>27</w:t>
            </w:r>
          </w:p>
        </w:tc>
      </w:tr>
      <w:tr w14:paraId="1F62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vAlign w:val="center"/>
          </w:tcPr>
          <w:p w14:paraId="2137D3CE">
            <w:pPr>
              <w:pStyle w:val="30"/>
              <w:bidi w:val="0"/>
            </w:pPr>
            <w:r>
              <w:t>5</w:t>
            </w:r>
          </w:p>
        </w:tc>
        <w:tc>
          <w:tcPr>
            <w:tcW w:w="3074" w:type="dxa"/>
            <w:vAlign w:val="center"/>
          </w:tcPr>
          <w:p w14:paraId="75C55016">
            <w:pPr>
              <w:pStyle w:val="30"/>
              <w:bidi w:val="0"/>
            </w:pPr>
            <w:r>
              <w:t>安全教育装备及设施费用</w:t>
            </w:r>
          </w:p>
        </w:tc>
        <w:tc>
          <w:tcPr>
            <w:tcW w:w="2251" w:type="dxa"/>
            <w:vAlign w:val="center"/>
          </w:tcPr>
          <w:p w14:paraId="2D9E5C6C">
            <w:pPr>
              <w:pStyle w:val="30"/>
              <w:bidi w:val="0"/>
            </w:pPr>
            <w:r>
              <w:rPr>
                <w:rFonts w:hint="eastAsia"/>
              </w:rPr>
              <w:t>30</w:t>
            </w:r>
          </w:p>
        </w:tc>
        <w:tc>
          <w:tcPr>
            <w:tcW w:w="2723" w:type="dxa"/>
            <w:vAlign w:val="center"/>
          </w:tcPr>
          <w:p w14:paraId="2F4C5B99">
            <w:pPr>
              <w:pStyle w:val="30"/>
              <w:bidi w:val="0"/>
              <w:rPr>
                <w:rFonts w:hint="eastAsia" w:eastAsia="宋体"/>
                <w:lang w:val="en-US" w:eastAsia="zh-CN"/>
              </w:rPr>
            </w:pPr>
            <w:r>
              <w:t>9.4</w:t>
            </w:r>
            <w:r>
              <w:rPr>
                <w:rFonts w:hint="eastAsia"/>
                <w:lang w:val="en-US" w:eastAsia="zh-CN"/>
              </w:rPr>
              <w:t>1</w:t>
            </w:r>
          </w:p>
        </w:tc>
      </w:tr>
      <w:tr w14:paraId="68BC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vAlign w:val="center"/>
          </w:tcPr>
          <w:p w14:paraId="2DF3DCF8">
            <w:pPr>
              <w:pStyle w:val="30"/>
              <w:bidi w:val="0"/>
            </w:pPr>
            <w:r>
              <w:t>6</w:t>
            </w:r>
          </w:p>
        </w:tc>
        <w:tc>
          <w:tcPr>
            <w:tcW w:w="3074" w:type="dxa"/>
            <w:vAlign w:val="center"/>
          </w:tcPr>
          <w:p w14:paraId="7F70D807">
            <w:pPr>
              <w:pStyle w:val="30"/>
              <w:bidi w:val="0"/>
            </w:pPr>
            <w:r>
              <w:t>职业卫生专项费用</w:t>
            </w:r>
          </w:p>
        </w:tc>
        <w:tc>
          <w:tcPr>
            <w:tcW w:w="2251" w:type="dxa"/>
            <w:vAlign w:val="center"/>
          </w:tcPr>
          <w:p w14:paraId="271C7EC1">
            <w:pPr>
              <w:pStyle w:val="30"/>
              <w:bidi w:val="0"/>
            </w:pPr>
            <w:r>
              <w:rPr>
                <w:rFonts w:hint="eastAsia"/>
              </w:rPr>
              <w:t>20</w:t>
            </w:r>
          </w:p>
        </w:tc>
        <w:tc>
          <w:tcPr>
            <w:tcW w:w="2723" w:type="dxa"/>
            <w:vAlign w:val="center"/>
          </w:tcPr>
          <w:p w14:paraId="0B376F7C">
            <w:pPr>
              <w:pStyle w:val="30"/>
              <w:bidi w:val="0"/>
              <w:rPr>
                <w:rFonts w:hint="default" w:eastAsia="宋体"/>
                <w:lang w:val="en-US" w:eastAsia="zh-CN"/>
              </w:rPr>
            </w:pPr>
            <w:r>
              <w:t>6.</w:t>
            </w:r>
            <w:r>
              <w:rPr>
                <w:rFonts w:hint="eastAsia"/>
                <w:lang w:val="en-US" w:eastAsia="zh-CN"/>
              </w:rPr>
              <w:t>27</w:t>
            </w:r>
          </w:p>
        </w:tc>
      </w:tr>
      <w:tr w14:paraId="58EC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5" w:type="dxa"/>
            <w:vAlign w:val="center"/>
          </w:tcPr>
          <w:p w14:paraId="254B6500">
            <w:pPr>
              <w:pStyle w:val="30"/>
              <w:bidi w:val="0"/>
            </w:pPr>
            <w:r>
              <w:t>合计</w:t>
            </w:r>
          </w:p>
        </w:tc>
        <w:tc>
          <w:tcPr>
            <w:tcW w:w="3074" w:type="dxa"/>
            <w:vAlign w:val="center"/>
          </w:tcPr>
          <w:p w14:paraId="586E8A50">
            <w:pPr>
              <w:pStyle w:val="30"/>
              <w:bidi w:val="0"/>
            </w:pPr>
          </w:p>
        </w:tc>
        <w:tc>
          <w:tcPr>
            <w:tcW w:w="2251" w:type="dxa"/>
            <w:vAlign w:val="center"/>
          </w:tcPr>
          <w:p w14:paraId="23BD0CAF">
            <w:pPr>
              <w:pStyle w:val="30"/>
              <w:bidi w:val="0"/>
            </w:pPr>
            <w:r>
              <w:t>31</w:t>
            </w:r>
            <w:r>
              <w:rPr>
                <w:rFonts w:hint="eastAsia"/>
                <w:lang w:val="en-US" w:eastAsia="zh-CN"/>
              </w:rPr>
              <w:t>8.7</w:t>
            </w:r>
            <w:r>
              <w:t>4</w:t>
            </w:r>
          </w:p>
        </w:tc>
        <w:tc>
          <w:tcPr>
            <w:tcW w:w="2723" w:type="dxa"/>
            <w:vAlign w:val="center"/>
          </w:tcPr>
          <w:p w14:paraId="269C6573">
            <w:pPr>
              <w:pStyle w:val="30"/>
              <w:bidi w:val="0"/>
            </w:pPr>
            <w:r>
              <w:t>100%</w:t>
            </w:r>
          </w:p>
        </w:tc>
      </w:tr>
    </w:tbl>
    <w:p w14:paraId="3199C0DF">
      <w:pPr>
        <w:pStyle w:val="3"/>
        <w:bidi w:val="0"/>
        <w:rPr>
          <w:rFonts w:hint="eastAsia"/>
          <w:color w:val="auto"/>
        </w:rPr>
      </w:pPr>
      <w:bookmarkStart w:id="64" w:name="_Toc7155"/>
      <w:r>
        <w:rPr>
          <w:rFonts w:hint="eastAsia"/>
          <w:color w:val="auto"/>
        </w:rPr>
        <w:t>2.1</w:t>
      </w:r>
      <w:r>
        <w:rPr>
          <w:rFonts w:hint="eastAsia"/>
          <w:color w:val="auto"/>
          <w:lang w:val="en-US" w:eastAsia="zh-CN"/>
        </w:rPr>
        <w:t xml:space="preserve">8 </w:t>
      </w:r>
      <w:r>
        <w:rPr>
          <w:rFonts w:hint="eastAsia"/>
          <w:color w:val="auto"/>
        </w:rPr>
        <w:t>安全设施情况</w:t>
      </w:r>
      <w:bookmarkEnd w:id="64"/>
    </w:p>
    <w:p w14:paraId="0212E031">
      <w:pPr>
        <w:bidi w:val="0"/>
        <w:rPr>
          <w:rFonts w:hint="eastAsia"/>
          <w:color w:val="auto"/>
        </w:rPr>
      </w:pPr>
      <w:r>
        <w:rPr>
          <w:rFonts w:hint="eastAsia"/>
          <w:color w:val="auto"/>
        </w:rPr>
        <w:t>项目安全设施设备如下：</w:t>
      </w:r>
    </w:p>
    <w:p w14:paraId="5C283490">
      <w:pPr>
        <w:pStyle w:val="29"/>
        <w:bidi w:val="0"/>
        <w:rPr>
          <w:color w:val="auto"/>
        </w:rPr>
      </w:pPr>
      <w:r>
        <w:rPr>
          <w:rFonts w:hint="eastAsia"/>
          <w:color w:val="auto"/>
        </w:rPr>
        <w:t>表2.</w:t>
      </w:r>
      <w:r>
        <w:rPr>
          <w:rFonts w:hint="eastAsia"/>
          <w:color w:val="auto"/>
          <w:lang w:val="en-US" w:eastAsia="zh-CN"/>
        </w:rPr>
        <w:t>18</w:t>
      </w:r>
      <w:r>
        <w:rPr>
          <w:rFonts w:hint="eastAsia"/>
          <w:color w:val="auto"/>
        </w:rPr>
        <w:t xml:space="preserve">-1  </w:t>
      </w:r>
      <w:r>
        <w:rPr>
          <w:rFonts w:hint="eastAsia"/>
          <w:color w:val="auto"/>
          <w:lang w:val="en-US" w:eastAsia="zh-CN"/>
        </w:rPr>
        <w:t>项目</w:t>
      </w:r>
      <w:r>
        <w:rPr>
          <w:rFonts w:hint="eastAsia"/>
          <w:color w:val="auto"/>
        </w:rPr>
        <w:t>安全设施一览表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2052"/>
        <w:gridCol w:w="1324"/>
        <w:gridCol w:w="2323"/>
        <w:gridCol w:w="1351"/>
        <w:gridCol w:w="1616"/>
      </w:tblGrid>
      <w:tr w14:paraId="0078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34" w:type="dxa"/>
            <w:vAlign w:val="center"/>
          </w:tcPr>
          <w:p w14:paraId="48798746">
            <w:pPr>
              <w:pStyle w:val="30"/>
              <w:bidi w:val="0"/>
              <w:rPr>
                <w:b/>
                <w:bCs/>
                <w:color w:val="auto"/>
              </w:rPr>
            </w:pPr>
            <w:r>
              <w:rPr>
                <w:rFonts w:hint="eastAsia"/>
                <w:b/>
                <w:bCs/>
                <w:color w:val="auto"/>
              </w:rPr>
              <w:t>序号</w:t>
            </w:r>
          </w:p>
        </w:tc>
        <w:tc>
          <w:tcPr>
            <w:tcW w:w="2052" w:type="dxa"/>
            <w:vAlign w:val="center"/>
          </w:tcPr>
          <w:p w14:paraId="79476EC7">
            <w:pPr>
              <w:pStyle w:val="30"/>
              <w:bidi w:val="0"/>
              <w:rPr>
                <w:b/>
                <w:bCs/>
                <w:color w:val="auto"/>
              </w:rPr>
            </w:pPr>
            <w:r>
              <w:rPr>
                <w:rFonts w:hint="eastAsia"/>
                <w:b/>
                <w:bCs/>
                <w:color w:val="auto"/>
              </w:rPr>
              <w:t>类别</w:t>
            </w:r>
          </w:p>
        </w:tc>
        <w:tc>
          <w:tcPr>
            <w:tcW w:w="3647" w:type="dxa"/>
            <w:gridSpan w:val="2"/>
            <w:vAlign w:val="center"/>
          </w:tcPr>
          <w:p w14:paraId="4471CD24">
            <w:pPr>
              <w:pStyle w:val="30"/>
              <w:bidi w:val="0"/>
              <w:rPr>
                <w:b/>
                <w:bCs/>
                <w:color w:val="auto"/>
              </w:rPr>
            </w:pPr>
            <w:r>
              <w:rPr>
                <w:rFonts w:hint="eastAsia"/>
                <w:b/>
                <w:bCs/>
                <w:color w:val="auto"/>
              </w:rPr>
              <w:t>名称</w:t>
            </w:r>
          </w:p>
        </w:tc>
        <w:tc>
          <w:tcPr>
            <w:tcW w:w="1351" w:type="dxa"/>
            <w:vAlign w:val="center"/>
          </w:tcPr>
          <w:p w14:paraId="5CD7B9DD">
            <w:pPr>
              <w:pStyle w:val="30"/>
              <w:bidi w:val="0"/>
              <w:rPr>
                <w:b/>
                <w:bCs/>
                <w:color w:val="auto"/>
              </w:rPr>
            </w:pPr>
            <w:r>
              <w:rPr>
                <w:rFonts w:hint="eastAsia"/>
                <w:b/>
                <w:bCs/>
                <w:color w:val="auto"/>
              </w:rPr>
              <w:t>规格及数量</w:t>
            </w:r>
          </w:p>
        </w:tc>
        <w:tc>
          <w:tcPr>
            <w:tcW w:w="1616" w:type="dxa"/>
            <w:vAlign w:val="center"/>
          </w:tcPr>
          <w:p w14:paraId="5B0240AE">
            <w:pPr>
              <w:pStyle w:val="30"/>
              <w:bidi w:val="0"/>
              <w:rPr>
                <w:b/>
                <w:bCs/>
                <w:color w:val="auto"/>
              </w:rPr>
            </w:pPr>
            <w:r>
              <w:rPr>
                <w:rFonts w:hint="eastAsia"/>
                <w:b/>
                <w:bCs/>
                <w:color w:val="auto"/>
              </w:rPr>
              <w:t>安装位置</w:t>
            </w:r>
          </w:p>
        </w:tc>
      </w:tr>
      <w:tr w14:paraId="5EA6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00" w:type="dxa"/>
            <w:gridSpan w:val="6"/>
            <w:vAlign w:val="center"/>
          </w:tcPr>
          <w:p w14:paraId="1E849077">
            <w:pPr>
              <w:pStyle w:val="30"/>
              <w:bidi w:val="0"/>
              <w:rPr>
                <w:color w:val="auto"/>
              </w:rPr>
            </w:pPr>
            <w:r>
              <w:rPr>
                <w:rFonts w:hint="eastAsia"/>
                <w:color w:val="auto"/>
              </w:rPr>
              <w:t>一、预防事故安全设施</w:t>
            </w:r>
          </w:p>
        </w:tc>
      </w:tr>
      <w:tr w14:paraId="243C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restart"/>
            <w:vAlign w:val="center"/>
          </w:tcPr>
          <w:p w14:paraId="0C7501D3">
            <w:pPr>
              <w:pStyle w:val="30"/>
              <w:bidi w:val="0"/>
              <w:rPr>
                <w:color w:val="auto"/>
              </w:rPr>
            </w:pPr>
            <w:r>
              <w:rPr>
                <w:rFonts w:hint="eastAsia"/>
                <w:color w:val="auto"/>
              </w:rPr>
              <w:t>2</w:t>
            </w:r>
          </w:p>
        </w:tc>
        <w:tc>
          <w:tcPr>
            <w:tcW w:w="2052" w:type="dxa"/>
            <w:vMerge w:val="restart"/>
            <w:vAlign w:val="center"/>
          </w:tcPr>
          <w:p w14:paraId="7FD3B066">
            <w:pPr>
              <w:pStyle w:val="30"/>
              <w:bidi w:val="0"/>
              <w:rPr>
                <w:color w:val="auto"/>
              </w:rPr>
            </w:pPr>
            <w:r>
              <w:rPr>
                <w:rFonts w:hint="eastAsia"/>
                <w:color w:val="auto"/>
              </w:rPr>
              <w:t>设备安全防护设施</w:t>
            </w:r>
          </w:p>
        </w:tc>
        <w:tc>
          <w:tcPr>
            <w:tcW w:w="1324" w:type="dxa"/>
            <w:vMerge w:val="restart"/>
            <w:vAlign w:val="center"/>
          </w:tcPr>
          <w:p w14:paraId="77233475">
            <w:pPr>
              <w:pStyle w:val="30"/>
              <w:bidi w:val="0"/>
              <w:rPr>
                <w:color w:val="auto"/>
              </w:rPr>
            </w:pPr>
            <w:r>
              <w:rPr>
                <w:rFonts w:hint="eastAsia"/>
                <w:color w:val="auto"/>
              </w:rPr>
              <w:t>防雷、防静</w:t>
            </w:r>
          </w:p>
          <w:p w14:paraId="1CA07301">
            <w:pPr>
              <w:pStyle w:val="30"/>
              <w:bidi w:val="0"/>
              <w:rPr>
                <w:color w:val="auto"/>
              </w:rPr>
            </w:pPr>
            <w:r>
              <w:rPr>
                <w:rFonts w:hint="eastAsia"/>
                <w:color w:val="auto"/>
              </w:rPr>
              <w:t>电设施</w:t>
            </w:r>
          </w:p>
        </w:tc>
        <w:tc>
          <w:tcPr>
            <w:tcW w:w="2323" w:type="dxa"/>
            <w:vAlign w:val="center"/>
          </w:tcPr>
          <w:p w14:paraId="5268A2A3">
            <w:pPr>
              <w:pStyle w:val="30"/>
              <w:bidi w:val="0"/>
              <w:rPr>
                <w:color w:val="auto"/>
              </w:rPr>
            </w:pPr>
            <w:r>
              <w:rPr>
                <w:rFonts w:hint="eastAsia"/>
                <w:color w:val="auto"/>
              </w:rPr>
              <w:t>接地故障保护装置</w:t>
            </w:r>
          </w:p>
        </w:tc>
        <w:tc>
          <w:tcPr>
            <w:tcW w:w="1351" w:type="dxa"/>
            <w:vAlign w:val="center"/>
          </w:tcPr>
          <w:p w14:paraId="133426AD">
            <w:pPr>
              <w:pStyle w:val="30"/>
              <w:bidi w:val="0"/>
              <w:rPr>
                <w:color w:val="auto"/>
              </w:rPr>
            </w:pPr>
            <w:r>
              <w:rPr>
                <w:rFonts w:hint="eastAsia"/>
                <w:color w:val="auto"/>
              </w:rPr>
              <w:t>若干</w:t>
            </w:r>
          </w:p>
        </w:tc>
        <w:tc>
          <w:tcPr>
            <w:tcW w:w="1616" w:type="dxa"/>
            <w:vAlign w:val="center"/>
          </w:tcPr>
          <w:p w14:paraId="52BC7E0F">
            <w:pPr>
              <w:pStyle w:val="30"/>
              <w:bidi w:val="0"/>
              <w:rPr>
                <w:color w:val="auto"/>
              </w:rPr>
            </w:pPr>
            <w:r>
              <w:rPr>
                <w:rFonts w:hint="eastAsia"/>
                <w:color w:val="auto"/>
              </w:rPr>
              <w:t>电器设备</w:t>
            </w:r>
          </w:p>
        </w:tc>
      </w:tr>
      <w:tr w14:paraId="57B1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4DEA5015">
            <w:pPr>
              <w:pStyle w:val="30"/>
              <w:bidi w:val="0"/>
              <w:rPr>
                <w:color w:val="auto"/>
              </w:rPr>
            </w:pPr>
          </w:p>
        </w:tc>
        <w:tc>
          <w:tcPr>
            <w:tcW w:w="2052" w:type="dxa"/>
            <w:vMerge w:val="continue"/>
            <w:vAlign w:val="center"/>
          </w:tcPr>
          <w:p w14:paraId="310F05CE">
            <w:pPr>
              <w:pStyle w:val="30"/>
              <w:bidi w:val="0"/>
              <w:rPr>
                <w:color w:val="auto"/>
              </w:rPr>
            </w:pPr>
          </w:p>
        </w:tc>
        <w:tc>
          <w:tcPr>
            <w:tcW w:w="1324" w:type="dxa"/>
            <w:vMerge w:val="continue"/>
            <w:vAlign w:val="center"/>
          </w:tcPr>
          <w:p w14:paraId="285E70F3">
            <w:pPr>
              <w:pStyle w:val="30"/>
              <w:bidi w:val="0"/>
              <w:rPr>
                <w:color w:val="auto"/>
              </w:rPr>
            </w:pPr>
          </w:p>
        </w:tc>
        <w:tc>
          <w:tcPr>
            <w:tcW w:w="2323" w:type="dxa"/>
            <w:vAlign w:val="center"/>
          </w:tcPr>
          <w:p w14:paraId="4A1FEE32">
            <w:pPr>
              <w:pStyle w:val="30"/>
              <w:bidi w:val="0"/>
              <w:rPr>
                <w:color w:val="auto"/>
              </w:rPr>
            </w:pPr>
            <w:r>
              <w:rPr>
                <w:rFonts w:hint="eastAsia"/>
                <w:color w:val="auto"/>
              </w:rPr>
              <w:t>垂直接地体</w:t>
            </w:r>
          </w:p>
        </w:tc>
        <w:tc>
          <w:tcPr>
            <w:tcW w:w="1351" w:type="dxa"/>
            <w:vAlign w:val="center"/>
          </w:tcPr>
          <w:p w14:paraId="4601DEC9">
            <w:pPr>
              <w:pStyle w:val="30"/>
              <w:bidi w:val="0"/>
              <w:rPr>
                <w:color w:val="auto"/>
              </w:rPr>
            </w:pPr>
            <w:r>
              <w:rPr>
                <w:rFonts w:hint="eastAsia"/>
                <w:color w:val="auto"/>
              </w:rPr>
              <w:t>若干</w:t>
            </w:r>
          </w:p>
        </w:tc>
        <w:tc>
          <w:tcPr>
            <w:tcW w:w="1616" w:type="dxa"/>
            <w:vAlign w:val="center"/>
          </w:tcPr>
          <w:p w14:paraId="50CCB111">
            <w:pPr>
              <w:pStyle w:val="30"/>
              <w:bidi w:val="0"/>
              <w:rPr>
                <w:color w:val="auto"/>
              </w:rPr>
            </w:pPr>
            <w:r>
              <w:rPr>
                <w:rFonts w:hint="eastAsia"/>
                <w:color w:val="auto"/>
              </w:rPr>
              <w:t>厂区</w:t>
            </w:r>
          </w:p>
        </w:tc>
      </w:tr>
      <w:tr w14:paraId="636E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56C0370A">
            <w:pPr>
              <w:pStyle w:val="30"/>
              <w:bidi w:val="0"/>
              <w:rPr>
                <w:color w:val="auto"/>
              </w:rPr>
            </w:pPr>
          </w:p>
        </w:tc>
        <w:tc>
          <w:tcPr>
            <w:tcW w:w="2052" w:type="dxa"/>
            <w:vMerge w:val="continue"/>
            <w:vAlign w:val="center"/>
          </w:tcPr>
          <w:p w14:paraId="270C572C">
            <w:pPr>
              <w:pStyle w:val="30"/>
              <w:bidi w:val="0"/>
              <w:rPr>
                <w:color w:val="auto"/>
              </w:rPr>
            </w:pPr>
          </w:p>
        </w:tc>
        <w:tc>
          <w:tcPr>
            <w:tcW w:w="1324" w:type="dxa"/>
            <w:vMerge w:val="continue"/>
            <w:vAlign w:val="center"/>
          </w:tcPr>
          <w:p w14:paraId="1F78F2FA">
            <w:pPr>
              <w:pStyle w:val="30"/>
              <w:bidi w:val="0"/>
              <w:rPr>
                <w:color w:val="auto"/>
              </w:rPr>
            </w:pPr>
          </w:p>
        </w:tc>
        <w:tc>
          <w:tcPr>
            <w:tcW w:w="2323" w:type="dxa"/>
            <w:vAlign w:val="center"/>
          </w:tcPr>
          <w:p w14:paraId="7E0E18F0">
            <w:pPr>
              <w:pStyle w:val="30"/>
              <w:bidi w:val="0"/>
              <w:rPr>
                <w:color w:val="auto"/>
              </w:rPr>
            </w:pPr>
            <w:r>
              <w:rPr>
                <w:rFonts w:hint="eastAsia"/>
                <w:color w:val="auto"/>
              </w:rPr>
              <w:t>水平接地体</w:t>
            </w:r>
          </w:p>
        </w:tc>
        <w:tc>
          <w:tcPr>
            <w:tcW w:w="1351" w:type="dxa"/>
            <w:vAlign w:val="center"/>
          </w:tcPr>
          <w:p w14:paraId="7DDFB142">
            <w:pPr>
              <w:pStyle w:val="30"/>
              <w:bidi w:val="0"/>
              <w:rPr>
                <w:color w:val="auto"/>
              </w:rPr>
            </w:pPr>
            <w:r>
              <w:rPr>
                <w:rFonts w:hint="eastAsia"/>
                <w:color w:val="auto"/>
              </w:rPr>
              <w:t>若干</w:t>
            </w:r>
          </w:p>
        </w:tc>
        <w:tc>
          <w:tcPr>
            <w:tcW w:w="1616" w:type="dxa"/>
            <w:vAlign w:val="center"/>
          </w:tcPr>
          <w:p w14:paraId="09A03DC5">
            <w:pPr>
              <w:pStyle w:val="30"/>
              <w:bidi w:val="0"/>
              <w:rPr>
                <w:color w:val="auto"/>
              </w:rPr>
            </w:pPr>
            <w:r>
              <w:rPr>
                <w:rFonts w:hint="eastAsia"/>
                <w:color w:val="auto"/>
              </w:rPr>
              <w:t>厂区</w:t>
            </w:r>
          </w:p>
        </w:tc>
      </w:tr>
      <w:tr w14:paraId="184C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1E747D7F">
            <w:pPr>
              <w:pStyle w:val="30"/>
              <w:bidi w:val="0"/>
              <w:rPr>
                <w:color w:val="auto"/>
              </w:rPr>
            </w:pPr>
          </w:p>
        </w:tc>
        <w:tc>
          <w:tcPr>
            <w:tcW w:w="2052" w:type="dxa"/>
            <w:vMerge w:val="continue"/>
            <w:vAlign w:val="center"/>
          </w:tcPr>
          <w:p w14:paraId="75FF2D73">
            <w:pPr>
              <w:pStyle w:val="30"/>
              <w:bidi w:val="0"/>
              <w:rPr>
                <w:color w:val="auto"/>
              </w:rPr>
            </w:pPr>
          </w:p>
        </w:tc>
        <w:tc>
          <w:tcPr>
            <w:tcW w:w="1324" w:type="dxa"/>
            <w:vAlign w:val="center"/>
          </w:tcPr>
          <w:p w14:paraId="597F9D72">
            <w:pPr>
              <w:pStyle w:val="30"/>
              <w:bidi w:val="0"/>
              <w:rPr>
                <w:color w:val="auto"/>
              </w:rPr>
            </w:pPr>
            <w:r>
              <w:rPr>
                <w:rFonts w:hint="eastAsia"/>
                <w:color w:val="auto"/>
              </w:rPr>
              <w:t>防机械伤害</w:t>
            </w:r>
          </w:p>
        </w:tc>
        <w:tc>
          <w:tcPr>
            <w:tcW w:w="2323" w:type="dxa"/>
            <w:vAlign w:val="center"/>
          </w:tcPr>
          <w:p w14:paraId="0FC8043F">
            <w:pPr>
              <w:pStyle w:val="30"/>
              <w:bidi w:val="0"/>
              <w:rPr>
                <w:color w:val="auto"/>
              </w:rPr>
            </w:pPr>
            <w:r>
              <w:rPr>
                <w:rFonts w:hint="eastAsia"/>
                <w:color w:val="auto"/>
              </w:rPr>
              <w:t>防护罩、防护栏、轴套</w:t>
            </w:r>
          </w:p>
        </w:tc>
        <w:tc>
          <w:tcPr>
            <w:tcW w:w="1351" w:type="dxa"/>
            <w:vAlign w:val="center"/>
          </w:tcPr>
          <w:p w14:paraId="07579299">
            <w:pPr>
              <w:pStyle w:val="30"/>
              <w:bidi w:val="0"/>
              <w:rPr>
                <w:color w:val="auto"/>
              </w:rPr>
            </w:pPr>
            <w:r>
              <w:rPr>
                <w:rFonts w:hint="eastAsia"/>
                <w:color w:val="auto"/>
              </w:rPr>
              <w:t>若干</w:t>
            </w:r>
          </w:p>
        </w:tc>
        <w:tc>
          <w:tcPr>
            <w:tcW w:w="1616" w:type="dxa"/>
            <w:vAlign w:val="center"/>
          </w:tcPr>
          <w:p w14:paraId="459FA36A">
            <w:pPr>
              <w:pStyle w:val="30"/>
              <w:bidi w:val="0"/>
              <w:rPr>
                <w:color w:val="auto"/>
              </w:rPr>
            </w:pPr>
            <w:r>
              <w:rPr>
                <w:rFonts w:hint="eastAsia"/>
                <w:color w:val="auto"/>
              </w:rPr>
              <w:t>传动部位</w:t>
            </w:r>
          </w:p>
        </w:tc>
      </w:tr>
      <w:tr w14:paraId="03FD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5C9EBDCD">
            <w:pPr>
              <w:pStyle w:val="30"/>
              <w:bidi w:val="0"/>
              <w:rPr>
                <w:color w:val="auto"/>
              </w:rPr>
            </w:pPr>
          </w:p>
        </w:tc>
        <w:tc>
          <w:tcPr>
            <w:tcW w:w="2052" w:type="dxa"/>
            <w:vMerge w:val="continue"/>
            <w:vAlign w:val="center"/>
          </w:tcPr>
          <w:p w14:paraId="50E45636">
            <w:pPr>
              <w:pStyle w:val="30"/>
              <w:bidi w:val="0"/>
              <w:rPr>
                <w:color w:val="auto"/>
              </w:rPr>
            </w:pPr>
          </w:p>
        </w:tc>
        <w:tc>
          <w:tcPr>
            <w:tcW w:w="1324" w:type="dxa"/>
            <w:vAlign w:val="center"/>
          </w:tcPr>
          <w:p w14:paraId="62CC2F4E">
            <w:pPr>
              <w:pStyle w:val="30"/>
              <w:bidi w:val="0"/>
              <w:rPr>
                <w:color w:val="auto"/>
              </w:rPr>
            </w:pPr>
            <w:r>
              <w:rPr>
                <w:rFonts w:hint="eastAsia"/>
                <w:color w:val="auto"/>
              </w:rPr>
              <w:t>防触电</w:t>
            </w:r>
          </w:p>
        </w:tc>
        <w:tc>
          <w:tcPr>
            <w:tcW w:w="2323" w:type="dxa"/>
            <w:vAlign w:val="center"/>
          </w:tcPr>
          <w:p w14:paraId="4E3FAD6F">
            <w:pPr>
              <w:pStyle w:val="30"/>
              <w:bidi w:val="0"/>
              <w:rPr>
                <w:color w:val="auto"/>
              </w:rPr>
            </w:pPr>
            <w:r>
              <w:rPr>
                <w:rFonts w:hint="eastAsia"/>
                <w:color w:val="auto"/>
              </w:rPr>
              <w:t>接地、接零、屏护、防漏电</w:t>
            </w:r>
          </w:p>
        </w:tc>
        <w:tc>
          <w:tcPr>
            <w:tcW w:w="1351" w:type="dxa"/>
            <w:vAlign w:val="center"/>
          </w:tcPr>
          <w:p w14:paraId="7BED5CF4">
            <w:pPr>
              <w:pStyle w:val="30"/>
              <w:bidi w:val="0"/>
              <w:rPr>
                <w:color w:val="auto"/>
              </w:rPr>
            </w:pPr>
            <w:r>
              <w:rPr>
                <w:rFonts w:hint="eastAsia"/>
                <w:color w:val="auto"/>
              </w:rPr>
              <w:t>若干</w:t>
            </w:r>
          </w:p>
        </w:tc>
        <w:tc>
          <w:tcPr>
            <w:tcW w:w="1616" w:type="dxa"/>
            <w:vAlign w:val="center"/>
          </w:tcPr>
          <w:p w14:paraId="5C13F07A">
            <w:pPr>
              <w:pStyle w:val="30"/>
              <w:bidi w:val="0"/>
              <w:rPr>
                <w:rFonts w:hint="eastAsia" w:eastAsia="宋体"/>
                <w:color w:val="auto"/>
                <w:lang w:eastAsia="zh-CN"/>
              </w:rPr>
            </w:pPr>
            <w:r>
              <w:rPr>
                <w:rFonts w:hint="eastAsia"/>
                <w:color w:val="auto"/>
              </w:rPr>
              <w:t>电机、电器设备、配电</w:t>
            </w:r>
            <w:r>
              <w:rPr>
                <w:rFonts w:hint="eastAsia"/>
                <w:color w:val="auto"/>
                <w:lang w:val="en-US" w:eastAsia="zh-CN"/>
              </w:rPr>
              <w:t>柜</w:t>
            </w:r>
          </w:p>
        </w:tc>
      </w:tr>
      <w:tr w14:paraId="3CCA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restart"/>
            <w:vAlign w:val="center"/>
          </w:tcPr>
          <w:p w14:paraId="21DC398D">
            <w:pPr>
              <w:pStyle w:val="30"/>
              <w:bidi w:val="0"/>
              <w:rPr>
                <w:color w:val="auto"/>
              </w:rPr>
            </w:pPr>
            <w:r>
              <w:rPr>
                <w:rFonts w:hint="eastAsia"/>
                <w:color w:val="auto"/>
              </w:rPr>
              <w:t>3</w:t>
            </w:r>
          </w:p>
        </w:tc>
        <w:tc>
          <w:tcPr>
            <w:tcW w:w="2052" w:type="dxa"/>
            <w:vMerge w:val="restart"/>
            <w:vAlign w:val="center"/>
          </w:tcPr>
          <w:p w14:paraId="189888A7">
            <w:pPr>
              <w:pStyle w:val="30"/>
              <w:bidi w:val="0"/>
              <w:rPr>
                <w:color w:val="auto"/>
              </w:rPr>
            </w:pPr>
            <w:r>
              <w:rPr>
                <w:rFonts w:hint="eastAsia"/>
                <w:color w:val="auto"/>
              </w:rPr>
              <w:t>作业场所的防护设施</w:t>
            </w:r>
          </w:p>
        </w:tc>
        <w:tc>
          <w:tcPr>
            <w:tcW w:w="1324" w:type="dxa"/>
            <w:vAlign w:val="center"/>
          </w:tcPr>
          <w:p w14:paraId="2EBF2B83">
            <w:pPr>
              <w:pStyle w:val="30"/>
              <w:bidi w:val="0"/>
              <w:rPr>
                <w:color w:val="auto"/>
              </w:rPr>
            </w:pPr>
            <w:r>
              <w:rPr>
                <w:rFonts w:hint="eastAsia"/>
                <w:color w:val="auto"/>
              </w:rPr>
              <w:t>防坠落设施</w:t>
            </w:r>
          </w:p>
        </w:tc>
        <w:tc>
          <w:tcPr>
            <w:tcW w:w="2323" w:type="dxa"/>
            <w:vAlign w:val="center"/>
          </w:tcPr>
          <w:p w14:paraId="76F506F2">
            <w:pPr>
              <w:pStyle w:val="30"/>
              <w:bidi w:val="0"/>
              <w:rPr>
                <w:color w:val="auto"/>
              </w:rPr>
            </w:pPr>
            <w:r>
              <w:rPr>
                <w:rFonts w:hint="eastAsia"/>
                <w:color w:val="auto"/>
              </w:rPr>
              <w:t>安全栏杆、斜梯</w:t>
            </w:r>
          </w:p>
        </w:tc>
        <w:tc>
          <w:tcPr>
            <w:tcW w:w="1351" w:type="dxa"/>
            <w:vAlign w:val="center"/>
          </w:tcPr>
          <w:p w14:paraId="31186142">
            <w:pPr>
              <w:pStyle w:val="30"/>
              <w:bidi w:val="0"/>
              <w:rPr>
                <w:color w:val="auto"/>
              </w:rPr>
            </w:pPr>
            <w:r>
              <w:rPr>
                <w:rFonts w:hint="eastAsia"/>
                <w:color w:val="auto"/>
              </w:rPr>
              <w:t>若干</w:t>
            </w:r>
          </w:p>
        </w:tc>
        <w:tc>
          <w:tcPr>
            <w:tcW w:w="1616" w:type="dxa"/>
            <w:vAlign w:val="center"/>
          </w:tcPr>
          <w:p w14:paraId="0F57F7D2">
            <w:pPr>
              <w:pStyle w:val="30"/>
              <w:bidi w:val="0"/>
              <w:rPr>
                <w:color w:val="auto"/>
              </w:rPr>
            </w:pPr>
            <w:r>
              <w:rPr>
                <w:rFonts w:hint="eastAsia"/>
                <w:color w:val="auto"/>
              </w:rPr>
              <w:t>大于0.6m的平台、高坎、池</w:t>
            </w:r>
          </w:p>
        </w:tc>
      </w:tr>
      <w:tr w14:paraId="0324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52033C58">
            <w:pPr>
              <w:pStyle w:val="30"/>
              <w:bidi w:val="0"/>
              <w:rPr>
                <w:color w:val="auto"/>
              </w:rPr>
            </w:pPr>
          </w:p>
        </w:tc>
        <w:tc>
          <w:tcPr>
            <w:tcW w:w="2052" w:type="dxa"/>
            <w:vMerge w:val="continue"/>
            <w:vAlign w:val="center"/>
          </w:tcPr>
          <w:p w14:paraId="612EE192">
            <w:pPr>
              <w:pStyle w:val="30"/>
              <w:bidi w:val="0"/>
              <w:rPr>
                <w:color w:val="auto"/>
              </w:rPr>
            </w:pPr>
          </w:p>
        </w:tc>
        <w:tc>
          <w:tcPr>
            <w:tcW w:w="1324" w:type="dxa"/>
            <w:vAlign w:val="center"/>
          </w:tcPr>
          <w:p w14:paraId="5E908391">
            <w:pPr>
              <w:pStyle w:val="30"/>
              <w:bidi w:val="0"/>
              <w:rPr>
                <w:color w:val="auto"/>
              </w:rPr>
            </w:pPr>
            <w:r>
              <w:rPr>
                <w:rFonts w:hint="eastAsia"/>
                <w:color w:val="auto"/>
              </w:rPr>
              <w:t>防其他伤害</w:t>
            </w:r>
          </w:p>
        </w:tc>
        <w:tc>
          <w:tcPr>
            <w:tcW w:w="2323" w:type="dxa"/>
            <w:vAlign w:val="center"/>
          </w:tcPr>
          <w:p w14:paraId="6914303C">
            <w:pPr>
              <w:pStyle w:val="30"/>
              <w:bidi w:val="0"/>
              <w:rPr>
                <w:color w:val="auto"/>
              </w:rPr>
            </w:pPr>
            <w:r>
              <w:rPr>
                <w:rFonts w:hint="eastAsia"/>
                <w:color w:val="auto"/>
              </w:rPr>
              <w:t>地沟盖板</w:t>
            </w:r>
          </w:p>
        </w:tc>
        <w:tc>
          <w:tcPr>
            <w:tcW w:w="1351" w:type="dxa"/>
            <w:vAlign w:val="center"/>
          </w:tcPr>
          <w:p w14:paraId="468B507A">
            <w:pPr>
              <w:pStyle w:val="30"/>
              <w:bidi w:val="0"/>
              <w:rPr>
                <w:color w:val="auto"/>
              </w:rPr>
            </w:pPr>
            <w:r>
              <w:rPr>
                <w:rFonts w:hint="eastAsia"/>
                <w:color w:val="auto"/>
              </w:rPr>
              <w:t>若干</w:t>
            </w:r>
          </w:p>
        </w:tc>
        <w:tc>
          <w:tcPr>
            <w:tcW w:w="1616" w:type="dxa"/>
            <w:vAlign w:val="center"/>
          </w:tcPr>
          <w:p w14:paraId="699B3AA0">
            <w:pPr>
              <w:pStyle w:val="30"/>
              <w:bidi w:val="0"/>
              <w:rPr>
                <w:color w:val="auto"/>
              </w:rPr>
            </w:pPr>
            <w:r>
              <w:rPr>
                <w:rFonts w:hint="eastAsia"/>
                <w:color w:val="auto"/>
              </w:rPr>
              <w:t>地沟处</w:t>
            </w:r>
          </w:p>
        </w:tc>
      </w:tr>
      <w:tr w14:paraId="661C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3B62F1B6">
            <w:pPr>
              <w:pStyle w:val="30"/>
              <w:bidi w:val="0"/>
              <w:rPr>
                <w:color w:val="auto"/>
              </w:rPr>
            </w:pPr>
          </w:p>
        </w:tc>
        <w:tc>
          <w:tcPr>
            <w:tcW w:w="2052" w:type="dxa"/>
            <w:vMerge w:val="continue"/>
            <w:vAlign w:val="center"/>
          </w:tcPr>
          <w:p w14:paraId="5DDFA550">
            <w:pPr>
              <w:pStyle w:val="30"/>
              <w:bidi w:val="0"/>
              <w:rPr>
                <w:color w:val="auto"/>
              </w:rPr>
            </w:pPr>
          </w:p>
        </w:tc>
        <w:tc>
          <w:tcPr>
            <w:tcW w:w="1324" w:type="dxa"/>
            <w:vAlign w:val="center"/>
          </w:tcPr>
          <w:p w14:paraId="67D5E8DE">
            <w:pPr>
              <w:pStyle w:val="30"/>
              <w:bidi w:val="0"/>
              <w:rPr>
                <w:color w:val="auto"/>
              </w:rPr>
            </w:pPr>
            <w:r>
              <w:rPr>
                <w:rFonts w:hint="eastAsia"/>
                <w:color w:val="auto"/>
              </w:rPr>
              <w:t>防物体打击</w:t>
            </w:r>
          </w:p>
        </w:tc>
        <w:tc>
          <w:tcPr>
            <w:tcW w:w="2323" w:type="dxa"/>
            <w:vAlign w:val="center"/>
          </w:tcPr>
          <w:p w14:paraId="145381B0">
            <w:pPr>
              <w:pStyle w:val="30"/>
              <w:bidi w:val="0"/>
              <w:rPr>
                <w:color w:val="auto"/>
              </w:rPr>
            </w:pPr>
            <w:r>
              <w:rPr>
                <w:rFonts w:hint="eastAsia"/>
                <w:color w:val="auto"/>
              </w:rPr>
              <w:t>防护罩、踢脚板</w:t>
            </w:r>
          </w:p>
        </w:tc>
        <w:tc>
          <w:tcPr>
            <w:tcW w:w="1351" w:type="dxa"/>
            <w:vAlign w:val="center"/>
          </w:tcPr>
          <w:p w14:paraId="62A30C23">
            <w:pPr>
              <w:pStyle w:val="30"/>
              <w:bidi w:val="0"/>
              <w:rPr>
                <w:color w:val="auto"/>
              </w:rPr>
            </w:pPr>
            <w:r>
              <w:rPr>
                <w:rFonts w:hint="eastAsia"/>
                <w:color w:val="auto"/>
              </w:rPr>
              <w:t>若干</w:t>
            </w:r>
          </w:p>
        </w:tc>
        <w:tc>
          <w:tcPr>
            <w:tcW w:w="1616" w:type="dxa"/>
            <w:vAlign w:val="center"/>
          </w:tcPr>
          <w:p w14:paraId="24157455">
            <w:pPr>
              <w:pStyle w:val="30"/>
              <w:bidi w:val="0"/>
              <w:rPr>
                <w:color w:val="auto"/>
              </w:rPr>
            </w:pPr>
            <w:r>
              <w:rPr>
                <w:rFonts w:hint="eastAsia"/>
                <w:color w:val="auto"/>
              </w:rPr>
              <w:t>设备、平台</w:t>
            </w:r>
          </w:p>
        </w:tc>
      </w:tr>
      <w:tr w14:paraId="3215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72D8A8B1">
            <w:pPr>
              <w:pStyle w:val="30"/>
              <w:bidi w:val="0"/>
              <w:rPr>
                <w:color w:val="auto"/>
              </w:rPr>
            </w:pPr>
          </w:p>
        </w:tc>
        <w:tc>
          <w:tcPr>
            <w:tcW w:w="2052" w:type="dxa"/>
            <w:vMerge w:val="continue"/>
            <w:vAlign w:val="center"/>
          </w:tcPr>
          <w:p w14:paraId="7CCC81C3">
            <w:pPr>
              <w:pStyle w:val="30"/>
              <w:bidi w:val="0"/>
              <w:rPr>
                <w:color w:val="auto"/>
              </w:rPr>
            </w:pPr>
          </w:p>
        </w:tc>
        <w:tc>
          <w:tcPr>
            <w:tcW w:w="1324" w:type="dxa"/>
            <w:vAlign w:val="center"/>
          </w:tcPr>
          <w:p w14:paraId="4C9B1298">
            <w:pPr>
              <w:pStyle w:val="30"/>
              <w:bidi w:val="0"/>
              <w:rPr>
                <w:color w:val="auto"/>
              </w:rPr>
            </w:pPr>
            <w:r>
              <w:rPr>
                <w:rFonts w:hint="eastAsia"/>
                <w:color w:val="auto"/>
              </w:rPr>
              <w:t>防淹溺</w:t>
            </w:r>
          </w:p>
        </w:tc>
        <w:tc>
          <w:tcPr>
            <w:tcW w:w="2323" w:type="dxa"/>
            <w:vAlign w:val="center"/>
          </w:tcPr>
          <w:p w14:paraId="74253BB0">
            <w:pPr>
              <w:pStyle w:val="30"/>
              <w:bidi w:val="0"/>
              <w:rPr>
                <w:color w:val="auto"/>
              </w:rPr>
            </w:pPr>
            <w:r>
              <w:rPr>
                <w:rFonts w:hint="eastAsia"/>
                <w:color w:val="auto"/>
              </w:rPr>
              <w:t>防护拦网</w:t>
            </w:r>
          </w:p>
        </w:tc>
        <w:tc>
          <w:tcPr>
            <w:tcW w:w="1351" w:type="dxa"/>
            <w:vAlign w:val="center"/>
          </w:tcPr>
          <w:p w14:paraId="536FD369">
            <w:pPr>
              <w:pStyle w:val="30"/>
              <w:bidi w:val="0"/>
              <w:rPr>
                <w:color w:val="auto"/>
              </w:rPr>
            </w:pPr>
            <w:r>
              <w:rPr>
                <w:rFonts w:hint="eastAsia"/>
                <w:color w:val="auto"/>
              </w:rPr>
              <w:t>若干</w:t>
            </w:r>
          </w:p>
        </w:tc>
        <w:tc>
          <w:tcPr>
            <w:tcW w:w="1616" w:type="dxa"/>
            <w:vAlign w:val="center"/>
          </w:tcPr>
          <w:p w14:paraId="040E4262">
            <w:pPr>
              <w:pStyle w:val="30"/>
              <w:bidi w:val="0"/>
              <w:rPr>
                <w:color w:val="auto"/>
              </w:rPr>
            </w:pPr>
            <w:r>
              <w:rPr>
                <w:rFonts w:hint="eastAsia"/>
                <w:color w:val="auto"/>
              </w:rPr>
              <w:t>回水池、应急池</w:t>
            </w:r>
          </w:p>
        </w:tc>
      </w:tr>
      <w:tr w14:paraId="1030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77DA42DC">
            <w:pPr>
              <w:pStyle w:val="30"/>
              <w:bidi w:val="0"/>
              <w:rPr>
                <w:color w:val="auto"/>
              </w:rPr>
            </w:pPr>
          </w:p>
        </w:tc>
        <w:tc>
          <w:tcPr>
            <w:tcW w:w="2052" w:type="dxa"/>
            <w:vMerge w:val="continue"/>
            <w:vAlign w:val="center"/>
          </w:tcPr>
          <w:p w14:paraId="0B43DB20">
            <w:pPr>
              <w:pStyle w:val="30"/>
              <w:bidi w:val="0"/>
              <w:rPr>
                <w:color w:val="auto"/>
              </w:rPr>
            </w:pPr>
          </w:p>
        </w:tc>
        <w:tc>
          <w:tcPr>
            <w:tcW w:w="1324" w:type="dxa"/>
            <w:vAlign w:val="center"/>
          </w:tcPr>
          <w:p w14:paraId="453A0F00">
            <w:pPr>
              <w:pStyle w:val="30"/>
              <w:bidi w:val="0"/>
              <w:rPr>
                <w:color w:val="auto"/>
              </w:rPr>
            </w:pPr>
            <w:r>
              <w:rPr>
                <w:rFonts w:hint="eastAsia"/>
                <w:color w:val="auto"/>
              </w:rPr>
              <w:t>除尘</w:t>
            </w:r>
          </w:p>
        </w:tc>
        <w:tc>
          <w:tcPr>
            <w:tcW w:w="2323" w:type="dxa"/>
            <w:vAlign w:val="center"/>
          </w:tcPr>
          <w:p w14:paraId="5F5E4B90">
            <w:pPr>
              <w:pStyle w:val="30"/>
              <w:bidi w:val="0"/>
              <w:rPr>
                <w:color w:val="auto"/>
              </w:rPr>
            </w:pPr>
            <w:r>
              <w:rPr>
                <w:rFonts w:hint="eastAsia"/>
                <w:color w:val="auto"/>
              </w:rPr>
              <w:t>喷淋</w:t>
            </w:r>
          </w:p>
        </w:tc>
        <w:tc>
          <w:tcPr>
            <w:tcW w:w="1351" w:type="dxa"/>
            <w:vAlign w:val="center"/>
          </w:tcPr>
          <w:p w14:paraId="3F85C7FA">
            <w:pPr>
              <w:pStyle w:val="30"/>
              <w:bidi w:val="0"/>
              <w:rPr>
                <w:color w:val="auto"/>
              </w:rPr>
            </w:pPr>
            <w:r>
              <w:rPr>
                <w:rFonts w:hint="eastAsia"/>
                <w:color w:val="auto"/>
              </w:rPr>
              <w:t>若干</w:t>
            </w:r>
          </w:p>
        </w:tc>
        <w:tc>
          <w:tcPr>
            <w:tcW w:w="1616" w:type="dxa"/>
            <w:vAlign w:val="center"/>
          </w:tcPr>
          <w:p w14:paraId="0A55948B">
            <w:pPr>
              <w:pStyle w:val="30"/>
              <w:bidi w:val="0"/>
              <w:rPr>
                <w:color w:val="auto"/>
              </w:rPr>
            </w:pPr>
            <w:r>
              <w:rPr>
                <w:rFonts w:hint="eastAsia"/>
                <w:color w:val="auto"/>
              </w:rPr>
              <w:t>脱水</w:t>
            </w:r>
          </w:p>
        </w:tc>
      </w:tr>
      <w:tr w14:paraId="337F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2AED3DF4">
            <w:pPr>
              <w:pStyle w:val="30"/>
              <w:bidi w:val="0"/>
              <w:rPr>
                <w:color w:val="auto"/>
              </w:rPr>
            </w:pPr>
          </w:p>
        </w:tc>
        <w:tc>
          <w:tcPr>
            <w:tcW w:w="2052" w:type="dxa"/>
            <w:vMerge w:val="continue"/>
            <w:vAlign w:val="center"/>
          </w:tcPr>
          <w:p w14:paraId="6A6E8AA3">
            <w:pPr>
              <w:pStyle w:val="30"/>
              <w:bidi w:val="0"/>
              <w:rPr>
                <w:color w:val="auto"/>
              </w:rPr>
            </w:pPr>
          </w:p>
        </w:tc>
        <w:tc>
          <w:tcPr>
            <w:tcW w:w="1324" w:type="dxa"/>
            <w:vAlign w:val="center"/>
          </w:tcPr>
          <w:p w14:paraId="2DC9769E">
            <w:pPr>
              <w:pStyle w:val="30"/>
              <w:bidi w:val="0"/>
              <w:rPr>
                <w:color w:val="auto"/>
              </w:rPr>
            </w:pPr>
            <w:r>
              <w:rPr>
                <w:rFonts w:hint="eastAsia"/>
                <w:color w:val="auto"/>
              </w:rPr>
              <w:t>防噪音</w:t>
            </w:r>
          </w:p>
        </w:tc>
        <w:tc>
          <w:tcPr>
            <w:tcW w:w="2323" w:type="dxa"/>
            <w:vAlign w:val="center"/>
          </w:tcPr>
          <w:p w14:paraId="24D8585A">
            <w:pPr>
              <w:pStyle w:val="30"/>
              <w:bidi w:val="0"/>
              <w:rPr>
                <w:color w:val="auto"/>
              </w:rPr>
            </w:pPr>
            <w:r>
              <w:rPr>
                <w:rFonts w:hint="eastAsia"/>
                <w:color w:val="auto"/>
              </w:rPr>
              <w:t>隔音室、耳塞、橡胶垫圈</w:t>
            </w:r>
          </w:p>
        </w:tc>
        <w:tc>
          <w:tcPr>
            <w:tcW w:w="1351" w:type="dxa"/>
            <w:vAlign w:val="center"/>
          </w:tcPr>
          <w:p w14:paraId="1AC23D14">
            <w:pPr>
              <w:pStyle w:val="30"/>
              <w:bidi w:val="0"/>
              <w:rPr>
                <w:color w:val="auto"/>
              </w:rPr>
            </w:pPr>
            <w:r>
              <w:rPr>
                <w:rFonts w:hint="eastAsia"/>
                <w:color w:val="auto"/>
              </w:rPr>
              <w:t>若干</w:t>
            </w:r>
          </w:p>
        </w:tc>
        <w:tc>
          <w:tcPr>
            <w:tcW w:w="1616" w:type="dxa"/>
            <w:vAlign w:val="center"/>
          </w:tcPr>
          <w:p w14:paraId="28ADED93">
            <w:pPr>
              <w:pStyle w:val="30"/>
              <w:bidi w:val="0"/>
              <w:rPr>
                <w:color w:val="auto"/>
              </w:rPr>
            </w:pPr>
            <w:r>
              <w:rPr>
                <w:rFonts w:hint="eastAsia"/>
                <w:color w:val="auto"/>
              </w:rPr>
              <w:t>磨矿</w:t>
            </w:r>
          </w:p>
        </w:tc>
      </w:tr>
      <w:tr w14:paraId="4235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Align w:val="center"/>
          </w:tcPr>
          <w:p w14:paraId="4FC9CD08">
            <w:pPr>
              <w:pStyle w:val="30"/>
              <w:bidi w:val="0"/>
              <w:rPr>
                <w:color w:val="auto"/>
              </w:rPr>
            </w:pPr>
            <w:r>
              <w:rPr>
                <w:rFonts w:hint="eastAsia"/>
                <w:color w:val="auto"/>
              </w:rPr>
              <w:t>4</w:t>
            </w:r>
          </w:p>
        </w:tc>
        <w:tc>
          <w:tcPr>
            <w:tcW w:w="2052" w:type="dxa"/>
            <w:vAlign w:val="center"/>
          </w:tcPr>
          <w:p w14:paraId="0BCB8693">
            <w:pPr>
              <w:pStyle w:val="30"/>
              <w:bidi w:val="0"/>
              <w:rPr>
                <w:color w:val="auto"/>
              </w:rPr>
            </w:pPr>
            <w:r>
              <w:rPr>
                <w:rFonts w:hint="eastAsia"/>
                <w:color w:val="auto"/>
              </w:rPr>
              <w:t>安全警示标标识</w:t>
            </w:r>
          </w:p>
        </w:tc>
        <w:tc>
          <w:tcPr>
            <w:tcW w:w="3647" w:type="dxa"/>
            <w:gridSpan w:val="2"/>
            <w:vAlign w:val="center"/>
          </w:tcPr>
          <w:p w14:paraId="19F660A3">
            <w:pPr>
              <w:pStyle w:val="30"/>
              <w:bidi w:val="0"/>
              <w:rPr>
                <w:color w:val="auto"/>
              </w:rPr>
            </w:pPr>
            <w:r>
              <w:rPr>
                <w:rFonts w:hint="eastAsia"/>
                <w:color w:val="auto"/>
              </w:rPr>
              <w:t>禁止烟火、正在运行、停止工作、</w:t>
            </w:r>
          </w:p>
          <w:p w14:paraId="1BE61FA3">
            <w:pPr>
              <w:pStyle w:val="30"/>
              <w:bidi w:val="0"/>
              <w:rPr>
                <w:color w:val="auto"/>
              </w:rPr>
            </w:pPr>
            <w:r>
              <w:rPr>
                <w:rFonts w:hint="eastAsia"/>
                <w:color w:val="auto"/>
              </w:rPr>
              <w:t>检修中、有电危险、禁止合闸、当心机械伤人等</w:t>
            </w:r>
          </w:p>
        </w:tc>
        <w:tc>
          <w:tcPr>
            <w:tcW w:w="1351" w:type="dxa"/>
            <w:vAlign w:val="center"/>
          </w:tcPr>
          <w:p w14:paraId="6658828F">
            <w:pPr>
              <w:pStyle w:val="30"/>
              <w:bidi w:val="0"/>
              <w:rPr>
                <w:color w:val="auto"/>
              </w:rPr>
            </w:pPr>
            <w:r>
              <w:rPr>
                <w:rFonts w:hint="eastAsia"/>
                <w:color w:val="auto"/>
              </w:rPr>
              <w:t>若干</w:t>
            </w:r>
          </w:p>
        </w:tc>
        <w:tc>
          <w:tcPr>
            <w:tcW w:w="1616" w:type="dxa"/>
            <w:vAlign w:val="center"/>
          </w:tcPr>
          <w:p w14:paraId="6C9599B0">
            <w:pPr>
              <w:pStyle w:val="30"/>
              <w:bidi w:val="0"/>
              <w:rPr>
                <w:color w:val="auto"/>
              </w:rPr>
            </w:pPr>
            <w:r>
              <w:rPr>
                <w:rFonts w:hint="eastAsia"/>
                <w:color w:val="auto"/>
              </w:rPr>
              <w:t>车间、厂区、堆场、配电车间等</w:t>
            </w:r>
          </w:p>
        </w:tc>
      </w:tr>
      <w:tr w14:paraId="5017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00" w:type="dxa"/>
            <w:gridSpan w:val="6"/>
            <w:vAlign w:val="center"/>
          </w:tcPr>
          <w:p w14:paraId="297D89AC">
            <w:pPr>
              <w:pStyle w:val="30"/>
              <w:bidi w:val="0"/>
              <w:rPr>
                <w:color w:val="auto"/>
              </w:rPr>
            </w:pPr>
            <w:r>
              <w:rPr>
                <w:rFonts w:hint="eastAsia"/>
                <w:color w:val="auto"/>
              </w:rPr>
              <w:t>二、控制事故安全设施</w:t>
            </w:r>
          </w:p>
        </w:tc>
      </w:tr>
      <w:tr w14:paraId="4596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restart"/>
            <w:vAlign w:val="center"/>
          </w:tcPr>
          <w:p w14:paraId="2C8E5337">
            <w:pPr>
              <w:pStyle w:val="30"/>
              <w:bidi w:val="0"/>
              <w:rPr>
                <w:color w:val="auto"/>
              </w:rPr>
            </w:pPr>
            <w:r>
              <w:rPr>
                <w:rFonts w:hint="eastAsia"/>
                <w:color w:val="auto"/>
              </w:rPr>
              <w:t>1</w:t>
            </w:r>
          </w:p>
        </w:tc>
        <w:tc>
          <w:tcPr>
            <w:tcW w:w="3376" w:type="dxa"/>
            <w:gridSpan w:val="2"/>
            <w:vMerge w:val="restart"/>
            <w:vAlign w:val="center"/>
          </w:tcPr>
          <w:p w14:paraId="6B1B245E">
            <w:pPr>
              <w:pStyle w:val="30"/>
              <w:bidi w:val="0"/>
              <w:rPr>
                <w:color w:val="auto"/>
              </w:rPr>
            </w:pPr>
            <w:r>
              <w:rPr>
                <w:rFonts w:hint="eastAsia"/>
                <w:color w:val="auto"/>
              </w:rPr>
              <w:t>紧急处理设施</w:t>
            </w:r>
          </w:p>
        </w:tc>
        <w:tc>
          <w:tcPr>
            <w:tcW w:w="2323" w:type="dxa"/>
            <w:vAlign w:val="center"/>
          </w:tcPr>
          <w:p w14:paraId="0B4F1D9E">
            <w:pPr>
              <w:pStyle w:val="30"/>
              <w:bidi w:val="0"/>
              <w:rPr>
                <w:color w:val="auto"/>
              </w:rPr>
            </w:pPr>
            <w:r>
              <w:rPr>
                <w:rFonts w:hint="eastAsia"/>
                <w:color w:val="auto"/>
              </w:rPr>
              <w:t>联锁装置</w:t>
            </w:r>
          </w:p>
        </w:tc>
        <w:tc>
          <w:tcPr>
            <w:tcW w:w="1351" w:type="dxa"/>
            <w:vAlign w:val="center"/>
          </w:tcPr>
          <w:p w14:paraId="752FE66D">
            <w:pPr>
              <w:pStyle w:val="30"/>
              <w:bidi w:val="0"/>
              <w:rPr>
                <w:color w:val="auto"/>
              </w:rPr>
            </w:pPr>
            <w:r>
              <w:rPr>
                <w:rFonts w:hint="eastAsia"/>
                <w:color w:val="auto"/>
              </w:rPr>
              <w:t>若干</w:t>
            </w:r>
          </w:p>
        </w:tc>
        <w:tc>
          <w:tcPr>
            <w:tcW w:w="1616" w:type="dxa"/>
            <w:vAlign w:val="center"/>
          </w:tcPr>
          <w:p w14:paraId="49A7CDFF">
            <w:pPr>
              <w:pStyle w:val="30"/>
              <w:bidi w:val="0"/>
              <w:rPr>
                <w:color w:val="auto"/>
              </w:rPr>
            </w:pPr>
            <w:r>
              <w:rPr>
                <w:rFonts w:hint="eastAsia"/>
                <w:color w:val="auto"/>
              </w:rPr>
              <w:t>工艺流程</w:t>
            </w:r>
          </w:p>
        </w:tc>
      </w:tr>
      <w:tr w14:paraId="1CB0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3ABD63A6">
            <w:pPr>
              <w:pStyle w:val="30"/>
              <w:bidi w:val="0"/>
              <w:rPr>
                <w:color w:val="auto"/>
              </w:rPr>
            </w:pPr>
          </w:p>
        </w:tc>
        <w:tc>
          <w:tcPr>
            <w:tcW w:w="3376" w:type="dxa"/>
            <w:gridSpan w:val="2"/>
            <w:vMerge w:val="continue"/>
            <w:vAlign w:val="center"/>
          </w:tcPr>
          <w:p w14:paraId="0EA4AB9A">
            <w:pPr>
              <w:pStyle w:val="30"/>
              <w:bidi w:val="0"/>
              <w:rPr>
                <w:color w:val="auto"/>
              </w:rPr>
            </w:pPr>
          </w:p>
        </w:tc>
        <w:tc>
          <w:tcPr>
            <w:tcW w:w="2323" w:type="dxa"/>
            <w:vAlign w:val="center"/>
          </w:tcPr>
          <w:p w14:paraId="5E57F3AF">
            <w:pPr>
              <w:pStyle w:val="30"/>
              <w:bidi w:val="0"/>
              <w:rPr>
                <w:color w:val="auto"/>
              </w:rPr>
            </w:pPr>
            <w:r>
              <w:rPr>
                <w:rFonts w:hint="eastAsia"/>
                <w:color w:val="auto"/>
              </w:rPr>
              <w:t>紧停装置（设备按钮、事故拉绳开关）、带式输送机</w:t>
            </w:r>
            <w:r>
              <w:rPr>
                <w:color w:val="auto"/>
              </w:rPr>
              <w:t>防跑偏装置</w:t>
            </w:r>
          </w:p>
        </w:tc>
        <w:tc>
          <w:tcPr>
            <w:tcW w:w="1351" w:type="dxa"/>
            <w:vAlign w:val="center"/>
          </w:tcPr>
          <w:p w14:paraId="6F2C5803">
            <w:pPr>
              <w:pStyle w:val="30"/>
              <w:bidi w:val="0"/>
              <w:rPr>
                <w:color w:val="auto"/>
              </w:rPr>
            </w:pPr>
            <w:r>
              <w:rPr>
                <w:rFonts w:hint="eastAsia"/>
                <w:color w:val="auto"/>
              </w:rPr>
              <w:t>若干</w:t>
            </w:r>
          </w:p>
        </w:tc>
        <w:tc>
          <w:tcPr>
            <w:tcW w:w="1616" w:type="dxa"/>
            <w:vAlign w:val="center"/>
          </w:tcPr>
          <w:p w14:paraId="13396A52">
            <w:pPr>
              <w:pStyle w:val="30"/>
              <w:bidi w:val="0"/>
              <w:rPr>
                <w:color w:val="auto"/>
              </w:rPr>
            </w:pPr>
            <w:r>
              <w:rPr>
                <w:rFonts w:hint="eastAsia"/>
                <w:color w:val="auto"/>
              </w:rPr>
              <w:t>厂房</w:t>
            </w:r>
          </w:p>
        </w:tc>
      </w:tr>
      <w:tr w14:paraId="369C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00" w:type="dxa"/>
            <w:gridSpan w:val="6"/>
            <w:vAlign w:val="center"/>
          </w:tcPr>
          <w:p w14:paraId="3C8788EC">
            <w:pPr>
              <w:pStyle w:val="30"/>
              <w:bidi w:val="0"/>
              <w:rPr>
                <w:color w:val="auto"/>
              </w:rPr>
            </w:pPr>
            <w:r>
              <w:rPr>
                <w:rFonts w:hint="eastAsia"/>
                <w:color w:val="auto"/>
              </w:rPr>
              <w:t>三、减少与消除事故安全设施</w:t>
            </w:r>
          </w:p>
        </w:tc>
      </w:tr>
      <w:tr w14:paraId="4EE5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restart"/>
            <w:vAlign w:val="center"/>
          </w:tcPr>
          <w:p w14:paraId="33ADC48A">
            <w:pPr>
              <w:pStyle w:val="30"/>
              <w:bidi w:val="0"/>
              <w:rPr>
                <w:color w:val="auto"/>
              </w:rPr>
            </w:pPr>
            <w:r>
              <w:rPr>
                <w:rFonts w:hint="eastAsia"/>
                <w:color w:val="auto"/>
              </w:rPr>
              <w:t>1</w:t>
            </w:r>
          </w:p>
        </w:tc>
        <w:tc>
          <w:tcPr>
            <w:tcW w:w="3376" w:type="dxa"/>
            <w:gridSpan w:val="2"/>
            <w:vMerge w:val="restart"/>
            <w:vAlign w:val="center"/>
          </w:tcPr>
          <w:p w14:paraId="2C59A665">
            <w:pPr>
              <w:pStyle w:val="30"/>
              <w:bidi w:val="0"/>
              <w:rPr>
                <w:color w:val="auto"/>
              </w:rPr>
            </w:pPr>
            <w:r>
              <w:rPr>
                <w:rFonts w:hint="eastAsia"/>
                <w:color w:val="auto"/>
              </w:rPr>
              <w:t>防止火灾蔓延设施</w:t>
            </w:r>
          </w:p>
        </w:tc>
        <w:tc>
          <w:tcPr>
            <w:tcW w:w="2323" w:type="dxa"/>
            <w:vAlign w:val="center"/>
          </w:tcPr>
          <w:p w14:paraId="06513661">
            <w:pPr>
              <w:pStyle w:val="30"/>
              <w:bidi w:val="0"/>
              <w:rPr>
                <w:color w:val="auto"/>
              </w:rPr>
            </w:pPr>
            <w:r>
              <w:rPr>
                <w:rFonts w:hint="eastAsia"/>
                <w:color w:val="auto"/>
              </w:rPr>
              <w:t>防火涂料</w:t>
            </w:r>
          </w:p>
        </w:tc>
        <w:tc>
          <w:tcPr>
            <w:tcW w:w="1351" w:type="dxa"/>
            <w:vAlign w:val="center"/>
          </w:tcPr>
          <w:p w14:paraId="749FD7DD">
            <w:pPr>
              <w:pStyle w:val="30"/>
              <w:bidi w:val="0"/>
              <w:rPr>
                <w:color w:val="auto"/>
              </w:rPr>
            </w:pPr>
            <w:r>
              <w:rPr>
                <w:rFonts w:hint="eastAsia"/>
                <w:color w:val="auto"/>
              </w:rPr>
              <w:t>若干</w:t>
            </w:r>
          </w:p>
        </w:tc>
        <w:tc>
          <w:tcPr>
            <w:tcW w:w="1616" w:type="dxa"/>
            <w:vAlign w:val="center"/>
          </w:tcPr>
          <w:p w14:paraId="33293511">
            <w:pPr>
              <w:pStyle w:val="30"/>
              <w:bidi w:val="0"/>
              <w:rPr>
                <w:color w:val="auto"/>
              </w:rPr>
            </w:pPr>
            <w:r>
              <w:rPr>
                <w:rFonts w:hint="eastAsia"/>
                <w:color w:val="auto"/>
              </w:rPr>
              <w:t>建筑物</w:t>
            </w:r>
          </w:p>
        </w:tc>
      </w:tr>
      <w:tr w14:paraId="3BF2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5BAC9178">
            <w:pPr>
              <w:pStyle w:val="30"/>
              <w:bidi w:val="0"/>
              <w:rPr>
                <w:color w:val="auto"/>
              </w:rPr>
            </w:pPr>
          </w:p>
        </w:tc>
        <w:tc>
          <w:tcPr>
            <w:tcW w:w="3376" w:type="dxa"/>
            <w:gridSpan w:val="2"/>
            <w:vMerge w:val="continue"/>
            <w:vAlign w:val="center"/>
          </w:tcPr>
          <w:p w14:paraId="06558715">
            <w:pPr>
              <w:pStyle w:val="30"/>
              <w:bidi w:val="0"/>
              <w:rPr>
                <w:color w:val="auto"/>
              </w:rPr>
            </w:pPr>
          </w:p>
        </w:tc>
        <w:tc>
          <w:tcPr>
            <w:tcW w:w="2323" w:type="dxa"/>
            <w:vAlign w:val="center"/>
          </w:tcPr>
          <w:p w14:paraId="1A2BE5FB">
            <w:pPr>
              <w:pStyle w:val="30"/>
              <w:bidi w:val="0"/>
              <w:rPr>
                <w:color w:val="auto"/>
              </w:rPr>
            </w:pPr>
            <w:r>
              <w:rPr>
                <w:rFonts w:hint="eastAsia"/>
                <w:color w:val="auto"/>
              </w:rPr>
              <w:t>围墙</w:t>
            </w:r>
          </w:p>
        </w:tc>
        <w:tc>
          <w:tcPr>
            <w:tcW w:w="1351" w:type="dxa"/>
            <w:vAlign w:val="center"/>
          </w:tcPr>
          <w:p w14:paraId="21228E40">
            <w:pPr>
              <w:pStyle w:val="30"/>
              <w:bidi w:val="0"/>
              <w:rPr>
                <w:color w:val="auto"/>
              </w:rPr>
            </w:pPr>
            <w:r>
              <w:rPr>
                <w:rFonts w:hint="eastAsia"/>
                <w:color w:val="auto"/>
              </w:rPr>
              <w:t>若干</w:t>
            </w:r>
          </w:p>
        </w:tc>
        <w:tc>
          <w:tcPr>
            <w:tcW w:w="1616" w:type="dxa"/>
            <w:vAlign w:val="center"/>
          </w:tcPr>
          <w:p w14:paraId="45B7EC57">
            <w:pPr>
              <w:pStyle w:val="30"/>
              <w:bidi w:val="0"/>
              <w:rPr>
                <w:color w:val="auto"/>
              </w:rPr>
            </w:pPr>
            <w:r>
              <w:rPr>
                <w:rFonts w:hint="eastAsia"/>
                <w:color w:val="auto"/>
              </w:rPr>
              <w:t>厂房</w:t>
            </w:r>
          </w:p>
        </w:tc>
      </w:tr>
      <w:tr w14:paraId="69DF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Align w:val="center"/>
          </w:tcPr>
          <w:p w14:paraId="65856DF7">
            <w:pPr>
              <w:pStyle w:val="30"/>
              <w:bidi w:val="0"/>
              <w:rPr>
                <w:color w:val="auto"/>
              </w:rPr>
            </w:pPr>
            <w:r>
              <w:rPr>
                <w:rFonts w:hint="eastAsia"/>
                <w:color w:val="auto"/>
              </w:rPr>
              <w:t>2</w:t>
            </w:r>
          </w:p>
        </w:tc>
        <w:tc>
          <w:tcPr>
            <w:tcW w:w="3376" w:type="dxa"/>
            <w:gridSpan w:val="2"/>
            <w:vAlign w:val="center"/>
          </w:tcPr>
          <w:p w14:paraId="4AD87EA9">
            <w:pPr>
              <w:pStyle w:val="30"/>
              <w:bidi w:val="0"/>
              <w:rPr>
                <w:color w:val="auto"/>
              </w:rPr>
            </w:pPr>
            <w:r>
              <w:rPr>
                <w:rFonts w:hint="eastAsia"/>
                <w:color w:val="auto"/>
              </w:rPr>
              <w:t>灭火设施</w:t>
            </w:r>
          </w:p>
        </w:tc>
        <w:tc>
          <w:tcPr>
            <w:tcW w:w="2323" w:type="dxa"/>
            <w:vAlign w:val="center"/>
          </w:tcPr>
          <w:p w14:paraId="6E8002BE">
            <w:pPr>
              <w:pStyle w:val="30"/>
              <w:bidi w:val="0"/>
              <w:rPr>
                <w:color w:val="auto"/>
              </w:rPr>
            </w:pPr>
            <w:r>
              <w:rPr>
                <w:rFonts w:hint="eastAsia"/>
                <w:color w:val="auto"/>
              </w:rPr>
              <w:t>MF/ABC</w:t>
            </w:r>
            <w:r>
              <w:rPr>
                <w:color w:val="auto"/>
              </w:rPr>
              <w:t>4</w:t>
            </w:r>
            <w:r>
              <w:rPr>
                <w:rFonts w:hint="eastAsia"/>
                <w:color w:val="auto"/>
              </w:rPr>
              <w:t>型灭火器</w:t>
            </w:r>
          </w:p>
        </w:tc>
        <w:tc>
          <w:tcPr>
            <w:tcW w:w="1351" w:type="dxa"/>
            <w:vAlign w:val="center"/>
          </w:tcPr>
          <w:p w14:paraId="3FF61BB3">
            <w:pPr>
              <w:pStyle w:val="30"/>
              <w:bidi w:val="0"/>
              <w:rPr>
                <w:rFonts w:hint="default" w:eastAsia="宋体"/>
                <w:color w:val="auto"/>
                <w:lang w:val="en-US" w:eastAsia="zh-CN"/>
              </w:rPr>
            </w:pPr>
            <w:r>
              <w:rPr>
                <w:rFonts w:hint="eastAsia"/>
                <w:color w:val="auto"/>
                <w:lang w:val="en-US" w:eastAsia="zh-CN"/>
              </w:rPr>
              <w:t>20</w:t>
            </w:r>
          </w:p>
        </w:tc>
        <w:tc>
          <w:tcPr>
            <w:tcW w:w="1616" w:type="dxa"/>
            <w:vAlign w:val="center"/>
          </w:tcPr>
          <w:p w14:paraId="5F91726C">
            <w:pPr>
              <w:pStyle w:val="30"/>
              <w:bidi w:val="0"/>
              <w:rPr>
                <w:color w:val="auto"/>
              </w:rPr>
            </w:pPr>
            <w:r>
              <w:rPr>
                <w:rFonts w:hint="eastAsia"/>
                <w:color w:val="auto"/>
                <w:lang w:val="en-US" w:eastAsia="zh-CN"/>
              </w:rPr>
              <w:t>厂房、</w:t>
            </w:r>
            <w:r>
              <w:rPr>
                <w:rFonts w:hint="eastAsia"/>
                <w:color w:val="auto"/>
              </w:rPr>
              <w:t>配电</w:t>
            </w:r>
            <w:r>
              <w:rPr>
                <w:rFonts w:hint="eastAsia"/>
                <w:color w:val="auto"/>
                <w:lang w:val="en-US" w:eastAsia="zh-CN"/>
              </w:rPr>
              <w:t>柜旁</w:t>
            </w:r>
            <w:r>
              <w:rPr>
                <w:rFonts w:hint="eastAsia"/>
                <w:color w:val="auto"/>
              </w:rPr>
              <w:t>等</w:t>
            </w:r>
          </w:p>
        </w:tc>
      </w:tr>
      <w:tr w14:paraId="2161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restart"/>
            <w:vAlign w:val="center"/>
          </w:tcPr>
          <w:p w14:paraId="417B95F5">
            <w:pPr>
              <w:pStyle w:val="30"/>
              <w:bidi w:val="0"/>
              <w:rPr>
                <w:color w:val="auto"/>
              </w:rPr>
            </w:pPr>
            <w:r>
              <w:rPr>
                <w:rFonts w:hint="eastAsia"/>
                <w:color w:val="auto"/>
              </w:rPr>
              <w:t>3</w:t>
            </w:r>
          </w:p>
        </w:tc>
        <w:tc>
          <w:tcPr>
            <w:tcW w:w="3376" w:type="dxa"/>
            <w:gridSpan w:val="2"/>
            <w:vMerge w:val="restart"/>
            <w:vAlign w:val="center"/>
          </w:tcPr>
          <w:p w14:paraId="3D349D63">
            <w:pPr>
              <w:pStyle w:val="30"/>
              <w:bidi w:val="0"/>
              <w:rPr>
                <w:color w:val="auto"/>
              </w:rPr>
            </w:pPr>
            <w:r>
              <w:rPr>
                <w:rFonts w:hint="eastAsia"/>
                <w:color w:val="auto"/>
              </w:rPr>
              <w:t>应急救援设施</w:t>
            </w:r>
          </w:p>
        </w:tc>
        <w:tc>
          <w:tcPr>
            <w:tcW w:w="2323" w:type="dxa"/>
            <w:vAlign w:val="center"/>
          </w:tcPr>
          <w:p w14:paraId="2686C073">
            <w:pPr>
              <w:pStyle w:val="30"/>
              <w:bidi w:val="0"/>
              <w:rPr>
                <w:color w:val="auto"/>
              </w:rPr>
            </w:pPr>
            <w:r>
              <w:rPr>
                <w:rFonts w:hint="eastAsia"/>
                <w:color w:val="auto"/>
              </w:rPr>
              <w:t>常用应急药箱</w:t>
            </w:r>
          </w:p>
        </w:tc>
        <w:tc>
          <w:tcPr>
            <w:tcW w:w="1351" w:type="dxa"/>
            <w:vAlign w:val="center"/>
          </w:tcPr>
          <w:p w14:paraId="1A91BB52">
            <w:pPr>
              <w:pStyle w:val="30"/>
              <w:bidi w:val="0"/>
              <w:rPr>
                <w:color w:val="auto"/>
              </w:rPr>
            </w:pPr>
            <w:r>
              <w:rPr>
                <w:rFonts w:hint="eastAsia"/>
                <w:color w:val="auto"/>
              </w:rPr>
              <w:t>若干</w:t>
            </w:r>
          </w:p>
        </w:tc>
        <w:tc>
          <w:tcPr>
            <w:tcW w:w="1616" w:type="dxa"/>
            <w:vAlign w:val="center"/>
          </w:tcPr>
          <w:p w14:paraId="63CBED76">
            <w:pPr>
              <w:pStyle w:val="30"/>
              <w:bidi w:val="0"/>
              <w:rPr>
                <w:color w:val="auto"/>
              </w:rPr>
            </w:pPr>
            <w:r>
              <w:rPr>
                <w:rFonts w:hint="eastAsia"/>
                <w:color w:val="auto"/>
              </w:rPr>
              <w:t>生产现场</w:t>
            </w:r>
          </w:p>
        </w:tc>
      </w:tr>
      <w:tr w14:paraId="2E8E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Merge w:val="continue"/>
            <w:vAlign w:val="center"/>
          </w:tcPr>
          <w:p w14:paraId="3D81E084">
            <w:pPr>
              <w:pStyle w:val="30"/>
              <w:bidi w:val="0"/>
              <w:rPr>
                <w:color w:val="auto"/>
              </w:rPr>
            </w:pPr>
          </w:p>
        </w:tc>
        <w:tc>
          <w:tcPr>
            <w:tcW w:w="3376" w:type="dxa"/>
            <w:gridSpan w:val="2"/>
            <w:vMerge w:val="continue"/>
            <w:vAlign w:val="center"/>
          </w:tcPr>
          <w:p w14:paraId="3A8EFC2C">
            <w:pPr>
              <w:pStyle w:val="30"/>
              <w:bidi w:val="0"/>
              <w:rPr>
                <w:color w:val="auto"/>
              </w:rPr>
            </w:pPr>
          </w:p>
        </w:tc>
        <w:tc>
          <w:tcPr>
            <w:tcW w:w="2323" w:type="dxa"/>
            <w:vAlign w:val="center"/>
          </w:tcPr>
          <w:p w14:paraId="1A6D041F">
            <w:pPr>
              <w:pStyle w:val="30"/>
              <w:bidi w:val="0"/>
              <w:rPr>
                <w:color w:val="auto"/>
              </w:rPr>
            </w:pPr>
            <w:r>
              <w:rPr>
                <w:rFonts w:hint="eastAsia"/>
                <w:color w:val="auto"/>
              </w:rPr>
              <w:t>对讲机、应急物资、担架</w:t>
            </w:r>
          </w:p>
        </w:tc>
        <w:tc>
          <w:tcPr>
            <w:tcW w:w="1351" w:type="dxa"/>
            <w:vAlign w:val="center"/>
          </w:tcPr>
          <w:p w14:paraId="6343CE75">
            <w:pPr>
              <w:pStyle w:val="30"/>
              <w:bidi w:val="0"/>
              <w:rPr>
                <w:color w:val="auto"/>
              </w:rPr>
            </w:pPr>
            <w:r>
              <w:rPr>
                <w:rFonts w:hint="eastAsia"/>
                <w:color w:val="auto"/>
              </w:rPr>
              <w:t>若干</w:t>
            </w:r>
          </w:p>
        </w:tc>
        <w:tc>
          <w:tcPr>
            <w:tcW w:w="1616" w:type="dxa"/>
            <w:vAlign w:val="center"/>
          </w:tcPr>
          <w:p w14:paraId="3B545D5C">
            <w:pPr>
              <w:pStyle w:val="30"/>
              <w:bidi w:val="0"/>
              <w:rPr>
                <w:color w:val="auto"/>
              </w:rPr>
            </w:pPr>
            <w:r>
              <w:rPr>
                <w:rFonts w:hint="eastAsia"/>
                <w:color w:val="auto"/>
              </w:rPr>
              <w:t>应急物资库</w:t>
            </w:r>
          </w:p>
        </w:tc>
      </w:tr>
      <w:tr w14:paraId="517B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Align w:val="center"/>
          </w:tcPr>
          <w:p w14:paraId="261617F5">
            <w:pPr>
              <w:pStyle w:val="30"/>
              <w:bidi w:val="0"/>
              <w:rPr>
                <w:color w:val="auto"/>
              </w:rPr>
            </w:pPr>
            <w:r>
              <w:rPr>
                <w:rFonts w:hint="eastAsia"/>
                <w:color w:val="auto"/>
              </w:rPr>
              <w:t>4</w:t>
            </w:r>
          </w:p>
        </w:tc>
        <w:tc>
          <w:tcPr>
            <w:tcW w:w="3376" w:type="dxa"/>
            <w:gridSpan w:val="2"/>
            <w:vAlign w:val="center"/>
          </w:tcPr>
          <w:p w14:paraId="38A1D97C">
            <w:pPr>
              <w:pStyle w:val="30"/>
              <w:bidi w:val="0"/>
              <w:rPr>
                <w:color w:val="auto"/>
              </w:rPr>
            </w:pPr>
            <w:r>
              <w:rPr>
                <w:rFonts w:hint="eastAsia"/>
                <w:color w:val="auto"/>
              </w:rPr>
              <w:t>逃生避难</w:t>
            </w:r>
          </w:p>
        </w:tc>
        <w:tc>
          <w:tcPr>
            <w:tcW w:w="2323" w:type="dxa"/>
            <w:vAlign w:val="center"/>
          </w:tcPr>
          <w:p w14:paraId="34214ED4">
            <w:pPr>
              <w:pStyle w:val="30"/>
              <w:bidi w:val="0"/>
              <w:rPr>
                <w:color w:val="auto"/>
              </w:rPr>
            </w:pPr>
            <w:r>
              <w:rPr>
                <w:rFonts w:hint="eastAsia"/>
                <w:color w:val="auto"/>
              </w:rPr>
              <w:t>安全通道、紧急疏散口</w:t>
            </w:r>
          </w:p>
        </w:tc>
        <w:tc>
          <w:tcPr>
            <w:tcW w:w="1351" w:type="dxa"/>
            <w:vAlign w:val="center"/>
          </w:tcPr>
          <w:p w14:paraId="7CD9DA40">
            <w:pPr>
              <w:pStyle w:val="30"/>
              <w:bidi w:val="0"/>
              <w:rPr>
                <w:color w:val="auto"/>
              </w:rPr>
            </w:pPr>
            <w:r>
              <w:rPr>
                <w:rFonts w:hint="eastAsia"/>
                <w:color w:val="auto"/>
              </w:rPr>
              <w:t>若干</w:t>
            </w:r>
          </w:p>
        </w:tc>
        <w:tc>
          <w:tcPr>
            <w:tcW w:w="1616" w:type="dxa"/>
            <w:vAlign w:val="center"/>
          </w:tcPr>
          <w:p w14:paraId="4C96D524">
            <w:pPr>
              <w:pStyle w:val="30"/>
              <w:bidi w:val="0"/>
              <w:rPr>
                <w:color w:val="auto"/>
              </w:rPr>
            </w:pPr>
            <w:r>
              <w:rPr>
                <w:rFonts w:hint="eastAsia"/>
                <w:color w:val="auto"/>
              </w:rPr>
              <w:t>办公室、车间、走道和工作台</w:t>
            </w:r>
          </w:p>
        </w:tc>
      </w:tr>
      <w:tr w14:paraId="42FE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4" w:type="dxa"/>
            <w:vAlign w:val="center"/>
          </w:tcPr>
          <w:p w14:paraId="0BD90BC4">
            <w:pPr>
              <w:pStyle w:val="30"/>
              <w:bidi w:val="0"/>
              <w:rPr>
                <w:color w:val="auto"/>
              </w:rPr>
            </w:pPr>
            <w:r>
              <w:rPr>
                <w:rFonts w:hint="eastAsia"/>
                <w:color w:val="auto"/>
              </w:rPr>
              <w:t>5</w:t>
            </w:r>
          </w:p>
        </w:tc>
        <w:tc>
          <w:tcPr>
            <w:tcW w:w="3376" w:type="dxa"/>
            <w:gridSpan w:val="2"/>
            <w:vAlign w:val="center"/>
          </w:tcPr>
          <w:p w14:paraId="20A51248">
            <w:pPr>
              <w:pStyle w:val="30"/>
              <w:bidi w:val="0"/>
              <w:rPr>
                <w:color w:val="auto"/>
              </w:rPr>
            </w:pPr>
            <w:r>
              <w:rPr>
                <w:rFonts w:hint="eastAsia"/>
                <w:color w:val="auto"/>
              </w:rPr>
              <w:t>劳动防护用品和装备</w:t>
            </w:r>
          </w:p>
        </w:tc>
        <w:tc>
          <w:tcPr>
            <w:tcW w:w="2323" w:type="dxa"/>
            <w:vAlign w:val="center"/>
          </w:tcPr>
          <w:p w14:paraId="77BB10D8">
            <w:pPr>
              <w:pStyle w:val="30"/>
              <w:bidi w:val="0"/>
              <w:rPr>
                <w:color w:val="auto"/>
              </w:rPr>
            </w:pPr>
            <w:r>
              <w:rPr>
                <w:rFonts w:hint="eastAsia"/>
                <w:color w:val="auto"/>
              </w:rPr>
              <w:t>口罩、手套、鞋帽、耳塞、防滑、鞋、绳子</w:t>
            </w:r>
          </w:p>
        </w:tc>
        <w:tc>
          <w:tcPr>
            <w:tcW w:w="1351" w:type="dxa"/>
            <w:vAlign w:val="center"/>
          </w:tcPr>
          <w:p w14:paraId="5E82339D">
            <w:pPr>
              <w:pStyle w:val="30"/>
              <w:bidi w:val="0"/>
              <w:rPr>
                <w:color w:val="auto"/>
              </w:rPr>
            </w:pPr>
            <w:r>
              <w:rPr>
                <w:rFonts w:hint="eastAsia"/>
                <w:color w:val="auto"/>
              </w:rPr>
              <w:t>若干</w:t>
            </w:r>
          </w:p>
        </w:tc>
        <w:tc>
          <w:tcPr>
            <w:tcW w:w="1616" w:type="dxa"/>
            <w:vAlign w:val="center"/>
          </w:tcPr>
          <w:p w14:paraId="440305B2">
            <w:pPr>
              <w:pStyle w:val="30"/>
              <w:bidi w:val="0"/>
              <w:rPr>
                <w:color w:val="auto"/>
              </w:rPr>
            </w:pPr>
            <w:r>
              <w:rPr>
                <w:rFonts w:hint="eastAsia"/>
                <w:color w:val="auto"/>
              </w:rPr>
              <w:t>车间、办公室</w:t>
            </w:r>
          </w:p>
        </w:tc>
      </w:tr>
    </w:tbl>
    <w:p w14:paraId="48AC0026">
      <w:pPr>
        <w:pStyle w:val="3"/>
        <w:bidi w:val="0"/>
        <w:rPr>
          <w:rFonts w:hint="eastAsia"/>
          <w:color w:val="auto"/>
        </w:rPr>
      </w:pPr>
      <w:bookmarkStart w:id="65" w:name="_Toc26773"/>
      <w:r>
        <w:rPr>
          <w:rFonts w:hint="eastAsia"/>
          <w:color w:val="auto"/>
        </w:rPr>
        <w:t>2.</w:t>
      </w:r>
      <w:r>
        <w:rPr>
          <w:rFonts w:hint="eastAsia"/>
          <w:color w:val="auto"/>
          <w:lang w:val="en-US" w:eastAsia="zh-CN"/>
        </w:rPr>
        <w:t>19</w:t>
      </w:r>
      <w:r>
        <w:rPr>
          <w:rFonts w:hint="eastAsia"/>
          <w:color w:val="auto"/>
        </w:rPr>
        <w:t xml:space="preserve"> 施工及监理概况</w:t>
      </w:r>
      <w:bookmarkEnd w:id="65"/>
    </w:p>
    <w:p w14:paraId="2F4B7951">
      <w:pPr>
        <w:bidi w:val="0"/>
        <w:rPr>
          <w:rFonts w:hint="eastAsia"/>
          <w:color w:val="auto"/>
        </w:rPr>
      </w:pPr>
      <w:r>
        <w:rPr>
          <w:rFonts w:hint="eastAsia"/>
          <w:color w:val="auto"/>
        </w:rPr>
        <w:t>企业按照202</w:t>
      </w:r>
      <w:r>
        <w:rPr>
          <w:rFonts w:hint="eastAsia"/>
          <w:color w:val="auto"/>
          <w:lang w:val="en-US" w:eastAsia="zh-CN"/>
        </w:rPr>
        <w:t>4</w:t>
      </w:r>
      <w:r>
        <w:rPr>
          <w:rFonts w:hint="eastAsia"/>
          <w:color w:val="auto"/>
        </w:rPr>
        <w:t>年</w:t>
      </w:r>
      <w:r>
        <w:rPr>
          <w:rFonts w:hint="eastAsia"/>
          <w:color w:val="auto"/>
          <w:lang w:val="en-US" w:eastAsia="zh-CN"/>
        </w:rPr>
        <w:t>6</w:t>
      </w:r>
      <w:r>
        <w:rPr>
          <w:rFonts w:hint="eastAsia"/>
          <w:color w:val="auto"/>
        </w:rPr>
        <w:t>月2</w:t>
      </w:r>
      <w:r>
        <w:rPr>
          <w:rFonts w:hint="eastAsia"/>
          <w:color w:val="auto"/>
          <w:lang w:val="en-US" w:eastAsia="zh-CN"/>
        </w:rPr>
        <w:t>5</w:t>
      </w:r>
      <w:r>
        <w:rPr>
          <w:rFonts w:hint="eastAsia"/>
          <w:color w:val="auto"/>
        </w:rPr>
        <w:t>日通过武定县应急管理局组织的专家组审查的《安全设施设计》进行武定发荣矿业有限责任公司猫街大炉箐繁茂采选厂技术改造项目的工程建设。工程于2024年</w:t>
      </w:r>
      <w:r>
        <w:rPr>
          <w:rFonts w:hint="eastAsia"/>
          <w:color w:val="auto"/>
          <w:lang w:val="en-US" w:eastAsia="zh-CN"/>
        </w:rPr>
        <w:t>6</w:t>
      </w:r>
      <w:r>
        <w:rPr>
          <w:rFonts w:hint="eastAsia"/>
          <w:color w:val="auto"/>
        </w:rPr>
        <w:t>月</w:t>
      </w:r>
      <w:r>
        <w:rPr>
          <w:rFonts w:hint="eastAsia"/>
          <w:color w:val="auto"/>
          <w:lang w:val="en-US" w:eastAsia="zh-CN"/>
        </w:rPr>
        <w:t>26</w:t>
      </w:r>
      <w:r>
        <w:rPr>
          <w:rFonts w:hint="eastAsia"/>
          <w:color w:val="auto"/>
        </w:rPr>
        <w:t>日正式开工，于2024年8月1</w:t>
      </w:r>
      <w:r>
        <w:rPr>
          <w:rFonts w:hint="eastAsia"/>
          <w:color w:val="auto"/>
          <w:lang w:val="en-US" w:eastAsia="zh-CN"/>
        </w:rPr>
        <w:t>7</w:t>
      </w:r>
      <w:r>
        <w:rPr>
          <w:rFonts w:hint="eastAsia"/>
          <w:color w:val="auto"/>
        </w:rPr>
        <w:t>日完工。</w:t>
      </w:r>
    </w:p>
    <w:p w14:paraId="3A8DD78F">
      <w:pPr>
        <w:bidi w:val="0"/>
        <w:rPr>
          <w:rFonts w:hint="eastAsia"/>
          <w:color w:val="auto"/>
        </w:rPr>
      </w:pPr>
      <w:r>
        <w:rPr>
          <w:rFonts w:hint="eastAsia"/>
          <w:color w:val="auto"/>
        </w:rPr>
        <w:t>该</w:t>
      </w:r>
      <w:r>
        <w:rPr>
          <w:rFonts w:hint="eastAsia"/>
          <w:color w:val="auto"/>
          <w:lang w:val="en-US" w:eastAsia="zh-CN"/>
        </w:rPr>
        <w:t>项目</w:t>
      </w:r>
      <w:r>
        <w:rPr>
          <w:rFonts w:hint="eastAsia"/>
          <w:color w:val="auto"/>
        </w:rPr>
        <w:t>由云南德成规划设计有限公司设计，属于技术改造项目，工艺简单，且选厂具有多年经验，故建设单位自行组织施工队施工，安环部监理。</w:t>
      </w:r>
    </w:p>
    <w:p w14:paraId="5463F1DD">
      <w:pPr>
        <w:bidi w:val="0"/>
        <w:rPr>
          <w:rFonts w:hint="eastAsia"/>
          <w:color w:val="auto"/>
        </w:rPr>
      </w:pPr>
      <w:r>
        <w:rPr>
          <w:rFonts w:hint="eastAsia"/>
          <w:color w:val="auto"/>
        </w:rPr>
        <w:t>根据</w:t>
      </w:r>
      <w:r>
        <w:rPr>
          <w:rFonts w:hint="eastAsia"/>
          <w:color w:val="auto"/>
          <w:lang w:eastAsia="zh-CN"/>
        </w:rPr>
        <w:t>云南麦扬工程技术有限公司</w:t>
      </w:r>
      <w:r>
        <w:rPr>
          <w:rFonts w:hint="eastAsia"/>
          <w:color w:val="auto"/>
        </w:rPr>
        <w:t>出具的施工总结报告结论：在武定发荣矿业有限责任公司猫街大炉箐繁茂采选厂技术改造工程施工中，施工小队按照设计图纸以及施工规范要求组织施工。工程已基本按合同完成，原材料质量合格，各单位、分部、分项工程质量合格，各项工程竣工验收资料真实、完整。</w:t>
      </w:r>
    </w:p>
    <w:p w14:paraId="2931FEF3">
      <w:pPr>
        <w:bidi w:val="0"/>
        <w:rPr>
          <w:color w:val="auto"/>
        </w:rPr>
      </w:pPr>
      <w:r>
        <w:rPr>
          <w:rFonts w:hint="eastAsia"/>
          <w:color w:val="auto"/>
        </w:rPr>
        <w:t>根据</w:t>
      </w:r>
      <w:r>
        <w:rPr>
          <w:rFonts w:hint="eastAsia"/>
          <w:color w:val="auto"/>
          <w:lang w:eastAsia="zh-CN"/>
        </w:rPr>
        <w:t>成都交大工程建设集团有限公司</w:t>
      </w:r>
      <w:r>
        <w:rPr>
          <w:rFonts w:hint="eastAsia"/>
          <w:color w:val="auto"/>
        </w:rPr>
        <w:t>出具的工程监理报告结论：《武定发荣矿业有限责任公司猫街大炉箐繁茂采选厂技术改造项目》施工任务已基本完毕，完成了预定的投资计划，形成了设计的建设工程任务，各单位工程已按工程施工合同约定施工，工程质量符合设计要求及相关专业施工质量验收规范、规程及工程建设标准强制性条文等。施工单位内业资料齐全，施工质量检验资料齐全，各分部分项工程均符合设计要求，施工中未出现任何安全﹑质量问题，各项指标符合验收条件要求，故该工程质量评定为合格工程。</w:t>
      </w:r>
    </w:p>
    <w:p w14:paraId="4B0ECB1F">
      <w:pPr>
        <w:pStyle w:val="3"/>
        <w:bidi w:val="0"/>
        <w:rPr>
          <w:rFonts w:hint="eastAsia"/>
          <w:color w:val="auto"/>
        </w:rPr>
      </w:pPr>
      <w:bookmarkStart w:id="66" w:name="_Toc5776"/>
      <w:r>
        <w:rPr>
          <w:rFonts w:hint="eastAsia"/>
          <w:color w:val="auto"/>
        </w:rPr>
        <w:t>2.</w:t>
      </w:r>
      <w:r>
        <w:rPr>
          <w:rFonts w:hint="eastAsia"/>
          <w:color w:val="auto"/>
          <w:lang w:val="en-US" w:eastAsia="zh-CN"/>
        </w:rPr>
        <w:t>20</w:t>
      </w:r>
      <w:r>
        <w:rPr>
          <w:rFonts w:hint="eastAsia"/>
          <w:color w:val="auto"/>
        </w:rPr>
        <w:t xml:space="preserve"> 试运行情况</w:t>
      </w:r>
      <w:bookmarkEnd w:id="66"/>
    </w:p>
    <w:p w14:paraId="1C719990">
      <w:pPr>
        <w:bidi w:val="0"/>
        <w:rPr>
          <w:rFonts w:hint="eastAsia"/>
          <w:color w:val="auto"/>
        </w:rPr>
      </w:pPr>
      <w:r>
        <w:rPr>
          <w:rFonts w:hint="eastAsia"/>
          <w:color w:val="auto"/>
        </w:rPr>
        <w:t>企业于2024年8月1</w:t>
      </w:r>
      <w:r>
        <w:rPr>
          <w:rFonts w:hint="eastAsia"/>
          <w:color w:val="auto"/>
          <w:lang w:val="en-US" w:eastAsia="zh-CN"/>
        </w:rPr>
        <w:t>9</w:t>
      </w:r>
      <w:r>
        <w:rPr>
          <w:rFonts w:hint="eastAsia"/>
          <w:color w:val="auto"/>
        </w:rPr>
        <w:t>日进行了试生产，于2024年</w:t>
      </w:r>
      <w:r>
        <w:rPr>
          <w:rFonts w:hint="eastAsia"/>
          <w:color w:val="auto"/>
          <w:lang w:val="en-US" w:eastAsia="zh-CN"/>
        </w:rPr>
        <w:t>10</w:t>
      </w:r>
      <w:r>
        <w:rPr>
          <w:rFonts w:hint="eastAsia"/>
          <w:color w:val="auto"/>
        </w:rPr>
        <w:t>月18日编制了试生产报告。试生产期间投入设备运行良好，设备除了常规检修维护外，没有出现因设备故障引发安全事故。安全设施运行效果良好，未发生安全生产事故。由于选厂工艺简单且已有多年生产经验，故未制定试生产方案。</w:t>
      </w:r>
    </w:p>
    <w:p w14:paraId="0C5B0C46">
      <w:pPr>
        <w:bidi w:val="0"/>
        <w:rPr>
          <w:rFonts w:hint="eastAsia"/>
          <w:color w:val="auto"/>
        </w:rPr>
      </w:pPr>
      <w:r>
        <w:rPr>
          <w:rFonts w:hint="eastAsia"/>
          <w:color w:val="auto"/>
        </w:rPr>
        <w:t>项目选矿工艺采用两段破碎，磨矿采用一段闭路磨矿，优先选铜，铜浮选采用一粗一扫二精流程，铁磁选采用磁选流程。</w:t>
      </w:r>
    </w:p>
    <w:p w14:paraId="571B59BE">
      <w:pPr>
        <w:bidi w:val="0"/>
        <w:rPr>
          <w:rFonts w:hint="eastAsia"/>
          <w:color w:val="auto"/>
        </w:rPr>
      </w:pPr>
      <w:r>
        <w:rPr>
          <w:rFonts w:hint="eastAsia"/>
          <w:color w:val="auto"/>
        </w:rPr>
        <w:t>通过试生产这一阶段的工作，选厂生产基本正常，各系统运行良好，安全管理基本到位，安全技术措施已基本得到落实。本次试生产投入设备运行良好，基本达到了生产指标。但试生产也存在一些不足：本次生产在雨季，现场雨水冲刷比较脏乱，排水沟有淤堵情况。下一步工作中应进一步稳定生产工艺，优化各项生产指标；还应加强雨季对现场的管理，对淤堵排水沟及时清理，保证生产不积水。</w:t>
      </w:r>
    </w:p>
    <w:p w14:paraId="1DFF8989">
      <w:pPr>
        <w:bidi w:val="0"/>
        <w:rPr>
          <w:color w:val="auto"/>
        </w:rPr>
      </w:pPr>
      <w:r>
        <w:rPr>
          <w:rFonts w:hint="eastAsia"/>
          <w:color w:val="auto"/>
        </w:rPr>
        <w:t>经过试生产运行，</w:t>
      </w:r>
      <w:r>
        <w:rPr>
          <w:rFonts w:hint="eastAsia"/>
          <w:color w:val="auto"/>
          <w:lang w:val="en-US" w:eastAsia="zh-CN"/>
        </w:rPr>
        <w:t>选厂</w:t>
      </w:r>
      <w:r>
        <w:rPr>
          <w:rFonts w:hint="eastAsia"/>
          <w:color w:val="auto"/>
        </w:rPr>
        <w:t>各系统运行正常，安全设施运行效果良好，未发生安全生产事故。各项工作按照设计要求正在稳步健康进行，现在</w:t>
      </w:r>
      <w:r>
        <w:rPr>
          <w:rFonts w:hint="eastAsia"/>
          <w:color w:val="auto"/>
          <w:lang w:eastAsia="zh-CN"/>
        </w:rPr>
        <w:t>武定发荣矿业有限责任公司猫街大炉箐繁茂采选厂技术改造项目</w:t>
      </w:r>
      <w:r>
        <w:rPr>
          <w:rFonts w:hint="eastAsia"/>
          <w:color w:val="auto"/>
        </w:rPr>
        <w:t>工程已总体满足安全设施设计的要求，可基本满足国家安全生产法律法规以及安全生产的各项条件。</w:t>
      </w:r>
    </w:p>
    <w:p w14:paraId="16DEA6A2">
      <w:pPr>
        <w:pStyle w:val="3"/>
        <w:bidi w:val="0"/>
        <w:rPr>
          <w:rFonts w:hint="default"/>
          <w:color w:val="auto"/>
        </w:rPr>
      </w:pPr>
      <w:bookmarkStart w:id="67" w:name="_Toc2030"/>
      <w:bookmarkStart w:id="68" w:name="_Toc11654"/>
      <w:bookmarkStart w:id="69" w:name="_Toc24806"/>
      <w:r>
        <w:rPr>
          <w:rFonts w:hint="default"/>
          <w:color w:val="auto"/>
          <w:lang w:val="en-US" w:eastAsia="zh-CN"/>
        </w:rPr>
        <w:t>2.</w:t>
      </w:r>
      <w:r>
        <w:rPr>
          <w:rFonts w:hint="eastAsia"/>
          <w:color w:val="auto"/>
          <w:lang w:val="en-US" w:eastAsia="zh-CN"/>
        </w:rPr>
        <w:t>21</w:t>
      </w:r>
      <w:r>
        <w:rPr>
          <w:rFonts w:hint="default"/>
          <w:color w:val="auto"/>
          <w:lang w:val="en-US" w:eastAsia="zh-CN"/>
        </w:rPr>
        <w:t xml:space="preserve"> 建设项目情况照片</w:t>
      </w:r>
      <w:bookmarkEnd w:id="67"/>
      <w:bookmarkEnd w:id="68"/>
      <w:bookmarkEnd w:id="69"/>
    </w:p>
    <w:p w14:paraId="5507DB76">
      <w:pPr>
        <w:rPr>
          <w:color w:val="auto"/>
        </w:rPr>
      </w:pPr>
      <w:r>
        <w:rPr>
          <w:rFonts w:hint="eastAsia"/>
          <w:color w:val="auto"/>
          <w:lang w:val="en-US" w:eastAsia="zh-CN"/>
        </w:rPr>
        <w:t>**********</w:t>
      </w:r>
      <w:r>
        <w:rPr>
          <w:color w:val="auto"/>
        </w:rPr>
        <w:br w:type="page"/>
      </w:r>
    </w:p>
    <w:p w14:paraId="25F6793C">
      <w:pPr>
        <w:pStyle w:val="2"/>
        <w:bidi w:val="0"/>
        <w:rPr>
          <w:rFonts w:hint="eastAsia"/>
          <w:color w:val="auto"/>
        </w:rPr>
      </w:pPr>
      <w:bookmarkStart w:id="70" w:name="_Toc5442"/>
      <w:r>
        <w:rPr>
          <w:rFonts w:hint="eastAsia"/>
          <w:color w:val="auto"/>
        </w:rPr>
        <w:t>3 危险、有害因素辨识与分析</w:t>
      </w:r>
      <w:bookmarkEnd w:id="70"/>
    </w:p>
    <w:p w14:paraId="68FCCDB0">
      <w:pPr>
        <w:pStyle w:val="3"/>
        <w:bidi w:val="0"/>
        <w:rPr>
          <w:rFonts w:hint="eastAsia"/>
          <w:color w:val="auto"/>
        </w:rPr>
      </w:pPr>
      <w:bookmarkStart w:id="71" w:name="_Toc19846"/>
      <w:r>
        <w:rPr>
          <w:rFonts w:hint="eastAsia"/>
          <w:color w:val="auto"/>
        </w:rPr>
        <w:t>3.1 主要物料危险、有害因素、有害程度分析</w:t>
      </w:r>
      <w:bookmarkEnd w:id="71"/>
    </w:p>
    <w:p w14:paraId="470E480F">
      <w:pPr>
        <w:pStyle w:val="4"/>
        <w:bidi w:val="0"/>
        <w:rPr>
          <w:rFonts w:hint="eastAsia"/>
          <w:color w:val="auto"/>
        </w:rPr>
      </w:pPr>
      <w:bookmarkStart w:id="72" w:name="_Toc13920"/>
      <w:r>
        <w:rPr>
          <w:rFonts w:hint="eastAsia"/>
          <w:color w:val="auto"/>
        </w:rPr>
        <w:t>3.1.1</w:t>
      </w:r>
      <w:r>
        <w:rPr>
          <w:rFonts w:hint="eastAsia"/>
          <w:color w:val="auto"/>
          <w:lang w:val="en-US" w:eastAsia="zh-CN"/>
        </w:rPr>
        <w:t xml:space="preserve"> </w:t>
      </w:r>
      <w:r>
        <w:rPr>
          <w:rFonts w:hint="eastAsia"/>
          <w:color w:val="auto"/>
        </w:rPr>
        <w:t>危险化学品辨识</w:t>
      </w:r>
      <w:bookmarkEnd w:id="72"/>
    </w:p>
    <w:p w14:paraId="03E6F9B7">
      <w:pPr>
        <w:bidi w:val="0"/>
        <w:rPr>
          <w:rFonts w:hint="eastAsia"/>
          <w:color w:val="auto"/>
        </w:rPr>
      </w:pPr>
      <w:r>
        <w:rPr>
          <w:rFonts w:hint="eastAsia"/>
          <w:color w:val="auto"/>
        </w:rPr>
        <w:t>通过对该选矿厂的生产工艺、原料、辅助材料、产品进行分析后，得出该项目在生产过程中涉及的主要危险、有害物质有：润滑油</w:t>
      </w:r>
      <w:r>
        <w:rPr>
          <w:rFonts w:hint="eastAsia"/>
          <w:color w:val="auto"/>
          <w:lang w:eastAsia="zh-CN"/>
        </w:rPr>
        <w:t>，</w:t>
      </w:r>
      <w:r>
        <w:rPr>
          <w:rFonts w:hint="eastAsia"/>
          <w:color w:val="auto"/>
        </w:rPr>
        <w:t>乙炔[溶解的]</w:t>
      </w:r>
      <w:r>
        <w:rPr>
          <w:rFonts w:hint="eastAsia"/>
          <w:color w:val="auto"/>
          <w:lang w:eastAsia="zh-CN"/>
        </w:rPr>
        <w:t>，</w:t>
      </w:r>
      <w:r>
        <w:rPr>
          <w:rFonts w:hint="eastAsia"/>
          <w:color w:val="auto"/>
        </w:rPr>
        <w:t>氧气[压缩的]</w:t>
      </w:r>
      <w:r>
        <w:rPr>
          <w:rFonts w:hint="eastAsia"/>
          <w:color w:val="auto"/>
          <w:lang w:eastAsia="zh-CN"/>
        </w:rPr>
        <w:t>，</w:t>
      </w:r>
      <w:r>
        <w:rPr>
          <w:rFonts w:hint="eastAsia"/>
          <w:color w:val="auto"/>
          <w:lang w:val="en-US" w:eastAsia="zh-CN"/>
        </w:rPr>
        <w:t>2号油（又名松醇油、浮选起泡剂，不在《危险化学品目录（2022年调整版）》内），</w:t>
      </w:r>
      <w:r>
        <w:rPr>
          <w:rFonts w:hint="eastAsia"/>
          <w:color w:val="auto"/>
        </w:rPr>
        <w:t>730A（起泡剂，主要成分为α，α，4-三甲基-3-环已烯-1-甲醇、1.3，3．三甲基双环[2.2.1]庚-2-醇、樟脑、以及C6-8醇、醚、酮按合适的比例组成，不在《危险化学品目录（2022年调整版）》内，但属可燃性液体）、丁基钠黄药（丁基钠黄药，不在《危险化学品目录（2022年调整版）》内）等。</w:t>
      </w:r>
    </w:p>
    <w:p w14:paraId="352587FD">
      <w:pPr>
        <w:bidi w:val="0"/>
        <w:rPr>
          <w:rFonts w:hint="eastAsia"/>
          <w:color w:val="auto"/>
        </w:rPr>
      </w:pPr>
      <w:r>
        <w:rPr>
          <w:rFonts w:hint="eastAsia"/>
          <w:color w:val="auto"/>
        </w:rPr>
        <w:t>此外，由于硫化钠等硫酸盐在酸性环境下可能产生硫化氢气体、厌氧条件下硫酸盐还原菌SRB还原SO</w:t>
      </w:r>
      <w:r>
        <w:rPr>
          <w:rFonts w:hint="eastAsia"/>
          <w:color w:val="auto"/>
          <w:vertAlign w:val="subscript"/>
        </w:rPr>
        <w:t>4</w:t>
      </w:r>
      <w:r>
        <w:rPr>
          <w:rFonts w:hint="eastAsia"/>
          <w:color w:val="auto"/>
          <w:vertAlign w:val="superscript"/>
        </w:rPr>
        <w:t>2-</w:t>
      </w:r>
      <w:r>
        <w:rPr>
          <w:rFonts w:hint="eastAsia"/>
          <w:color w:val="auto"/>
        </w:rPr>
        <w:t>产生H</w:t>
      </w:r>
      <w:r>
        <w:rPr>
          <w:rFonts w:hint="eastAsia"/>
          <w:color w:val="auto"/>
          <w:vertAlign w:val="subscript"/>
        </w:rPr>
        <w:t>2</w:t>
      </w:r>
      <w:r>
        <w:rPr>
          <w:rFonts w:hint="eastAsia"/>
          <w:color w:val="auto"/>
        </w:rPr>
        <w:t>S气体、含硫的有机物在微生物的作用下产生H</w:t>
      </w:r>
      <w:r>
        <w:rPr>
          <w:rFonts w:hint="eastAsia"/>
          <w:color w:val="auto"/>
          <w:vertAlign w:val="subscript"/>
        </w:rPr>
        <w:t>2</w:t>
      </w:r>
      <w:r>
        <w:rPr>
          <w:rFonts w:hint="eastAsia"/>
          <w:color w:val="auto"/>
        </w:rPr>
        <w:t>S气体，故在浮选过程中，药剂搅拌桶、回水池等有限空间可能产生硫化氢气体</w:t>
      </w:r>
      <w:r>
        <w:rPr>
          <w:rFonts w:hint="eastAsia"/>
          <w:color w:val="auto"/>
          <w:highlight w:val="none"/>
        </w:rPr>
        <w:t>（危险化学品，危险特性为易燃气体，类别1；加压气体；急性毒性-吸入，类别2*；危害水生环境-急性危害，类别1）</w:t>
      </w:r>
      <w:r>
        <w:rPr>
          <w:rFonts w:hint="eastAsia"/>
          <w:color w:val="auto"/>
        </w:rPr>
        <w:t>。</w:t>
      </w:r>
    </w:p>
    <w:p w14:paraId="555599D9">
      <w:pPr>
        <w:bidi w:val="0"/>
        <w:rPr>
          <w:rFonts w:hint="eastAsia"/>
          <w:color w:val="auto"/>
        </w:rPr>
      </w:pPr>
      <w:r>
        <w:rPr>
          <w:rFonts w:hint="eastAsia"/>
          <w:color w:val="auto"/>
        </w:rPr>
        <w:t>（1）根据《危险化学品名录》（2022年调整版）判别：乙炔、氧气[压缩的]、硫化钠属于危险化学品。</w:t>
      </w:r>
    </w:p>
    <w:p w14:paraId="7633EF55">
      <w:pPr>
        <w:bidi w:val="0"/>
        <w:rPr>
          <w:rFonts w:hint="eastAsia"/>
          <w:color w:val="auto"/>
        </w:rPr>
      </w:pPr>
      <w:r>
        <w:rPr>
          <w:rFonts w:hint="eastAsia"/>
          <w:color w:val="auto"/>
        </w:rPr>
        <w:t>（2）根据《国家安全监管总局关于公布首批重点监管的危险化学品名录的通知》（安监总管三（2011）95号）和《国家安全监管总局关于公布第二批重点监管危险化学品名录的通知》（安监总管三〔2013〕12号），该项目涉及的主要危险、有害物质中乙炔属于首批重点监管的危险化学品，其它不属于重点监管的危险化学品。</w:t>
      </w:r>
    </w:p>
    <w:p w14:paraId="50054EC6">
      <w:pPr>
        <w:bidi w:val="0"/>
        <w:rPr>
          <w:rFonts w:hint="eastAsia"/>
          <w:color w:val="auto"/>
        </w:rPr>
      </w:pPr>
      <w:r>
        <w:rPr>
          <w:rFonts w:hint="eastAsia"/>
          <w:color w:val="auto"/>
        </w:rPr>
        <w:t>（</w:t>
      </w:r>
      <w:r>
        <w:rPr>
          <w:rFonts w:hint="eastAsia"/>
          <w:color w:val="auto"/>
          <w:lang w:val="en-US" w:eastAsia="zh-CN"/>
        </w:rPr>
        <w:t>3</w:t>
      </w:r>
      <w:r>
        <w:rPr>
          <w:rFonts w:hint="eastAsia"/>
          <w:color w:val="auto"/>
        </w:rPr>
        <w:t>）根据《危险化学品名录》（2022年调整版）判别：乙炔属于危险化学品；柴油属于危险化学品；变压器油、设备润滑油、不属于危险化学品，但也具有一定的火灾危险性。</w:t>
      </w:r>
    </w:p>
    <w:p w14:paraId="5AAFF398">
      <w:pPr>
        <w:bidi w:val="0"/>
        <w:rPr>
          <w:rFonts w:hint="eastAsia"/>
          <w:color w:val="auto"/>
        </w:rPr>
      </w:pPr>
      <w:r>
        <w:rPr>
          <w:rFonts w:hint="eastAsia"/>
          <w:color w:val="auto"/>
        </w:rPr>
        <w:t>（</w:t>
      </w:r>
      <w:r>
        <w:rPr>
          <w:rFonts w:hint="eastAsia"/>
          <w:color w:val="auto"/>
          <w:lang w:val="en-US" w:eastAsia="zh-CN"/>
        </w:rPr>
        <w:t>4</w:t>
      </w:r>
      <w:r>
        <w:rPr>
          <w:rFonts w:hint="eastAsia"/>
          <w:color w:val="auto"/>
        </w:rPr>
        <w:t>）根据《剧毒化学品目录》（2015版）、《易制毒化学品管理条例》（国务院令第445号）、《非药品类易制毒化学品生产、经营许可办法》（</w:t>
      </w:r>
      <w:r>
        <w:rPr>
          <w:rFonts w:hint="eastAsia"/>
          <w:color w:val="auto"/>
          <w:lang w:val="en-US" w:eastAsia="zh-CN"/>
        </w:rPr>
        <w:t>原</w:t>
      </w:r>
      <w:r>
        <w:rPr>
          <w:rFonts w:hint="eastAsia"/>
          <w:color w:val="auto"/>
        </w:rPr>
        <w:t>国家安全生产监督管理总局令第5号）进行辨识，该项目不涉及剧毒化学品。</w:t>
      </w:r>
    </w:p>
    <w:p w14:paraId="04C943D3">
      <w:pPr>
        <w:bidi w:val="0"/>
        <w:rPr>
          <w:rFonts w:hint="eastAsia"/>
          <w:color w:val="auto"/>
        </w:rPr>
      </w:pPr>
      <w:r>
        <w:rPr>
          <w:rFonts w:hint="eastAsia"/>
          <w:color w:val="auto"/>
          <w:lang w:eastAsia="zh-CN"/>
        </w:rPr>
        <w:t>（</w:t>
      </w:r>
      <w:r>
        <w:rPr>
          <w:rFonts w:hint="eastAsia"/>
          <w:color w:val="auto"/>
          <w:lang w:val="en-US" w:eastAsia="zh-CN"/>
        </w:rPr>
        <w:t>5</w:t>
      </w:r>
      <w:r>
        <w:rPr>
          <w:rFonts w:hint="eastAsia"/>
          <w:color w:val="auto"/>
          <w:lang w:eastAsia="zh-CN"/>
        </w:rPr>
        <w:t>）</w:t>
      </w:r>
      <w:r>
        <w:rPr>
          <w:rFonts w:hint="eastAsia"/>
          <w:color w:val="auto"/>
        </w:rPr>
        <w:t>根据《易制毒化学品管理条例》（国务院令第445号）和《非药品类易制毒化学品生产、经营许可办法》（国家安全生产监督管理总局令第5号），该项目不涉及易制毒化学品。</w:t>
      </w:r>
    </w:p>
    <w:p w14:paraId="20869FEB">
      <w:pPr>
        <w:pStyle w:val="4"/>
        <w:bidi w:val="0"/>
        <w:rPr>
          <w:rFonts w:hint="eastAsia"/>
          <w:color w:val="auto"/>
        </w:rPr>
      </w:pPr>
      <w:bookmarkStart w:id="73" w:name="_Toc20943"/>
      <w:r>
        <w:rPr>
          <w:rFonts w:hint="eastAsia"/>
          <w:color w:val="auto"/>
        </w:rPr>
        <w:t>3.1.2</w:t>
      </w:r>
      <w:r>
        <w:rPr>
          <w:rFonts w:hint="eastAsia"/>
          <w:color w:val="auto"/>
          <w:lang w:val="en-US" w:eastAsia="zh-CN"/>
        </w:rPr>
        <w:t xml:space="preserve"> </w:t>
      </w:r>
      <w:r>
        <w:rPr>
          <w:rFonts w:hint="eastAsia"/>
          <w:color w:val="auto"/>
        </w:rPr>
        <w:t>危险、有害物质的主要危险特性</w:t>
      </w:r>
      <w:bookmarkEnd w:id="73"/>
    </w:p>
    <w:p w14:paraId="154F6C0C">
      <w:pPr>
        <w:bidi w:val="0"/>
        <w:rPr>
          <w:rFonts w:hint="eastAsia"/>
          <w:color w:val="auto"/>
        </w:rPr>
      </w:pPr>
      <w:r>
        <w:rPr>
          <w:rFonts w:hint="eastAsia"/>
          <w:color w:val="auto"/>
        </w:rPr>
        <w:t>1、柴油</w:t>
      </w:r>
    </w:p>
    <w:p w14:paraId="1F5B0203">
      <w:pPr>
        <w:bidi w:val="0"/>
        <w:rPr>
          <w:rFonts w:hint="eastAsia"/>
          <w:color w:val="auto"/>
        </w:rPr>
      </w:pPr>
      <w:r>
        <w:rPr>
          <w:rFonts w:hint="eastAsia"/>
          <w:color w:val="auto"/>
        </w:rPr>
        <w:t>项目中所使用的柴油主要为供给装载机使用的桶装柴油（随用随拉，不储存），加油时油桶存在火灾爆炸的危险。</w:t>
      </w:r>
    </w:p>
    <w:p w14:paraId="4D984DBF">
      <w:pPr>
        <w:pStyle w:val="29"/>
        <w:bidi w:val="0"/>
        <w:rPr>
          <w:color w:val="auto"/>
        </w:rPr>
      </w:pPr>
      <w:r>
        <w:rPr>
          <w:rFonts w:hint="eastAsia"/>
          <w:color w:val="auto"/>
        </w:rPr>
        <w:t>表3.1-1  柴油理化特性表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3"/>
        <w:gridCol w:w="7050"/>
      </w:tblGrid>
      <w:tr w14:paraId="6AA6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3" w:type="dxa"/>
            <w:gridSpan w:val="2"/>
            <w:noWrap w:val="0"/>
            <w:vAlign w:val="center"/>
          </w:tcPr>
          <w:p w14:paraId="3AD8E20F">
            <w:pPr>
              <w:pStyle w:val="30"/>
              <w:bidi w:val="0"/>
              <w:rPr>
                <w:rFonts w:hint="default"/>
                <w:color w:val="auto"/>
              </w:rPr>
            </w:pPr>
            <w:r>
              <w:rPr>
                <w:rFonts w:hint="default"/>
                <w:color w:val="auto"/>
              </w:rPr>
              <w:t>1.标识</w:t>
            </w:r>
          </w:p>
        </w:tc>
      </w:tr>
      <w:tr w14:paraId="6DE9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3A7AA037">
            <w:pPr>
              <w:pStyle w:val="30"/>
              <w:bidi w:val="0"/>
              <w:rPr>
                <w:rFonts w:hint="default"/>
                <w:color w:val="auto"/>
              </w:rPr>
            </w:pPr>
            <w:r>
              <w:rPr>
                <w:rFonts w:hint="default"/>
                <w:color w:val="auto"/>
              </w:rPr>
              <w:t>中文名</w:t>
            </w:r>
          </w:p>
        </w:tc>
        <w:tc>
          <w:tcPr>
            <w:tcW w:w="7050" w:type="dxa"/>
            <w:noWrap w:val="0"/>
            <w:vAlign w:val="center"/>
          </w:tcPr>
          <w:p w14:paraId="1114BB71">
            <w:pPr>
              <w:pStyle w:val="30"/>
              <w:bidi w:val="0"/>
              <w:rPr>
                <w:rFonts w:hint="default"/>
                <w:color w:val="auto"/>
              </w:rPr>
            </w:pPr>
            <w:r>
              <w:rPr>
                <w:rFonts w:hint="default"/>
                <w:color w:val="auto"/>
              </w:rPr>
              <w:t>柴油</w:t>
            </w:r>
          </w:p>
        </w:tc>
      </w:tr>
      <w:tr w14:paraId="55A9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552FC79B">
            <w:pPr>
              <w:pStyle w:val="30"/>
              <w:bidi w:val="0"/>
              <w:rPr>
                <w:rFonts w:hint="default"/>
                <w:color w:val="auto"/>
              </w:rPr>
            </w:pPr>
            <w:r>
              <w:rPr>
                <w:rFonts w:hint="default"/>
                <w:color w:val="auto"/>
              </w:rPr>
              <w:t>英文名</w:t>
            </w:r>
          </w:p>
        </w:tc>
        <w:tc>
          <w:tcPr>
            <w:tcW w:w="7050" w:type="dxa"/>
            <w:noWrap w:val="0"/>
            <w:vAlign w:val="center"/>
          </w:tcPr>
          <w:p w14:paraId="02D12947">
            <w:pPr>
              <w:pStyle w:val="30"/>
              <w:bidi w:val="0"/>
              <w:rPr>
                <w:rFonts w:hint="default"/>
                <w:color w:val="auto"/>
              </w:rPr>
            </w:pPr>
            <w:r>
              <w:rPr>
                <w:rFonts w:hint="default"/>
                <w:color w:val="auto"/>
              </w:rPr>
              <w:t>Diesel Oil；diesel fuel；</w:t>
            </w:r>
          </w:p>
        </w:tc>
      </w:tr>
      <w:tr w14:paraId="1955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57B035A3">
            <w:pPr>
              <w:pStyle w:val="30"/>
              <w:bidi w:val="0"/>
              <w:rPr>
                <w:rFonts w:hint="default"/>
                <w:color w:val="auto"/>
              </w:rPr>
            </w:pPr>
            <w:r>
              <w:rPr>
                <w:rFonts w:hint="default"/>
                <w:color w:val="auto"/>
              </w:rPr>
              <w:t>CAS号：</w:t>
            </w:r>
          </w:p>
        </w:tc>
        <w:tc>
          <w:tcPr>
            <w:tcW w:w="7050" w:type="dxa"/>
            <w:noWrap w:val="0"/>
            <w:vAlign w:val="center"/>
          </w:tcPr>
          <w:p w14:paraId="69F2C8B1">
            <w:pPr>
              <w:pStyle w:val="30"/>
              <w:bidi w:val="0"/>
              <w:rPr>
                <w:rFonts w:hint="default"/>
                <w:color w:val="auto"/>
              </w:rPr>
            </w:pPr>
            <w:r>
              <w:rPr>
                <w:rFonts w:hint="default"/>
                <w:color w:val="auto"/>
              </w:rPr>
              <w:t>68334-30-5</w:t>
            </w:r>
          </w:p>
        </w:tc>
      </w:tr>
      <w:tr w14:paraId="23D7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3" w:type="dxa"/>
            <w:gridSpan w:val="2"/>
            <w:noWrap w:val="0"/>
            <w:vAlign w:val="center"/>
          </w:tcPr>
          <w:p w14:paraId="49461157">
            <w:pPr>
              <w:pStyle w:val="30"/>
              <w:bidi w:val="0"/>
              <w:rPr>
                <w:rFonts w:hint="default"/>
                <w:color w:val="auto"/>
              </w:rPr>
            </w:pPr>
            <w:r>
              <w:rPr>
                <w:rFonts w:hint="default"/>
                <w:color w:val="auto"/>
              </w:rPr>
              <w:t>2.理化性质</w:t>
            </w:r>
          </w:p>
        </w:tc>
      </w:tr>
      <w:tr w14:paraId="5900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13BA2191">
            <w:pPr>
              <w:pStyle w:val="30"/>
              <w:bidi w:val="0"/>
              <w:rPr>
                <w:rFonts w:hint="default"/>
                <w:color w:val="auto"/>
              </w:rPr>
            </w:pPr>
            <w:r>
              <w:rPr>
                <w:rFonts w:hint="default"/>
                <w:color w:val="auto"/>
              </w:rPr>
              <w:t>主要成分：</w:t>
            </w:r>
          </w:p>
        </w:tc>
        <w:tc>
          <w:tcPr>
            <w:tcW w:w="7050" w:type="dxa"/>
            <w:noWrap w:val="0"/>
            <w:vAlign w:val="center"/>
          </w:tcPr>
          <w:p w14:paraId="43FAAAEA">
            <w:pPr>
              <w:pStyle w:val="30"/>
              <w:bidi w:val="0"/>
              <w:rPr>
                <w:rFonts w:hint="default"/>
                <w:color w:val="auto"/>
              </w:rPr>
            </w:pPr>
            <w:r>
              <w:rPr>
                <w:rFonts w:hint="default"/>
                <w:color w:val="auto"/>
              </w:rPr>
              <w:t>烷烃、烯烃、环烷烃、芳香烃、多环芳烃与少量硫</w:t>
            </w:r>
            <w:r>
              <w:rPr>
                <w:rFonts w:hint="default"/>
                <w:color w:val="auto"/>
                <w:lang w:eastAsia="zh-CN"/>
              </w:rPr>
              <w:t>（</w:t>
            </w:r>
            <w:r>
              <w:rPr>
                <w:rFonts w:hint="default"/>
                <w:color w:val="auto"/>
              </w:rPr>
              <w:t>2g/kg～60g/kg</w:t>
            </w:r>
            <w:r>
              <w:rPr>
                <w:rFonts w:hint="eastAsia"/>
                <w:color w:val="auto"/>
                <w:lang w:eastAsia="zh-CN"/>
              </w:rPr>
              <w:t>）</w:t>
            </w:r>
            <w:r>
              <w:rPr>
                <w:rFonts w:hint="default"/>
                <w:color w:val="auto"/>
              </w:rPr>
              <w:t>、氮</w:t>
            </w:r>
            <w:r>
              <w:rPr>
                <w:rFonts w:hint="default"/>
                <w:color w:val="auto"/>
                <w:lang w:eastAsia="zh-CN"/>
              </w:rPr>
              <w:t>（</w:t>
            </w:r>
            <w:r>
              <w:rPr>
                <w:rFonts w:hint="default"/>
                <w:color w:val="auto"/>
              </w:rPr>
              <w:t>&lt;lg/kg</w:t>
            </w:r>
            <w:r>
              <w:rPr>
                <w:rFonts w:hint="eastAsia"/>
                <w:color w:val="auto"/>
                <w:lang w:eastAsia="zh-CN"/>
              </w:rPr>
              <w:t>）</w:t>
            </w:r>
            <w:r>
              <w:rPr>
                <w:rFonts w:hint="default"/>
                <w:color w:val="auto"/>
              </w:rPr>
              <w:t>及添加剂组成的混合物</w:t>
            </w:r>
          </w:p>
        </w:tc>
      </w:tr>
      <w:tr w14:paraId="7D7F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347EB403">
            <w:pPr>
              <w:pStyle w:val="30"/>
              <w:bidi w:val="0"/>
              <w:rPr>
                <w:rFonts w:hint="default"/>
                <w:color w:val="auto"/>
              </w:rPr>
            </w:pPr>
            <w:r>
              <w:rPr>
                <w:rFonts w:hint="default"/>
                <w:color w:val="auto"/>
              </w:rPr>
              <w:t>沸点：</w:t>
            </w:r>
          </w:p>
        </w:tc>
        <w:tc>
          <w:tcPr>
            <w:tcW w:w="7050" w:type="dxa"/>
            <w:noWrap w:val="0"/>
            <w:vAlign w:val="center"/>
          </w:tcPr>
          <w:p w14:paraId="47C2BAF4">
            <w:pPr>
              <w:pStyle w:val="30"/>
              <w:bidi w:val="0"/>
              <w:rPr>
                <w:rFonts w:hint="default"/>
                <w:color w:val="auto"/>
              </w:rPr>
            </w:pPr>
            <w:r>
              <w:rPr>
                <w:rFonts w:hint="default"/>
                <w:color w:val="auto"/>
              </w:rPr>
              <w:t>180℃～370℃</w:t>
            </w:r>
          </w:p>
        </w:tc>
      </w:tr>
      <w:tr w14:paraId="3BFD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57DD76A5">
            <w:pPr>
              <w:pStyle w:val="30"/>
              <w:bidi w:val="0"/>
              <w:rPr>
                <w:rFonts w:hint="default"/>
                <w:color w:val="auto"/>
              </w:rPr>
            </w:pPr>
            <w:r>
              <w:rPr>
                <w:rFonts w:hint="default"/>
                <w:color w:val="auto"/>
              </w:rPr>
              <w:t>溶点</w:t>
            </w:r>
          </w:p>
        </w:tc>
        <w:tc>
          <w:tcPr>
            <w:tcW w:w="7050" w:type="dxa"/>
            <w:noWrap w:val="0"/>
            <w:vAlign w:val="center"/>
          </w:tcPr>
          <w:p w14:paraId="1777EBBD">
            <w:pPr>
              <w:pStyle w:val="30"/>
              <w:bidi w:val="0"/>
              <w:rPr>
                <w:rFonts w:hint="default"/>
                <w:color w:val="auto"/>
              </w:rPr>
            </w:pPr>
            <w:r>
              <w:rPr>
                <w:rFonts w:hint="eastAsia"/>
                <w:color w:val="auto"/>
                <w:lang w:val="en-US" w:eastAsia="zh-CN"/>
              </w:rPr>
              <w:t>-</w:t>
            </w:r>
            <w:r>
              <w:rPr>
                <w:rFonts w:hint="default"/>
                <w:color w:val="auto"/>
              </w:rPr>
              <w:t>29.56℃</w:t>
            </w:r>
          </w:p>
        </w:tc>
      </w:tr>
      <w:tr w14:paraId="0735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0322AD35">
            <w:pPr>
              <w:pStyle w:val="30"/>
              <w:bidi w:val="0"/>
              <w:rPr>
                <w:rFonts w:hint="default"/>
                <w:color w:val="auto"/>
              </w:rPr>
            </w:pPr>
            <w:r>
              <w:rPr>
                <w:rFonts w:hint="default"/>
                <w:color w:val="auto"/>
              </w:rPr>
              <w:t>相对密度</w:t>
            </w:r>
            <w:r>
              <w:rPr>
                <w:rFonts w:hint="default"/>
                <w:color w:val="auto"/>
                <w:lang w:eastAsia="zh-CN"/>
              </w:rPr>
              <w:t>（</w:t>
            </w:r>
            <w:r>
              <w:rPr>
                <w:rFonts w:hint="default"/>
                <w:color w:val="auto"/>
              </w:rPr>
              <w:t>水=1</w:t>
            </w:r>
            <w:r>
              <w:rPr>
                <w:rFonts w:hint="eastAsia"/>
                <w:color w:val="auto"/>
                <w:lang w:eastAsia="zh-CN"/>
              </w:rPr>
              <w:t>）</w:t>
            </w:r>
            <w:r>
              <w:rPr>
                <w:rFonts w:hint="default"/>
                <w:color w:val="auto"/>
              </w:rPr>
              <w:t>：</w:t>
            </w:r>
          </w:p>
        </w:tc>
        <w:tc>
          <w:tcPr>
            <w:tcW w:w="7050" w:type="dxa"/>
            <w:noWrap w:val="0"/>
            <w:vAlign w:val="center"/>
          </w:tcPr>
          <w:p w14:paraId="66350DE1">
            <w:pPr>
              <w:pStyle w:val="30"/>
              <w:bidi w:val="0"/>
              <w:rPr>
                <w:rFonts w:hint="default"/>
                <w:color w:val="auto"/>
              </w:rPr>
            </w:pPr>
            <w:r>
              <w:rPr>
                <w:rFonts w:hint="default"/>
                <w:color w:val="auto"/>
              </w:rPr>
              <w:t>0.85～0.9</w:t>
            </w:r>
          </w:p>
        </w:tc>
      </w:tr>
      <w:tr w14:paraId="0B73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690DEA63">
            <w:pPr>
              <w:pStyle w:val="30"/>
              <w:bidi w:val="0"/>
              <w:rPr>
                <w:rFonts w:hint="default"/>
                <w:color w:val="auto"/>
              </w:rPr>
            </w:pPr>
            <w:r>
              <w:rPr>
                <w:rFonts w:hint="default"/>
                <w:color w:val="auto"/>
              </w:rPr>
              <w:t>蒸汽密度：</w:t>
            </w:r>
          </w:p>
        </w:tc>
        <w:tc>
          <w:tcPr>
            <w:tcW w:w="7050" w:type="dxa"/>
            <w:noWrap w:val="0"/>
            <w:vAlign w:val="center"/>
          </w:tcPr>
          <w:p w14:paraId="6C00608B">
            <w:pPr>
              <w:pStyle w:val="30"/>
              <w:bidi w:val="0"/>
              <w:rPr>
                <w:rFonts w:hint="default"/>
                <w:color w:val="auto"/>
              </w:rPr>
            </w:pPr>
            <w:r>
              <w:rPr>
                <w:rFonts w:hint="default"/>
                <w:color w:val="auto"/>
              </w:rPr>
              <w:t>4</w:t>
            </w:r>
          </w:p>
        </w:tc>
      </w:tr>
      <w:tr w14:paraId="7604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12A36807">
            <w:pPr>
              <w:pStyle w:val="30"/>
              <w:bidi w:val="0"/>
              <w:rPr>
                <w:rFonts w:hint="default"/>
                <w:color w:val="auto"/>
              </w:rPr>
            </w:pPr>
            <w:r>
              <w:rPr>
                <w:rFonts w:hint="default"/>
                <w:color w:val="auto"/>
              </w:rPr>
              <w:t>蒸气压：</w:t>
            </w:r>
          </w:p>
        </w:tc>
        <w:tc>
          <w:tcPr>
            <w:tcW w:w="7050" w:type="dxa"/>
            <w:noWrap w:val="0"/>
            <w:vAlign w:val="center"/>
          </w:tcPr>
          <w:p w14:paraId="4057C9BB">
            <w:pPr>
              <w:pStyle w:val="30"/>
              <w:bidi w:val="0"/>
              <w:rPr>
                <w:rFonts w:hint="default"/>
                <w:color w:val="auto"/>
              </w:rPr>
            </w:pPr>
            <w:r>
              <w:rPr>
                <w:rFonts w:hint="default"/>
                <w:color w:val="auto"/>
              </w:rPr>
              <w:t>4.0kPa</w:t>
            </w:r>
          </w:p>
        </w:tc>
      </w:tr>
      <w:tr w14:paraId="738C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46B29BCA">
            <w:pPr>
              <w:pStyle w:val="30"/>
              <w:bidi w:val="0"/>
              <w:rPr>
                <w:rFonts w:hint="default"/>
                <w:color w:val="auto"/>
              </w:rPr>
            </w:pPr>
            <w:r>
              <w:rPr>
                <w:rFonts w:hint="default"/>
                <w:color w:val="auto"/>
              </w:rPr>
              <w:t>外观性状：</w:t>
            </w:r>
          </w:p>
        </w:tc>
        <w:tc>
          <w:tcPr>
            <w:tcW w:w="7050" w:type="dxa"/>
            <w:noWrap w:val="0"/>
            <w:vAlign w:val="center"/>
          </w:tcPr>
          <w:p w14:paraId="4DDA57EA">
            <w:pPr>
              <w:pStyle w:val="30"/>
              <w:bidi w:val="0"/>
              <w:rPr>
                <w:rFonts w:hint="default"/>
                <w:color w:val="auto"/>
              </w:rPr>
            </w:pPr>
            <w:r>
              <w:rPr>
                <w:rFonts w:hint="default"/>
                <w:color w:val="auto"/>
                <w:lang w:eastAsia="zh-CN"/>
              </w:rPr>
              <w:t>（</w:t>
            </w:r>
            <w:r>
              <w:rPr>
                <w:rFonts w:hint="default"/>
                <w:color w:val="auto"/>
              </w:rPr>
              <w:t>以燃料油为例</w:t>
            </w:r>
            <w:r>
              <w:rPr>
                <w:rFonts w:hint="eastAsia"/>
                <w:color w:val="auto"/>
                <w:lang w:eastAsia="zh-CN"/>
              </w:rPr>
              <w:t>）</w:t>
            </w:r>
            <w:r>
              <w:rPr>
                <w:rFonts w:hint="default"/>
                <w:color w:val="auto"/>
              </w:rPr>
              <w:t>稍有粘性的浅黄至棕色或淡黄色液体，不溶于水。</w:t>
            </w:r>
          </w:p>
        </w:tc>
      </w:tr>
      <w:tr w14:paraId="1CC0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5AEEAB0B">
            <w:pPr>
              <w:pStyle w:val="30"/>
              <w:bidi w:val="0"/>
              <w:rPr>
                <w:rFonts w:hint="default"/>
                <w:color w:val="auto"/>
              </w:rPr>
            </w:pPr>
            <w:r>
              <w:rPr>
                <w:rFonts w:hint="default"/>
                <w:color w:val="auto"/>
              </w:rPr>
              <w:t>主要用途</w:t>
            </w:r>
          </w:p>
        </w:tc>
        <w:tc>
          <w:tcPr>
            <w:tcW w:w="7050" w:type="dxa"/>
            <w:noWrap w:val="0"/>
            <w:vAlign w:val="center"/>
          </w:tcPr>
          <w:p w14:paraId="2A04E7FA">
            <w:pPr>
              <w:pStyle w:val="30"/>
              <w:bidi w:val="0"/>
              <w:rPr>
                <w:rFonts w:hint="default"/>
                <w:color w:val="auto"/>
              </w:rPr>
            </w:pPr>
            <w:r>
              <w:rPr>
                <w:rFonts w:hint="default"/>
                <w:color w:val="auto"/>
              </w:rPr>
              <w:t>主要用于做柴油汽车、拖拉机等柴油发动机的燃料。</w:t>
            </w:r>
          </w:p>
        </w:tc>
      </w:tr>
      <w:tr w14:paraId="443C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1C08A7CE">
            <w:pPr>
              <w:pStyle w:val="30"/>
              <w:bidi w:val="0"/>
              <w:rPr>
                <w:rFonts w:hint="default"/>
                <w:color w:val="auto"/>
              </w:rPr>
            </w:pPr>
            <w:r>
              <w:rPr>
                <w:rFonts w:hint="default"/>
                <w:color w:val="auto"/>
              </w:rPr>
              <w:t>危险特性</w:t>
            </w:r>
          </w:p>
        </w:tc>
        <w:tc>
          <w:tcPr>
            <w:tcW w:w="7050" w:type="dxa"/>
            <w:noWrap w:val="0"/>
            <w:vAlign w:val="center"/>
          </w:tcPr>
          <w:p w14:paraId="59A84153">
            <w:pPr>
              <w:pStyle w:val="30"/>
              <w:bidi w:val="0"/>
              <w:rPr>
                <w:rFonts w:hint="default"/>
                <w:color w:val="auto"/>
              </w:rPr>
            </w:pPr>
            <w:r>
              <w:rPr>
                <w:rFonts w:hint="default"/>
                <w:color w:val="auto"/>
              </w:rPr>
              <w:t>闪点：40℃</w:t>
            </w:r>
          </w:p>
          <w:p w14:paraId="6DDBAE80">
            <w:pPr>
              <w:pStyle w:val="30"/>
              <w:bidi w:val="0"/>
              <w:rPr>
                <w:rFonts w:hint="default"/>
                <w:color w:val="auto"/>
              </w:rPr>
            </w:pPr>
            <w:r>
              <w:rPr>
                <w:rFonts w:hint="default"/>
                <w:color w:val="auto"/>
              </w:rPr>
              <w:t>爆炸极限：0.6％～6.5％</w:t>
            </w:r>
          </w:p>
          <w:p w14:paraId="77885AC8">
            <w:pPr>
              <w:pStyle w:val="30"/>
              <w:bidi w:val="0"/>
              <w:rPr>
                <w:rFonts w:hint="default"/>
                <w:color w:val="auto"/>
              </w:rPr>
            </w:pPr>
            <w:r>
              <w:rPr>
                <w:rFonts w:hint="default"/>
                <w:color w:val="auto"/>
              </w:rPr>
              <w:t>引燃温度：257℃</w:t>
            </w:r>
          </w:p>
          <w:p w14:paraId="44A54F2D">
            <w:pPr>
              <w:pStyle w:val="30"/>
              <w:bidi w:val="0"/>
              <w:rPr>
                <w:rFonts w:hint="default"/>
                <w:color w:val="auto"/>
              </w:rPr>
            </w:pPr>
            <w:r>
              <w:rPr>
                <w:rFonts w:hint="default"/>
                <w:color w:val="auto"/>
              </w:rPr>
              <w:t>自燃点：350℃~380℃</w:t>
            </w:r>
          </w:p>
          <w:p w14:paraId="16B6E42F">
            <w:pPr>
              <w:pStyle w:val="30"/>
              <w:bidi w:val="0"/>
              <w:rPr>
                <w:rFonts w:hint="default"/>
                <w:color w:val="auto"/>
              </w:rPr>
            </w:pPr>
            <w:r>
              <w:rPr>
                <w:rFonts w:hint="default"/>
                <w:color w:val="auto"/>
              </w:rPr>
              <w:t>稳定性：稳定</w:t>
            </w:r>
          </w:p>
          <w:p w14:paraId="2FD8D421">
            <w:pPr>
              <w:pStyle w:val="30"/>
              <w:bidi w:val="0"/>
              <w:rPr>
                <w:rFonts w:hint="default"/>
                <w:color w:val="auto"/>
              </w:rPr>
            </w:pPr>
            <w:r>
              <w:rPr>
                <w:rFonts w:hint="default"/>
                <w:color w:val="auto"/>
              </w:rPr>
              <w:t>聚合危害：不能出现</w:t>
            </w:r>
          </w:p>
          <w:p w14:paraId="20A4F629">
            <w:pPr>
              <w:pStyle w:val="30"/>
              <w:bidi w:val="0"/>
              <w:rPr>
                <w:rFonts w:hint="default"/>
                <w:color w:val="auto"/>
              </w:rPr>
            </w:pPr>
            <w:r>
              <w:rPr>
                <w:rFonts w:hint="default"/>
                <w:color w:val="auto"/>
              </w:rPr>
              <w:t>禁忌物：强氧化剂、卤素</w:t>
            </w:r>
          </w:p>
          <w:p w14:paraId="67EB999E">
            <w:pPr>
              <w:pStyle w:val="30"/>
              <w:bidi w:val="0"/>
              <w:rPr>
                <w:rFonts w:hint="default"/>
                <w:color w:val="auto"/>
              </w:rPr>
            </w:pPr>
            <w:r>
              <w:rPr>
                <w:rFonts w:hint="default"/>
                <w:color w:val="auto"/>
              </w:rPr>
              <w:t>①蒸气与空气混合成为爆炸性混合物0.7％~5.0％；</w:t>
            </w:r>
          </w:p>
          <w:p w14:paraId="179C1424">
            <w:pPr>
              <w:pStyle w:val="30"/>
              <w:bidi w:val="0"/>
              <w:rPr>
                <w:rFonts w:hint="default"/>
                <w:color w:val="auto"/>
              </w:rPr>
            </w:pPr>
            <w:r>
              <w:rPr>
                <w:rFonts w:hint="default"/>
                <w:color w:val="auto"/>
              </w:rPr>
              <w:t>②遇热、火花、明火，有引起燃烧爆炸的危险；</w:t>
            </w:r>
          </w:p>
          <w:p w14:paraId="060A1534">
            <w:pPr>
              <w:pStyle w:val="30"/>
              <w:bidi w:val="0"/>
              <w:rPr>
                <w:rFonts w:hint="default"/>
                <w:color w:val="auto"/>
              </w:rPr>
            </w:pPr>
            <w:r>
              <w:rPr>
                <w:rFonts w:hint="default"/>
                <w:color w:val="auto"/>
              </w:rPr>
              <w:t>③遇高热，容器内压增大，有开裂和爆炸的危险；</w:t>
            </w:r>
          </w:p>
          <w:p w14:paraId="1351F521">
            <w:pPr>
              <w:pStyle w:val="30"/>
              <w:bidi w:val="0"/>
              <w:rPr>
                <w:rFonts w:hint="default"/>
                <w:color w:val="auto"/>
              </w:rPr>
            </w:pPr>
            <w:r>
              <w:rPr>
                <w:rFonts w:hint="default"/>
                <w:color w:val="auto"/>
              </w:rPr>
              <w:t>④可蓄积静电，引起电火花；</w:t>
            </w:r>
          </w:p>
          <w:p w14:paraId="156709FF">
            <w:pPr>
              <w:pStyle w:val="30"/>
              <w:bidi w:val="0"/>
              <w:rPr>
                <w:rFonts w:hint="default"/>
                <w:color w:val="auto"/>
              </w:rPr>
            </w:pPr>
            <w:r>
              <w:rPr>
                <w:rFonts w:hint="default"/>
                <w:color w:val="auto"/>
              </w:rPr>
              <w:t>⑤分解和燃烧产物为一氧化碳、二氧化碳和硫氧化物；</w:t>
            </w:r>
          </w:p>
          <w:p w14:paraId="069BEFB1">
            <w:pPr>
              <w:pStyle w:val="30"/>
              <w:bidi w:val="0"/>
              <w:rPr>
                <w:rFonts w:hint="default"/>
                <w:color w:val="auto"/>
              </w:rPr>
            </w:pPr>
            <w:r>
              <w:rPr>
                <w:rFonts w:hint="default"/>
                <w:color w:val="auto"/>
              </w:rPr>
              <w:t>⑥避免接触氧化剂。</w:t>
            </w:r>
          </w:p>
        </w:tc>
      </w:tr>
      <w:tr w14:paraId="4A82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3BBB5856">
            <w:pPr>
              <w:pStyle w:val="30"/>
              <w:bidi w:val="0"/>
              <w:rPr>
                <w:rFonts w:hint="default"/>
                <w:color w:val="auto"/>
              </w:rPr>
            </w:pPr>
            <w:r>
              <w:rPr>
                <w:rFonts w:hint="default"/>
                <w:color w:val="auto"/>
              </w:rPr>
              <w:t>灭火方法</w:t>
            </w:r>
          </w:p>
        </w:tc>
        <w:tc>
          <w:tcPr>
            <w:tcW w:w="7050" w:type="dxa"/>
            <w:noWrap w:val="0"/>
            <w:vAlign w:val="center"/>
          </w:tcPr>
          <w:p w14:paraId="353A69DD">
            <w:pPr>
              <w:pStyle w:val="30"/>
              <w:bidi w:val="0"/>
              <w:rPr>
                <w:rFonts w:hint="default"/>
                <w:color w:val="auto"/>
              </w:rPr>
            </w:pPr>
            <w:r>
              <w:rPr>
                <w:rFonts w:hint="default"/>
                <w:color w:val="auto"/>
              </w:rPr>
              <w:t>泡沫、二氧化碳、干粉、1211灭火剂、砂土。</w:t>
            </w:r>
          </w:p>
        </w:tc>
      </w:tr>
      <w:tr w14:paraId="5EDE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1A71E3D0">
            <w:pPr>
              <w:pStyle w:val="30"/>
              <w:bidi w:val="0"/>
              <w:rPr>
                <w:rFonts w:hint="default"/>
                <w:color w:val="auto"/>
              </w:rPr>
            </w:pPr>
            <w:r>
              <w:rPr>
                <w:rFonts w:hint="default"/>
                <w:color w:val="auto"/>
              </w:rPr>
              <w:t>泄漏处理</w:t>
            </w:r>
          </w:p>
        </w:tc>
        <w:tc>
          <w:tcPr>
            <w:tcW w:w="7050" w:type="dxa"/>
            <w:noWrap w:val="0"/>
            <w:vAlign w:val="center"/>
          </w:tcPr>
          <w:p w14:paraId="774C8932">
            <w:pPr>
              <w:pStyle w:val="30"/>
              <w:bidi w:val="0"/>
              <w:rPr>
                <w:rFonts w:hint="default"/>
                <w:color w:val="auto"/>
              </w:rPr>
            </w:pPr>
            <w:r>
              <w:rPr>
                <w:rFonts w:hint="default"/>
                <w:color w:val="auto"/>
              </w:rPr>
              <w:t>疏散泄漏污染区人员至安全区，禁止无关人员进入污染区，切断电源。应急处理人员戴自给式呼吸器，穿一般消防防护服。在确保安全情况下堵漏。喷水雾可减少蒸发。用活性炭或其它惰性材料吸收，然后收集于干燥净洁有盖的容器中，运至废物处理场所。如大量泄漏，利用围堤收容，然后收集、转移、回收或无害处理后废弃。</w:t>
            </w:r>
          </w:p>
        </w:tc>
      </w:tr>
      <w:tr w14:paraId="0376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150B066F">
            <w:pPr>
              <w:pStyle w:val="30"/>
              <w:bidi w:val="0"/>
              <w:rPr>
                <w:rFonts w:hint="default"/>
                <w:color w:val="auto"/>
              </w:rPr>
            </w:pPr>
            <w:r>
              <w:rPr>
                <w:rFonts w:hint="default"/>
                <w:color w:val="auto"/>
              </w:rPr>
              <w:t>储运注意事项</w:t>
            </w:r>
          </w:p>
        </w:tc>
        <w:tc>
          <w:tcPr>
            <w:tcW w:w="7050" w:type="dxa"/>
            <w:noWrap w:val="0"/>
            <w:vAlign w:val="center"/>
          </w:tcPr>
          <w:p w14:paraId="4FB994CB">
            <w:pPr>
              <w:pStyle w:val="30"/>
              <w:bidi w:val="0"/>
              <w:rPr>
                <w:rFonts w:hint="default"/>
                <w:color w:val="auto"/>
              </w:rPr>
            </w:pPr>
            <w:r>
              <w:rPr>
                <w:rFonts w:hint="default"/>
                <w:color w:val="auto"/>
              </w:rPr>
              <w:t>储存于阴凉、通风仓间内。远离火种、热源。防止阳光直射。保持容器密封。应与氧化剂分开存放。储存间内的照明、通风等设施应采用防爆型。配备相应品种和数量的消防器材。罐储时要有防爆技术措施。禁止使用易产生火花的机械设备和工具。充装时控制流速，注意防止静电积聚。搬运时要轻装轻卸，防止包装及容器损坏。</w:t>
            </w:r>
          </w:p>
        </w:tc>
      </w:tr>
      <w:tr w14:paraId="3271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5D8BD506">
            <w:pPr>
              <w:pStyle w:val="30"/>
              <w:bidi w:val="0"/>
              <w:rPr>
                <w:rFonts w:hint="default"/>
                <w:color w:val="auto"/>
              </w:rPr>
            </w:pPr>
            <w:r>
              <w:rPr>
                <w:rFonts w:hint="default"/>
                <w:color w:val="auto"/>
              </w:rPr>
              <w:t>防护措施</w:t>
            </w:r>
          </w:p>
        </w:tc>
        <w:tc>
          <w:tcPr>
            <w:tcW w:w="7050" w:type="dxa"/>
            <w:noWrap w:val="0"/>
            <w:vAlign w:val="center"/>
          </w:tcPr>
          <w:p w14:paraId="08925ECD">
            <w:pPr>
              <w:pStyle w:val="30"/>
              <w:bidi w:val="0"/>
              <w:rPr>
                <w:rFonts w:hint="default"/>
                <w:color w:val="auto"/>
              </w:rPr>
            </w:pPr>
            <w:r>
              <w:rPr>
                <w:rFonts w:hint="default"/>
                <w:color w:val="auto"/>
              </w:rPr>
              <w:t>工程控制：密闭操作，注意通风。</w:t>
            </w:r>
          </w:p>
          <w:p w14:paraId="724EE4A0">
            <w:pPr>
              <w:pStyle w:val="30"/>
              <w:bidi w:val="0"/>
              <w:rPr>
                <w:rFonts w:hint="default"/>
                <w:color w:val="auto"/>
              </w:rPr>
            </w:pPr>
            <w:r>
              <w:rPr>
                <w:rFonts w:hint="default"/>
                <w:color w:val="auto"/>
              </w:rPr>
              <w:t>呼吸系统防护：一般不需要特殊防护，但建议特殊情况下，佩戴防毒面具。</w:t>
            </w:r>
          </w:p>
          <w:p w14:paraId="34C91F46">
            <w:pPr>
              <w:pStyle w:val="30"/>
              <w:bidi w:val="0"/>
              <w:rPr>
                <w:rFonts w:hint="default"/>
                <w:color w:val="auto"/>
              </w:rPr>
            </w:pPr>
            <w:r>
              <w:rPr>
                <w:rFonts w:hint="default"/>
                <w:color w:val="auto"/>
              </w:rPr>
              <w:t>眼睛防护：必要时戴安</w:t>
            </w:r>
          </w:p>
          <w:p w14:paraId="1E8059A5">
            <w:pPr>
              <w:pStyle w:val="30"/>
              <w:bidi w:val="0"/>
              <w:rPr>
                <w:rFonts w:hint="default"/>
                <w:color w:val="auto"/>
              </w:rPr>
            </w:pPr>
            <w:r>
              <w:rPr>
                <w:rFonts w:hint="default"/>
                <w:color w:val="auto"/>
              </w:rPr>
              <w:t>全防护眼镜。</w:t>
            </w:r>
          </w:p>
          <w:p w14:paraId="4B5AA173">
            <w:pPr>
              <w:pStyle w:val="30"/>
              <w:bidi w:val="0"/>
              <w:rPr>
                <w:rFonts w:hint="default"/>
                <w:color w:val="auto"/>
              </w:rPr>
            </w:pPr>
            <w:r>
              <w:rPr>
                <w:rFonts w:hint="default"/>
                <w:color w:val="auto"/>
              </w:rPr>
              <w:t>防护服：穿工作服</w:t>
            </w:r>
          </w:p>
          <w:p w14:paraId="2CF9F1FD">
            <w:pPr>
              <w:pStyle w:val="30"/>
              <w:bidi w:val="0"/>
              <w:rPr>
                <w:rFonts w:hint="default"/>
                <w:color w:val="auto"/>
              </w:rPr>
            </w:pPr>
            <w:r>
              <w:rPr>
                <w:rFonts w:hint="default"/>
                <w:color w:val="auto"/>
              </w:rPr>
              <w:t>手防护：戴防护手套</w:t>
            </w:r>
          </w:p>
          <w:p w14:paraId="5D562C2D">
            <w:pPr>
              <w:pStyle w:val="30"/>
              <w:bidi w:val="0"/>
              <w:rPr>
                <w:rFonts w:hint="default"/>
                <w:color w:val="auto"/>
              </w:rPr>
            </w:pPr>
            <w:r>
              <w:rPr>
                <w:rFonts w:hint="default"/>
                <w:color w:val="auto"/>
              </w:rPr>
              <w:t>其  它：工作后，淋浴更衣。保持良好的卫生习惯。</w:t>
            </w:r>
          </w:p>
        </w:tc>
      </w:tr>
      <w:tr w14:paraId="730A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10FEE35F">
            <w:pPr>
              <w:pStyle w:val="30"/>
              <w:bidi w:val="0"/>
              <w:rPr>
                <w:rFonts w:hint="default"/>
                <w:color w:val="auto"/>
              </w:rPr>
            </w:pPr>
            <w:r>
              <w:rPr>
                <w:rFonts w:hint="default"/>
                <w:color w:val="auto"/>
              </w:rPr>
              <w:t>毒理学资料</w:t>
            </w:r>
          </w:p>
        </w:tc>
        <w:tc>
          <w:tcPr>
            <w:tcW w:w="7050" w:type="dxa"/>
            <w:noWrap w:val="0"/>
            <w:vAlign w:val="center"/>
          </w:tcPr>
          <w:p w14:paraId="45A68BFD">
            <w:pPr>
              <w:pStyle w:val="30"/>
              <w:bidi w:val="0"/>
              <w:rPr>
                <w:rFonts w:hint="default"/>
                <w:color w:val="auto"/>
              </w:rPr>
            </w:pPr>
            <w:r>
              <w:rPr>
                <w:rFonts w:hint="default"/>
                <w:color w:val="auto"/>
              </w:rPr>
              <w:t>大鼠经口LD50：7500mg/kg。</w:t>
            </w:r>
          </w:p>
          <w:p w14:paraId="21443812">
            <w:pPr>
              <w:pStyle w:val="30"/>
              <w:bidi w:val="0"/>
              <w:rPr>
                <w:rFonts w:hint="default"/>
                <w:color w:val="auto"/>
              </w:rPr>
            </w:pPr>
            <w:r>
              <w:rPr>
                <w:rFonts w:hint="default"/>
                <w:color w:val="auto"/>
              </w:rPr>
              <w:t>兔经皮LD50：&gt;5ml/kg。因杂质及添加剂</w:t>
            </w:r>
            <w:r>
              <w:rPr>
                <w:rFonts w:hint="default"/>
                <w:color w:val="auto"/>
                <w:lang w:eastAsia="zh-CN"/>
              </w:rPr>
              <w:t>（</w:t>
            </w:r>
            <w:r>
              <w:rPr>
                <w:rFonts w:hint="default"/>
                <w:color w:val="auto"/>
              </w:rPr>
              <w:t>如硫化酯类等</w:t>
            </w:r>
            <w:r>
              <w:rPr>
                <w:rFonts w:hint="eastAsia"/>
                <w:color w:val="auto"/>
                <w:lang w:eastAsia="zh-CN"/>
              </w:rPr>
              <w:t>）</w:t>
            </w:r>
            <w:r>
              <w:rPr>
                <w:rFonts w:hint="default"/>
                <w:color w:val="auto"/>
              </w:rPr>
              <w:t>不同而毒性可有差异。</w:t>
            </w:r>
          </w:p>
          <w:p w14:paraId="16441D12">
            <w:pPr>
              <w:pStyle w:val="30"/>
              <w:bidi w:val="0"/>
              <w:rPr>
                <w:rFonts w:hint="default"/>
                <w:color w:val="auto"/>
              </w:rPr>
            </w:pPr>
            <w:r>
              <w:rPr>
                <w:rFonts w:hint="default"/>
                <w:color w:val="auto"/>
              </w:rPr>
              <w:t>对皮肤和粘膜有刺激作用。也可有轻度麻醉作用。用500mg涂兔皮肤引起中毒皮肤刺激。柴油为高沸点物质，吸入蒸气而毒害的机会较少。</w:t>
            </w:r>
          </w:p>
        </w:tc>
      </w:tr>
      <w:tr w14:paraId="70BC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5BE4B0DA">
            <w:pPr>
              <w:pStyle w:val="30"/>
              <w:bidi w:val="0"/>
              <w:rPr>
                <w:rFonts w:hint="default"/>
                <w:color w:val="auto"/>
              </w:rPr>
            </w:pPr>
            <w:r>
              <w:rPr>
                <w:rFonts w:hint="default"/>
                <w:color w:val="auto"/>
              </w:rPr>
              <w:t>急救</w:t>
            </w:r>
          </w:p>
        </w:tc>
        <w:tc>
          <w:tcPr>
            <w:tcW w:w="7050" w:type="dxa"/>
            <w:noWrap w:val="0"/>
            <w:vAlign w:val="center"/>
          </w:tcPr>
          <w:p w14:paraId="2C82B232">
            <w:pPr>
              <w:pStyle w:val="30"/>
              <w:bidi w:val="0"/>
              <w:rPr>
                <w:rFonts w:hint="default"/>
                <w:color w:val="auto"/>
              </w:rPr>
            </w:pPr>
            <w:r>
              <w:rPr>
                <w:rFonts w:hint="default"/>
                <w:color w:val="auto"/>
              </w:rPr>
              <w:t>皮肤接触：脱去污染的衣着，用肥皂及清水彻底冲洗，就医。</w:t>
            </w:r>
          </w:p>
          <w:p w14:paraId="5DF5DB50">
            <w:pPr>
              <w:pStyle w:val="30"/>
              <w:bidi w:val="0"/>
              <w:rPr>
                <w:rFonts w:hint="default"/>
                <w:color w:val="auto"/>
              </w:rPr>
            </w:pPr>
            <w:r>
              <w:rPr>
                <w:rFonts w:hint="default"/>
                <w:color w:val="auto"/>
              </w:rPr>
              <w:t>眼睛接触：立即翻开上下眼睑，用流动清水或生理盐水冲洗至少1min，就医。</w:t>
            </w:r>
          </w:p>
          <w:p w14:paraId="1C790B2E">
            <w:pPr>
              <w:pStyle w:val="30"/>
              <w:bidi w:val="0"/>
              <w:rPr>
                <w:rFonts w:hint="default"/>
                <w:color w:val="auto"/>
              </w:rPr>
            </w:pPr>
            <w:r>
              <w:rPr>
                <w:rFonts w:hint="default"/>
                <w:color w:val="auto"/>
              </w:rPr>
              <w:t>吸入：迅速脱离现场至空气新鲜处。保持呼吸道通畅。保暖并休息。呼吸困难时给输氧。呼吸停止时，立即进行人工呼吸。就医。</w:t>
            </w:r>
          </w:p>
          <w:p w14:paraId="17A589AD">
            <w:pPr>
              <w:pStyle w:val="30"/>
              <w:bidi w:val="0"/>
              <w:rPr>
                <w:rFonts w:hint="default"/>
                <w:color w:val="auto"/>
              </w:rPr>
            </w:pPr>
            <w:r>
              <w:rPr>
                <w:rFonts w:hint="default"/>
                <w:color w:val="auto"/>
              </w:rPr>
              <w:t>食入：误服者立即漱口，饮足量温水，尽快洗胃。就医。</w:t>
            </w:r>
          </w:p>
        </w:tc>
      </w:tr>
      <w:tr w14:paraId="1ADB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noWrap w:val="0"/>
            <w:vAlign w:val="center"/>
          </w:tcPr>
          <w:p w14:paraId="4AE20E16">
            <w:pPr>
              <w:pStyle w:val="30"/>
              <w:bidi w:val="0"/>
              <w:rPr>
                <w:rFonts w:hint="default"/>
                <w:color w:val="auto"/>
              </w:rPr>
            </w:pPr>
            <w:r>
              <w:rPr>
                <w:rFonts w:hint="default"/>
                <w:color w:val="auto"/>
              </w:rPr>
              <w:t>临床表现</w:t>
            </w:r>
          </w:p>
        </w:tc>
        <w:tc>
          <w:tcPr>
            <w:tcW w:w="7050" w:type="dxa"/>
            <w:noWrap w:val="0"/>
            <w:vAlign w:val="center"/>
          </w:tcPr>
          <w:p w14:paraId="006E3A96">
            <w:pPr>
              <w:pStyle w:val="30"/>
              <w:bidi w:val="0"/>
              <w:rPr>
                <w:rFonts w:hint="default"/>
                <w:color w:val="auto"/>
              </w:rPr>
            </w:pPr>
            <w:r>
              <w:rPr>
                <w:rFonts w:hint="default"/>
                <w:color w:val="auto"/>
              </w:rPr>
              <w:t>有报道拖拉机驾驶台四周空气污染细微雾滴，拖拉机手持续吸入15分钟而引起严重的吸入性肺炎。国外有病例报道，用柴油清洁两手和两臂数周而引发急性肾功能衰竭，肾活检验显示急性肾上管坏死。经治疗后恢复。故需考虑在皮肤大量接触后，个别人可能发生肾脏损害。皮肤接触后可能发生接触性皮炎，表现为红斑、水疱、丘疹。</w:t>
            </w:r>
          </w:p>
        </w:tc>
      </w:tr>
    </w:tbl>
    <w:p w14:paraId="2F05FE39">
      <w:pPr>
        <w:bidi w:val="0"/>
        <w:rPr>
          <w:rFonts w:hint="eastAsia"/>
          <w:color w:val="auto"/>
        </w:rPr>
      </w:pPr>
      <w:r>
        <w:rPr>
          <w:rFonts w:hint="eastAsia"/>
          <w:color w:val="auto"/>
        </w:rPr>
        <w:t>2、润滑油</w:t>
      </w:r>
    </w:p>
    <w:p w14:paraId="6C632658">
      <w:pPr>
        <w:pStyle w:val="29"/>
        <w:bidi w:val="0"/>
        <w:rPr>
          <w:color w:val="auto"/>
        </w:rPr>
      </w:pPr>
      <w:r>
        <w:rPr>
          <w:rFonts w:hint="eastAsia"/>
          <w:color w:val="auto"/>
        </w:rPr>
        <w:t>表3.1-2  润滑油理化特性表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7"/>
        <w:gridCol w:w="157"/>
        <w:gridCol w:w="157"/>
        <w:gridCol w:w="6112"/>
      </w:tblGrid>
      <w:tr w14:paraId="1CB0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9403" w:type="dxa"/>
            <w:gridSpan w:val="4"/>
            <w:noWrap w:val="0"/>
            <w:vAlign w:val="center"/>
          </w:tcPr>
          <w:p w14:paraId="1A856622">
            <w:pPr>
              <w:pStyle w:val="30"/>
              <w:bidi w:val="0"/>
              <w:rPr>
                <w:rFonts w:hint="default"/>
                <w:color w:val="auto"/>
              </w:rPr>
            </w:pPr>
            <w:r>
              <w:rPr>
                <w:rFonts w:hint="default"/>
                <w:color w:val="auto"/>
              </w:rPr>
              <w:t>化学名称</w:t>
            </w:r>
          </w:p>
        </w:tc>
      </w:tr>
      <w:tr w14:paraId="0722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2BE1954C">
            <w:pPr>
              <w:pStyle w:val="30"/>
              <w:bidi w:val="0"/>
              <w:rPr>
                <w:rFonts w:hint="default"/>
                <w:color w:val="auto"/>
              </w:rPr>
            </w:pPr>
            <w:r>
              <w:rPr>
                <w:rFonts w:hint="default"/>
                <w:color w:val="auto"/>
              </w:rPr>
              <w:t>中文名称：</w:t>
            </w:r>
          </w:p>
        </w:tc>
        <w:tc>
          <w:tcPr>
            <w:tcW w:w="6426" w:type="dxa"/>
            <w:gridSpan w:val="3"/>
            <w:noWrap w:val="0"/>
            <w:vAlign w:val="center"/>
          </w:tcPr>
          <w:p w14:paraId="178ECFFF">
            <w:pPr>
              <w:pStyle w:val="30"/>
              <w:bidi w:val="0"/>
              <w:rPr>
                <w:rFonts w:hint="default"/>
                <w:color w:val="auto"/>
              </w:rPr>
            </w:pPr>
            <w:r>
              <w:rPr>
                <w:rFonts w:hint="default"/>
                <w:color w:val="auto"/>
              </w:rPr>
              <w:t>润滑油；机油</w:t>
            </w:r>
          </w:p>
        </w:tc>
      </w:tr>
      <w:tr w14:paraId="1787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4E9725A2">
            <w:pPr>
              <w:pStyle w:val="30"/>
              <w:bidi w:val="0"/>
              <w:rPr>
                <w:rFonts w:hint="default"/>
                <w:color w:val="auto"/>
              </w:rPr>
            </w:pPr>
            <w:r>
              <w:rPr>
                <w:rFonts w:hint="default"/>
                <w:color w:val="auto"/>
              </w:rPr>
              <w:t>英文名称：</w:t>
            </w:r>
          </w:p>
        </w:tc>
        <w:tc>
          <w:tcPr>
            <w:tcW w:w="6426" w:type="dxa"/>
            <w:gridSpan w:val="3"/>
            <w:noWrap w:val="0"/>
            <w:vAlign w:val="center"/>
          </w:tcPr>
          <w:p w14:paraId="14BBCC0F">
            <w:pPr>
              <w:pStyle w:val="30"/>
              <w:bidi w:val="0"/>
              <w:rPr>
                <w:rFonts w:hint="default"/>
                <w:color w:val="auto"/>
              </w:rPr>
            </w:pPr>
            <w:r>
              <w:rPr>
                <w:rFonts w:hint="default"/>
                <w:color w:val="auto"/>
              </w:rPr>
              <w:t>lubricating oil；Lube oil</w:t>
            </w:r>
          </w:p>
        </w:tc>
      </w:tr>
      <w:tr w14:paraId="4CDE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10E35053">
            <w:pPr>
              <w:pStyle w:val="30"/>
              <w:bidi w:val="0"/>
              <w:rPr>
                <w:rFonts w:hint="default"/>
                <w:color w:val="auto"/>
              </w:rPr>
            </w:pPr>
            <w:r>
              <w:rPr>
                <w:rFonts w:hint="default"/>
                <w:color w:val="auto"/>
              </w:rPr>
              <w:t>分子量：</w:t>
            </w:r>
          </w:p>
        </w:tc>
        <w:tc>
          <w:tcPr>
            <w:tcW w:w="6426" w:type="dxa"/>
            <w:gridSpan w:val="3"/>
            <w:noWrap w:val="0"/>
            <w:vAlign w:val="center"/>
          </w:tcPr>
          <w:p w14:paraId="098D1EAD">
            <w:pPr>
              <w:pStyle w:val="30"/>
              <w:bidi w:val="0"/>
              <w:rPr>
                <w:rFonts w:hint="default"/>
                <w:color w:val="auto"/>
              </w:rPr>
            </w:pPr>
            <w:r>
              <w:rPr>
                <w:rFonts w:hint="default"/>
                <w:color w:val="auto"/>
              </w:rPr>
              <w:t>230～500</w:t>
            </w:r>
          </w:p>
        </w:tc>
      </w:tr>
      <w:tr w14:paraId="5A3B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9403" w:type="dxa"/>
            <w:gridSpan w:val="4"/>
            <w:noWrap w:val="0"/>
            <w:vAlign w:val="center"/>
          </w:tcPr>
          <w:p w14:paraId="7ACF6AD9">
            <w:pPr>
              <w:pStyle w:val="30"/>
              <w:bidi w:val="0"/>
              <w:rPr>
                <w:rFonts w:hint="default"/>
                <w:color w:val="auto"/>
              </w:rPr>
            </w:pPr>
            <w:r>
              <w:rPr>
                <w:rFonts w:hint="default"/>
                <w:color w:val="auto"/>
              </w:rPr>
              <w:t>危险性描述</w:t>
            </w:r>
          </w:p>
        </w:tc>
      </w:tr>
      <w:tr w14:paraId="71B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69C9875B">
            <w:pPr>
              <w:pStyle w:val="30"/>
              <w:bidi w:val="0"/>
              <w:rPr>
                <w:rFonts w:hint="default"/>
                <w:color w:val="auto"/>
              </w:rPr>
            </w:pPr>
            <w:r>
              <w:rPr>
                <w:rFonts w:hint="default"/>
                <w:color w:val="auto"/>
              </w:rPr>
              <w:t>健康危害：</w:t>
            </w:r>
          </w:p>
        </w:tc>
        <w:tc>
          <w:tcPr>
            <w:tcW w:w="6426" w:type="dxa"/>
            <w:gridSpan w:val="3"/>
            <w:noWrap w:val="0"/>
            <w:vAlign w:val="center"/>
          </w:tcPr>
          <w:p w14:paraId="4ECEE9C7">
            <w:pPr>
              <w:pStyle w:val="30"/>
              <w:bidi w:val="0"/>
              <w:rPr>
                <w:rFonts w:hint="default"/>
                <w:color w:val="auto"/>
              </w:rPr>
            </w:pPr>
            <w:r>
              <w:rPr>
                <w:rFonts w:hint="default"/>
                <w:color w:val="auto"/>
              </w:rPr>
              <w:t>急性吸入，可出现乏力、头晕、头痛、恶心，严重者可引起油脂性肺炎。慢性接触者，暴露部位可发生油性痤疮和接触性皮炎。可引起神经衰弱综合征，呼吸道和眼刺激症状及慢性油脂性肺炎。有资料报道，接触石油润滑油类的工人，有致癌的病例报告。 </w:t>
            </w:r>
          </w:p>
        </w:tc>
      </w:tr>
      <w:tr w14:paraId="4A42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77AA55C3">
            <w:pPr>
              <w:pStyle w:val="30"/>
              <w:bidi w:val="0"/>
              <w:rPr>
                <w:rFonts w:hint="default"/>
                <w:color w:val="auto"/>
              </w:rPr>
            </w:pPr>
            <w:r>
              <w:rPr>
                <w:rFonts w:hint="default"/>
                <w:color w:val="auto"/>
              </w:rPr>
              <w:t>燃爆危险：</w:t>
            </w:r>
          </w:p>
        </w:tc>
        <w:tc>
          <w:tcPr>
            <w:tcW w:w="6426" w:type="dxa"/>
            <w:gridSpan w:val="3"/>
            <w:noWrap w:val="0"/>
            <w:vAlign w:val="center"/>
          </w:tcPr>
          <w:p w14:paraId="6132AA5B">
            <w:pPr>
              <w:pStyle w:val="30"/>
              <w:bidi w:val="0"/>
              <w:rPr>
                <w:rFonts w:hint="default"/>
                <w:color w:val="auto"/>
              </w:rPr>
            </w:pPr>
            <w:r>
              <w:rPr>
                <w:rFonts w:hint="default"/>
                <w:color w:val="auto"/>
              </w:rPr>
              <w:t>本品可燃，具刺激性。</w:t>
            </w:r>
          </w:p>
        </w:tc>
      </w:tr>
      <w:tr w14:paraId="0CCC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9403" w:type="dxa"/>
            <w:gridSpan w:val="4"/>
            <w:noWrap w:val="0"/>
            <w:vAlign w:val="center"/>
          </w:tcPr>
          <w:p w14:paraId="22BC9385">
            <w:pPr>
              <w:pStyle w:val="30"/>
              <w:bidi w:val="0"/>
              <w:rPr>
                <w:rFonts w:hint="default"/>
                <w:color w:val="auto"/>
              </w:rPr>
            </w:pPr>
            <w:r>
              <w:rPr>
                <w:rFonts w:hint="default"/>
                <w:color w:val="auto"/>
              </w:rPr>
              <w:t>急救措施</w:t>
            </w:r>
          </w:p>
        </w:tc>
      </w:tr>
      <w:tr w14:paraId="3D22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338527F0">
            <w:pPr>
              <w:pStyle w:val="30"/>
              <w:bidi w:val="0"/>
              <w:rPr>
                <w:rFonts w:hint="default"/>
                <w:color w:val="auto"/>
              </w:rPr>
            </w:pPr>
            <w:r>
              <w:rPr>
                <w:rFonts w:hint="default"/>
                <w:color w:val="auto"/>
              </w:rPr>
              <w:t>皮肤接触：</w:t>
            </w:r>
          </w:p>
        </w:tc>
        <w:tc>
          <w:tcPr>
            <w:tcW w:w="6426" w:type="dxa"/>
            <w:gridSpan w:val="3"/>
            <w:noWrap w:val="0"/>
            <w:vAlign w:val="center"/>
          </w:tcPr>
          <w:p w14:paraId="580E1BA3">
            <w:pPr>
              <w:pStyle w:val="30"/>
              <w:bidi w:val="0"/>
              <w:rPr>
                <w:rFonts w:hint="default"/>
                <w:color w:val="auto"/>
              </w:rPr>
            </w:pPr>
            <w:r>
              <w:rPr>
                <w:rFonts w:hint="default"/>
                <w:color w:val="auto"/>
              </w:rPr>
              <w:t>脱去污染的衣着，用大量流动清水冲洗。就医。</w:t>
            </w:r>
          </w:p>
        </w:tc>
      </w:tr>
      <w:tr w14:paraId="3A4E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6F79C9BE">
            <w:pPr>
              <w:pStyle w:val="30"/>
              <w:bidi w:val="0"/>
              <w:rPr>
                <w:rFonts w:hint="default"/>
                <w:color w:val="auto"/>
              </w:rPr>
            </w:pPr>
            <w:r>
              <w:rPr>
                <w:rFonts w:hint="default"/>
                <w:color w:val="auto"/>
              </w:rPr>
              <w:t>眼接触：</w:t>
            </w:r>
          </w:p>
        </w:tc>
        <w:tc>
          <w:tcPr>
            <w:tcW w:w="6426" w:type="dxa"/>
            <w:gridSpan w:val="3"/>
            <w:noWrap w:val="0"/>
            <w:vAlign w:val="center"/>
          </w:tcPr>
          <w:p w14:paraId="164AA1F7">
            <w:pPr>
              <w:pStyle w:val="30"/>
              <w:bidi w:val="0"/>
              <w:rPr>
                <w:rFonts w:hint="default"/>
                <w:color w:val="auto"/>
              </w:rPr>
            </w:pPr>
            <w:r>
              <w:rPr>
                <w:rFonts w:hint="default"/>
                <w:color w:val="auto"/>
              </w:rPr>
              <w:t>提起眼睑，用流动清水或生理盐水冲洗。就医。</w:t>
            </w:r>
          </w:p>
        </w:tc>
      </w:tr>
      <w:tr w14:paraId="71B1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4EF13F45">
            <w:pPr>
              <w:pStyle w:val="30"/>
              <w:bidi w:val="0"/>
              <w:rPr>
                <w:rFonts w:hint="default"/>
                <w:color w:val="auto"/>
              </w:rPr>
            </w:pPr>
            <w:r>
              <w:rPr>
                <w:rFonts w:hint="default"/>
                <w:color w:val="auto"/>
              </w:rPr>
              <w:t>吸入：</w:t>
            </w:r>
          </w:p>
        </w:tc>
        <w:tc>
          <w:tcPr>
            <w:tcW w:w="6426" w:type="dxa"/>
            <w:gridSpan w:val="3"/>
            <w:noWrap w:val="0"/>
            <w:vAlign w:val="center"/>
          </w:tcPr>
          <w:p w14:paraId="58B11A7B">
            <w:pPr>
              <w:pStyle w:val="30"/>
              <w:bidi w:val="0"/>
              <w:rPr>
                <w:rFonts w:hint="default"/>
                <w:color w:val="auto"/>
              </w:rPr>
            </w:pPr>
            <w:r>
              <w:rPr>
                <w:rFonts w:hint="default"/>
                <w:color w:val="auto"/>
              </w:rPr>
              <w:t>迅速脱离现场至空气新鲜处。保持呼吸道通畅。如呼吸困难，给输氧。如呼吸停止，立即进行人工呼吸。就医。</w:t>
            </w:r>
          </w:p>
        </w:tc>
      </w:tr>
      <w:tr w14:paraId="6279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79C60506">
            <w:pPr>
              <w:pStyle w:val="30"/>
              <w:bidi w:val="0"/>
              <w:rPr>
                <w:rFonts w:hint="default"/>
                <w:color w:val="auto"/>
              </w:rPr>
            </w:pPr>
            <w:r>
              <w:rPr>
                <w:rFonts w:hint="default"/>
                <w:color w:val="auto"/>
              </w:rPr>
              <w:t>食入：</w:t>
            </w:r>
          </w:p>
        </w:tc>
        <w:tc>
          <w:tcPr>
            <w:tcW w:w="6426" w:type="dxa"/>
            <w:gridSpan w:val="3"/>
            <w:noWrap w:val="0"/>
            <w:vAlign w:val="center"/>
          </w:tcPr>
          <w:p w14:paraId="7831EC5D">
            <w:pPr>
              <w:pStyle w:val="30"/>
              <w:bidi w:val="0"/>
              <w:rPr>
                <w:rFonts w:hint="default"/>
                <w:color w:val="auto"/>
              </w:rPr>
            </w:pPr>
            <w:r>
              <w:rPr>
                <w:rFonts w:hint="default"/>
                <w:color w:val="auto"/>
              </w:rPr>
              <w:t>饮足量温水，催吐。就医。</w:t>
            </w:r>
          </w:p>
        </w:tc>
      </w:tr>
      <w:tr w14:paraId="488F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9403" w:type="dxa"/>
            <w:gridSpan w:val="4"/>
            <w:noWrap w:val="0"/>
            <w:vAlign w:val="center"/>
          </w:tcPr>
          <w:p w14:paraId="7AED4B86">
            <w:pPr>
              <w:pStyle w:val="30"/>
              <w:bidi w:val="0"/>
              <w:rPr>
                <w:rFonts w:hint="default"/>
                <w:color w:val="auto"/>
              </w:rPr>
            </w:pPr>
            <w:r>
              <w:rPr>
                <w:rFonts w:hint="default"/>
                <w:color w:val="auto"/>
              </w:rPr>
              <w:t>消防措施</w:t>
            </w:r>
          </w:p>
        </w:tc>
      </w:tr>
      <w:tr w14:paraId="65FA6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5E310D27">
            <w:pPr>
              <w:pStyle w:val="30"/>
              <w:bidi w:val="0"/>
              <w:rPr>
                <w:rFonts w:hint="default"/>
                <w:color w:val="auto"/>
              </w:rPr>
            </w:pPr>
            <w:r>
              <w:rPr>
                <w:rFonts w:hint="default"/>
                <w:color w:val="auto"/>
              </w:rPr>
              <w:t>危险特性：</w:t>
            </w:r>
          </w:p>
        </w:tc>
        <w:tc>
          <w:tcPr>
            <w:tcW w:w="6426" w:type="dxa"/>
            <w:gridSpan w:val="3"/>
            <w:noWrap w:val="0"/>
            <w:vAlign w:val="center"/>
          </w:tcPr>
          <w:p w14:paraId="071D5CBF">
            <w:pPr>
              <w:pStyle w:val="30"/>
              <w:bidi w:val="0"/>
              <w:rPr>
                <w:rFonts w:hint="default"/>
                <w:color w:val="auto"/>
              </w:rPr>
            </w:pPr>
            <w:r>
              <w:rPr>
                <w:rFonts w:hint="default"/>
                <w:color w:val="auto"/>
              </w:rPr>
              <w:t>遇明火、高热可燃。</w:t>
            </w:r>
          </w:p>
        </w:tc>
      </w:tr>
      <w:tr w14:paraId="2C65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041C66C6">
            <w:pPr>
              <w:pStyle w:val="30"/>
              <w:bidi w:val="0"/>
              <w:rPr>
                <w:rFonts w:hint="default"/>
                <w:color w:val="auto"/>
              </w:rPr>
            </w:pPr>
            <w:r>
              <w:rPr>
                <w:rFonts w:hint="default"/>
                <w:color w:val="auto"/>
              </w:rPr>
              <w:t>有害燃烧产物：</w:t>
            </w:r>
          </w:p>
        </w:tc>
        <w:tc>
          <w:tcPr>
            <w:tcW w:w="6426" w:type="dxa"/>
            <w:gridSpan w:val="3"/>
            <w:noWrap w:val="0"/>
            <w:vAlign w:val="center"/>
          </w:tcPr>
          <w:p w14:paraId="4B0EF44C">
            <w:pPr>
              <w:pStyle w:val="30"/>
              <w:bidi w:val="0"/>
              <w:rPr>
                <w:rFonts w:hint="default"/>
                <w:color w:val="auto"/>
              </w:rPr>
            </w:pPr>
            <w:r>
              <w:rPr>
                <w:rFonts w:hint="default"/>
                <w:color w:val="auto"/>
              </w:rPr>
              <w:t>一氧化碳、二氧化碳。</w:t>
            </w:r>
          </w:p>
        </w:tc>
      </w:tr>
      <w:tr w14:paraId="716F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7B5B72C5">
            <w:pPr>
              <w:pStyle w:val="30"/>
              <w:bidi w:val="0"/>
              <w:rPr>
                <w:rFonts w:hint="default"/>
                <w:color w:val="auto"/>
              </w:rPr>
            </w:pPr>
            <w:r>
              <w:rPr>
                <w:rFonts w:hint="default"/>
                <w:color w:val="auto"/>
              </w:rPr>
              <w:t>灭火方法：</w:t>
            </w:r>
          </w:p>
        </w:tc>
        <w:tc>
          <w:tcPr>
            <w:tcW w:w="6426" w:type="dxa"/>
            <w:gridSpan w:val="3"/>
            <w:noWrap w:val="0"/>
            <w:vAlign w:val="center"/>
          </w:tcPr>
          <w:p w14:paraId="02F368CC">
            <w:pPr>
              <w:pStyle w:val="30"/>
              <w:bidi w:val="0"/>
              <w:rPr>
                <w:rFonts w:hint="default"/>
                <w:color w:val="auto"/>
              </w:rPr>
            </w:pPr>
            <w:r>
              <w:rPr>
                <w:rFonts w:hint="default"/>
                <w:color w:val="auto"/>
              </w:rPr>
              <w:t>消防人员须佩戴防毒面具、穿全身消防服，在上风向灭火。尽可能将容器从火场移至空旷处。喷水保持火场容器冷却，直至灭火结束。处在火场中的容器若已变色或从安全泄压装置中产生声音，必须马上撤离。灭火剂：雾状水、泡沫、干粉、二氧化碳、砂土。</w:t>
            </w:r>
          </w:p>
        </w:tc>
      </w:tr>
      <w:tr w14:paraId="1A91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9403" w:type="dxa"/>
            <w:gridSpan w:val="4"/>
            <w:noWrap w:val="0"/>
            <w:vAlign w:val="center"/>
          </w:tcPr>
          <w:p w14:paraId="49938BCF">
            <w:pPr>
              <w:pStyle w:val="30"/>
              <w:bidi w:val="0"/>
              <w:rPr>
                <w:rFonts w:hint="default"/>
                <w:color w:val="auto"/>
              </w:rPr>
            </w:pPr>
            <w:r>
              <w:rPr>
                <w:rFonts w:hint="default"/>
                <w:color w:val="auto"/>
              </w:rPr>
              <w:t>泄露应急处理</w:t>
            </w:r>
          </w:p>
        </w:tc>
      </w:tr>
      <w:tr w14:paraId="21BE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3A2EB4B9">
            <w:pPr>
              <w:pStyle w:val="30"/>
              <w:bidi w:val="0"/>
              <w:rPr>
                <w:rFonts w:hint="default"/>
                <w:color w:val="auto"/>
              </w:rPr>
            </w:pPr>
            <w:r>
              <w:rPr>
                <w:rFonts w:hint="default"/>
                <w:color w:val="auto"/>
              </w:rPr>
              <w:t>应急处理：</w:t>
            </w:r>
          </w:p>
        </w:tc>
        <w:tc>
          <w:tcPr>
            <w:tcW w:w="6426" w:type="dxa"/>
            <w:gridSpan w:val="3"/>
            <w:noWrap w:val="0"/>
            <w:vAlign w:val="center"/>
          </w:tcPr>
          <w:p w14:paraId="5BF65120">
            <w:pPr>
              <w:pStyle w:val="30"/>
              <w:bidi w:val="0"/>
              <w:rPr>
                <w:rFonts w:hint="default"/>
                <w:color w:val="auto"/>
              </w:rPr>
            </w:pPr>
            <w:r>
              <w:rPr>
                <w:rFonts w:hint="default"/>
                <w:color w:val="auto"/>
              </w:rPr>
              <w:t>迅速撤离泄漏污染区人员至安全区，并进行隔离，严格限制出入。切断火源。建议应急处理人员戴自给正压式呼吸器，穿防毒服。尽可能切断泄漏源。防止流入下水道、排洪沟等限制性空间。小量泄漏：用砂土或其它不燃材料吸附或吸收。大量泄漏：构筑围堤或挖坑收容。用泵转移至槽车或专用收集器内，回收或运至废物处理场所处置。</w:t>
            </w:r>
          </w:p>
        </w:tc>
      </w:tr>
      <w:tr w14:paraId="3835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9403" w:type="dxa"/>
            <w:gridSpan w:val="4"/>
            <w:noWrap w:val="0"/>
            <w:vAlign w:val="center"/>
          </w:tcPr>
          <w:p w14:paraId="12C86099">
            <w:pPr>
              <w:pStyle w:val="30"/>
              <w:bidi w:val="0"/>
              <w:rPr>
                <w:rFonts w:hint="default"/>
                <w:color w:val="auto"/>
              </w:rPr>
            </w:pPr>
            <w:r>
              <w:rPr>
                <w:rFonts w:hint="default"/>
                <w:color w:val="auto"/>
              </w:rPr>
              <w:t>操作处置与储存</w:t>
            </w:r>
          </w:p>
        </w:tc>
      </w:tr>
      <w:tr w14:paraId="1FDC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464E2246">
            <w:pPr>
              <w:pStyle w:val="30"/>
              <w:bidi w:val="0"/>
              <w:rPr>
                <w:rFonts w:hint="default"/>
                <w:color w:val="auto"/>
              </w:rPr>
            </w:pPr>
            <w:r>
              <w:rPr>
                <w:rFonts w:hint="default"/>
                <w:color w:val="auto"/>
              </w:rPr>
              <w:t>操作注意事项：</w:t>
            </w:r>
          </w:p>
        </w:tc>
        <w:tc>
          <w:tcPr>
            <w:tcW w:w="6426" w:type="dxa"/>
            <w:gridSpan w:val="3"/>
            <w:noWrap w:val="0"/>
            <w:vAlign w:val="center"/>
          </w:tcPr>
          <w:p w14:paraId="5EF03740">
            <w:pPr>
              <w:pStyle w:val="30"/>
              <w:bidi w:val="0"/>
              <w:rPr>
                <w:rFonts w:hint="default"/>
                <w:color w:val="auto"/>
              </w:rPr>
            </w:pPr>
            <w:r>
              <w:rPr>
                <w:rFonts w:hint="default"/>
                <w:color w:val="auto"/>
              </w:rPr>
              <w:t>密闭操作，注意通风。操作人员必须经过专门培训，严格遵守操作规程。建议操作人员佩戴自吸过滤式防毒面具</w:t>
            </w:r>
            <w:r>
              <w:rPr>
                <w:rFonts w:hint="default"/>
                <w:color w:val="auto"/>
                <w:lang w:eastAsia="zh-CN"/>
              </w:rPr>
              <w:t>（</w:t>
            </w:r>
            <w:r>
              <w:rPr>
                <w:rFonts w:hint="default"/>
                <w:color w:val="auto"/>
              </w:rPr>
              <w:t>半面罩</w:t>
            </w:r>
            <w:r>
              <w:rPr>
                <w:rFonts w:hint="eastAsia"/>
                <w:color w:val="auto"/>
                <w:lang w:eastAsia="zh-CN"/>
              </w:rPr>
              <w:t>）</w:t>
            </w:r>
            <w:r>
              <w:rPr>
                <w:rFonts w:hint="default"/>
                <w:color w:val="auto"/>
              </w:rPr>
              <w:t>，戴化学安全防护眼镜，穿防毒物渗透工作服，戴橡胶耐油手套。远离火种、热源，工作场所严禁吸烟。使用防爆型的通风系统和设备。防止蒸气泄漏到工作场所空气中。避免与氧化剂接触。搬运时要轻装轻卸，防止包装及容器损坏。配备相应品种和数量的消防器材及泄漏应急处理设备。倒空的容器可能残留有害物。</w:t>
            </w:r>
          </w:p>
        </w:tc>
      </w:tr>
      <w:tr w14:paraId="4DD9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2977" w:type="dxa"/>
            <w:noWrap w:val="0"/>
            <w:vAlign w:val="center"/>
          </w:tcPr>
          <w:p w14:paraId="35BB0A97">
            <w:pPr>
              <w:pStyle w:val="30"/>
              <w:bidi w:val="0"/>
              <w:rPr>
                <w:rFonts w:hint="default"/>
                <w:color w:val="auto"/>
              </w:rPr>
            </w:pPr>
            <w:r>
              <w:rPr>
                <w:rFonts w:hint="default"/>
                <w:color w:val="auto"/>
              </w:rPr>
              <w:t>储存注意事项：</w:t>
            </w:r>
          </w:p>
        </w:tc>
        <w:tc>
          <w:tcPr>
            <w:tcW w:w="6426" w:type="dxa"/>
            <w:gridSpan w:val="3"/>
            <w:noWrap w:val="0"/>
            <w:vAlign w:val="center"/>
          </w:tcPr>
          <w:p w14:paraId="0691934D">
            <w:pPr>
              <w:pStyle w:val="30"/>
              <w:bidi w:val="0"/>
              <w:rPr>
                <w:rFonts w:hint="default"/>
                <w:color w:val="auto"/>
              </w:rPr>
            </w:pPr>
            <w:r>
              <w:rPr>
                <w:rFonts w:hint="default"/>
                <w:color w:val="auto"/>
              </w:rPr>
              <w:t>储存于阴凉、通风的库房。远离火种、热源。应与氧化剂分开存放，切忌混储。配备相应品种和数量的消防器材。储区应备有泄漏应急处理设备和合适的收容材料。</w:t>
            </w:r>
          </w:p>
        </w:tc>
      </w:tr>
      <w:tr w14:paraId="09F2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9403" w:type="dxa"/>
            <w:gridSpan w:val="4"/>
            <w:noWrap w:val="0"/>
            <w:vAlign w:val="center"/>
          </w:tcPr>
          <w:p w14:paraId="7B6B3997">
            <w:pPr>
              <w:pStyle w:val="30"/>
              <w:bidi w:val="0"/>
              <w:rPr>
                <w:rFonts w:hint="default"/>
                <w:color w:val="auto"/>
              </w:rPr>
            </w:pPr>
            <w:r>
              <w:rPr>
                <w:rFonts w:hint="default"/>
                <w:color w:val="auto"/>
              </w:rPr>
              <w:t>接触控制</w:t>
            </w:r>
            <w:r>
              <w:rPr>
                <w:rFonts w:hint="eastAsia"/>
                <w:color w:val="auto"/>
                <w:lang w:val="en-US" w:eastAsia="zh-CN"/>
              </w:rPr>
              <w:t>/</w:t>
            </w:r>
            <w:r>
              <w:rPr>
                <w:rFonts w:hint="default"/>
                <w:color w:val="auto"/>
              </w:rPr>
              <w:t>个体防护</w:t>
            </w:r>
          </w:p>
        </w:tc>
      </w:tr>
      <w:tr w14:paraId="5741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134" w:type="dxa"/>
            <w:gridSpan w:val="2"/>
            <w:noWrap w:val="0"/>
            <w:vAlign w:val="center"/>
          </w:tcPr>
          <w:p w14:paraId="4F59A756">
            <w:pPr>
              <w:pStyle w:val="30"/>
              <w:bidi w:val="0"/>
              <w:rPr>
                <w:rFonts w:hint="default"/>
                <w:color w:val="auto"/>
              </w:rPr>
            </w:pPr>
            <w:r>
              <w:rPr>
                <w:rFonts w:hint="default"/>
                <w:color w:val="auto"/>
              </w:rPr>
              <w:t>工程控制：</w:t>
            </w:r>
          </w:p>
        </w:tc>
        <w:tc>
          <w:tcPr>
            <w:tcW w:w="6269" w:type="dxa"/>
            <w:gridSpan w:val="2"/>
            <w:noWrap w:val="0"/>
            <w:vAlign w:val="center"/>
          </w:tcPr>
          <w:p w14:paraId="53E55FE4">
            <w:pPr>
              <w:pStyle w:val="30"/>
              <w:bidi w:val="0"/>
              <w:rPr>
                <w:rFonts w:hint="default"/>
                <w:color w:val="auto"/>
              </w:rPr>
            </w:pPr>
            <w:r>
              <w:rPr>
                <w:rFonts w:hint="default"/>
                <w:color w:val="auto"/>
              </w:rPr>
              <w:t>密闭操作，注意通风。</w:t>
            </w:r>
          </w:p>
        </w:tc>
      </w:tr>
      <w:tr w14:paraId="4EAE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134" w:type="dxa"/>
            <w:gridSpan w:val="2"/>
            <w:noWrap w:val="0"/>
            <w:vAlign w:val="center"/>
          </w:tcPr>
          <w:p w14:paraId="485CC763">
            <w:pPr>
              <w:pStyle w:val="30"/>
              <w:bidi w:val="0"/>
              <w:rPr>
                <w:rFonts w:hint="default"/>
                <w:color w:val="auto"/>
              </w:rPr>
            </w:pPr>
            <w:r>
              <w:rPr>
                <w:rFonts w:hint="default"/>
                <w:color w:val="auto"/>
              </w:rPr>
              <w:t>呼吸系统防护：</w:t>
            </w:r>
          </w:p>
        </w:tc>
        <w:tc>
          <w:tcPr>
            <w:tcW w:w="6269" w:type="dxa"/>
            <w:gridSpan w:val="2"/>
            <w:noWrap w:val="0"/>
            <w:vAlign w:val="center"/>
          </w:tcPr>
          <w:p w14:paraId="54C439DD">
            <w:pPr>
              <w:pStyle w:val="30"/>
              <w:bidi w:val="0"/>
              <w:rPr>
                <w:rFonts w:hint="default"/>
                <w:color w:val="auto"/>
              </w:rPr>
            </w:pPr>
            <w:r>
              <w:rPr>
                <w:rFonts w:hint="default"/>
                <w:color w:val="auto"/>
              </w:rPr>
              <w:t>空气中浓度超标时，必须佩戴自吸过滤式防毒面具</w:t>
            </w:r>
            <w:r>
              <w:rPr>
                <w:rFonts w:hint="default"/>
                <w:color w:val="auto"/>
                <w:lang w:eastAsia="zh-CN"/>
              </w:rPr>
              <w:t>（</w:t>
            </w:r>
            <w:r>
              <w:rPr>
                <w:rFonts w:hint="default"/>
                <w:color w:val="auto"/>
              </w:rPr>
              <w:t>半面罩</w:t>
            </w:r>
            <w:r>
              <w:rPr>
                <w:rFonts w:hint="eastAsia"/>
                <w:color w:val="auto"/>
                <w:lang w:eastAsia="zh-CN"/>
              </w:rPr>
              <w:t>）</w:t>
            </w:r>
            <w:r>
              <w:rPr>
                <w:rFonts w:hint="default"/>
                <w:color w:val="auto"/>
              </w:rPr>
              <w:t>。紧急事态抢救或撤离时，应该佩戴空气呼吸器。</w:t>
            </w:r>
          </w:p>
        </w:tc>
      </w:tr>
      <w:tr w14:paraId="36B6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134" w:type="dxa"/>
            <w:gridSpan w:val="2"/>
            <w:noWrap w:val="0"/>
            <w:vAlign w:val="center"/>
          </w:tcPr>
          <w:p w14:paraId="3FCA4EA9">
            <w:pPr>
              <w:pStyle w:val="30"/>
              <w:bidi w:val="0"/>
              <w:rPr>
                <w:rFonts w:hint="default"/>
                <w:color w:val="auto"/>
              </w:rPr>
            </w:pPr>
            <w:r>
              <w:rPr>
                <w:rFonts w:hint="default"/>
                <w:color w:val="auto"/>
              </w:rPr>
              <w:t>眼睛防护：</w:t>
            </w:r>
          </w:p>
        </w:tc>
        <w:tc>
          <w:tcPr>
            <w:tcW w:w="6269" w:type="dxa"/>
            <w:gridSpan w:val="2"/>
            <w:noWrap w:val="0"/>
            <w:vAlign w:val="center"/>
          </w:tcPr>
          <w:p w14:paraId="06BFC942">
            <w:pPr>
              <w:pStyle w:val="30"/>
              <w:bidi w:val="0"/>
              <w:rPr>
                <w:rFonts w:hint="default"/>
                <w:color w:val="auto"/>
              </w:rPr>
            </w:pPr>
            <w:r>
              <w:rPr>
                <w:rFonts w:hint="default"/>
                <w:color w:val="auto"/>
              </w:rPr>
              <w:t>戴化学安全防护眼镜。</w:t>
            </w:r>
          </w:p>
        </w:tc>
      </w:tr>
      <w:tr w14:paraId="2FAB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134" w:type="dxa"/>
            <w:gridSpan w:val="2"/>
            <w:noWrap w:val="0"/>
            <w:vAlign w:val="center"/>
          </w:tcPr>
          <w:p w14:paraId="4A0FF584">
            <w:pPr>
              <w:pStyle w:val="30"/>
              <w:bidi w:val="0"/>
              <w:rPr>
                <w:rFonts w:hint="default"/>
                <w:color w:val="auto"/>
              </w:rPr>
            </w:pPr>
            <w:r>
              <w:rPr>
                <w:rFonts w:hint="default"/>
                <w:color w:val="auto"/>
              </w:rPr>
              <w:t>身体防护：</w:t>
            </w:r>
          </w:p>
        </w:tc>
        <w:tc>
          <w:tcPr>
            <w:tcW w:w="6269" w:type="dxa"/>
            <w:gridSpan w:val="2"/>
            <w:noWrap w:val="0"/>
            <w:vAlign w:val="center"/>
          </w:tcPr>
          <w:p w14:paraId="700B6B63">
            <w:pPr>
              <w:pStyle w:val="30"/>
              <w:bidi w:val="0"/>
              <w:rPr>
                <w:rFonts w:hint="default"/>
                <w:color w:val="auto"/>
              </w:rPr>
            </w:pPr>
            <w:r>
              <w:rPr>
                <w:rFonts w:hint="default"/>
                <w:color w:val="auto"/>
              </w:rPr>
              <w:t>穿防毒物渗透工作服。</w:t>
            </w:r>
          </w:p>
        </w:tc>
      </w:tr>
      <w:tr w14:paraId="323C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134" w:type="dxa"/>
            <w:gridSpan w:val="2"/>
            <w:noWrap w:val="0"/>
            <w:vAlign w:val="center"/>
          </w:tcPr>
          <w:p w14:paraId="0F54A768">
            <w:pPr>
              <w:pStyle w:val="30"/>
              <w:bidi w:val="0"/>
              <w:rPr>
                <w:rFonts w:hint="default"/>
                <w:color w:val="auto"/>
              </w:rPr>
            </w:pPr>
            <w:r>
              <w:rPr>
                <w:rFonts w:hint="default"/>
                <w:color w:val="auto"/>
              </w:rPr>
              <w:t>手防护：</w:t>
            </w:r>
          </w:p>
        </w:tc>
        <w:tc>
          <w:tcPr>
            <w:tcW w:w="6269" w:type="dxa"/>
            <w:gridSpan w:val="2"/>
            <w:noWrap w:val="0"/>
            <w:vAlign w:val="center"/>
          </w:tcPr>
          <w:p w14:paraId="4FF8E9CD">
            <w:pPr>
              <w:pStyle w:val="30"/>
              <w:bidi w:val="0"/>
              <w:rPr>
                <w:rFonts w:hint="default"/>
                <w:color w:val="auto"/>
              </w:rPr>
            </w:pPr>
            <w:r>
              <w:rPr>
                <w:rFonts w:hint="default"/>
                <w:color w:val="auto"/>
              </w:rPr>
              <w:t>戴橡胶耐油手套。</w:t>
            </w:r>
          </w:p>
        </w:tc>
      </w:tr>
      <w:tr w14:paraId="10F6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134" w:type="dxa"/>
            <w:gridSpan w:val="2"/>
            <w:noWrap w:val="0"/>
            <w:vAlign w:val="center"/>
          </w:tcPr>
          <w:p w14:paraId="72E70C4F">
            <w:pPr>
              <w:pStyle w:val="30"/>
              <w:bidi w:val="0"/>
              <w:rPr>
                <w:rFonts w:hint="default"/>
                <w:color w:val="auto"/>
              </w:rPr>
            </w:pPr>
            <w:r>
              <w:rPr>
                <w:rFonts w:hint="default"/>
                <w:color w:val="auto"/>
              </w:rPr>
              <w:t>其他防护：</w:t>
            </w:r>
          </w:p>
        </w:tc>
        <w:tc>
          <w:tcPr>
            <w:tcW w:w="6269" w:type="dxa"/>
            <w:gridSpan w:val="2"/>
            <w:noWrap w:val="0"/>
            <w:vAlign w:val="center"/>
          </w:tcPr>
          <w:p w14:paraId="738CDE87">
            <w:pPr>
              <w:pStyle w:val="30"/>
              <w:bidi w:val="0"/>
              <w:rPr>
                <w:rFonts w:hint="default"/>
                <w:color w:val="auto"/>
              </w:rPr>
            </w:pPr>
            <w:r>
              <w:rPr>
                <w:rFonts w:hint="default"/>
                <w:color w:val="auto"/>
              </w:rPr>
              <w:t>工作现场严禁吸烟。避免长期反复接触。 </w:t>
            </w:r>
          </w:p>
        </w:tc>
      </w:tr>
      <w:tr w14:paraId="1072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9403" w:type="dxa"/>
            <w:gridSpan w:val="4"/>
            <w:noWrap w:val="0"/>
            <w:vAlign w:val="center"/>
          </w:tcPr>
          <w:p w14:paraId="27DBE9D9">
            <w:pPr>
              <w:pStyle w:val="30"/>
              <w:bidi w:val="0"/>
              <w:rPr>
                <w:rFonts w:hint="default"/>
                <w:color w:val="auto"/>
              </w:rPr>
            </w:pPr>
            <w:r>
              <w:rPr>
                <w:rFonts w:hint="default"/>
                <w:color w:val="auto"/>
              </w:rPr>
              <w:t>理化特性</w:t>
            </w:r>
          </w:p>
        </w:tc>
      </w:tr>
      <w:tr w14:paraId="6E2F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291" w:type="dxa"/>
            <w:gridSpan w:val="3"/>
            <w:noWrap w:val="0"/>
            <w:vAlign w:val="center"/>
          </w:tcPr>
          <w:p w14:paraId="0B18ED7A">
            <w:pPr>
              <w:pStyle w:val="30"/>
              <w:bidi w:val="0"/>
              <w:rPr>
                <w:rFonts w:hint="default"/>
                <w:color w:val="auto"/>
              </w:rPr>
            </w:pPr>
            <w:r>
              <w:rPr>
                <w:rFonts w:hint="default"/>
                <w:color w:val="auto"/>
              </w:rPr>
              <w:t>外观与性状：</w:t>
            </w:r>
          </w:p>
        </w:tc>
        <w:tc>
          <w:tcPr>
            <w:tcW w:w="6112" w:type="dxa"/>
            <w:noWrap w:val="0"/>
            <w:vAlign w:val="center"/>
          </w:tcPr>
          <w:p w14:paraId="061A95A4">
            <w:pPr>
              <w:pStyle w:val="30"/>
              <w:bidi w:val="0"/>
              <w:rPr>
                <w:rFonts w:hint="default"/>
                <w:color w:val="auto"/>
              </w:rPr>
            </w:pPr>
            <w:r>
              <w:rPr>
                <w:rFonts w:hint="default"/>
                <w:color w:val="auto"/>
              </w:rPr>
              <w:t>油状液体</w:t>
            </w:r>
            <w:r>
              <w:rPr>
                <w:rFonts w:hint="eastAsia"/>
                <w:color w:val="auto"/>
                <w:lang w:eastAsia="zh-CN"/>
              </w:rPr>
              <w:t>，</w:t>
            </w:r>
            <w:r>
              <w:rPr>
                <w:rFonts w:hint="default"/>
                <w:color w:val="auto"/>
              </w:rPr>
              <w:t>淡黄色至褐色</w:t>
            </w:r>
            <w:r>
              <w:rPr>
                <w:rFonts w:hint="eastAsia"/>
                <w:color w:val="auto"/>
                <w:lang w:eastAsia="zh-CN"/>
              </w:rPr>
              <w:t>，</w:t>
            </w:r>
            <w:r>
              <w:rPr>
                <w:rFonts w:hint="default"/>
                <w:color w:val="auto"/>
              </w:rPr>
              <w:t>无气味或略带异味。</w:t>
            </w:r>
          </w:p>
        </w:tc>
      </w:tr>
      <w:tr w14:paraId="22EC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291" w:type="dxa"/>
            <w:gridSpan w:val="3"/>
            <w:noWrap w:val="0"/>
            <w:vAlign w:val="center"/>
          </w:tcPr>
          <w:p w14:paraId="65512A82">
            <w:pPr>
              <w:pStyle w:val="30"/>
              <w:bidi w:val="0"/>
              <w:rPr>
                <w:rFonts w:hint="default"/>
                <w:color w:val="auto"/>
              </w:rPr>
            </w:pPr>
            <w:r>
              <w:rPr>
                <w:rFonts w:hint="default"/>
                <w:color w:val="auto"/>
              </w:rPr>
              <w:t>相对密度</w:t>
            </w:r>
            <w:r>
              <w:rPr>
                <w:rFonts w:hint="eastAsia"/>
                <w:color w:val="auto"/>
                <w:lang w:eastAsia="zh-CN"/>
              </w:rPr>
              <w:t>（</w:t>
            </w:r>
            <w:r>
              <w:rPr>
                <w:rFonts w:hint="default"/>
                <w:color w:val="auto"/>
              </w:rPr>
              <w:t>水=1</w:t>
            </w:r>
            <w:r>
              <w:rPr>
                <w:rFonts w:hint="eastAsia"/>
                <w:color w:val="auto"/>
                <w:lang w:eastAsia="zh-CN"/>
              </w:rPr>
              <w:t>）</w:t>
            </w:r>
            <w:r>
              <w:rPr>
                <w:rFonts w:hint="default"/>
                <w:color w:val="auto"/>
              </w:rPr>
              <w:t>：</w:t>
            </w:r>
          </w:p>
        </w:tc>
        <w:tc>
          <w:tcPr>
            <w:tcW w:w="6112" w:type="dxa"/>
            <w:noWrap w:val="0"/>
            <w:vAlign w:val="center"/>
          </w:tcPr>
          <w:p w14:paraId="779C8D6B">
            <w:pPr>
              <w:pStyle w:val="30"/>
              <w:bidi w:val="0"/>
              <w:rPr>
                <w:rFonts w:hint="default"/>
                <w:color w:val="auto"/>
              </w:rPr>
            </w:pPr>
            <w:r>
              <w:rPr>
                <w:rFonts w:hint="default"/>
                <w:color w:val="auto"/>
              </w:rPr>
              <w:t>＜1</w:t>
            </w:r>
          </w:p>
        </w:tc>
      </w:tr>
      <w:tr w14:paraId="15B3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291" w:type="dxa"/>
            <w:gridSpan w:val="3"/>
            <w:noWrap w:val="0"/>
            <w:vAlign w:val="center"/>
          </w:tcPr>
          <w:p w14:paraId="40AAE806">
            <w:pPr>
              <w:pStyle w:val="30"/>
              <w:bidi w:val="0"/>
              <w:rPr>
                <w:rFonts w:hint="default"/>
                <w:color w:val="auto"/>
              </w:rPr>
            </w:pPr>
            <w:r>
              <w:rPr>
                <w:rFonts w:hint="default"/>
                <w:color w:val="auto"/>
              </w:rPr>
              <w:t>闪点</w:t>
            </w:r>
            <w:r>
              <w:rPr>
                <w:rFonts w:hint="eastAsia"/>
                <w:color w:val="auto"/>
                <w:lang w:eastAsia="zh-CN"/>
              </w:rPr>
              <w:t>（</w:t>
            </w:r>
            <w:r>
              <w:rPr>
                <w:rFonts w:hint="default"/>
                <w:color w:val="auto"/>
              </w:rPr>
              <w:t>℃</w:t>
            </w:r>
            <w:r>
              <w:rPr>
                <w:rFonts w:hint="eastAsia"/>
                <w:color w:val="auto"/>
                <w:lang w:eastAsia="zh-CN"/>
              </w:rPr>
              <w:t>）</w:t>
            </w:r>
            <w:r>
              <w:rPr>
                <w:rFonts w:hint="default"/>
                <w:color w:val="auto"/>
              </w:rPr>
              <w:t>：</w:t>
            </w:r>
          </w:p>
        </w:tc>
        <w:tc>
          <w:tcPr>
            <w:tcW w:w="6112" w:type="dxa"/>
            <w:noWrap w:val="0"/>
            <w:vAlign w:val="center"/>
          </w:tcPr>
          <w:p w14:paraId="0EDA4FC3">
            <w:pPr>
              <w:pStyle w:val="30"/>
              <w:bidi w:val="0"/>
              <w:rPr>
                <w:rFonts w:hint="default"/>
                <w:color w:val="auto"/>
              </w:rPr>
            </w:pPr>
            <w:r>
              <w:rPr>
                <w:rFonts w:hint="default"/>
                <w:color w:val="auto"/>
              </w:rPr>
              <w:t>76</w:t>
            </w:r>
          </w:p>
        </w:tc>
      </w:tr>
      <w:tr w14:paraId="67E0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291" w:type="dxa"/>
            <w:gridSpan w:val="3"/>
            <w:noWrap w:val="0"/>
            <w:vAlign w:val="center"/>
          </w:tcPr>
          <w:p w14:paraId="4024964A">
            <w:pPr>
              <w:pStyle w:val="30"/>
              <w:bidi w:val="0"/>
              <w:rPr>
                <w:rFonts w:hint="default"/>
                <w:color w:val="auto"/>
              </w:rPr>
            </w:pPr>
            <w:r>
              <w:rPr>
                <w:rFonts w:hint="default"/>
                <w:color w:val="auto"/>
              </w:rPr>
              <w:t>引燃温度</w:t>
            </w:r>
            <w:r>
              <w:rPr>
                <w:rFonts w:hint="eastAsia"/>
                <w:color w:val="auto"/>
                <w:lang w:eastAsia="zh-CN"/>
              </w:rPr>
              <w:t>（</w:t>
            </w:r>
            <w:r>
              <w:rPr>
                <w:rFonts w:hint="default"/>
                <w:color w:val="auto"/>
              </w:rPr>
              <w:t>℃</w:t>
            </w:r>
            <w:r>
              <w:rPr>
                <w:rFonts w:hint="eastAsia"/>
                <w:color w:val="auto"/>
                <w:lang w:eastAsia="zh-CN"/>
              </w:rPr>
              <w:t>）</w:t>
            </w:r>
            <w:r>
              <w:rPr>
                <w:rFonts w:hint="default"/>
                <w:color w:val="auto"/>
              </w:rPr>
              <w:t>：</w:t>
            </w:r>
          </w:p>
        </w:tc>
        <w:tc>
          <w:tcPr>
            <w:tcW w:w="6112" w:type="dxa"/>
            <w:noWrap w:val="0"/>
            <w:vAlign w:val="center"/>
          </w:tcPr>
          <w:p w14:paraId="08916E83">
            <w:pPr>
              <w:pStyle w:val="30"/>
              <w:bidi w:val="0"/>
              <w:rPr>
                <w:rFonts w:hint="default"/>
                <w:color w:val="auto"/>
              </w:rPr>
            </w:pPr>
            <w:r>
              <w:rPr>
                <w:rFonts w:hint="default"/>
                <w:color w:val="auto"/>
              </w:rPr>
              <w:t>248</w:t>
            </w:r>
          </w:p>
        </w:tc>
      </w:tr>
      <w:tr w14:paraId="6582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291" w:type="dxa"/>
            <w:gridSpan w:val="3"/>
            <w:noWrap w:val="0"/>
            <w:vAlign w:val="center"/>
          </w:tcPr>
          <w:p w14:paraId="240D21F3">
            <w:pPr>
              <w:pStyle w:val="30"/>
              <w:bidi w:val="0"/>
              <w:rPr>
                <w:rFonts w:hint="default"/>
                <w:color w:val="auto"/>
              </w:rPr>
            </w:pPr>
            <w:r>
              <w:rPr>
                <w:rFonts w:hint="default"/>
                <w:color w:val="auto"/>
              </w:rPr>
              <w:t>主要用途：</w:t>
            </w:r>
          </w:p>
        </w:tc>
        <w:tc>
          <w:tcPr>
            <w:tcW w:w="6112" w:type="dxa"/>
            <w:noWrap w:val="0"/>
            <w:vAlign w:val="center"/>
          </w:tcPr>
          <w:p w14:paraId="39C3A7A5">
            <w:pPr>
              <w:pStyle w:val="30"/>
              <w:bidi w:val="0"/>
              <w:rPr>
                <w:rFonts w:hint="default"/>
                <w:color w:val="auto"/>
              </w:rPr>
            </w:pPr>
            <w:r>
              <w:rPr>
                <w:rFonts w:hint="default"/>
                <w:color w:val="auto"/>
              </w:rPr>
              <w:t>用于机械的摩擦部分</w:t>
            </w:r>
            <w:r>
              <w:rPr>
                <w:rFonts w:hint="eastAsia"/>
                <w:color w:val="auto"/>
                <w:lang w:eastAsia="zh-CN"/>
              </w:rPr>
              <w:t>，</w:t>
            </w:r>
            <w:r>
              <w:rPr>
                <w:rFonts w:hint="default"/>
                <w:color w:val="auto"/>
              </w:rPr>
              <w:t>起润滑、冷却和密封作用。</w:t>
            </w:r>
          </w:p>
        </w:tc>
      </w:tr>
      <w:tr w14:paraId="4885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403" w:type="dxa"/>
            <w:gridSpan w:val="4"/>
            <w:noWrap w:val="0"/>
            <w:vAlign w:val="center"/>
          </w:tcPr>
          <w:p w14:paraId="07700940">
            <w:pPr>
              <w:pStyle w:val="30"/>
              <w:bidi w:val="0"/>
              <w:rPr>
                <w:rFonts w:hint="default"/>
                <w:color w:val="auto"/>
              </w:rPr>
            </w:pPr>
            <w:r>
              <w:rPr>
                <w:rFonts w:hint="default"/>
                <w:color w:val="auto"/>
              </w:rPr>
              <w:t>稳定性和反应活性</w:t>
            </w:r>
          </w:p>
        </w:tc>
      </w:tr>
      <w:tr w14:paraId="512A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134" w:type="dxa"/>
            <w:gridSpan w:val="2"/>
            <w:noWrap w:val="0"/>
            <w:vAlign w:val="center"/>
          </w:tcPr>
          <w:p w14:paraId="567D959A">
            <w:pPr>
              <w:pStyle w:val="30"/>
              <w:bidi w:val="0"/>
              <w:rPr>
                <w:rFonts w:hint="default"/>
                <w:color w:val="auto"/>
              </w:rPr>
            </w:pPr>
            <w:r>
              <w:rPr>
                <w:rFonts w:hint="default"/>
                <w:color w:val="auto"/>
              </w:rPr>
              <w:t>禁配物：</w:t>
            </w:r>
          </w:p>
        </w:tc>
        <w:tc>
          <w:tcPr>
            <w:tcW w:w="6269" w:type="dxa"/>
            <w:gridSpan w:val="2"/>
            <w:noWrap w:val="0"/>
            <w:vAlign w:val="center"/>
          </w:tcPr>
          <w:p w14:paraId="1AA6F490">
            <w:pPr>
              <w:pStyle w:val="30"/>
              <w:bidi w:val="0"/>
              <w:rPr>
                <w:rFonts w:hint="default"/>
                <w:color w:val="auto"/>
              </w:rPr>
            </w:pPr>
            <w:r>
              <w:rPr>
                <w:rFonts w:hint="default"/>
                <w:color w:val="auto"/>
              </w:rPr>
              <w:t>强氧化剂。</w:t>
            </w:r>
          </w:p>
        </w:tc>
      </w:tr>
      <w:tr w14:paraId="1498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403" w:type="dxa"/>
            <w:gridSpan w:val="4"/>
            <w:noWrap w:val="0"/>
            <w:vAlign w:val="center"/>
          </w:tcPr>
          <w:p w14:paraId="5A743CD8">
            <w:pPr>
              <w:pStyle w:val="30"/>
              <w:bidi w:val="0"/>
              <w:rPr>
                <w:rFonts w:hint="default"/>
                <w:color w:val="auto"/>
              </w:rPr>
            </w:pPr>
            <w:r>
              <w:rPr>
                <w:rFonts w:hint="default"/>
                <w:color w:val="auto"/>
              </w:rPr>
              <w:t>废弃处理</w:t>
            </w:r>
          </w:p>
        </w:tc>
      </w:tr>
      <w:tr w14:paraId="6FD3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134" w:type="dxa"/>
            <w:gridSpan w:val="2"/>
            <w:noWrap w:val="0"/>
            <w:vAlign w:val="center"/>
          </w:tcPr>
          <w:p w14:paraId="6287A3BC">
            <w:pPr>
              <w:pStyle w:val="30"/>
              <w:bidi w:val="0"/>
              <w:rPr>
                <w:rFonts w:hint="default"/>
                <w:color w:val="auto"/>
              </w:rPr>
            </w:pPr>
            <w:r>
              <w:rPr>
                <w:rFonts w:hint="default"/>
                <w:color w:val="auto"/>
              </w:rPr>
              <w:t>废弃处置方法：</w:t>
            </w:r>
          </w:p>
        </w:tc>
        <w:tc>
          <w:tcPr>
            <w:tcW w:w="6269" w:type="dxa"/>
            <w:gridSpan w:val="2"/>
            <w:noWrap w:val="0"/>
            <w:vAlign w:val="center"/>
          </w:tcPr>
          <w:p w14:paraId="54626C8A">
            <w:pPr>
              <w:pStyle w:val="30"/>
              <w:bidi w:val="0"/>
              <w:rPr>
                <w:rFonts w:hint="default"/>
                <w:color w:val="auto"/>
              </w:rPr>
            </w:pPr>
            <w:r>
              <w:rPr>
                <w:rFonts w:hint="default"/>
                <w:color w:val="auto"/>
              </w:rPr>
              <w:t>处置前应参阅国家和地方有关法规。建议用焚烧法处置。</w:t>
            </w:r>
          </w:p>
        </w:tc>
      </w:tr>
      <w:tr w14:paraId="3CB6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403" w:type="dxa"/>
            <w:gridSpan w:val="4"/>
            <w:noWrap w:val="0"/>
            <w:vAlign w:val="center"/>
          </w:tcPr>
          <w:p w14:paraId="37377803">
            <w:pPr>
              <w:pStyle w:val="30"/>
              <w:bidi w:val="0"/>
              <w:rPr>
                <w:rFonts w:hint="default"/>
                <w:color w:val="auto"/>
              </w:rPr>
            </w:pPr>
            <w:r>
              <w:rPr>
                <w:rFonts w:hint="default"/>
                <w:color w:val="auto"/>
              </w:rPr>
              <w:t>运输信息</w:t>
            </w:r>
          </w:p>
        </w:tc>
      </w:tr>
      <w:tr w14:paraId="162B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3134" w:type="dxa"/>
            <w:gridSpan w:val="2"/>
            <w:noWrap w:val="0"/>
            <w:vAlign w:val="center"/>
          </w:tcPr>
          <w:p w14:paraId="2340404B">
            <w:pPr>
              <w:pStyle w:val="30"/>
              <w:bidi w:val="0"/>
              <w:rPr>
                <w:rFonts w:hint="default"/>
                <w:color w:val="auto"/>
              </w:rPr>
            </w:pPr>
            <w:r>
              <w:rPr>
                <w:rFonts w:hint="default"/>
                <w:color w:val="auto"/>
              </w:rPr>
              <w:t>运输注意事项：</w:t>
            </w:r>
          </w:p>
        </w:tc>
        <w:tc>
          <w:tcPr>
            <w:tcW w:w="6269" w:type="dxa"/>
            <w:gridSpan w:val="2"/>
            <w:noWrap w:val="0"/>
            <w:vAlign w:val="center"/>
          </w:tcPr>
          <w:p w14:paraId="201548F3">
            <w:pPr>
              <w:pStyle w:val="30"/>
              <w:bidi w:val="0"/>
              <w:rPr>
                <w:rFonts w:hint="default"/>
                <w:color w:val="auto"/>
              </w:rPr>
            </w:pPr>
            <w:r>
              <w:rPr>
                <w:rFonts w:hint="default"/>
                <w:color w:val="auto"/>
              </w:rPr>
              <w:t>运输前应先检查包装容器是否完整、密封，运输过程中要确保容器不泄漏、不倒塌、不坠落、不损坏。严禁与氧化剂、食用化学品等混装混运。运输车船必须彻底清洗、消毒，否则不得装运其它物品。船运时，配装位置应远离卧室、厨房，并与机舱、电源、火源等部位隔离。公路运输时要按规定路线行驶。</w:t>
            </w:r>
          </w:p>
        </w:tc>
      </w:tr>
    </w:tbl>
    <w:p w14:paraId="70BB8B58">
      <w:pPr>
        <w:bidi w:val="0"/>
        <w:rPr>
          <w:rFonts w:hint="eastAsia"/>
          <w:color w:val="auto"/>
        </w:rPr>
      </w:pPr>
      <w:r>
        <w:rPr>
          <w:rFonts w:hint="eastAsia"/>
          <w:color w:val="auto"/>
        </w:rPr>
        <w:t>3、乙炔</w:t>
      </w:r>
    </w:p>
    <w:p w14:paraId="5F57D902">
      <w:pPr>
        <w:pStyle w:val="29"/>
        <w:bidi w:val="0"/>
        <w:rPr>
          <w:color w:val="auto"/>
        </w:rPr>
      </w:pPr>
      <w:r>
        <w:rPr>
          <w:rFonts w:hint="eastAsia"/>
          <w:color w:val="auto"/>
        </w:rPr>
        <w:t>表3.1-3  乙炔理化特性表</w:t>
      </w:r>
    </w:p>
    <w:tbl>
      <w:tblPr>
        <w:tblStyle w:val="20"/>
        <w:tblW w:w="940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71"/>
        <w:gridCol w:w="7632"/>
      </w:tblGrid>
      <w:tr w14:paraId="629ADD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41C12F4A">
            <w:pPr>
              <w:pStyle w:val="30"/>
              <w:bidi w:val="0"/>
              <w:rPr>
                <w:rFonts w:hint="default"/>
                <w:color w:val="auto"/>
              </w:rPr>
            </w:pPr>
            <w:r>
              <w:rPr>
                <w:rFonts w:hint="default"/>
                <w:color w:val="auto"/>
              </w:rPr>
              <w:t>中文名称：</w:t>
            </w:r>
          </w:p>
        </w:tc>
        <w:tc>
          <w:tcPr>
            <w:tcW w:w="7632" w:type="dxa"/>
            <w:noWrap w:val="0"/>
            <w:vAlign w:val="center"/>
          </w:tcPr>
          <w:p w14:paraId="09DB855B">
            <w:pPr>
              <w:pStyle w:val="30"/>
              <w:bidi w:val="0"/>
              <w:rPr>
                <w:rFonts w:hint="default"/>
                <w:color w:val="auto"/>
              </w:rPr>
            </w:pPr>
            <w:r>
              <w:rPr>
                <w:rFonts w:hint="default"/>
                <w:color w:val="auto"/>
              </w:rPr>
              <w:t>乙炔；电石气</w:t>
            </w:r>
          </w:p>
        </w:tc>
      </w:tr>
      <w:tr w14:paraId="428307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13620B40">
            <w:pPr>
              <w:pStyle w:val="30"/>
              <w:bidi w:val="0"/>
              <w:rPr>
                <w:rFonts w:hint="default"/>
                <w:color w:val="auto"/>
              </w:rPr>
            </w:pPr>
            <w:r>
              <w:rPr>
                <w:rFonts w:hint="default"/>
                <w:color w:val="auto"/>
              </w:rPr>
              <w:t>英文名称：</w:t>
            </w:r>
          </w:p>
        </w:tc>
        <w:tc>
          <w:tcPr>
            <w:tcW w:w="7632" w:type="dxa"/>
            <w:noWrap w:val="0"/>
            <w:vAlign w:val="center"/>
          </w:tcPr>
          <w:p w14:paraId="2E791F0C">
            <w:pPr>
              <w:pStyle w:val="30"/>
              <w:bidi w:val="0"/>
              <w:rPr>
                <w:rFonts w:hint="default"/>
                <w:color w:val="auto"/>
              </w:rPr>
            </w:pPr>
            <w:r>
              <w:rPr>
                <w:rFonts w:hint="default"/>
                <w:color w:val="auto"/>
              </w:rPr>
              <w:t>Acetylene</w:t>
            </w:r>
          </w:p>
        </w:tc>
      </w:tr>
      <w:tr w14:paraId="22D5C5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5AE4D528">
            <w:pPr>
              <w:pStyle w:val="30"/>
              <w:bidi w:val="0"/>
              <w:rPr>
                <w:rFonts w:hint="default"/>
                <w:color w:val="auto"/>
              </w:rPr>
            </w:pPr>
            <w:r>
              <w:rPr>
                <w:rFonts w:hint="default"/>
                <w:color w:val="auto"/>
              </w:rPr>
              <w:t>分子式：</w:t>
            </w:r>
          </w:p>
        </w:tc>
        <w:tc>
          <w:tcPr>
            <w:tcW w:w="7632" w:type="dxa"/>
            <w:noWrap w:val="0"/>
            <w:vAlign w:val="center"/>
          </w:tcPr>
          <w:p w14:paraId="64080336">
            <w:pPr>
              <w:pStyle w:val="30"/>
              <w:bidi w:val="0"/>
              <w:rPr>
                <w:rFonts w:hint="default"/>
                <w:color w:val="auto"/>
              </w:rPr>
            </w:pPr>
            <w:r>
              <w:rPr>
                <w:rFonts w:hint="default"/>
                <w:color w:val="auto"/>
              </w:rPr>
              <w:t>C</w:t>
            </w:r>
            <w:r>
              <w:rPr>
                <w:rFonts w:hint="default"/>
                <w:color w:val="auto"/>
                <w:vertAlign w:val="subscript"/>
              </w:rPr>
              <w:t>2</w:t>
            </w:r>
            <w:r>
              <w:rPr>
                <w:rFonts w:hint="default"/>
                <w:color w:val="auto"/>
              </w:rPr>
              <w:t>H</w:t>
            </w:r>
            <w:r>
              <w:rPr>
                <w:rFonts w:hint="default"/>
                <w:color w:val="auto"/>
                <w:vertAlign w:val="subscript"/>
              </w:rPr>
              <w:t>2</w:t>
            </w:r>
          </w:p>
        </w:tc>
      </w:tr>
      <w:tr w14:paraId="422AD1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15EF906D">
            <w:pPr>
              <w:pStyle w:val="30"/>
              <w:bidi w:val="0"/>
              <w:rPr>
                <w:rFonts w:hint="default"/>
                <w:color w:val="auto"/>
              </w:rPr>
            </w:pPr>
            <w:r>
              <w:rPr>
                <w:rFonts w:hint="default"/>
                <w:color w:val="auto"/>
              </w:rPr>
              <w:t>相对分子质量：</w:t>
            </w:r>
          </w:p>
        </w:tc>
        <w:tc>
          <w:tcPr>
            <w:tcW w:w="7632" w:type="dxa"/>
            <w:noWrap w:val="0"/>
            <w:vAlign w:val="center"/>
          </w:tcPr>
          <w:p w14:paraId="3BBA9738">
            <w:pPr>
              <w:pStyle w:val="30"/>
              <w:bidi w:val="0"/>
              <w:rPr>
                <w:rFonts w:hint="default"/>
                <w:color w:val="auto"/>
              </w:rPr>
            </w:pPr>
            <w:r>
              <w:rPr>
                <w:rFonts w:hint="default"/>
                <w:color w:val="auto"/>
              </w:rPr>
              <w:t>26.04</w:t>
            </w:r>
          </w:p>
        </w:tc>
      </w:tr>
      <w:tr w14:paraId="0FB294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1FA7A806">
            <w:pPr>
              <w:pStyle w:val="30"/>
              <w:bidi w:val="0"/>
              <w:rPr>
                <w:rFonts w:hint="default"/>
                <w:color w:val="auto"/>
              </w:rPr>
            </w:pPr>
            <w:r>
              <w:rPr>
                <w:rFonts w:hint="default"/>
                <w:color w:val="auto"/>
              </w:rPr>
              <w:t>CAS号：</w:t>
            </w:r>
          </w:p>
        </w:tc>
        <w:tc>
          <w:tcPr>
            <w:tcW w:w="7632" w:type="dxa"/>
            <w:noWrap w:val="0"/>
            <w:vAlign w:val="center"/>
          </w:tcPr>
          <w:p w14:paraId="150E5CD4">
            <w:pPr>
              <w:pStyle w:val="30"/>
              <w:bidi w:val="0"/>
              <w:rPr>
                <w:rFonts w:hint="default"/>
                <w:color w:val="auto"/>
              </w:rPr>
            </w:pPr>
            <w:r>
              <w:rPr>
                <w:rFonts w:hint="default"/>
                <w:color w:val="auto"/>
              </w:rPr>
              <w:t>74-86-2</w:t>
            </w:r>
          </w:p>
        </w:tc>
      </w:tr>
      <w:tr w14:paraId="566DA6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777AFBB1">
            <w:pPr>
              <w:pStyle w:val="30"/>
              <w:bidi w:val="0"/>
              <w:rPr>
                <w:rFonts w:hint="default"/>
                <w:color w:val="auto"/>
              </w:rPr>
            </w:pPr>
            <w:r>
              <w:rPr>
                <w:rFonts w:hint="default"/>
                <w:color w:val="auto"/>
              </w:rPr>
              <w:t>危规号：</w:t>
            </w:r>
          </w:p>
        </w:tc>
        <w:tc>
          <w:tcPr>
            <w:tcW w:w="7632" w:type="dxa"/>
            <w:noWrap w:val="0"/>
            <w:vAlign w:val="center"/>
          </w:tcPr>
          <w:p w14:paraId="297B4456">
            <w:pPr>
              <w:pStyle w:val="30"/>
              <w:bidi w:val="0"/>
              <w:rPr>
                <w:rFonts w:hint="default"/>
                <w:color w:val="auto"/>
              </w:rPr>
            </w:pPr>
            <w:r>
              <w:rPr>
                <w:rFonts w:hint="default"/>
                <w:color w:val="auto"/>
              </w:rPr>
              <w:t>21024</w:t>
            </w:r>
          </w:p>
        </w:tc>
      </w:tr>
      <w:tr w14:paraId="7CE006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568243B0">
            <w:pPr>
              <w:pStyle w:val="30"/>
              <w:bidi w:val="0"/>
              <w:rPr>
                <w:rFonts w:hint="default"/>
                <w:color w:val="auto"/>
              </w:rPr>
            </w:pPr>
            <w:r>
              <w:rPr>
                <w:rFonts w:hint="default"/>
                <w:color w:val="auto"/>
              </w:rPr>
              <w:t>UN编号：</w:t>
            </w:r>
          </w:p>
        </w:tc>
        <w:tc>
          <w:tcPr>
            <w:tcW w:w="7632" w:type="dxa"/>
            <w:noWrap w:val="0"/>
            <w:vAlign w:val="center"/>
          </w:tcPr>
          <w:p w14:paraId="546DD68F">
            <w:pPr>
              <w:pStyle w:val="30"/>
              <w:bidi w:val="0"/>
              <w:rPr>
                <w:rFonts w:hint="default"/>
                <w:color w:val="auto"/>
              </w:rPr>
            </w:pPr>
            <w:r>
              <w:rPr>
                <w:rFonts w:hint="default"/>
                <w:color w:val="auto"/>
              </w:rPr>
              <w:t>1001</w:t>
            </w:r>
          </w:p>
        </w:tc>
      </w:tr>
      <w:tr w14:paraId="742142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4EA8A42D">
            <w:pPr>
              <w:pStyle w:val="30"/>
              <w:bidi w:val="0"/>
              <w:rPr>
                <w:rFonts w:hint="default"/>
                <w:color w:val="auto"/>
              </w:rPr>
            </w:pPr>
            <w:r>
              <w:rPr>
                <w:rFonts w:hint="default"/>
                <w:color w:val="auto"/>
              </w:rPr>
              <w:t>主要成分：</w:t>
            </w:r>
          </w:p>
        </w:tc>
        <w:tc>
          <w:tcPr>
            <w:tcW w:w="7632" w:type="dxa"/>
            <w:noWrap w:val="0"/>
            <w:vAlign w:val="center"/>
          </w:tcPr>
          <w:p w14:paraId="39599166">
            <w:pPr>
              <w:pStyle w:val="30"/>
              <w:bidi w:val="0"/>
              <w:rPr>
                <w:rFonts w:hint="default"/>
                <w:color w:val="auto"/>
              </w:rPr>
            </w:pPr>
            <w:r>
              <w:rPr>
                <w:rFonts w:hint="default"/>
                <w:color w:val="auto"/>
              </w:rPr>
              <w:t>含量</w:t>
            </w:r>
            <w:r>
              <w:rPr>
                <w:rFonts w:hint="eastAsia"/>
                <w:color w:val="auto"/>
                <w:lang w:eastAsia="zh-CN"/>
              </w:rPr>
              <w:t>：</w:t>
            </w:r>
            <w:r>
              <w:rPr>
                <w:rFonts w:hint="default"/>
                <w:color w:val="auto"/>
              </w:rPr>
              <w:t>工业级≥97.5％。</w:t>
            </w:r>
          </w:p>
        </w:tc>
      </w:tr>
      <w:tr w14:paraId="6DDE66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122A8B46">
            <w:pPr>
              <w:pStyle w:val="30"/>
              <w:bidi w:val="0"/>
              <w:rPr>
                <w:rFonts w:hint="default"/>
                <w:color w:val="auto"/>
              </w:rPr>
            </w:pPr>
            <w:r>
              <w:rPr>
                <w:rFonts w:hint="default"/>
                <w:color w:val="auto"/>
              </w:rPr>
              <w:t>外观与性状：</w:t>
            </w:r>
          </w:p>
        </w:tc>
        <w:tc>
          <w:tcPr>
            <w:tcW w:w="7632" w:type="dxa"/>
            <w:noWrap w:val="0"/>
            <w:vAlign w:val="center"/>
          </w:tcPr>
          <w:p w14:paraId="5E46793B">
            <w:pPr>
              <w:pStyle w:val="30"/>
              <w:bidi w:val="0"/>
              <w:rPr>
                <w:rFonts w:hint="default"/>
                <w:color w:val="auto"/>
              </w:rPr>
            </w:pPr>
            <w:r>
              <w:rPr>
                <w:rFonts w:hint="default"/>
                <w:color w:val="auto"/>
              </w:rPr>
              <w:t>无色无臭气体，工业品有使人不愉快的大蒜气味。</w:t>
            </w:r>
          </w:p>
        </w:tc>
      </w:tr>
      <w:tr w14:paraId="7B1F89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4A3308B6">
            <w:pPr>
              <w:pStyle w:val="30"/>
              <w:bidi w:val="0"/>
              <w:rPr>
                <w:rFonts w:hint="default"/>
                <w:color w:val="auto"/>
              </w:rPr>
            </w:pPr>
            <w:r>
              <w:rPr>
                <w:rFonts w:hint="default"/>
                <w:color w:val="auto"/>
              </w:rPr>
              <w:t>主要用途：</w:t>
            </w:r>
          </w:p>
        </w:tc>
        <w:tc>
          <w:tcPr>
            <w:tcW w:w="7632" w:type="dxa"/>
            <w:noWrap w:val="0"/>
            <w:vAlign w:val="center"/>
          </w:tcPr>
          <w:p w14:paraId="7E2BE1D5">
            <w:pPr>
              <w:pStyle w:val="30"/>
              <w:bidi w:val="0"/>
              <w:rPr>
                <w:rFonts w:hint="default"/>
                <w:color w:val="auto"/>
              </w:rPr>
            </w:pPr>
            <w:r>
              <w:rPr>
                <w:rFonts w:hint="default"/>
                <w:color w:val="auto"/>
              </w:rPr>
              <w:t>是有机合成的重要原料之一。亦是合成橡胶、合成纤维和塑料的单体，也用于氧炔焊割。</w:t>
            </w:r>
          </w:p>
        </w:tc>
      </w:tr>
      <w:tr w14:paraId="2B8996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403" w:type="dxa"/>
            <w:gridSpan w:val="2"/>
            <w:noWrap w:val="0"/>
            <w:vAlign w:val="center"/>
          </w:tcPr>
          <w:p w14:paraId="2B47E2C0">
            <w:pPr>
              <w:pStyle w:val="30"/>
              <w:bidi w:val="0"/>
              <w:rPr>
                <w:rFonts w:hint="default"/>
                <w:color w:val="auto"/>
              </w:rPr>
            </w:pPr>
            <w:r>
              <w:rPr>
                <w:rFonts w:hint="default"/>
                <w:color w:val="auto"/>
              </w:rPr>
              <w:t>健康危害</w:t>
            </w:r>
          </w:p>
        </w:tc>
      </w:tr>
      <w:tr w14:paraId="57AAEC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474B8FFB">
            <w:pPr>
              <w:pStyle w:val="30"/>
              <w:bidi w:val="0"/>
              <w:rPr>
                <w:rFonts w:hint="default"/>
                <w:color w:val="auto"/>
              </w:rPr>
            </w:pPr>
            <w:r>
              <w:rPr>
                <w:rFonts w:hint="default"/>
                <w:color w:val="auto"/>
              </w:rPr>
              <w:t>侵入途径：</w:t>
            </w:r>
          </w:p>
        </w:tc>
        <w:tc>
          <w:tcPr>
            <w:tcW w:w="7632" w:type="dxa"/>
            <w:noWrap w:val="0"/>
            <w:vAlign w:val="center"/>
          </w:tcPr>
          <w:p w14:paraId="2372F2C2">
            <w:pPr>
              <w:pStyle w:val="30"/>
              <w:bidi w:val="0"/>
              <w:rPr>
                <w:rFonts w:hint="default"/>
                <w:color w:val="auto"/>
              </w:rPr>
            </w:pPr>
            <w:r>
              <w:rPr>
                <w:rFonts w:hint="default"/>
                <w:color w:val="auto"/>
              </w:rPr>
              <w:t>吸入。</w:t>
            </w:r>
          </w:p>
        </w:tc>
      </w:tr>
      <w:tr w14:paraId="75028D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6E50AE06">
            <w:pPr>
              <w:pStyle w:val="30"/>
              <w:bidi w:val="0"/>
              <w:rPr>
                <w:rFonts w:hint="default"/>
                <w:color w:val="auto"/>
              </w:rPr>
            </w:pPr>
            <w:r>
              <w:rPr>
                <w:rFonts w:hint="default"/>
                <w:color w:val="auto"/>
              </w:rPr>
              <w:t>健康危害：</w:t>
            </w:r>
          </w:p>
        </w:tc>
        <w:tc>
          <w:tcPr>
            <w:tcW w:w="7632" w:type="dxa"/>
            <w:noWrap w:val="0"/>
            <w:vAlign w:val="center"/>
          </w:tcPr>
          <w:p w14:paraId="3A806B94">
            <w:pPr>
              <w:pStyle w:val="30"/>
              <w:bidi w:val="0"/>
              <w:rPr>
                <w:rFonts w:hint="default"/>
                <w:color w:val="auto"/>
              </w:rPr>
            </w:pPr>
            <w:r>
              <w:rPr>
                <w:rFonts w:hint="default"/>
                <w:color w:val="auto"/>
              </w:rPr>
              <w:t>具有弱麻醉作用。高浓度吸入可引起单纯窒息。急性中毒：暴露于20％浓度时，出现明显缺氧症状；吸入高浓度，初期兴奋、多语、哭笑不安，后出现眩晕、头痛、恶心、呕吐、共济失调、嗜睡；严重者昏迷、紫绀、瞳孔对光反应消失、脉弱而不齐。当混有磷化氢、硫化氢时，毒性增大，应予以注意。</w:t>
            </w:r>
          </w:p>
        </w:tc>
      </w:tr>
      <w:tr w14:paraId="3437F8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6E1CB11B">
            <w:pPr>
              <w:pStyle w:val="30"/>
              <w:bidi w:val="0"/>
              <w:rPr>
                <w:rFonts w:hint="default"/>
                <w:color w:val="auto"/>
              </w:rPr>
            </w:pPr>
            <w:r>
              <w:rPr>
                <w:rFonts w:hint="default"/>
                <w:color w:val="auto"/>
              </w:rPr>
              <w:t>吸入：</w:t>
            </w:r>
          </w:p>
        </w:tc>
        <w:tc>
          <w:tcPr>
            <w:tcW w:w="7632" w:type="dxa"/>
            <w:noWrap w:val="0"/>
            <w:vAlign w:val="center"/>
          </w:tcPr>
          <w:p w14:paraId="7EC46B27">
            <w:pPr>
              <w:pStyle w:val="30"/>
              <w:bidi w:val="0"/>
              <w:rPr>
                <w:rFonts w:hint="default"/>
                <w:color w:val="auto"/>
              </w:rPr>
            </w:pPr>
            <w:r>
              <w:rPr>
                <w:rFonts w:hint="default"/>
                <w:color w:val="auto"/>
              </w:rPr>
              <w:t>迅速脱离现场至空气新鲜处。保持呼吸道通畅。如呼吸困难，给输氧。如呼吸停止，立即进行人工呼吸。就医。</w:t>
            </w:r>
          </w:p>
        </w:tc>
      </w:tr>
      <w:tr w14:paraId="360A16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403" w:type="dxa"/>
            <w:gridSpan w:val="2"/>
            <w:noWrap w:val="0"/>
            <w:vAlign w:val="center"/>
          </w:tcPr>
          <w:p w14:paraId="435650BD">
            <w:pPr>
              <w:pStyle w:val="30"/>
              <w:bidi w:val="0"/>
              <w:rPr>
                <w:rFonts w:hint="default"/>
                <w:color w:val="auto"/>
              </w:rPr>
            </w:pPr>
            <w:r>
              <w:rPr>
                <w:rFonts w:hint="default"/>
                <w:color w:val="auto"/>
              </w:rPr>
              <w:t>理化特性</w:t>
            </w:r>
          </w:p>
        </w:tc>
      </w:tr>
      <w:tr w14:paraId="1AFB7A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0A313218">
            <w:pPr>
              <w:pStyle w:val="30"/>
              <w:bidi w:val="0"/>
              <w:rPr>
                <w:rFonts w:hint="default"/>
                <w:color w:val="auto"/>
              </w:rPr>
            </w:pPr>
            <w:r>
              <w:rPr>
                <w:rFonts w:hint="default"/>
                <w:color w:val="auto"/>
              </w:rPr>
              <w:t>燃烧性：</w:t>
            </w:r>
          </w:p>
        </w:tc>
        <w:tc>
          <w:tcPr>
            <w:tcW w:w="7632" w:type="dxa"/>
            <w:noWrap w:val="0"/>
            <w:vAlign w:val="center"/>
          </w:tcPr>
          <w:p w14:paraId="2214E157">
            <w:pPr>
              <w:pStyle w:val="30"/>
              <w:bidi w:val="0"/>
              <w:rPr>
                <w:rFonts w:hint="default"/>
                <w:color w:val="auto"/>
              </w:rPr>
            </w:pPr>
            <w:r>
              <w:rPr>
                <w:rFonts w:hint="default"/>
                <w:color w:val="auto"/>
              </w:rPr>
              <w:t>本品易燃，具窒息性。</w:t>
            </w:r>
          </w:p>
        </w:tc>
      </w:tr>
      <w:tr w14:paraId="13C081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4BB4838B">
            <w:pPr>
              <w:pStyle w:val="30"/>
              <w:bidi w:val="0"/>
              <w:rPr>
                <w:rFonts w:hint="default"/>
                <w:color w:val="auto"/>
              </w:rPr>
            </w:pPr>
            <w:r>
              <w:rPr>
                <w:rFonts w:hint="default"/>
                <w:color w:val="auto"/>
              </w:rPr>
              <w:t>闪点：</w:t>
            </w:r>
          </w:p>
        </w:tc>
        <w:tc>
          <w:tcPr>
            <w:tcW w:w="7632" w:type="dxa"/>
            <w:noWrap w:val="0"/>
            <w:vAlign w:val="center"/>
          </w:tcPr>
          <w:p w14:paraId="67DB0480">
            <w:pPr>
              <w:pStyle w:val="30"/>
              <w:bidi w:val="0"/>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无意义</w:t>
            </w:r>
          </w:p>
        </w:tc>
      </w:tr>
      <w:tr w14:paraId="77280F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078D9094">
            <w:pPr>
              <w:pStyle w:val="30"/>
              <w:bidi w:val="0"/>
              <w:rPr>
                <w:rFonts w:hint="default"/>
                <w:color w:val="auto"/>
              </w:rPr>
            </w:pPr>
            <w:r>
              <w:rPr>
                <w:rFonts w:hint="default"/>
                <w:color w:val="auto"/>
              </w:rPr>
              <w:t>爆炸下限：</w:t>
            </w:r>
          </w:p>
        </w:tc>
        <w:tc>
          <w:tcPr>
            <w:tcW w:w="7632" w:type="dxa"/>
            <w:noWrap w:val="0"/>
            <w:vAlign w:val="center"/>
          </w:tcPr>
          <w:p w14:paraId="3CD51F44">
            <w:pPr>
              <w:pStyle w:val="30"/>
              <w:bidi w:val="0"/>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2.1</w:t>
            </w:r>
          </w:p>
        </w:tc>
      </w:tr>
      <w:tr w14:paraId="2608A5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2D70C520">
            <w:pPr>
              <w:pStyle w:val="30"/>
              <w:bidi w:val="0"/>
              <w:rPr>
                <w:rFonts w:hint="default"/>
                <w:color w:val="auto"/>
              </w:rPr>
            </w:pPr>
            <w:r>
              <w:rPr>
                <w:rFonts w:hint="default"/>
                <w:color w:val="auto"/>
              </w:rPr>
              <w:t>引燃温度：</w:t>
            </w:r>
          </w:p>
        </w:tc>
        <w:tc>
          <w:tcPr>
            <w:tcW w:w="7632" w:type="dxa"/>
            <w:noWrap w:val="0"/>
            <w:vAlign w:val="center"/>
          </w:tcPr>
          <w:p w14:paraId="7746886D">
            <w:pPr>
              <w:pStyle w:val="30"/>
              <w:bidi w:val="0"/>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305</w:t>
            </w:r>
          </w:p>
        </w:tc>
      </w:tr>
      <w:tr w14:paraId="4A7D7D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1C777002">
            <w:pPr>
              <w:pStyle w:val="30"/>
              <w:bidi w:val="0"/>
              <w:rPr>
                <w:rFonts w:hint="default"/>
                <w:color w:val="auto"/>
              </w:rPr>
            </w:pPr>
            <w:r>
              <w:rPr>
                <w:rFonts w:hint="default"/>
                <w:color w:val="auto"/>
              </w:rPr>
              <w:t>爆炸上限：</w:t>
            </w:r>
          </w:p>
        </w:tc>
        <w:tc>
          <w:tcPr>
            <w:tcW w:w="7632" w:type="dxa"/>
            <w:noWrap w:val="0"/>
            <w:vAlign w:val="center"/>
          </w:tcPr>
          <w:p w14:paraId="35BA2C7B">
            <w:pPr>
              <w:pStyle w:val="30"/>
              <w:bidi w:val="0"/>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80.0</w:t>
            </w:r>
          </w:p>
        </w:tc>
      </w:tr>
      <w:tr w14:paraId="764056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1AE06E83">
            <w:pPr>
              <w:pStyle w:val="30"/>
              <w:bidi w:val="0"/>
              <w:rPr>
                <w:rFonts w:hint="default"/>
                <w:color w:val="auto"/>
              </w:rPr>
            </w:pPr>
            <w:r>
              <w:rPr>
                <w:rFonts w:hint="default"/>
                <w:color w:val="auto"/>
              </w:rPr>
              <w:t>危险特性：</w:t>
            </w:r>
          </w:p>
        </w:tc>
        <w:tc>
          <w:tcPr>
            <w:tcW w:w="7632" w:type="dxa"/>
            <w:noWrap w:val="0"/>
            <w:vAlign w:val="center"/>
          </w:tcPr>
          <w:p w14:paraId="7B264389">
            <w:pPr>
              <w:pStyle w:val="30"/>
              <w:bidi w:val="0"/>
              <w:rPr>
                <w:rFonts w:hint="default"/>
                <w:color w:val="auto"/>
              </w:rPr>
            </w:pPr>
            <w:r>
              <w:rPr>
                <w:rFonts w:hint="default"/>
                <w:color w:val="auto"/>
              </w:rPr>
              <w:t>极易燃烧爆炸。与空气混合能形成爆炸性混合物，遇明火、高热能引起燃烧爆炸。与氧化剂接触猛烈反应。与氟、氯等接触会发生剧烈的化学反应。能与铜、银、汞等的化合物生成爆炸性物质。</w:t>
            </w:r>
          </w:p>
        </w:tc>
      </w:tr>
      <w:tr w14:paraId="1E6C63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0AEFB129">
            <w:pPr>
              <w:pStyle w:val="30"/>
              <w:bidi w:val="0"/>
              <w:rPr>
                <w:rFonts w:hint="default"/>
                <w:color w:val="auto"/>
              </w:rPr>
            </w:pPr>
            <w:r>
              <w:rPr>
                <w:rFonts w:hint="default"/>
                <w:color w:val="auto"/>
              </w:rPr>
              <w:t>有害燃烧产物：</w:t>
            </w:r>
          </w:p>
        </w:tc>
        <w:tc>
          <w:tcPr>
            <w:tcW w:w="7632" w:type="dxa"/>
            <w:noWrap w:val="0"/>
            <w:vAlign w:val="center"/>
          </w:tcPr>
          <w:p w14:paraId="6CD76532">
            <w:pPr>
              <w:pStyle w:val="30"/>
              <w:bidi w:val="0"/>
              <w:rPr>
                <w:rFonts w:hint="default"/>
                <w:color w:val="auto"/>
              </w:rPr>
            </w:pPr>
            <w:r>
              <w:rPr>
                <w:rFonts w:hint="default"/>
                <w:color w:val="auto"/>
              </w:rPr>
              <w:t>一氧化碳、二氧化碳。</w:t>
            </w:r>
          </w:p>
        </w:tc>
      </w:tr>
      <w:tr w14:paraId="567AC0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79F2D420">
            <w:pPr>
              <w:pStyle w:val="30"/>
              <w:bidi w:val="0"/>
              <w:rPr>
                <w:rFonts w:hint="default"/>
                <w:color w:val="auto"/>
              </w:rPr>
            </w:pPr>
            <w:r>
              <w:rPr>
                <w:rFonts w:hint="default"/>
                <w:color w:val="auto"/>
              </w:rPr>
              <w:t>灭火方法：</w:t>
            </w:r>
          </w:p>
        </w:tc>
        <w:tc>
          <w:tcPr>
            <w:tcW w:w="7632" w:type="dxa"/>
            <w:noWrap w:val="0"/>
            <w:vAlign w:val="center"/>
          </w:tcPr>
          <w:p w14:paraId="67EA2E29">
            <w:pPr>
              <w:pStyle w:val="30"/>
              <w:bidi w:val="0"/>
              <w:rPr>
                <w:rFonts w:hint="default"/>
                <w:color w:val="auto"/>
              </w:rPr>
            </w:pPr>
            <w:r>
              <w:rPr>
                <w:rFonts w:hint="default"/>
                <w:color w:val="auto"/>
              </w:rPr>
              <w:t>切断气源。若不能切断气源，则不允许熄灭泄漏处的火焰。喷水冷却容器，可能的话将容器从火场移至空旷处。灭火剂：雾状水、泡沫、二氧化碳、干粉。</w:t>
            </w:r>
          </w:p>
        </w:tc>
      </w:tr>
      <w:tr w14:paraId="58AD37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37295654">
            <w:pPr>
              <w:pStyle w:val="30"/>
              <w:bidi w:val="0"/>
              <w:rPr>
                <w:rFonts w:hint="default"/>
                <w:color w:val="auto"/>
              </w:rPr>
            </w:pPr>
            <w:r>
              <w:rPr>
                <w:rFonts w:hint="default"/>
                <w:color w:val="auto"/>
              </w:rPr>
              <w:t>泄漏应急处理：</w:t>
            </w:r>
          </w:p>
        </w:tc>
        <w:tc>
          <w:tcPr>
            <w:tcW w:w="7632" w:type="dxa"/>
            <w:noWrap w:val="0"/>
            <w:vAlign w:val="center"/>
          </w:tcPr>
          <w:p w14:paraId="760A8F65">
            <w:pPr>
              <w:pStyle w:val="30"/>
              <w:bidi w:val="0"/>
              <w:rPr>
                <w:rFonts w:hint="default"/>
                <w:color w:val="auto"/>
              </w:rPr>
            </w:pPr>
            <w:r>
              <w:rPr>
                <w:rFonts w:hint="default"/>
                <w:color w:val="auto"/>
              </w:rPr>
              <w:t>迅速撤离泄漏污染区人员至上风处，并进行隔离，严格限制出入。切断火源。建议应急处理人员戴自给正压式呼吸器，穿防静电工作服。尽可能切断泄漏源。合理通风，加速扩散。喷雾状水稀释、溶解。构筑围堤或挖坑收容产生的大量废水。如有可能，将漏出气用排风机送至空旷地方或装设适当喷头烧掉。漏气容器要妥善处理，修复、检验后再用。</w:t>
            </w:r>
          </w:p>
        </w:tc>
      </w:tr>
      <w:tr w14:paraId="76BA08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7F654E49">
            <w:pPr>
              <w:pStyle w:val="30"/>
              <w:bidi w:val="0"/>
              <w:rPr>
                <w:rFonts w:hint="default"/>
                <w:color w:val="auto"/>
              </w:rPr>
            </w:pPr>
            <w:r>
              <w:rPr>
                <w:rFonts w:hint="default"/>
                <w:color w:val="auto"/>
              </w:rPr>
              <w:t>操作注意事项：</w:t>
            </w:r>
          </w:p>
        </w:tc>
        <w:tc>
          <w:tcPr>
            <w:tcW w:w="7632" w:type="dxa"/>
            <w:noWrap w:val="0"/>
            <w:vAlign w:val="center"/>
          </w:tcPr>
          <w:p w14:paraId="2063C804">
            <w:pPr>
              <w:pStyle w:val="30"/>
              <w:bidi w:val="0"/>
              <w:rPr>
                <w:rFonts w:hint="default"/>
                <w:color w:val="auto"/>
              </w:rPr>
            </w:pPr>
            <w:r>
              <w:rPr>
                <w:rFonts w:hint="default"/>
                <w:color w:val="auto"/>
              </w:rPr>
              <w:t>密闭操作，全面通风。操作人员必须经过专门培训，严格遵守操作规程。建议操作人员穿防静电工作服。远离火种、热源，工作场所严禁吸烟。使用防爆型的通风系统和设备。防止气体泄漏到工作场所空气中。避免与氧化剂、酸类、卤素接触。在传送过程中，钢瓶和容器必须接地和跨接，防止产生静电。搬运时轻装轻卸，防止钢瓶及附件破损。配备相应品种和数量的消防器材及泄漏应急处理设备。</w:t>
            </w:r>
          </w:p>
        </w:tc>
      </w:tr>
      <w:tr w14:paraId="223D55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30C713A1">
            <w:pPr>
              <w:pStyle w:val="30"/>
              <w:bidi w:val="0"/>
              <w:rPr>
                <w:rFonts w:hint="default"/>
                <w:color w:val="auto"/>
              </w:rPr>
            </w:pPr>
            <w:r>
              <w:rPr>
                <w:rFonts w:hint="default"/>
                <w:color w:val="auto"/>
              </w:rPr>
              <w:t>贮运注意事项：</w:t>
            </w:r>
          </w:p>
        </w:tc>
        <w:tc>
          <w:tcPr>
            <w:tcW w:w="7632" w:type="dxa"/>
            <w:noWrap w:val="0"/>
            <w:vAlign w:val="center"/>
          </w:tcPr>
          <w:p w14:paraId="7C9E0088">
            <w:pPr>
              <w:pStyle w:val="30"/>
              <w:bidi w:val="0"/>
              <w:rPr>
                <w:rFonts w:hint="default"/>
                <w:color w:val="auto"/>
              </w:rPr>
            </w:pPr>
            <w:r>
              <w:rPr>
                <w:rFonts w:hint="default"/>
                <w:color w:val="auto"/>
              </w:rPr>
              <w:t>乙炔的包装法通常是溶解在溶剂及多孔物中</w:t>
            </w:r>
            <w:r>
              <w:rPr>
                <w:rFonts w:hint="eastAsia"/>
                <w:color w:val="auto"/>
                <w:lang w:eastAsia="zh-CN"/>
              </w:rPr>
              <w:t>，</w:t>
            </w:r>
            <w:r>
              <w:rPr>
                <w:rFonts w:hint="default"/>
                <w:color w:val="auto"/>
              </w:rPr>
              <w:t xml:space="preserve"> 装入钢瓶内。储存于阴凉、通风的库房。远离火种、热源。库温不宜超过30℃。应与氧化剂、酸类、卤素分开存放，切忌混储。采用防爆型照明、通风设施。禁止使用易产生火花的机械设备和工具。储区应备有泄漏应急处理设备。采用刚瓶运输时必须戴好钢瓶上的安全帽。钢瓶一般平放，并应将瓶口朝同一方向，不可交叉；高度不得超过车辆的防护栏板，并用三角木垫卡牢，防止滚动。运输时运输车辆应配备相应品种和数量的消防器材。装运该物品的车辆排气管必须配备阻火装置，禁止使用易产生火花的机械设备和工具装卸。严禁与氧化剂、酸类、卤素等混装混运。夏季应早晚运输，防止日光曝晒。中途停留时应远离火种、热源。公路运输时要按规定路线行驶，勿在居民区和人口稠密区停留。铁路运输时要禁止溜放。</w:t>
            </w:r>
          </w:p>
        </w:tc>
      </w:tr>
      <w:tr w14:paraId="78625A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4D57335B">
            <w:pPr>
              <w:pStyle w:val="30"/>
              <w:bidi w:val="0"/>
              <w:rPr>
                <w:rFonts w:hint="default"/>
                <w:color w:val="auto"/>
              </w:rPr>
            </w:pPr>
            <w:r>
              <w:rPr>
                <w:rFonts w:hint="default"/>
                <w:color w:val="auto"/>
              </w:rPr>
              <w:t>防护措施：</w:t>
            </w:r>
          </w:p>
        </w:tc>
        <w:tc>
          <w:tcPr>
            <w:tcW w:w="7632" w:type="dxa"/>
            <w:noWrap w:val="0"/>
            <w:vAlign w:val="center"/>
          </w:tcPr>
          <w:p w14:paraId="2E9B1A17">
            <w:pPr>
              <w:pStyle w:val="30"/>
              <w:bidi w:val="0"/>
              <w:rPr>
                <w:rFonts w:hint="default"/>
                <w:color w:val="auto"/>
              </w:rPr>
            </w:pPr>
            <w:r>
              <w:rPr>
                <w:rFonts w:hint="default"/>
                <w:color w:val="auto"/>
              </w:rPr>
              <w:t>职业接触限值</w:t>
            </w:r>
          </w:p>
          <w:p w14:paraId="3C954FBA">
            <w:pPr>
              <w:pStyle w:val="30"/>
              <w:bidi w:val="0"/>
              <w:rPr>
                <w:rFonts w:hint="default"/>
                <w:color w:val="auto"/>
              </w:rPr>
            </w:pPr>
            <w:r>
              <w:rPr>
                <w:rFonts w:hint="default"/>
                <w:color w:val="auto"/>
              </w:rPr>
              <w:t>中国MAC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3285C90A">
            <w:pPr>
              <w:pStyle w:val="30"/>
              <w:bidi w:val="0"/>
              <w:rPr>
                <w:rFonts w:hint="default"/>
                <w:color w:val="auto"/>
              </w:rPr>
            </w:pPr>
            <w:r>
              <w:rPr>
                <w:rFonts w:hint="default"/>
                <w:color w:val="auto"/>
              </w:rPr>
              <w:t>前苏联MAC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15DB4E27">
            <w:pPr>
              <w:pStyle w:val="30"/>
              <w:bidi w:val="0"/>
              <w:rPr>
                <w:rFonts w:hint="default"/>
                <w:color w:val="auto"/>
              </w:rPr>
            </w:pPr>
            <w:r>
              <w:rPr>
                <w:rFonts w:hint="default"/>
                <w:color w:val="auto"/>
              </w:rPr>
              <w:t>TLVTN：ACGIH 窒息性气体</w:t>
            </w:r>
          </w:p>
          <w:p w14:paraId="312DF41E">
            <w:pPr>
              <w:pStyle w:val="30"/>
              <w:bidi w:val="0"/>
              <w:rPr>
                <w:rFonts w:hint="default"/>
                <w:color w:val="auto"/>
              </w:rPr>
            </w:pPr>
            <w:r>
              <w:rPr>
                <w:rFonts w:hint="default"/>
                <w:color w:val="auto"/>
              </w:rPr>
              <w:t>TLVWN：未制定标准</w:t>
            </w:r>
          </w:p>
          <w:p w14:paraId="347B506B">
            <w:pPr>
              <w:pStyle w:val="30"/>
              <w:bidi w:val="0"/>
              <w:rPr>
                <w:rFonts w:hint="default"/>
                <w:color w:val="auto"/>
              </w:rPr>
            </w:pPr>
            <w:r>
              <w:rPr>
                <w:rFonts w:hint="default"/>
                <w:color w:val="auto"/>
              </w:rPr>
              <w:t>工程控制：生产过程密闭，全面通风。</w:t>
            </w:r>
          </w:p>
          <w:p w14:paraId="78FD7398">
            <w:pPr>
              <w:pStyle w:val="30"/>
              <w:bidi w:val="0"/>
              <w:rPr>
                <w:rFonts w:hint="default"/>
                <w:color w:val="auto"/>
              </w:rPr>
            </w:pPr>
            <w:r>
              <w:rPr>
                <w:rFonts w:hint="default"/>
                <w:color w:val="auto"/>
              </w:rPr>
              <w:t>呼吸系统防护：一般不需要特殊防护，但建议特殊情况下，佩戴自吸过滤式防毒面具</w:t>
            </w:r>
            <w:r>
              <w:rPr>
                <w:rFonts w:hint="default"/>
                <w:color w:val="auto"/>
                <w:lang w:eastAsia="zh-CN"/>
              </w:rPr>
              <w:t>（</w:t>
            </w:r>
            <w:r>
              <w:rPr>
                <w:rFonts w:hint="default"/>
                <w:color w:val="auto"/>
              </w:rPr>
              <w:t>半面罩</w:t>
            </w:r>
            <w:r>
              <w:rPr>
                <w:rFonts w:hint="eastAsia"/>
                <w:color w:val="auto"/>
                <w:lang w:eastAsia="zh-CN"/>
              </w:rPr>
              <w:t>）</w:t>
            </w:r>
            <w:r>
              <w:rPr>
                <w:rFonts w:hint="default"/>
                <w:color w:val="auto"/>
              </w:rPr>
              <w:t>。</w:t>
            </w:r>
          </w:p>
          <w:p w14:paraId="755C74E9">
            <w:pPr>
              <w:pStyle w:val="30"/>
              <w:bidi w:val="0"/>
              <w:rPr>
                <w:rFonts w:hint="default"/>
                <w:color w:val="auto"/>
              </w:rPr>
            </w:pPr>
            <w:r>
              <w:rPr>
                <w:rFonts w:hint="default"/>
                <w:color w:val="auto"/>
              </w:rPr>
              <w:t>眼睛防护：一般不需特殊防护。</w:t>
            </w:r>
          </w:p>
          <w:p w14:paraId="031631D1">
            <w:pPr>
              <w:pStyle w:val="30"/>
              <w:bidi w:val="0"/>
              <w:rPr>
                <w:rFonts w:hint="default"/>
                <w:color w:val="auto"/>
              </w:rPr>
            </w:pPr>
            <w:r>
              <w:rPr>
                <w:rFonts w:hint="default"/>
                <w:color w:val="auto"/>
              </w:rPr>
              <w:t>身体防护：穿防静电工作服。</w:t>
            </w:r>
          </w:p>
          <w:p w14:paraId="75D88B7E">
            <w:pPr>
              <w:pStyle w:val="30"/>
              <w:bidi w:val="0"/>
              <w:rPr>
                <w:rFonts w:hint="default"/>
                <w:color w:val="auto"/>
              </w:rPr>
            </w:pPr>
            <w:r>
              <w:rPr>
                <w:rFonts w:hint="default"/>
                <w:color w:val="auto"/>
              </w:rPr>
              <w:t>手防护：戴一般作业防护手套。</w:t>
            </w:r>
          </w:p>
          <w:p w14:paraId="4AA16F2D">
            <w:pPr>
              <w:pStyle w:val="30"/>
              <w:bidi w:val="0"/>
              <w:rPr>
                <w:rFonts w:hint="default"/>
                <w:color w:val="auto"/>
              </w:rPr>
            </w:pPr>
            <w:r>
              <w:rPr>
                <w:rFonts w:hint="default"/>
                <w:color w:val="auto"/>
              </w:rPr>
              <w:t>其他防护：工作现场严禁吸烟。避免长期反复接触。进入罐、限制性空间或其它高浓度区作业，须有人监护。 </w:t>
            </w:r>
          </w:p>
        </w:tc>
      </w:tr>
      <w:tr w14:paraId="2BB813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71346EEF">
            <w:pPr>
              <w:pStyle w:val="30"/>
              <w:bidi w:val="0"/>
              <w:rPr>
                <w:rFonts w:hint="default"/>
                <w:color w:val="auto"/>
              </w:rPr>
            </w:pPr>
            <w:r>
              <w:rPr>
                <w:rFonts w:hint="default"/>
                <w:color w:val="auto"/>
              </w:rPr>
              <w:t>理化性质：</w:t>
            </w:r>
          </w:p>
        </w:tc>
        <w:tc>
          <w:tcPr>
            <w:tcW w:w="7632" w:type="dxa"/>
            <w:noWrap w:val="0"/>
            <w:vAlign w:val="center"/>
          </w:tcPr>
          <w:p w14:paraId="6EDB78B6">
            <w:pPr>
              <w:pStyle w:val="30"/>
              <w:bidi w:val="0"/>
              <w:rPr>
                <w:rFonts w:hint="default"/>
                <w:color w:val="auto"/>
              </w:rPr>
            </w:pPr>
            <w:r>
              <w:rPr>
                <w:rFonts w:hint="default"/>
                <w:color w:val="auto"/>
              </w:rPr>
              <w:t>熔点</w:t>
            </w:r>
            <w:r>
              <w:rPr>
                <w:rFonts w:hint="eastAsia"/>
                <w:color w:val="auto"/>
                <w:lang w:eastAsia="zh-CN"/>
              </w:rPr>
              <w:t>（</w:t>
            </w:r>
            <w:r>
              <w:rPr>
                <w:rFonts w:hint="default"/>
                <w:color w:val="auto"/>
              </w:rPr>
              <w:t>℃</w:t>
            </w:r>
            <w:r>
              <w:rPr>
                <w:rFonts w:hint="eastAsia"/>
                <w:color w:val="auto"/>
                <w:lang w:eastAsia="zh-CN"/>
              </w:rPr>
              <w:t>）</w:t>
            </w:r>
            <w:r>
              <w:rPr>
                <w:rFonts w:hint="default"/>
                <w:color w:val="auto"/>
              </w:rPr>
              <w:t>：-81.8</w:t>
            </w:r>
            <w:r>
              <w:rPr>
                <w:rFonts w:hint="eastAsia"/>
                <w:color w:val="auto"/>
                <w:lang w:eastAsia="zh-CN"/>
              </w:rPr>
              <w:t>（</w:t>
            </w:r>
            <w:r>
              <w:rPr>
                <w:rFonts w:hint="default"/>
                <w:color w:val="auto"/>
              </w:rPr>
              <w:t>119kPa</w:t>
            </w:r>
            <w:r>
              <w:rPr>
                <w:rFonts w:hint="eastAsia"/>
                <w:color w:val="auto"/>
                <w:lang w:eastAsia="zh-CN"/>
              </w:rPr>
              <w:t>）</w:t>
            </w:r>
            <w:r>
              <w:rPr>
                <w:rFonts w:hint="default"/>
                <w:color w:val="auto"/>
              </w:rPr>
              <w:t>；沸点</w:t>
            </w:r>
            <w:r>
              <w:rPr>
                <w:rFonts w:hint="eastAsia"/>
                <w:color w:val="auto"/>
                <w:lang w:eastAsia="zh-CN"/>
              </w:rPr>
              <w:t>（</w:t>
            </w:r>
            <w:r>
              <w:rPr>
                <w:rFonts w:hint="default"/>
                <w:color w:val="auto"/>
              </w:rPr>
              <w:t>℃</w:t>
            </w:r>
            <w:r>
              <w:rPr>
                <w:rFonts w:hint="eastAsia"/>
                <w:color w:val="auto"/>
                <w:lang w:eastAsia="zh-CN"/>
              </w:rPr>
              <w:t>）</w:t>
            </w:r>
            <w:r>
              <w:rPr>
                <w:rFonts w:hint="default"/>
                <w:color w:val="auto"/>
              </w:rPr>
              <w:t>：-83.8；相对密度</w:t>
            </w:r>
            <w:r>
              <w:rPr>
                <w:rFonts w:hint="eastAsia"/>
                <w:color w:val="auto"/>
                <w:lang w:eastAsia="zh-CN"/>
              </w:rPr>
              <w:t>（</w:t>
            </w:r>
            <w:r>
              <w:rPr>
                <w:rFonts w:hint="default"/>
                <w:color w:val="auto"/>
              </w:rPr>
              <w:t>水=1</w:t>
            </w:r>
            <w:r>
              <w:rPr>
                <w:rFonts w:hint="eastAsia"/>
                <w:color w:val="auto"/>
                <w:lang w:eastAsia="zh-CN"/>
              </w:rPr>
              <w:t>）</w:t>
            </w:r>
            <w:r>
              <w:rPr>
                <w:rFonts w:hint="default"/>
                <w:color w:val="auto"/>
              </w:rPr>
              <w:t>：0.62；相对蒸气密度</w:t>
            </w:r>
            <w:r>
              <w:rPr>
                <w:rFonts w:hint="eastAsia"/>
                <w:color w:val="auto"/>
                <w:lang w:eastAsia="zh-CN"/>
              </w:rPr>
              <w:t>（</w:t>
            </w:r>
            <w:r>
              <w:rPr>
                <w:rFonts w:hint="default"/>
                <w:color w:val="auto"/>
              </w:rPr>
              <w:t>空气=1</w:t>
            </w:r>
            <w:r>
              <w:rPr>
                <w:rFonts w:hint="eastAsia"/>
                <w:color w:val="auto"/>
                <w:lang w:eastAsia="zh-CN"/>
              </w:rPr>
              <w:t>）</w:t>
            </w:r>
            <w:r>
              <w:rPr>
                <w:rFonts w:hint="default"/>
                <w:color w:val="auto"/>
              </w:rPr>
              <w:t>：0.91；饱和蒸气压</w:t>
            </w:r>
            <w:r>
              <w:rPr>
                <w:rFonts w:hint="eastAsia"/>
                <w:color w:val="auto"/>
                <w:lang w:eastAsia="zh-CN"/>
              </w:rPr>
              <w:t>（</w:t>
            </w:r>
            <w:r>
              <w:rPr>
                <w:rFonts w:hint="default"/>
                <w:color w:val="auto"/>
              </w:rPr>
              <w:t>kPa</w:t>
            </w:r>
            <w:r>
              <w:rPr>
                <w:rFonts w:hint="eastAsia"/>
                <w:color w:val="auto"/>
                <w:lang w:eastAsia="zh-CN"/>
              </w:rPr>
              <w:t>）</w:t>
            </w:r>
            <w:r>
              <w:rPr>
                <w:rFonts w:hint="default"/>
                <w:color w:val="auto"/>
              </w:rPr>
              <w:t>：4053</w:t>
            </w:r>
            <w:r>
              <w:rPr>
                <w:rFonts w:hint="eastAsia"/>
                <w:color w:val="auto"/>
                <w:lang w:eastAsia="zh-CN"/>
              </w:rPr>
              <w:t>（</w:t>
            </w:r>
            <w:r>
              <w:rPr>
                <w:rFonts w:hint="default"/>
                <w:color w:val="auto"/>
              </w:rPr>
              <w:t>16.8℃</w:t>
            </w:r>
            <w:r>
              <w:rPr>
                <w:rFonts w:hint="eastAsia"/>
                <w:color w:val="auto"/>
                <w:lang w:eastAsia="zh-CN"/>
              </w:rPr>
              <w:t>）</w:t>
            </w:r>
            <w:r>
              <w:rPr>
                <w:rFonts w:hint="default"/>
                <w:color w:val="auto"/>
              </w:rPr>
              <w:t>；燃烧热</w:t>
            </w:r>
            <w:r>
              <w:rPr>
                <w:rFonts w:hint="eastAsia"/>
                <w:color w:val="auto"/>
                <w:lang w:eastAsia="zh-CN"/>
              </w:rPr>
              <w:t>（</w:t>
            </w:r>
            <w:r>
              <w:rPr>
                <w:rFonts w:hint="default"/>
                <w:color w:val="auto"/>
              </w:rPr>
              <w:t>kJ/mol</w:t>
            </w:r>
            <w:r>
              <w:rPr>
                <w:rFonts w:hint="eastAsia"/>
                <w:color w:val="auto"/>
                <w:lang w:eastAsia="zh-CN"/>
              </w:rPr>
              <w:t>）</w:t>
            </w:r>
            <w:r>
              <w:rPr>
                <w:rFonts w:hint="default"/>
                <w:color w:val="auto"/>
              </w:rPr>
              <w:t>：1298.4；临界温度</w:t>
            </w:r>
            <w:r>
              <w:rPr>
                <w:rFonts w:hint="eastAsia"/>
                <w:color w:val="auto"/>
                <w:lang w:eastAsia="zh-CN"/>
              </w:rPr>
              <w:t>（</w:t>
            </w:r>
            <w:r>
              <w:rPr>
                <w:rFonts w:hint="default"/>
                <w:color w:val="auto"/>
              </w:rPr>
              <w:t>℃</w:t>
            </w:r>
            <w:r>
              <w:rPr>
                <w:rFonts w:hint="eastAsia"/>
                <w:color w:val="auto"/>
                <w:lang w:eastAsia="zh-CN"/>
              </w:rPr>
              <w:t>）</w:t>
            </w:r>
            <w:r>
              <w:rPr>
                <w:rFonts w:hint="default"/>
                <w:color w:val="auto"/>
              </w:rPr>
              <w:t>：35.2；临界压力</w:t>
            </w:r>
            <w:r>
              <w:rPr>
                <w:rFonts w:hint="eastAsia"/>
                <w:color w:val="auto"/>
                <w:lang w:eastAsia="zh-CN"/>
              </w:rPr>
              <w:t>（</w:t>
            </w:r>
            <w:r>
              <w:rPr>
                <w:rFonts w:hint="default"/>
                <w:color w:val="auto"/>
              </w:rPr>
              <w:t>MPa</w:t>
            </w:r>
            <w:r>
              <w:rPr>
                <w:rFonts w:hint="eastAsia"/>
                <w:color w:val="auto"/>
                <w:lang w:eastAsia="zh-CN"/>
              </w:rPr>
              <w:t>）</w:t>
            </w:r>
            <w:r>
              <w:rPr>
                <w:rFonts w:hint="default"/>
                <w:color w:val="auto"/>
              </w:rPr>
              <w:t>：6.14；辛醇/水分配系数的对数值：无资料；溶解性：微溶于水、乙醇，溶于丙酮、氯仿、苯。</w:t>
            </w:r>
          </w:p>
        </w:tc>
      </w:tr>
      <w:tr w14:paraId="13D2AA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523051B0">
            <w:pPr>
              <w:pStyle w:val="30"/>
              <w:bidi w:val="0"/>
              <w:rPr>
                <w:rFonts w:hint="default"/>
                <w:color w:val="auto"/>
              </w:rPr>
            </w:pPr>
            <w:r>
              <w:rPr>
                <w:rFonts w:hint="default"/>
                <w:color w:val="auto"/>
              </w:rPr>
              <w:t>稳定性和反应活性：</w:t>
            </w:r>
          </w:p>
        </w:tc>
        <w:tc>
          <w:tcPr>
            <w:tcW w:w="7632" w:type="dxa"/>
            <w:noWrap w:val="0"/>
            <w:vAlign w:val="center"/>
          </w:tcPr>
          <w:p w14:paraId="7016FD1A">
            <w:pPr>
              <w:pStyle w:val="30"/>
              <w:bidi w:val="0"/>
              <w:rPr>
                <w:rFonts w:hint="default"/>
                <w:color w:val="auto"/>
              </w:rPr>
            </w:pPr>
            <w:r>
              <w:rPr>
                <w:rFonts w:hint="default"/>
                <w:color w:val="auto"/>
              </w:rPr>
              <w:t>禁忌物：强氧化剂、强酸、卤素。</w:t>
            </w:r>
          </w:p>
          <w:p w14:paraId="314F1BFC">
            <w:pPr>
              <w:pStyle w:val="30"/>
              <w:bidi w:val="0"/>
              <w:rPr>
                <w:rFonts w:hint="default"/>
                <w:color w:val="auto"/>
              </w:rPr>
            </w:pPr>
            <w:r>
              <w:rPr>
                <w:rFonts w:hint="default"/>
                <w:color w:val="auto"/>
              </w:rPr>
              <w:t>避免接触的条件：受热。</w:t>
            </w:r>
          </w:p>
        </w:tc>
      </w:tr>
      <w:tr w14:paraId="7B1429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1C245C8C">
            <w:pPr>
              <w:pStyle w:val="30"/>
              <w:bidi w:val="0"/>
              <w:rPr>
                <w:rFonts w:hint="default"/>
                <w:color w:val="auto"/>
              </w:rPr>
            </w:pPr>
            <w:r>
              <w:rPr>
                <w:rFonts w:hint="default"/>
                <w:color w:val="auto"/>
              </w:rPr>
              <w:t>毒理学资料：</w:t>
            </w:r>
          </w:p>
        </w:tc>
        <w:tc>
          <w:tcPr>
            <w:tcW w:w="7632" w:type="dxa"/>
            <w:noWrap w:val="0"/>
            <w:vAlign w:val="center"/>
          </w:tcPr>
          <w:p w14:paraId="29B3E8B5">
            <w:pPr>
              <w:pStyle w:val="30"/>
              <w:bidi w:val="0"/>
              <w:rPr>
                <w:rFonts w:hint="default"/>
                <w:color w:val="auto"/>
              </w:rPr>
            </w:pPr>
            <w:r>
              <w:rPr>
                <w:rFonts w:hint="default"/>
                <w:color w:val="auto"/>
              </w:rPr>
              <w:t>急性毒性：LD50：无资料</w:t>
            </w:r>
          </w:p>
          <w:p w14:paraId="533A8E0D">
            <w:pPr>
              <w:pStyle w:val="30"/>
              <w:bidi w:val="0"/>
              <w:rPr>
                <w:rFonts w:hint="default"/>
                <w:color w:val="auto"/>
              </w:rPr>
            </w:pPr>
            <w:r>
              <w:rPr>
                <w:rFonts w:hint="default"/>
                <w:color w:val="auto"/>
              </w:rPr>
              <w:t>LC50：无资料</w:t>
            </w:r>
          </w:p>
        </w:tc>
      </w:tr>
      <w:tr w14:paraId="64881F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7CFBD56B">
            <w:pPr>
              <w:pStyle w:val="30"/>
              <w:bidi w:val="0"/>
              <w:rPr>
                <w:rFonts w:hint="default"/>
                <w:color w:val="auto"/>
              </w:rPr>
            </w:pPr>
            <w:r>
              <w:rPr>
                <w:rFonts w:hint="default"/>
                <w:color w:val="auto"/>
              </w:rPr>
              <w:t>环境影响：</w:t>
            </w:r>
          </w:p>
        </w:tc>
        <w:tc>
          <w:tcPr>
            <w:tcW w:w="7632" w:type="dxa"/>
            <w:noWrap w:val="0"/>
            <w:vAlign w:val="center"/>
          </w:tcPr>
          <w:p w14:paraId="47F110BE">
            <w:pPr>
              <w:pStyle w:val="30"/>
              <w:bidi w:val="0"/>
              <w:rPr>
                <w:rFonts w:hint="default"/>
                <w:color w:val="auto"/>
              </w:rPr>
            </w:pPr>
            <w:r>
              <w:rPr>
                <w:rFonts w:hint="default"/>
                <w:color w:val="auto"/>
              </w:rPr>
              <w:t>该物质对环境可能有危害，对水体应给予特别注意。</w:t>
            </w:r>
          </w:p>
        </w:tc>
      </w:tr>
      <w:tr w14:paraId="6A3DC8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21A8EE0C">
            <w:pPr>
              <w:pStyle w:val="30"/>
              <w:bidi w:val="0"/>
              <w:rPr>
                <w:rFonts w:hint="default"/>
                <w:color w:val="auto"/>
              </w:rPr>
            </w:pPr>
            <w:r>
              <w:rPr>
                <w:rFonts w:hint="default"/>
                <w:color w:val="auto"/>
              </w:rPr>
              <w:t>废弃：</w:t>
            </w:r>
          </w:p>
        </w:tc>
        <w:tc>
          <w:tcPr>
            <w:tcW w:w="7632" w:type="dxa"/>
            <w:noWrap w:val="0"/>
            <w:vAlign w:val="center"/>
          </w:tcPr>
          <w:p w14:paraId="57B58C81">
            <w:pPr>
              <w:pStyle w:val="30"/>
              <w:bidi w:val="0"/>
              <w:rPr>
                <w:rFonts w:hint="default"/>
                <w:color w:val="auto"/>
              </w:rPr>
            </w:pPr>
            <w:r>
              <w:rPr>
                <w:rFonts w:hint="default"/>
                <w:color w:val="auto"/>
              </w:rPr>
              <w:t>处置前应参阅国家和地方有关法规。建议用焚烧法处置。</w:t>
            </w:r>
          </w:p>
        </w:tc>
      </w:tr>
      <w:tr w14:paraId="48C976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403" w:type="dxa"/>
            <w:gridSpan w:val="2"/>
            <w:noWrap w:val="0"/>
            <w:vAlign w:val="center"/>
          </w:tcPr>
          <w:p w14:paraId="5A5E7C7F">
            <w:pPr>
              <w:pStyle w:val="30"/>
              <w:bidi w:val="0"/>
              <w:rPr>
                <w:rFonts w:hint="default"/>
                <w:color w:val="auto"/>
              </w:rPr>
            </w:pPr>
            <w:r>
              <w:rPr>
                <w:rFonts w:hint="default"/>
                <w:color w:val="auto"/>
              </w:rPr>
              <w:t>其他信息</w:t>
            </w:r>
          </w:p>
        </w:tc>
      </w:tr>
      <w:tr w14:paraId="3FE6A2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37CAAC32">
            <w:pPr>
              <w:pStyle w:val="30"/>
              <w:bidi w:val="0"/>
              <w:rPr>
                <w:rFonts w:hint="default"/>
                <w:color w:val="auto"/>
              </w:rPr>
            </w:pPr>
            <w:r>
              <w:rPr>
                <w:rFonts w:hint="default"/>
                <w:color w:val="auto"/>
              </w:rPr>
              <w:t>包装分类：</w:t>
            </w:r>
          </w:p>
        </w:tc>
        <w:tc>
          <w:tcPr>
            <w:tcW w:w="7632" w:type="dxa"/>
            <w:noWrap w:val="0"/>
            <w:vAlign w:val="center"/>
          </w:tcPr>
          <w:p w14:paraId="69396CA7">
            <w:pPr>
              <w:pStyle w:val="30"/>
              <w:bidi w:val="0"/>
              <w:rPr>
                <w:rFonts w:hint="default"/>
                <w:color w:val="auto"/>
              </w:rPr>
            </w:pPr>
            <w:r>
              <w:rPr>
                <w:rFonts w:hint="default"/>
                <w:color w:val="auto"/>
              </w:rPr>
              <w:t>052</w:t>
            </w:r>
          </w:p>
        </w:tc>
      </w:tr>
      <w:tr w14:paraId="064FBB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noWrap w:val="0"/>
            <w:vAlign w:val="center"/>
          </w:tcPr>
          <w:p w14:paraId="6E331EF4">
            <w:pPr>
              <w:pStyle w:val="30"/>
              <w:bidi w:val="0"/>
              <w:rPr>
                <w:rFonts w:hint="default"/>
                <w:color w:val="auto"/>
              </w:rPr>
            </w:pPr>
            <w:r>
              <w:rPr>
                <w:rFonts w:hint="default"/>
                <w:color w:val="auto"/>
              </w:rPr>
              <w:t>包装方法：</w:t>
            </w:r>
          </w:p>
        </w:tc>
        <w:tc>
          <w:tcPr>
            <w:tcW w:w="7632" w:type="dxa"/>
            <w:noWrap w:val="0"/>
            <w:vAlign w:val="center"/>
          </w:tcPr>
          <w:p w14:paraId="58579522">
            <w:pPr>
              <w:pStyle w:val="30"/>
              <w:bidi w:val="0"/>
              <w:rPr>
                <w:rFonts w:hint="default"/>
                <w:color w:val="auto"/>
              </w:rPr>
            </w:pPr>
            <w:r>
              <w:rPr>
                <w:rFonts w:hint="default"/>
                <w:color w:val="auto"/>
              </w:rPr>
              <w:t>钢质气瓶。</w:t>
            </w:r>
          </w:p>
        </w:tc>
      </w:tr>
    </w:tbl>
    <w:p w14:paraId="5868C9D5">
      <w:pPr>
        <w:bidi w:val="0"/>
        <w:rPr>
          <w:rFonts w:hint="eastAsia"/>
          <w:color w:val="auto"/>
        </w:rPr>
      </w:pPr>
      <w:r>
        <w:rPr>
          <w:rFonts w:hint="eastAsia"/>
          <w:color w:val="auto"/>
        </w:rPr>
        <w:t>4、氧气</w:t>
      </w:r>
    </w:p>
    <w:p w14:paraId="21BA7B1E">
      <w:pPr>
        <w:pStyle w:val="29"/>
        <w:bidi w:val="0"/>
        <w:rPr>
          <w:color w:val="auto"/>
        </w:rPr>
      </w:pPr>
      <w:r>
        <w:rPr>
          <w:rFonts w:hint="eastAsia"/>
          <w:color w:val="auto"/>
        </w:rPr>
        <w:t>表3.1-4  氧气理化特性表</w:t>
      </w:r>
    </w:p>
    <w:tbl>
      <w:tblPr>
        <w:tblStyle w:val="20"/>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7207"/>
      </w:tblGrid>
      <w:tr w14:paraId="5684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2C9D0621">
            <w:pPr>
              <w:pStyle w:val="30"/>
              <w:bidi w:val="0"/>
              <w:rPr>
                <w:rFonts w:hint="default"/>
                <w:color w:val="auto"/>
              </w:rPr>
            </w:pPr>
            <w:r>
              <w:rPr>
                <w:rFonts w:hint="default"/>
                <w:color w:val="auto"/>
              </w:rPr>
              <w:t>中文名称：</w:t>
            </w:r>
          </w:p>
        </w:tc>
        <w:tc>
          <w:tcPr>
            <w:tcW w:w="7207" w:type="dxa"/>
            <w:noWrap w:val="0"/>
            <w:vAlign w:val="center"/>
          </w:tcPr>
          <w:p w14:paraId="1F76C8A7">
            <w:pPr>
              <w:pStyle w:val="30"/>
              <w:bidi w:val="0"/>
              <w:rPr>
                <w:rFonts w:hint="default"/>
                <w:color w:val="auto"/>
              </w:rPr>
            </w:pPr>
            <w:r>
              <w:rPr>
                <w:rFonts w:hint="default"/>
                <w:color w:val="auto"/>
              </w:rPr>
              <w:t>氧；氧气</w:t>
            </w:r>
          </w:p>
        </w:tc>
      </w:tr>
      <w:tr w14:paraId="3918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68ECA667">
            <w:pPr>
              <w:pStyle w:val="30"/>
              <w:bidi w:val="0"/>
              <w:rPr>
                <w:rFonts w:hint="default"/>
                <w:color w:val="auto"/>
              </w:rPr>
            </w:pPr>
            <w:r>
              <w:rPr>
                <w:rFonts w:hint="default"/>
                <w:color w:val="auto"/>
              </w:rPr>
              <w:t>英文名称：</w:t>
            </w:r>
          </w:p>
        </w:tc>
        <w:tc>
          <w:tcPr>
            <w:tcW w:w="7207" w:type="dxa"/>
            <w:noWrap w:val="0"/>
            <w:vAlign w:val="center"/>
          </w:tcPr>
          <w:p w14:paraId="1507B826">
            <w:pPr>
              <w:pStyle w:val="30"/>
              <w:bidi w:val="0"/>
              <w:rPr>
                <w:rFonts w:hint="default"/>
                <w:color w:val="auto"/>
              </w:rPr>
            </w:pPr>
            <w:r>
              <w:rPr>
                <w:rFonts w:hint="default"/>
                <w:color w:val="auto"/>
              </w:rPr>
              <w:t>oxygen</w:t>
            </w:r>
          </w:p>
        </w:tc>
      </w:tr>
      <w:tr w14:paraId="2967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24E5A63A">
            <w:pPr>
              <w:pStyle w:val="30"/>
              <w:bidi w:val="0"/>
              <w:rPr>
                <w:rFonts w:hint="default"/>
                <w:color w:val="auto"/>
              </w:rPr>
            </w:pPr>
            <w:r>
              <w:rPr>
                <w:rFonts w:hint="default"/>
                <w:color w:val="auto"/>
              </w:rPr>
              <w:t>分子式：</w:t>
            </w:r>
          </w:p>
        </w:tc>
        <w:tc>
          <w:tcPr>
            <w:tcW w:w="7207" w:type="dxa"/>
            <w:noWrap w:val="0"/>
            <w:vAlign w:val="center"/>
          </w:tcPr>
          <w:p w14:paraId="3E6F0228">
            <w:pPr>
              <w:pStyle w:val="30"/>
              <w:bidi w:val="0"/>
              <w:rPr>
                <w:rFonts w:hint="default"/>
                <w:color w:val="auto"/>
              </w:rPr>
            </w:pPr>
            <w:r>
              <w:rPr>
                <w:rFonts w:hint="default"/>
                <w:color w:val="auto"/>
              </w:rPr>
              <w:t>O</w:t>
            </w:r>
            <w:r>
              <w:rPr>
                <w:rFonts w:hint="default"/>
                <w:color w:val="auto"/>
                <w:vertAlign w:val="subscript"/>
              </w:rPr>
              <w:t>2</w:t>
            </w:r>
          </w:p>
        </w:tc>
      </w:tr>
      <w:tr w14:paraId="512B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4ACF9B38">
            <w:pPr>
              <w:pStyle w:val="30"/>
              <w:bidi w:val="0"/>
              <w:rPr>
                <w:rFonts w:hint="default"/>
                <w:color w:val="auto"/>
              </w:rPr>
            </w:pPr>
            <w:r>
              <w:rPr>
                <w:rFonts w:hint="default"/>
                <w:color w:val="auto"/>
              </w:rPr>
              <w:t>相对分子质量：</w:t>
            </w:r>
          </w:p>
        </w:tc>
        <w:tc>
          <w:tcPr>
            <w:tcW w:w="7207" w:type="dxa"/>
            <w:noWrap w:val="0"/>
            <w:vAlign w:val="center"/>
          </w:tcPr>
          <w:p w14:paraId="204EB1CF">
            <w:pPr>
              <w:pStyle w:val="30"/>
              <w:bidi w:val="0"/>
              <w:rPr>
                <w:rFonts w:hint="default"/>
                <w:color w:val="auto"/>
              </w:rPr>
            </w:pPr>
            <w:r>
              <w:rPr>
                <w:rFonts w:hint="default"/>
                <w:color w:val="auto"/>
              </w:rPr>
              <w:t>32.00</w:t>
            </w:r>
          </w:p>
        </w:tc>
      </w:tr>
      <w:tr w14:paraId="1FAE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196" w:type="dxa"/>
            <w:noWrap w:val="0"/>
            <w:vAlign w:val="center"/>
          </w:tcPr>
          <w:p w14:paraId="7DF2E183">
            <w:pPr>
              <w:pStyle w:val="30"/>
              <w:bidi w:val="0"/>
              <w:rPr>
                <w:rFonts w:hint="default"/>
                <w:color w:val="auto"/>
              </w:rPr>
            </w:pPr>
            <w:r>
              <w:rPr>
                <w:rFonts w:hint="default"/>
                <w:color w:val="auto"/>
              </w:rPr>
              <w:t>CAS号：</w:t>
            </w:r>
          </w:p>
        </w:tc>
        <w:tc>
          <w:tcPr>
            <w:tcW w:w="7207" w:type="dxa"/>
            <w:noWrap w:val="0"/>
            <w:vAlign w:val="center"/>
          </w:tcPr>
          <w:p w14:paraId="13810F65">
            <w:pPr>
              <w:pStyle w:val="30"/>
              <w:bidi w:val="0"/>
              <w:rPr>
                <w:rFonts w:hint="default"/>
                <w:color w:val="auto"/>
              </w:rPr>
            </w:pPr>
            <w:r>
              <w:rPr>
                <w:rFonts w:hint="default"/>
                <w:color w:val="auto"/>
              </w:rPr>
              <w:t>7782-44-7</w:t>
            </w:r>
          </w:p>
        </w:tc>
      </w:tr>
      <w:tr w14:paraId="7575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635DE121">
            <w:pPr>
              <w:pStyle w:val="30"/>
              <w:bidi w:val="0"/>
              <w:rPr>
                <w:rFonts w:hint="default"/>
                <w:color w:val="auto"/>
              </w:rPr>
            </w:pPr>
            <w:r>
              <w:rPr>
                <w:rFonts w:hint="default"/>
                <w:color w:val="auto"/>
              </w:rPr>
              <w:t>危规号：</w:t>
            </w:r>
          </w:p>
        </w:tc>
        <w:tc>
          <w:tcPr>
            <w:tcW w:w="7207" w:type="dxa"/>
            <w:noWrap w:val="0"/>
            <w:vAlign w:val="center"/>
          </w:tcPr>
          <w:p w14:paraId="2153B033">
            <w:pPr>
              <w:pStyle w:val="30"/>
              <w:bidi w:val="0"/>
              <w:rPr>
                <w:rFonts w:hint="default"/>
                <w:color w:val="auto"/>
              </w:rPr>
            </w:pPr>
            <w:r>
              <w:rPr>
                <w:rFonts w:hint="default"/>
                <w:color w:val="auto"/>
              </w:rPr>
              <w:t>22001</w:t>
            </w:r>
          </w:p>
        </w:tc>
      </w:tr>
      <w:tr w14:paraId="72A5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1A781F37">
            <w:pPr>
              <w:pStyle w:val="30"/>
              <w:bidi w:val="0"/>
              <w:rPr>
                <w:rFonts w:hint="default"/>
                <w:color w:val="auto"/>
              </w:rPr>
            </w:pPr>
            <w:r>
              <w:rPr>
                <w:rFonts w:hint="default"/>
                <w:color w:val="auto"/>
              </w:rPr>
              <w:t>UN编号：</w:t>
            </w:r>
          </w:p>
        </w:tc>
        <w:tc>
          <w:tcPr>
            <w:tcW w:w="7207" w:type="dxa"/>
            <w:noWrap w:val="0"/>
            <w:vAlign w:val="center"/>
          </w:tcPr>
          <w:p w14:paraId="7A43F955">
            <w:pPr>
              <w:pStyle w:val="30"/>
              <w:bidi w:val="0"/>
              <w:rPr>
                <w:rFonts w:hint="default"/>
                <w:color w:val="auto"/>
              </w:rPr>
            </w:pPr>
            <w:r>
              <w:rPr>
                <w:rFonts w:hint="default"/>
                <w:color w:val="auto"/>
              </w:rPr>
              <w:t>1072</w:t>
            </w:r>
          </w:p>
        </w:tc>
      </w:tr>
      <w:tr w14:paraId="4537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0AC20FA7">
            <w:pPr>
              <w:pStyle w:val="30"/>
              <w:bidi w:val="0"/>
              <w:rPr>
                <w:rFonts w:hint="default"/>
                <w:color w:val="auto"/>
              </w:rPr>
            </w:pPr>
            <w:r>
              <w:rPr>
                <w:rFonts w:hint="default"/>
                <w:color w:val="auto"/>
              </w:rPr>
              <w:t>主要成分：</w:t>
            </w:r>
          </w:p>
        </w:tc>
        <w:tc>
          <w:tcPr>
            <w:tcW w:w="7207" w:type="dxa"/>
            <w:noWrap w:val="0"/>
            <w:vAlign w:val="center"/>
          </w:tcPr>
          <w:p w14:paraId="0AA324C2">
            <w:pPr>
              <w:pStyle w:val="30"/>
              <w:bidi w:val="0"/>
              <w:rPr>
                <w:rFonts w:hint="default"/>
                <w:color w:val="auto"/>
              </w:rPr>
            </w:pPr>
            <w:r>
              <w:rPr>
                <w:rFonts w:hint="default"/>
                <w:color w:val="auto"/>
              </w:rPr>
              <w:t>含量：高纯氧</w:t>
            </w:r>
            <w:r>
              <w:rPr>
                <w:rFonts w:hint="eastAsia"/>
                <w:color w:val="auto"/>
                <w:lang w:eastAsia="zh-CN"/>
              </w:rPr>
              <w:t>（</w:t>
            </w:r>
            <w:r>
              <w:rPr>
                <w:rFonts w:hint="default"/>
                <w:color w:val="auto"/>
              </w:rPr>
              <w:t>体积</w:t>
            </w:r>
            <w:r>
              <w:rPr>
                <w:rFonts w:hint="eastAsia"/>
                <w:color w:val="auto"/>
                <w:lang w:eastAsia="zh-CN"/>
              </w:rPr>
              <w:t>）</w:t>
            </w:r>
            <w:r>
              <w:rPr>
                <w:rFonts w:hint="default"/>
                <w:color w:val="auto"/>
              </w:rPr>
              <w:t>≥99.99％。</w:t>
            </w:r>
          </w:p>
        </w:tc>
      </w:tr>
      <w:tr w14:paraId="1C08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59DB4001">
            <w:pPr>
              <w:pStyle w:val="30"/>
              <w:bidi w:val="0"/>
              <w:rPr>
                <w:rFonts w:hint="default"/>
                <w:color w:val="auto"/>
              </w:rPr>
            </w:pPr>
            <w:r>
              <w:rPr>
                <w:rFonts w:hint="default"/>
                <w:color w:val="auto"/>
              </w:rPr>
              <w:t>外观与性状：</w:t>
            </w:r>
          </w:p>
        </w:tc>
        <w:tc>
          <w:tcPr>
            <w:tcW w:w="7207" w:type="dxa"/>
            <w:noWrap w:val="0"/>
            <w:vAlign w:val="center"/>
          </w:tcPr>
          <w:p w14:paraId="71691BC5">
            <w:pPr>
              <w:pStyle w:val="30"/>
              <w:bidi w:val="0"/>
              <w:rPr>
                <w:rFonts w:hint="default"/>
                <w:color w:val="auto"/>
              </w:rPr>
            </w:pPr>
            <w:r>
              <w:rPr>
                <w:rFonts w:hint="default"/>
                <w:color w:val="auto"/>
              </w:rPr>
              <w:t>无色无臭气体。</w:t>
            </w:r>
          </w:p>
        </w:tc>
      </w:tr>
      <w:tr w14:paraId="4FF4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534CB343">
            <w:pPr>
              <w:pStyle w:val="30"/>
              <w:bidi w:val="0"/>
              <w:rPr>
                <w:rFonts w:hint="default"/>
                <w:color w:val="auto"/>
              </w:rPr>
            </w:pPr>
            <w:r>
              <w:rPr>
                <w:rFonts w:hint="default"/>
                <w:color w:val="auto"/>
              </w:rPr>
              <w:t>主要用途：</w:t>
            </w:r>
          </w:p>
        </w:tc>
        <w:tc>
          <w:tcPr>
            <w:tcW w:w="7207" w:type="dxa"/>
            <w:noWrap w:val="0"/>
            <w:vAlign w:val="center"/>
          </w:tcPr>
          <w:p w14:paraId="3DB1BD8B">
            <w:pPr>
              <w:pStyle w:val="30"/>
              <w:bidi w:val="0"/>
              <w:rPr>
                <w:rFonts w:hint="default"/>
                <w:color w:val="auto"/>
              </w:rPr>
            </w:pPr>
            <w:r>
              <w:rPr>
                <w:rFonts w:hint="default"/>
                <w:color w:val="auto"/>
              </w:rPr>
              <w:t>用于切割、焊接金属，制造医药、染料、炸药等。</w:t>
            </w:r>
          </w:p>
        </w:tc>
      </w:tr>
      <w:tr w14:paraId="2AA59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403" w:type="dxa"/>
            <w:gridSpan w:val="2"/>
            <w:noWrap w:val="0"/>
            <w:vAlign w:val="center"/>
          </w:tcPr>
          <w:p w14:paraId="4D270B8D">
            <w:pPr>
              <w:pStyle w:val="30"/>
              <w:bidi w:val="0"/>
              <w:rPr>
                <w:rFonts w:hint="default"/>
                <w:color w:val="auto"/>
              </w:rPr>
            </w:pPr>
            <w:r>
              <w:rPr>
                <w:rFonts w:hint="default"/>
                <w:color w:val="auto"/>
              </w:rPr>
              <w:t>健康危害</w:t>
            </w:r>
          </w:p>
        </w:tc>
      </w:tr>
      <w:tr w14:paraId="7430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64519BF6">
            <w:pPr>
              <w:pStyle w:val="30"/>
              <w:bidi w:val="0"/>
              <w:rPr>
                <w:rFonts w:hint="default"/>
                <w:color w:val="auto"/>
              </w:rPr>
            </w:pPr>
            <w:r>
              <w:rPr>
                <w:rFonts w:hint="default"/>
                <w:color w:val="auto"/>
              </w:rPr>
              <w:t>侵入途径：</w:t>
            </w:r>
          </w:p>
        </w:tc>
        <w:tc>
          <w:tcPr>
            <w:tcW w:w="7207" w:type="dxa"/>
            <w:noWrap w:val="0"/>
            <w:vAlign w:val="center"/>
          </w:tcPr>
          <w:p w14:paraId="7D92B0CE">
            <w:pPr>
              <w:pStyle w:val="30"/>
              <w:bidi w:val="0"/>
              <w:rPr>
                <w:rFonts w:hint="default"/>
                <w:color w:val="auto"/>
              </w:rPr>
            </w:pPr>
            <w:r>
              <w:rPr>
                <w:rFonts w:hint="default"/>
                <w:color w:val="auto"/>
              </w:rPr>
              <w:t>吸入。</w:t>
            </w:r>
          </w:p>
        </w:tc>
      </w:tr>
      <w:tr w14:paraId="6D91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09179E1B">
            <w:pPr>
              <w:pStyle w:val="30"/>
              <w:bidi w:val="0"/>
              <w:rPr>
                <w:rFonts w:hint="default"/>
                <w:color w:val="auto"/>
              </w:rPr>
            </w:pPr>
            <w:r>
              <w:rPr>
                <w:rFonts w:hint="default"/>
                <w:color w:val="auto"/>
              </w:rPr>
              <w:t>健康危害：</w:t>
            </w:r>
          </w:p>
        </w:tc>
        <w:tc>
          <w:tcPr>
            <w:tcW w:w="7207" w:type="dxa"/>
            <w:noWrap w:val="0"/>
            <w:vAlign w:val="center"/>
          </w:tcPr>
          <w:p w14:paraId="7584EFBA">
            <w:pPr>
              <w:pStyle w:val="30"/>
              <w:bidi w:val="0"/>
              <w:rPr>
                <w:rFonts w:hint="default"/>
                <w:color w:val="auto"/>
              </w:rPr>
            </w:pPr>
            <w:r>
              <w:rPr>
                <w:rFonts w:hint="default"/>
                <w:color w:val="auto"/>
              </w:rPr>
              <w:t>常压下，当氧的浓度超过40％时，有可能发生氧中毒。吸入40％～60％的氧时，出现胸骨后不适感、轻咳，进而胸闷、胸骨后烧灼感和呼吸困难，咳嗽加剧；严重时可发生肺水肿，甚至出现呼吸窘迫综合征。吸入氧浓度在80％以上时，出现面部肌肉抽动、面色苍白、眩晕、心动过速、虚脱，继而全身强直性抽搐、昏迷、呼吸衰竭而死亡。长期处于氧分压为60～100kPa</w:t>
            </w:r>
            <w:r>
              <w:rPr>
                <w:rFonts w:hint="eastAsia"/>
                <w:color w:val="auto"/>
                <w:lang w:eastAsia="zh-CN"/>
              </w:rPr>
              <w:t>（</w:t>
            </w:r>
            <w:r>
              <w:rPr>
                <w:rFonts w:hint="default"/>
                <w:color w:val="auto"/>
              </w:rPr>
              <w:t>相当于吸入氧浓度40％左右</w:t>
            </w:r>
            <w:r>
              <w:rPr>
                <w:rFonts w:hint="eastAsia"/>
                <w:color w:val="auto"/>
                <w:lang w:eastAsia="zh-CN"/>
              </w:rPr>
              <w:t>）</w:t>
            </w:r>
            <w:r>
              <w:rPr>
                <w:rFonts w:hint="default"/>
                <w:color w:val="auto"/>
              </w:rPr>
              <w:t>的条件下可发生眼损害，严重者可失明。</w:t>
            </w:r>
          </w:p>
        </w:tc>
      </w:tr>
      <w:tr w14:paraId="282F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562E38CD">
            <w:pPr>
              <w:pStyle w:val="30"/>
              <w:bidi w:val="0"/>
              <w:rPr>
                <w:rFonts w:hint="default"/>
                <w:color w:val="auto"/>
              </w:rPr>
            </w:pPr>
            <w:r>
              <w:rPr>
                <w:rFonts w:hint="default"/>
                <w:color w:val="auto"/>
              </w:rPr>
              <w:t>吸入：</w:t>
            </w:r>
          </w:p>
        </w:tc>
        <w:tc>
          <w:tcPr>
            <w:tcW w:w="7207" w:type="dxa"/>
            <w:noWrap w:val="0"/>
            <w:vAlign w:val="center"/>
          </w:tcPr>
          <w:p w14:paraId="5071E313">
            <w:pPr>
              <w:pStyle w:val="30"/>
              <w:bidi w:val="0"/>
              <w:rPr>
                <w:rFonts w:hint="default"/>
                <w:color w:val="auto"/>
              </w:rPr>
            </w:pPr>
            <w:r>
              <w:rPr>
                <w:rFonts w:hint="default"/>
                <w:color w:val="auto"/>
              </w:rPr>
              <w:t>迅速脱离现场至空气新鲜处。保持呼吸道通畅。如呼吸停止，立即进行人工呼吸。就医。</w:t>
            </w:r>
          </w:p>
        </w:tc>
      </w:tr>
      <w:tr w14:paraId="2D39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403" w:type="dxa"/>
            <w:gridSpan w:val="2"/>
            <w:noWrap w:val="0"/>
            <w:vAlign w:val="center"/>
          </w:tcPr>
          <w:p w14:paraId="4B1D161F">
            <w:pPr>
              <w:pStyle w:val="30"/>
              <w:bidi w:val="0"/>
              <w:rPr>
                <w:rFonts w:hint="default"/>
                <w:color w:val="auto"/>
              </w:rPr>
            </w:pPr>
            <w:r>
              <w:rPr>
                <w:rFonts w:hint="default"/>
                <w:color w:val="auto"/>
              </w:rPr>
              <w:t>理化特性</w:t>
            </w:r>
          </w:p>
        </w:tc>
      </w:tr>
      <w:tr w14:paraId="38EF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2D08D42B">
            <w:pPr>
              <w:pStyle w:val="30"/>
              <w:bidi w:val="0"/>
              <w:rPr>
                <w:rFonts w:hint="default"/>
                <w:color w:val="auto"/>
              </w:rPr>
            </w:pPr>
            <w:r>
              <w:rPr>
                <w:rFonts w:hint="default"/>
                <w:color w:val="auto"/>
              </w:rPr>
              <w:t>燃烧性：</w:t>
            </w:r>
          </w:p>
        </w:tc>
        <w:tc>
          <w:tcPr>
            <w:tcW w:w="7207" w:type="dxa"/>
            <w:noWrap w:val="0"/>
            <w:vAlign w:val="center"/>
          </w:tcPr>
          <w:p w14:paraId="51E7C9BE">
            <w:pPr>
              <w:pStyle w:val="30"/>
              <w:bidi w:val="0"/>
              <w:rPr>
                <w:rFonts w:hint="default"/>
                <w:color w:val="auto"/>
              </w:rPr>
            </w:pPr>
            <w:r>
              <w:rPr>
                <w:rFonts w:hint="default"/>
                <w:color w:val="auto"/>
              </w:rPr>
              <w:t>本品助燃。</w:t>
            </w:r>
          </w:p>
        </w:tc>
      </w:tr>
      <w:tr w14:paraId="01F3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50CC674E">
            <w:pPr>
              <w:pStyle w:val="30"/>
              <w:bidi w:val="0"/>
              <w:rPr>
                <w:rFonts w:hint="default"/>
                <w:color w:val="auto"/>
              </w:rPr>
            </w:pPr>
            <w:r>
              <w:rPr>
                <w:rFonts w:hint="default"/>
                <w:color w:val="auto"/>
              </w:rPr>
              <w:t>闪点：</w:t>
            </w:r>
          </w:p>
        </w:tc>
        <w:tc>
          <w:tcPr>
            <w:tcW w:w="7207" w:type="dxa"/>
            <w:noWrap w:val="0"/>
            <w:vAlign w:val="center"/>
          </w:tcPr>
          <w:p w14:paraId="35035FF6">
            <w:pPr>
              <w:pStyle w:val="30"/>
              <w:bidi w:val="0"/>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53C7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281001B8">
            <w:pPr>
              <w:pStyle w:val="30"/>
              <w:bidi w:val="0"/>
              <w:rPr>
                <w:rFonts w:hint="default"/>
                <w:color w:val="auto"/>
              </w:rPr>
            </w:pPr>
            <w:r>
              <w:rPr>
                <w:rFonts w:hint="default"/>
                <w:color w:val="auto"/>
              </w:rPr>
              <w:t>爆炸下限：</w:t>
            </w:r>
          </w:p>
        </w:tc>
        <w:tc>
          <w:tcPr>
            <w:tcW w:w="7207" w:type="dxa"/>
            <w:noWrap w:val="0"/>
            <w:vAlign w:val="center"/>
          </w:tcPr>
          <w:p w14:paraId="26A9FF42">
            <w:pPr>
              <w:pStyle w:val="30"/>
              <w:bidi w:val="0"/>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5113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0DA5CE0A">
            <w:pPr>
              <w:pStyle w:val="30"/>
              <w:bidi w:val="0"/>
              <w:rPr>
                <w:rFonts w:hint="default"/>
                <w:color w:val="auto"/>
              </w:rPr>
            </w:pPr>
            <w:r>
              <w:rPr>
                <w:rFonts w:hint="default"/>
                <w:color w:val="auto"/>
              </w:rPr>
              <w:t>引燃温度：</w:t>
            </w:r>
          </w:p>
        </w:tc>
        <w:tc>
          <w:tcPr>
            <w:tcW w:w="7207" w:type="dxa"/>
            <w:noWrap w:val="0"/>
            <w:vAlign w:val="center"/>
          </w:tcPr>
          <w:p w14:paraId="2F54AEC5">
            <w:pPr>
              <w:pStyle w:val="30"/>
              <w:bidi w:val="0"/>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7346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7761EDA2">
            <w:pPr>
              <w:pStyle w:val="30"/>
              <w:bidi w:val="0"/>
              <w:rPr>
                <w:rFonts w:hint="default"/>
                <w:color w:val="auto"/>
              </w:rPr>
            </w:pPr>
            <w:r>
              <w:rPr>
                <w:rFonts w:hint="default"/>
                <w:color w:val="auto"/>
              </w:rPr>
              <w:t>爆炸上限：</w:t>
            </w:r>
          </w:p>
        </w:tc>
        <w:tc>
          <w:tcPr>
            <w:tcW w:w="7207" w:type="dxa"/>
            <w:noWrap w:val="0"/>
            <w:vAlign w:val="center"/>
          </w:tcPr>
          <w:p w14:paraId="36C1EEDE">
            <w:pPr>
              <w:pStyle w:val="30"/>
              <w:bidi w:val="0"/>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6792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4C95247B">
            <w:pPr>
              <w:pStyle w:val="30"/>
              <w:bidi w:val="0"/>
              <w:rPr>
                <w:rFonts w:hint="default"/>
                <w:color w:val="auto"/>
              </w:rPr>
            </w:pPr>
            <w:r>
              <w:rPr>
                <w:rFonts w:hint="default"/>
                <w:color w:val="auto"/>
              </w:rPr>
              <w:t>危险特性：</w:t>
            </w:r>
          </w:p>
        </w:tc>
        <w:tc>
          <w:tcPr>
            <w:tcW w:w="7207" w:type="dxa"/>
            <w:noWrap w:val="0"/>
            <w:vAlign w:val="center"/>
          </w:tcPr>
          <w:p w14:paraId="5AF36C26">
            <w:pPr>
              <w:pStyle w:val="30"/>
              <w:bidi w:val="0"/>
              <w:rPr>
                <w:rFonts w:hint="default"/>
                <w:color w:val="auto"/>
              </w:rPr>
            </w:pPr>
            <w:r>
              <w:rPr>
                <w:rFonts w:hint="default"/>
                <w:color w:val="auto"/>
              </w:rPr>
              <w:t>是易燃物、可燃物燃烧爆炸的基本要素之一</w:t>
            </w:r>
            <w:r>
              <w:rPr>
                <w:rFonts w:hint="eastAsia"/>
                <w:color w:val="auto"/>
                <w:lang w:eastAsia="zh-CN"/>
              </w:rPr>
              <w:t>，</w:t>
            </w:r>
            <w:r>
              <w:rPr>
                <w:rFonts w:hint="default"/>
                <w:color w:val="auto"/>
              </w:rPr>
              <w:t>能氧化大多数活性物质。与易燃物</w:t>
            </w:r>
            <w:r>
              <w:rPr>
                <w:rFonts w:hint="default"/>
                <w:color w:val="auto"/>
                <w:lang w:eastAsia="zh-CN"/>
              </w:rPr>
              <w:t>（</w:t>
            </w:r>
            <w:r>
              <w:rPr>
                <w:rFonts w:hint="default"/>
                <w:color w:val="auto"/>
              </w:rPr>
              <w:t>如乙炔、甲烷等</w:t>
            </w:r>
            <w:r>
              <w:rPr>
                <w:rFonts w:hint="eastAsia"/>
                <w:color w:val="auto"/>
                <w:lang w:eastAsia="zh-CN"/>
              </w:rPr>
              <w:t>）</w:t>
            </w:r>
            <w:r>
              <w:rPr>
                <w:rFonts w:hint="default"/>
                <w:color w:val="auto"/>
              </w:rPr>
              <w:t>形成有爆炸性的混合物。</w:t>
            </w:r>
          </w:p>
        </w:tc>
      </w:tr>
      <w:tr w14:paraId="62CE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311096F7">
            <w:pPr>
              <w:pStyle w:val="30"/>
              <w:bidi w:val="0"/>
              <w:rPr>
                <w:rFonts w:hint="default"/>
                <w:color w:val="auto"/>
              </w:rPr>
            </w:pPr>
            <w:r>
              <w:rPr>
                <w:rFonts w:hint="default"/>
                <w:color w:val="auto"/>
              </w:rPr>
              <w:t>灭火方法：</w:t>
            </w:r>
          </w:p>
        </w:tc>
        <w:tc>
          <w:tcPr>
            <w:tcW w:w="7207" w:type="dxa"/>
            <w:noWrap w:val="0"/>
            <w:vAlign w:val="center"/>
          </w:tcPr>
          <w:p w14:paraId="2A4E7EB3">
            <w:pPr>
              <w:pStyle w:val="30"/>
              <w:bidi w:val="0"/>
              <w:rPr>
                <w:rFonts w:hint="default"/>
                <w:color w:val="auto"/>
              </w:rPr>
            </w:pPr>
            <w:r>
              <w:rPr>
                <w:rFonts w:hint="default"/>
                <w:color w:val="auto"/>
              </w:rPr>
              <w:t>用水保持容器冷却，以防受热爆炸，急剧助长火势。迅速切断气源，用水喷淋保护切断气源的人员，然后根据着火原因选择适当灭火剂灭火。</w:t>
            </w:r>
          </w:p>
        </w:tc>
      </w:tr>
      <w:tr w14:paraId="619A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79F26B0C">
            <w:pPr>
              <w:pStyle w:val="30"/>
              <w:bidi w:val="0"/>
              <w:rPr>
                <w:rFonts w:hint="default"/>
                <w:color w:val="auto"/>
              </w:rPr>
            </w:pPr>
            <w:r>
              <w:rPr>
                <w:rFonts w:hint="default"/>
                <w:color w:val="auto"/>
              </w:rPr>
              <w:t>泄漏应急处理：</w:t>
            </w:r>
          </w:p>
        </w:tc>
        <w:tc>
          <w:tcPr>
            <w:tcW w:w="7207" w:type="dxa"/>
            <w:noWrap w:val="0"/>
            <w:vAlign w:val="center"/>
          </w:tcPr>
          <w:p w14:paraId="380790BD">
            <w:pPr>
              <w:pStyle w:val="30"/>
              <w:bidi w:val="0"/>
              <w:rPr>
                <w:rFonts w:hint="default"/>
                <w:color w:val="auto"/>
              </w:rPr>
            </w:pPr>
            <w:r>
              <w:rPr>
                <w:rFonts w:hint="default"/>
                <w:color w:val="auto"/>
              </w:rPr>
              <w:t>迅速撤离泄漏污染区人员至上风处，并进行隔离，严格限制出入。切断火源。建议应急处理人员戴自给正压式呼吸器，穿一般作业工作服。避免与可燃物或易燃物接触。尽可能切断泄漏源。合理通风，加速扩散。漏气容器要妥善处理，修复、检验后再用。</w:t>
            </w:r>
          </w:p>
        </w:tc>
      </w:tr>
      <w:tr w14:paraId="03B0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301692D8">
            <w:pPr>
              <w:pStyle w:val="30"/>
              <w:bidi w:val="0"/>
              <w:rPr>
                <w:rFonts w:hint="default"/>
                <w:color w:val="auto"/>
              </w:rPr>
            </w:pPr>
            <w:r>
              <w:rPr>
                <w:rFonts w:hint="default"/>
                <w:color w:val="auto"/>
              </w:rPr>
              <w:t>操作注意事项：</w:t>
            </w:r>
          </w:p>
        </w:tc>
        <w:tc>
          <w:tcPr>
            <w:tcW w:w="7207" w:type="dxa"/>
            <w:noWrap w:val="0"/>
            <w:vAlign w:val="center"/>
          </w:tcPr>
          <w:p w14:paraId="6A0959BD">
            <w:pPr>
              <w:pStyle w:val="30"/>
              <w:bidi w:val="0"/>
              <w:rPr>
                <w:rFonts w:hint="default"/>
                <w:color w:val="auto"/>
              </w:rPr>
            </w:pPr>
            <w:r>
              <w:rPr>
                <w:rFonts w:hint="default"/>
                <w:color w:val="auto"/>
              </w:rPr>
              <w:t>密闭操作。密闭操作，提供良好的自然通风条件。操作人员必须经过专门培训，严格遵守操作规程。远离火种、热源，工作场所严禁吸烟。远离易燃、可燃物。防止气体泄漏到工作场所空气中。避免与活性金属粉末接触。搬运时轻装轻卸，防止钢瓶及附件破损。配备相应品种和数量的消防器材及泄漏应急处理设备。</w:t>
            </w:r>
          </w:p>
        </w:tc>
      </w:tr>
      <w:tr w14:paraId="4186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2196" w:type="dxa"/>
            <w:noWrap w:val="0"/>
            <w:vAlign w:val="center"/>
          </w:tcPr>
          <w:p w14:paraId="3EA47ADF">
            <w:pPr>
              <w:pStyle w:val="30"/>
              <w:bidi w:val="0"/>
              <w:rPr>
                <w:rFonts w:hint="default"/>
                <w:color w:val="auto"/>
              </w:rPr>
            </w:pPr>
            <w:r>
              <w:rPr>
                <w:rFonts w:hint="default"/>
                <w:color w:val="auto"/>
              </w:rPr>
              <w:t>贮运注意事项：</w:t>
            </w:r>
          </w:p>
        </w:tc>
        <w:tc>
          <w:tcPr>
            <w:tcW w:w="7207" w:type="dxa"/>
            <w:noWrap w:val="0"/>
            <w:vAlign w:val="center"/>
          </w:tcPr>
          <w:p w14:paraId="608EBA40">
            <w:pPr>
              <w:pStyle w:val="30"/>
              <w:bidi w:val="0"/>
              <w:rPr>
                <w:rFonts w:hint="default"/>
                <w:color w:val="auto"/>
              </w:rPr>
            </w:pPr>
            <w:r>
              <w:rPr>
                <w:rFonts w:hint="default"/>
                <w:color w:val="auto"/>
              </w:rPr>
              <w:t>储存于阴凉、通风的库房。远离火种、热源。库温不宜超过30℃。应与易</w:t>
            </w:r>
            <w:r>
              <w:rPr>
                <w:rFonts w:hint="default"/>
                <w:color w:val="auto"/>
                <w:lang w:eastAsia="zh-CN"/>
              </w:rPr>
              <w:t>（</w:t>
            </w:r>
            <w:r>
              <w:rPr>
                <w:rFonts w:hint="default"/>
                <w:color w:val="auto"/>
              </w:rPr>
              <w:t>可</w:t>
            </w:r>
            <w:r>
              <w:rPr>
                <w:rFonts w:hint="eastAsia"/>
                <w:color w:val="auto"/>
                <w:lang w:eastAsia="zh-CN"/>
              </w:rPr>
              <w:t>）</w:t>
            </w:r>
            <w:r>
              <w:rPr>
                <w:rFonts w:hint="default"/>
                <w:color w:val="auto"/>
              </w:rPr>
              <w:t>燃物、活性金属粉末等分开存放，切忌混储。储区应备有泄漏应急处理设备。氧气钢瓶不得沾污油脂。采用钢瓶运输时必须戴好钢瓶上的安全帽。钢瓶一般平放，并应将瓶口朝同一方向，不可交叉；高度不得超过车辆的防护栏板，并用三角木垫卡牢，防止滚动。严禁与易燃物或可燃物、活性金属粉末等混装混运。夏季应早晚运输，防止日光曝晒。铁路运输时要禁止溜放。</w:t>
            </w:r>
          </w:p>
        </w:tc>
      </w:tr>
      <w:tr w14:paraId="2465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2196" w:type="dxa"/>
            <w:noWrap w:val="0"/>
            <w:vAlign w:val="center"/>
          </w:tcPr>
          <w:p w14:paraId="143B58D7">
            <w:pPr>
              <w:pStyle w:val="30"/>
              <w:bidi w:val="0"/>
              <w:rPr>
                <w:rFonts w:hint="default"/>
                <w:color w:val="auto"/>
              </w:rPr>
            </w:pPr>
            <w:r>
              <w:rPr>
                <w:rFonts w:hint="default"/>
                <w:color w:val="auto"/>
              </w:rPr>
              <w:t>防护措施：</w:t>
            </w:r>
          </w:p>
        </w:tc>
        <w:tc>
          <w:tcPr>
            <w:tcW w:w="7207" w:type="dxa"/>
            <w:noWrap w:val="0"/>
            <w:vAlign w:val="center"/>
          </w:tcPr>
          <w:p w14:paraId="7B80B4C3">
            <w:pPr>
              <w:pStyle w:val="30"/>
              <w:bidi w:val="0"/>
              <w:rPr>
                <w:rFonts w:hint="default"/>
                <w:color w:val="auto"/>
              </w:rPr>
            </w:pPr>
            <w:r>
              <w:rPr>
                <w:rFonts w:hint="default"/>
                <w:color w:val="auto"/>
              </w:rPr>
              <w:t>职业接触限值</w:t>
            </w:r>
          </w:p>
          <w:p w14:paraId="32776676">
            <w:pPr>
              <w:pStyle w:val="30"/>
              <w:bidi w:val="0"/>
              <w:rPr>
                <w:rFonts w:hint="default"/>
                <w:color w:val="auto"/>
              </w:rPr>
            </w:pPr>
            <w:r>
              <w:rPr>
                <w:rFonts w:hint="default"/>
                <w:color w:val="auto"/>
              </w:rPr>
              <w:t>中国MAC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10BD469F">
            <w:pPr>
              <w:pStyle w:val="30"/>
              <w:bidi w:val="0"/>
              <w:rPr>
                <w:rFonts w:hint="default"/>
                <w:color w:val="auto"/>
              </w:rPr>
            </w:pPr>
            <w:r>
              <w:rPr>
                <w:rFonts w:hint="default"/>
                <w:color w:val="auto"/>
              </w:rPr>
              <w:t>前苏联MAC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21694051">
            <w:pPr>
              <w:pStyle w:val="30"/>
              <w:bidi w:val="0"/>
              <w:rPr>
                <w:rFonts w:hint="default"/>
                <w:color w:val="auto"/>
              </w:rPr>
            </w:pPr>
            <w:r>
              <w:rPr>
                <w:rFonts w:hint="default"/>
                <w:color w:val="auto"/>
              </w:rPr>
              <w:t>TLVTN：未制定标准</w:t>
            </w:r>
          </w:p>
          <w:p w14:paraId="43C4198A">
            <w:pPr>
              <w:pStyle w:val="30"/>
              <w:bidi w:val="0"/>
              <w:rPr>
                <w:rFonts w:hint="default"/>
                <w:color w:val="auto"/>
              </w:rPr>
            </w:pPr>
            <w:r>
              <w:rPr>
                <w:rFonts w:hint="default"/>
                <w:color w:val="auto"/>
              </w:rPr>
              <w:t>TLVWN：未制定标准</w:t>
            </w:r>
          </w:p>
          <w:p w14:paraId="34AB36EE">
            <w:pPr>
              <w:pStyle w:val="30"/>
              <w:bidi w:val="0"/>
              <w:rPr>
                <w:rFonts w:hint="default"/>
                <w:color w:val="auto"/>
              </w:rPr>
            </w:pPr>
            <w:r>
              <w:rPr>
                <w:rFonts w:hint="default"/>
                <w:color w:val="auto"/>
              </w:rPr>
              <w:t>工程控制：密闭操作。提供良好的自然通风条件。</w:t>
            </w:r>
          </w:p>
          <w:p w14:paraId="4CD61A8D">
            <w:pPr>
              <w:pStyle w:val="30"/>
              <w:bidi w:val="0"/>
              <w:rPr>
                <w:rFonts w:hint="default"/>
                <w:color w:val="auto"/>
              </w:rPr>
            </w:pPr>
            <w:r>
              <w:rPr>
                <w:rFonts w:hint="default"/>
                <w:color w:val="auto"/>
              </w:rPr>
              <w:t>呼吸系统防护：一般不需特殊防护。</w:t>
            </w:r>
          </w:p>
          <w:p w14:paraId="2A8C843F">
            <w:pPr>
              <w:pStyle w:val="30"/>
              <w:bidi w:val="0"/>
              <w:rPr>
                <w:rFonts w:hint="default"/>
                <w:color w:val="auto"/>
              </w:rPr>
            </w:pPr>
            <w:r>
              <w:rPr>
                <w:rFonts w:hint="default"/>
                <w:color w:val="auto"/>
              </w:rPr>
              <w:t>眼睛防护：一般不需特殊防护。</w:t>
            </w:r>
          </w:p>
          <w:p w14:paraId="6BEB89B1">
            <w:pPr>
              <w:pStyle w:val="30"/>
              <w:bidi w:val="0"/>
              <w:rPr>
                <w:rFonts w:hint="default"/>
                <w:color w:val="auto"/>
              </w:rPr>
            </w:pPr>
            <w:r>
              <w:rPr>
                <w:rFonts w:hint="default"/>
                <w:color w:val="auto"/>
              </w:rPr>
              <w:t>身体防护：穿一般作业工作服。</w:t>
            </w:r>
          </w:p>
          <w:p w14:paraId="2622E3EA">
            <w:pPr>
              <w:pStyle w:val="30"/>
              <w:bidi w:val="0"/>
              <w:rPr>
                <w:rFonts w:hint="default"/>
                <w:color w:val="auto"/>
              </w:rPr>
            </w:pPr>
            <w:r>
              <w:rPr>
                <w:rFonts w:hint="default"/>
                <w:color w:val="auto"/>
              </w:rPr>
              <w:t>手防护：戴一般作业防护手套。</w:t>
            </w:r>
          </w:p>
          <w:p w14:paraId="68E26499">
            <w:pPr>
              <w:pStyle w:val="30"/>
              <w:bidi w:val="0"/>
              <w:rPr>
                <w:rFonts w:hint="default"/>
                <w:color w:val="auto"/>
              </w:rPr>
            </w:pPr>
            <w:r>
              <w:rPr>
                <w:rFonts w:hint="default"/>
                <w:color w:val="auto"/>
              </w:rPr>
              <w:t>其他防护：避免高浓度吸入。 </w:t>
            </w:r>
          </w:p>
        </w:tc>
      </w:tr>
      <w:tr w14:paraId="3E09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7" w:hRule="atLeast"/>
          <w:jc w:val="center"/>
        </w:trPr>
        <w:tc>
          <w:tcPr>
            <w:tcW w:w="2196" w:type="dxa"/>
            <w:noWrap w:val="0"/>
            <w:vAlign w:val="center"/>
          </w:tcPr>
          <w:p w14:paraId="7E7DB9E9">
            <w:pPr>
              <w:pStyle w:val="30"/>
              <w:bidi w:val="0"/>
              <w:rPr>
                <w:rFonts w:hint="default"/>
                <w:color w:val="auto"/>
              </w:rPr>
            </w:pPr>
            <w:r>
              <w:rPr>
                <w:rFonts w:hint="default"/>
                <w:color w:val="auto"/>
              </w:rPr>
              <w:t>理化性质：</w:t>
            </w:r>
          </w:p>
        </w:tc>
        <w:tc>
          <w:tcPr>
            <w:tcW w:w="7207" w:type="dxa"/>
            <w:noWrap w:val="0"/>
            <w:vAlign w:val="center"/>
          </w:tcPr>
          <w:p w14:paraId="5D5FD378">
            <w:pPr>
              <w:pStyle w:val="30"/>
              <w:bidi w:val="0"/>
              <w:rPr>
                <w:rFonts w:hint="default"/>
                <w:color w:val="auto"/>
              </w:rPr>
            </w:pPr>
            <w:r>
              <w:rPr>
                <w:rFonts w:hint="default"/>
                <w:color w:val="auto"/>
              </w:rPr>
              <w:t>熔点</w:t>
            </w:r>
            <w:r>
              <w:rPr>
                <w:rFonts w:hint="eastAsia"/>
                <w:color w:val="auto"/>
                <w:lang w:eastAsia="zh-CN"/>
              </w:rPr>
              <w:t>（</w:t>
            </w:r>
            <w:r>
              <w:rPr>
                <w:rFonts w:hint="default"/>
                <w:color w:val="auto"/>
              </w:rPr>
              <w:t>℃</w:t>
            </w:r>
            <w:r>
              <w:rPr>
                <w:rFonts w:hint="eastAsia"/>
                <w:color w:val="auto"/>
                <w:lang w:eastAsia="zh-CN"/>
              </w:rPr>
              <w:t>）</w:t>
            </w:r>
            <w:r>
              <w:rPr>
                <w:rFonts w:hint="default"/>
                <w:color w:val="auto"/>
              </w:rPr>
              <w:t>：-218.8</w:t>
            </w:r>
          </w:p>
          <w:p w14:paraId="3584EDDA">
            <w:pPr>
              <w:pStyle w:val="30"/>
              <w:bidi w:val="0"/>
              <w:rPr>
                <w:rFonts w:hint="default"/>
                <w:color w:val="auto"/>
              </w:rPr>
            </w:pPr>
            <w:r>
              <w:rPr>
                <w:rFonts w:hint="default"/>
                <w:color w:val="auto"/>
              </w:rPr>
              <w:t>沸点</w:t>
            </w:r>
            <w:r>
              <w:rPr>
                <w:rFonts w:hint="eastAsia"/>
                <w:color w:val="auto"/>
                <w:lang w:eastAsia="zh-CN"/>
              </w:rPr>
              <w:t>（</w:t>
            </w:r>
            <w:r>
              <w:rPr>
                <w:rFonts w:hint="default"/>
                <w:color w:val="auto"/>
              </w:rPr>
              <w:t>℃</w:t>
            </w:r>
            <w:r>
              <w:rPr>
                <w:rFonts w:hint="eastAsia"/>
                <w:color w:val="auto"/>
                <w:lang w:eastAsia="zh-CN"/>
              </w:rPr>
              <w:t>）</w:t>
            </w:r>
            <w:r>
              <w:rPr>
                <w:rFonts w:hint="default"/>
                <w:color w:val="auto"/>
              </w:rPr>
              <w:t>：-183.1</w:t>
            </w:r>
          </w:p>
          <w:p w14:paraId="18D712DE">
            <w:pPr>
              <w:pStyle w:val="30"/>
              <w:bidi w:val="0"/>
              <w:rPr>
                <w:rFonts w:hint="default"/>
                <w:color w:val="auto"/>
                <w:lang w:eastAsia="zh-CN"/>
              </w:rPr>
            </w:pPr>
            <w:r>
              <w:rPr>
                <w:rFonts w:hint="default"/>
                <w:color w:val="auto"/>
              </w:rPr>
              <w:t>相对密度</w:t>
            </w:r>
            <w:r>
              <w:rPr>
                <w:rFonts w:hint="eastAsia"/>
                <w:color w:val="auto"/>
                <w:lang w:eastAsia="zh-CN"/>
              </w:rPr>
              <w:t>（</w:t>
            </w:r>
            <w:r>
              <w:rPr>
                <w:rFonts w:hint="default"/>
                <w:color w:val="auto"/>
              </w:rPr>
              <w:t>水=1</w:t>
            </w:r>
            <w:r>
              <w:rPr>
                <w:rFonts w:hint="eastAsia"/>
                <w:color w:val="auto"/>
                <w:lang w:eastAsia="zh-CN"/>
              </w:rPr>
              <w:t>）</w:t>
            </w:r>
            <w:r>
              <w:rPr>
                <w:rFonts w:hint="default"/>
                <w:color w:val="auto"/>
              </w:rPr>
              <w:t>：1.14</w:t>
            </w:r>
            <w:r>
              <w:rPr>
                <w:rFonts w:hint="eastAsia"/>
                <w:color w:val="auto"/>
                <w:lang w:eastAsia="zh-CN"/>
              </w:rPr>
              <w:t>（</w:t>
            </w:r>
            <w:r>
              <w:rPr>
                <w:rFonts w:hint="default"/>
                <w:color w:val="auto"/>
              </w:rPr>
              <w:t>-183℃</w:t>
            </w:r>
            <w:r>
              <w:rPr>
                <w:rFonts w:hint="eastAsia"/>
                <w:color w:val="auto"/>
                <w:lang w:eastAsia="zh-CN"/>
              </w:rPr>
              <w:t>）</w:t>
            </w:r>
          </w:p>
          <w:p w14:paraId="7A64B5CA">
            <w:pPr>
              <w:pStyle w:val="30"/>
              <w:bidi w:val="0"/>
              <w:rPr>
                <w:rFonts w:hint="default"/>
                <w:color w:val="auto"/>
              </w:rPr>
            </w:pPr>
            <w:r>
              <w:rPr>
                <w:rFonts w:hint="default"/>
                <w:color w:val="auto"/>
              </w:rPr>
              <w:t>相对蒸气密度</w:t>
            </w:r>
            <w:r>
              <w:rPr>
                <w:rFonts w:hint="eastAsia"/>
                <w:color w:val="auto"/>
                <w:lang w:eastAsia="zh-CN"/>
              </w:rPr>
              <w:t>（</w:t>
            </w:r>
            <w:r>
              <w:rPr>
                <w:rFonts w:hint="default"/>
                <w:color w:val="auto"/>
              </w:rPr>
              <w:t>空气=1</w:t>
            </w:r>
            <w:r>
              <w:rPr>
                <w:rFonts w:hint="eastAsia"/>
                <w:color w:val="auto"/>
                <w:lang w:eastAsia="zh-CN"/>
              </w:rPr>
              <w:t>）</w:t>
            </w:r>
            <w:r>
              <w:rPr>
                <w:rFonts w:hint="default"/>
                <w:color w:val="auto"/>
              </w:rPr>
              <w:t>：1.43</w:t>
            </w:r>
          </w:p>
          <w:p w14:paraId="32E65927">
            <w:pPr>
              <w:pStyle w:val="30"/>
              <w:bidi w:val="0"/>
              <w:rPr>
                <w:rFonts w:hint="default"/>
                <w:color w:val="auto"/>
                <w:lang w:eastAsia="zh-CN"/>
              </w:rPr>
            </w:pPr>
            <w:r>
              <w:rPr>
                <w:rFonts w:hint="default"/>
                <w:color w:val="auto"/>
              </w:rPr>
              <w:t>饱和蒸气压</w:t>
            </w:r>
            <w:r>
              <w:rPr>
                <w:rFonts w:hint="eastAsia"/>
                <w:color w:val="auto"/>
                <w:lang w:eastAsia="zh-CN"/>
              </w:rPr>
              <w:t>（</w:t>
            </w:r>
            <w:r>
              <w:rPr>
                <w:rFonts w:hint="default"/>
                <w:color w:val="auto"/>
              </w:rPr>
              <w:t>kPa</w:t>
            </w:r>
            <w:r>
              <w:rPr>
                <w:rFonts w:hint="eastAsia"/>
                <w:color w:val="auto"/>
                <w:lang w:eastAsia="zh-CN"/>
              </w:rPr>
              <w:t>）</w:t>
            </w:r>
            <w:r>
              <w:rPr>
                <w:rFonts w:hint="default"/>
                <w:color w:val="auto"/>
              </w:rPr>
              <w:t>：506.62</w:t>
            </w:r>
            <w:r>
              <w:rPr>
                <w:rFonts w:hint="eastAsia"/>
                <w:color w:val="auto"/>
                <w:lang w:eastAsia="zh-CN"/>
              </w:rPr>
              <w:t>（</w:t>
            </w:r>
            <w:r>
              <w:rPr>
                <w:rFonts w:hint="default"/>
                <w:color w:val="auto"/>
              </w:rPr>
              <w:t>-164℃</w:t>
            </w:r>
            <w:r>
              <w:rPr>
                <w:rFonts w:hint="eastAsia"/>
                <w:color w:val="auto"/>
                <w:lang w:eastAsia="zh-CN"/>
              </w:rPr>
              <w:t>）</w:t>
            </w:r>
          </w:p>
          <w:p w14:paraId="4A2D50A0">
            <w:pPr>
              <w:pStyle w:val="30"/>
              <w:bidi w:val="0"/>
              <w:rPr>
                <w:rFonts w:hint="default"/>
                <w:color w:val="auto"/>
              </w:rPr>
            </w:pPr>
            <w:r>
              <w:rPr>
                <w:rFonts w:hint="default"/>
                <w:color w:val="auto"/>
              </w:rPr>
              <w:t>燃烧热</w:t>
            </w:r>
            <w:r>
              <w:rPr>
                <w:rFonts w:hint="eastAsia"/>
                <w:color w:val="auto"/>
                <w:lang w:eastAsia="zh-CN"/>
              </w:rPr>
              <w:t>（</w:t>
            </w:r>
            <w:r>
              <w:rPr>
                <w:rFonts w:hint="default"/>
                <w:color w:val="auto"/>
              </w:rPr>
              <w:t>kJ/mol</w:t>
            </w:r>
            <w:r>
              <w:rPr>
                <w:rFonts w:hint="eastAsia"/>
                <w:color w:val="auto"/>
                <w:lang w:eastAsia="zh-CN"/>
              </w:rPr>
              <w:t>）</w:t>
            </w:r>
            <w:r>
              <w:rPr>
                <w:rFonts w:hint="default"/>
                <w:color w:val="auto"/>
              </w:rPr>
              <w:t>：无意义</w:t>
            </w:r>
          </w:p>
          <w:p w14:paraId="1A5B752D">
            <w:pPr>
              <w:pStyle w:val="30"/>
              <w:bidi w:val="0"/>
              <w:rPr>
                <w:rFonts w:hint="default"/>
                <w:color w:val="auto"/>
              </w:rPr>
            </w:pPr>
            <w:r>
              <w:rPr>
                <w:rFonts w:hint="default"/>
                <w:color w:val="auto"/>
              </w:rPr>
              <w:t>临界温度</w:t>
            </w:r>
            <w:r>
              <w:rPr>
                <w:rFonts w:hint="eastAsia"/>
                <w:color w:val="auto"/>
                <w:lang w:eastAsia="zh-CN"/>
              </w:rPr>
              <w:t>（</w:t>
            </w:r>
            <w:r>
              <w:rPr>
                <w:rFonts w:hint="default"/>
                <w:color w:val="auto"/>
              </w:rPr>
              <w:t>℃</w:t>
            </w:r>
            <w:r>
              <w:rPr>
                <w:rFonts w:hint="eastAsia"/>
                <w:color w:val="auto"/>
                <w:lang w:eastAsia="zh-CN"/>
              </w:rPr>
              <w:t>）</w:t>
            </w:r>
            <w:r>
              <w:rPr>
                <w:rFonts w:hint="default"/>
                <w:color w:val="auto"/>
              </w:rPr>
              <w:t>：-118.4</w:t>
            </w:r>
          </w:p>
          <w:p w14:paraId="5DDCD1FD">
            <w:pPr>
              <w:pStyle w:val="30"/>
              <w:bidi w:val="0"/>
              <w:rPr>
                <w:rFonts w:hint="default"/>
                <w:color w:val="auto"/>
              </w:rPr>
            </w:pPr>
            <w:r>
              <w:rPr>
                <w:rFonts w:hint="default"/>
                <w:color w:val="auto"/>
              </w:rPr>
              <w:t>临界压力</w:t>
            </w:r>
            <w:r>
              <w:rPr>
                <w:rFonts w:hint="eastAsia"/>
                <w:color w:val="auto"/>
                <w:lang w:eastAsia="zh-CN"/>
              </w:rPr>
              <w:t>（</w:t>
            </w:r>
            <w:r>
              <w:rPr>
                <w:rFonts w:hint="default"/>
                <w:color w:val="auto"/>
              </w:rPr>
              <w:t>MPa</w:t>
            </w:r>
            <w:r>
              <w:rPr>
                <w:rFonts w:hint="eastAsia"/>
                <w:color w:val="auto"/>
                <w:lang w:eastAsia="zh-CN"/>
              </w:rPr>
              <w:t>）</w:t>
            </w:r>
            <w:r>
              <w:rPr>
                <w:rFonts w:hint="default"/>
                <w:color w:val="auto"/>
              </w:rPr>
              <w:t>：5.08</w:t>
            </w:r>
          </w:p>
          <w:p w14:paraId="4FA1A729">
            <w:pPr>
              <w:pStyle w:val="30"/>
              <w:bidi w:val="0"/>
              <w:rPr>
                <w:rFonts w:hint="default"/>
                <w:color w:val="auto"/>
              </w:rPr>
            </w:pPr>
            <w:r>
              <w:rPr>
                <w:rFonts w:hint="default"/>
                <w:color w:val="auto"/>
              </w:rPr>
              <w:t>辛醇/水分配系数的对数值：无资料</w:t>
            </w:r>
          </w:p>
          <w:p w14:paraId="6EC94DEB">
            <w:pPr>
              <w:pStyle w:val="30"/>
              <w:bidi w:val="0"/>
              <w:rPr>
                <w:rFonts w:hint="default"/>
                <w:color w:val="auto"/>
              </w:rPr>
            </w:pPr>
            <w:r>
              <w:rPr>
                <w:rFonts w:hint="default"/>
                <w:color w:val="auto"/>
              </w:rPr>
              <w:t>溶解性：溶于水、乙醇。</w:t>
            </w:r>
          </w:p>
        </w:tc>
      </w:tr>
      <w:tr w14:paraId="4C59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2196" w:type="dxa"/>
            <w:noWrap w:val="0"/>
            <w:vAlign w:val="center"/>
          </w:tcPr>
          <w:p w14:paraId="703D867E">
            <w:pPr>
              <w:pStyle w:val="30"/>
              <w:bidi w:val="0"/>
              <w:rPr>
                <w:rFonts w:hint="default"/>
                <w:color w:val="auto"/>
              </w:rPr>
            </w:pPr>
            <w:r>
              <w:rPr>
                <w:rFonts w:hint="default"/>
                <w:color w:val="auto"/>
              </w:rPr>
              <w:t>稳定性和反应活性：</w:t>
            </w:r>
          </w:p>
        </w:tc>
        <w:tc>
          <w:tcPr>
            <w:tcW w:w="7207" w:type="dxa"/>
            <w:noWrap w:val="0"/>
            <w:vAlign w:val="center"/>
          </w:tcPr>
          <w:p w14:paraId="2A3B31E8">
            <w:pPr>
              <w:pStyle w:val="30"/>
              <w:bidi w:val="0"/>
              <w:rPr>
                <w:rFonts w:hint="default"/>
                <w:color w:val="auto"/>
              </w:rPr>
            </w:pPr>
            <w:r>
              <w:rPr>
                <w:rFonts w:hint="default"/>
                <w:color w:val="auto"/>
              </w:rPr>
              <w:t>禁忌物：易燃或可燃物、活性金属粉末、乙炔。</w:t>
            </w:r>
          </w:p>
        </w:tc>
      </w:tr>
      <w:tr w14:paraId="4651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2196" w:type="dxa"/>
            <w:noWrap w:val="0"/>
            <w:vAlign w:val="center"/>
          </w:tcPr>
          <w:p w14:paraId="4F661428">
            <w:pPr>
              <w:pStyle w:val="30"/>
              <w:bidi w:val="0"/>
              <w:rPr>
                <w:rFonts w:hint="default"/>
                <w:color w:val="auto"/>
              </w:rPr>
            </w:pPr>
            <w:r>
              <w:rPr>
                <w:rFonts w:hint="default"/>
                <w:color w:val="auto"/>
              </w:rPr>
              <w:t>毒理学资料：</w:t>
            </w:r>
          </w:p>
        </w:tc>
        <w:tc>
          <w:tcPr>
            <w:tcW w:w="7207" w:type="dxa"/>
            <w:noWrap w:val="0"/>
            <w:vAlign w:val="center"/>
          </w:tcPr>
          <w:p w14:paraId="73F34CCE">
            <w:pPr>
              <w:pStyle w:val="30"/>
              <w:bidi w:val="0"/>
              <w:rPr>
                <w:rFonts w:hint="default"/>
                <w:color w:val="auto"/>
              </w:rPr>
            </w:pPr>
            <w:r>
              <w:rPr>
                <w:rFonts w:hint="default"/>
                <w:color w:val="auto"/>
              </w:rPr>
              <w:t>急性毒性</w:t>
            </w:r>
          </w:p>
          <w:p w14:paraId="42BA9829">
            <w:pPr>
              <w:pStyle w:val="30"/>
              <w:bidi w:val="0"/>
              <w:rPr>
                <w:rFonts w:hint="default"/>
                <w:color w:val="auto"/>
              </w:rPr>
            </w:pPr>
            <w:r>
              <w:rPr>
                <w:rFonts w:hint="default"/>
                <w:color w:val="auto"/>
              </w:rPr>
              <w:t>LD50：无资料</w:t>
            </w:r>
          </w:p>
          <w:p w14:paraId="76AFD36E">
            <w:pPr>
              <w:pStyle w:val="30"/>
              <w:bidi w:val="0"/>
              <w:rPr>
                <w:rFonts w:hint="default"/>
                <w:color w:val="auto"/>
              </w:rPr>
            </w:pPr>
            <w:r>
              <w:rPr>
                <w:rFonts w:hint="default"/>
                <w:color w:val="auto"/>
              </w:rPr>
              <w:t>LC50：无资料</w:t>
            </w:r>
          </w:p>
        </w:tc>
      </w:tr>
      <w:tr w14:paraId="1C4D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96" w:type="dxa"/>
            <w:noWrap w:val="0"/>
            <w:vAlign w:val="center"/>
          </w:tcPr>
          <w:p w14:paraId="2E190546">
            <w:pPr>
              <w:pStyle w:val="30"/>
              <w:bidi w:val="0"/>
              <w:rPr>
                <w:rFonts w:hint="default"/>
                <w:color w:val="auto"/>
              </w:rPr>
            </w:pPr>
            <w:r>
              <w:rPr>
                <w:rFonts w:hint="default"/>
                <w:color w:val="auto"/>
              </w:rPr>
              <w:t>环境影响：</w:t>
            </w:r>
          </w:p>
        </w:tc>
        <w:tc>
          <w:tcPr>
            <w:tcW w:w="7207" w:type="dxa"/>
            <w:noWrap w:val="0"/>
            <w:vAlign w:val="center"/>
          </w:tcPr>
          <w:p w14:paraId="614645DC">
            <w:pPr>
              <w:pStyle w:val="30"/>
              <w:bidi w:val="0"/>
              <w:rPr>
                <w:rFonts w:hint="default"/>
                <w:color w:val="auto"/>
              </w:rPr>
            </w:pPr>
            <w:r>
              <w:rPr>
                <w:rFonts w:hint="default"/>
                <w:color w:val="auto"/>
              </w:rPr>
              <w:t>对环境无害。</w:t>
            </w:r>
          </w:p>
        </w:tc>
      </w:tr>
      <w:tr w14:paraId="794D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196" w:type="dxa"/>
            <w:noWrap w:val="0"/>
            <w:vAlign w:val="center"/>
          </w:tcPr>
          <w:p w14:paraId="5BFE30DE">
            <w:pPr>
              <w:pStyle w:val="30"/>
              <w:bidi w:val="0"/>
              <w:rPr>
                <w:rFonts w:hint="default"/>
                <w:color w:val="auto"/>
              </w:rPr>
            </w:pPr>
            <w:r>
              <w:rPr>
                <w:rFonts w:hint="default"/>
                <w:color w:val="auto"/>
              </w:rPr>
              <w:t>废弃：</w:t>
            </w:r>
          </w:p>
        </w:tc>
        <w:tc>
          <w:tcPr>
            <w:tcW w:w="7207" w:type="dxa"/>
            <w:noWrap w:val="0"/>
            <w:vAlign w:val="center"/>
          </w:tcPr>
          <w:p w14:paraId="7E5F6113">
            <w:pPr>
              <w:pStyle w:val="30"/>
              <w:bidi w:val="0"/>
              <w:rPr>
                <w:rFonts w:hint="default"/>
                <w:color w:val="auto"/>
              </w:rPr>
            </w:pPr>
            <w:r>
              <w:rPr>
                <w:rFonts w:hint="default"/>
                <w:color w:val="auto"/>
              </w:rPr>
              <w:t>处置前应参阅国家和地方有关法规。废气直接排入大气。</w:t>
            </w:r>
          </w:p>
        </w:tc>
      </w:tr>
      <w:tr w14:paraId="36BB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403" w:type="dxa"/>
            <w:gridSpan w:val="2"/>
            <w:noWrap w:val="0"/>
            <w:vAlign w:val="center"/>
          </w:tcPr>
          <w:p w14:paraId="5239DCF2">
            <w:pPr>
              <w:pStyle w:val="30"/>
              <w:bidi w:val="0"/>
              <w:rPr>
                <w:rFonts w:hint="default"/>
                <w:color w:val="auto"/>
              </w:rPr>
            </w:pPr>
            <w:r>
              <w:rPr>
                <w:rFonts w:hint="default"/>
                <w:color w:val="auto"/>
              </w:rPr>
              <w:t>其他信息</w:t>
            </w:r>
          </w:p>
        </w:tc>
      </w:tr>
      <w:tr w14:paraId="5DEC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196" w:type="dxa"/>
            <w:noWrap w:val="0"/>
            <w:vAlign w:val="center"/>
          </w:tcPr>
          <w:p w14:paraId="59158344">
            <w:pPr>
              <w:pStyle w:val="30"/>
              <w:bidi w:val="0"/>
              <w:rPr>
                <w:rFonts w:hint="default"/>
                <w:color w:val="auto"/>
              </w:rPr>
            </w:pPr>
            <w:r>
              <w:rPr>
                <w:rFonts w:hint="default"/>
                <w:color w:val="auto"/>
              </w:rPr>
              <w:t>包装分类：</w:t>
            </w:r>
          </w:p>
        </w:tc>
        <w:tc>
          <w:tcPr>
            <w:tcW w:w="7207" w:type="dxa"/>
            <w:noWrap w:val="0"/>
            <w:vAlign w:val="center"/>
          </w:tcPr>
          <w:p w14:paraId="5598432C">
            <w:pPr>
              <w:pStyle w:val="30"/>
              <w:bidi w:val="0"/>
              <w:rPr>
                <w:rFonts w:hint="default"/>
                <w:color w:val="auto"/>
              </w:rPr>
            </w:pPr>
            <w:r>
              <w:rPr>
                <w:rFonts w:hint="default"/>
                <w:color w:val="auto"/>
              </w:rPr>
              <w:t>053</w:t>
            </w:r>
          </w:p>
        </w:tc>
      </w:tr>
      <w:tr w14:paraId="5E4A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196" w:type="dxa"/>
            <w:noWrap w:val="0"/>
            <w:vAlign w:val="center"/>
          </w:tcPr>
          <w:p w14:paraId="2030BB1E">
            <w:pPr>
              <w:pStyle w:val="30"/>
              <w:bidi w:val="0"/>
              <w:rPr>
                <w:rFonts w:hint="default"/>
                <w:color w:val="auto"/>
              </w:rPr>
            </w:pPr>
            <w:r>
              <w:rPr>
                <w:rFonts w:hint="default"/>
                <w:color w:val="auto"/>
              </w:rPr>
              <w:t>包装方法：</w:t>
            </w:r>
          </w:p>
        </w:tc>
        <w:tc>
          <w:tcPr>
            <w:tcW w:w="7207" w:type="dxa"/>
            <w:noWrap w:val="0"/>
            <w:vAlign w:val="center"/>
          </w:tcPr>
          <w:p w14:paraId="3808FC08">
            <w:pPr>
              <w:pStyle w:val="30"/>
              <w:bidi w:val="0"/>
              <w:rPr>
                <w:rFonts w:hint="default"/>
                <w:color w:val="auto"/>
              </w:rPr>
            </w:pPr>
            <w:r>
              <w:rPr>
                <w:rFonts w:hint="default"/>
                <w:color w:val="auto"/>
              </w:rPr>
              <w:t>钢质气瓶。</w:t>
            </w:r>
          </w:p>
        </w:tc>
      </w:tr>
    </w:tbl>
    <w:p w14:paraId="4733B901">
      <w:pPr>
        <w:bidi w:val="0"/>
        <w:rPr>
          <w:rFonts w:hint="eastAsia"/>
          <w:color w:val="auto"/>
        </w:rPr>
      </w:pPr>
      <w:r>
        <w:rPr>
          <w:rFonts w:hint="eastAsia"/>
          <w:color w:val="auto"/>
          <w:lang w:val="en-US" w:eastAsia="zh-CN"/>
        </w:rPr>
        <w:t>5、</w:t>
      </w:r>
      <w:r>
        <w:rPr>
          <w:rFonts w:hint="eastAsia"/>
          <w:color w:val="auto"/>
        </w:rPr>
        <w:t>硫化氢</w:t>
      </w:r>
    </w:p>
    <w:p w14:paraId="06F80A4C">
      <w:pPr>
        <w:pStyle w:val="29"/>
        <w:bidi w:val="0"/>
        <w:rPr>
          <w:color w:val="auto"/>
        </w:rPr>
      </w:pPr>
      <w:r>
        <w:rPr>
          <w:rFonts w:hint="eastAsia"/>
          <w:color w:val="auto"/>
        </w:rPr>
        <w:t>表3</w:t>
      </w:r>
      <w:r>
        <w:rPr>
          <w:rFonts w:hint="eastAsia"/>
          <w:color w:val="auto"/>
          <w:lang w:val="en-US" w:eastAsia="zh-CN"/>
        </w:rPr>
        <w:t>.1</w:t>
      </w:r>
      <w:r>
        <w:rPr>
          <w:rFonts w:hint="eastAsia"/>
          <w:color w:val="auto"/>
        </w:rPr>
        <w:t>-</w:t>
      </w:r>
      <w:r>
        <w:rPr>
          <w:rFonts w:hint="eastAsia"/>
          <w:color w:val="auto"/>
          <w:lang w:val="en-US" w:eastAsia="zh-CN"/>
        </w:rPr>
        <w:t>5</w:t>
      </w:r>
      <w:r>
        <w:rPr>
          <w:rFonts w:hint="eastAsia"/>
          <w:color w:val="auto"/>
        </w:rPr>
        <w:t xml:space="preserve">  硫化氢理化特性表</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2082"/>
        <w:gridCol w:w="6852"/>
      </w:tblGrid>
      <w:tr w14:paraId="4DF5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8" w:type="pct"/>
            <w:vMerge w:val="restart"/>
            <w:noWrap w:val="0"/>
            <w:vAlign w:val="top"/>
          </w:tcPr>
          <w:p w14:paraId="12915FB8">
            <w:pPr>
              <w:pStyle w:val="30"/>
              <w:bidi w:val="0"/>
              <w:rPr>
                <w:color w:val="auto"/>
                <w:highlight w:val="none"/>
              </w:rPr>
            </w:pPr>
            <w:r>
              <w:rPr>
                <w:color w:val="auto"/>
                <w:highlight w:val="none"/>
              </w:rPr>
              <w:t>标</w:t>
            </w:r>
          </w:p>
          <w:p w14:paraId="31AC5A21">
            <w:pPr>
              <w:pStyle w:val="30"/>
              <w:bidi w:val="0"/>
              <w:rPr>
                <w:color w:val="auto"/>
                <w:highlight w:val="none"/>
              </w:rPr>
            </w:pPr>
            <w:r>
              <w:rPr>
                <w:color w:val="auto"/>
                <w:highlight w:val="none"/>
              </w:rPr>
              <w:t>识</w:t>
            </w:r>
          </w:p>
        </w:tc>
        <w:tc>
          <w:tcPr>
            <w:tcW w:w="1107" w:type="pct"/>
            <w:noWrap w:val="0"/>
            <w:vAlign w:val="center"/>
          </w:tcPr>
          <w:p w14:paraId="5C54F814">
            <w:pPr>
              <w:pStyle w:val="30"/>
              <w:bidi w:val="0"/>
              <w:rPr>
                <w:color w:val="auto"/>
                <w:highlight w:val="none"/>
              </w:rPr>
            </w:pPr>
            <w:r>
              <w:rPr>
                <w:color w:val="auto"/>
                <w:highlight w:val="none"/>
              </w:rPr>
              <w:t>中文名：</w:t>
            </w:r>
          </w:p>
        </w:tc>
        <w:tc>
          <w:tcPr>
            <w:tcW w:w="3643" w:type="pct"/>
            <w:noWrap w:val="0"/>
            <w:vAlign w:val="top"/>
          </w:tcPr>
          <w:p w14:paraId="1DA17855">
            <w:pPr>
              <w:pStyle w:val="30"/>
              <w:bidi w:val="0"/>
              <w:rPr>
                <w:color w:val="auto"/>
                <w:highlight w:val="none"/>
              </w:rPr>
            </w:pPr>
            <w:r>
              <w:rPr>
                <w:rFonts w:hint="eastAsia"/>
                <w:color w:val="auto"/>
                <w:highlight w:val="none"/>
              </w:rPr>
              <w:t>硫化氢</w:t>
            </w:r>
          </w:p>
        </w:tc>
      </w:tr>
      <w:tr w14:paraId="30F0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4C50B60A">
            <w:pPr>
              <w:pStyle w:val="30"/>
              <w:bidi w:val="0"/>
              <w:rPr>
                <w:color w:val="auto"/>
                <w:highlight w:val="none"/>
              </w:rPr>
            </w:pPr>
          </w:p>
        </w:tc>
        <w:tc>
          <w:tcPr>
            <w:tcW w:w="1107" w:type="pct"/>
            <w:noWrap w:val="0"/>
            <w:vAlign w:val="center"/>
          </w:tcPr>
          <w:p w14:paraId="3C85AEDB">
            <w:pPr>
              <w:pStyle w:val="30"/>
              <w:bidi w:val="0"/>
              <w:rPr>
                <w:color w:val="auto"/>
                <w:highlight w:val="none"/>
              </w:rPr>
            </w:pPr>
            <w:r>
              <w:rPr>
                <w:color w:val="auto"/>
                <w:highlight w:val="none"/>
              </w:rPr>
              <w:t>英文名：</w:t>
            </w:r>
          </w:p>
        </w:tc>
        <w:tc>
          <w:tcPr>
            <w:tcW w:w="3643" w:type="pct"/>
            <w:noWrap w:val="0"/>
            <w:vAlign w:val="top"/>
          </w:tcPr>
          <w:p w14:paraId="25B6C76F">
            <w:pPr>
              <w:pStyle w:val="30"/>
              <w:bidi w:val="0"/>
              <w:rPr>
                <w:color w:val="auto"/>
                <w:highlight w:val="none"/>
              </w:rPr>
            </w:pPr>
            <w:r>
              <w:rPr>
                <w:rFonts w:hint="eastAsia"/>
                <w:color w:val="auto"/>
                <w:highlight w:val="none"/>
              </w:rPr>
              <w:t>hydrogen sulfide</w:t>
            </w:r>
          </w:p>
        </w:tc>
      </w:tr>
      <w:tr w14:paraId="6C2F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7C6577F8">
            <w:pPr>
              <w:pStyle w:val="30"/>
              <w:bidi w:val="0"/>
              <w:rPr>
                <w:color w:val="auto"/>
                <w:highlight w:val="none"/>
              </w:rPr>
            </w:pPr>
          </w:p>
        </w:tc>
        <w:tc>
          <w:tcPr>
            <w:tcW w:w="1107" w:type="pct"/>
            <w:noWrap w:val="0"/>
            <w:vAlign w:val="center"/>
          </w:tcPr>
          <w:p w14:paraId="6569C6C2">
            <w:pPr>
              <w:pStyle w:val="30"/>
              <w:bidi w:val="0"/>
              <w:rPr>
                <w:color w:val="auto"/>
                <w:highlight w:val="none"/>
              </w:rPr>
            </w:pPr>
            <w:r>
              <w:rPr>
                <w:color w:val="auto"/>
                <w:highlight w:val="none"/>
              </w:rPr>
              <w:t>分子式：</w:t>
            </w:r>
          </w:p>
        </w:tc>
        <w:tc>
          <w:tcPr>
            <w:tcW w:w="3643" w:type="pct"/>
            <w:noWrap w:val="0"/>
            <w:vAlign w:val="top"/>
          </w:tcPr>
          <w:p w14:paraId="5AED7BC8">
            <w:pPr>
              <w:pStyle w:val="30"/>
              <w:bidi w:val="0"/>
              <w:rPr>
                <w:color w:val="auto"/>
                <w:highlight w:val="none"/>
              </w:rPr>
            </w:pPr>
            <w:r>
              <w:rPr>
                <w:rFonts w:hint="eastAsia"/>
                <w:color w:val="auto"/>
                <w:highlight w:val="none"/>
              </w:rPr>
              <w:t>H</w:t>
            </w:r>
            <w:r>
              <w:rPr>
                <w:rFonts w:hint="eastAsia"/>
                <w:color w:val="auto"/>
                <w:highlight w:val="none"/>
                <w:vertAlign w:val="subscript"/>
              </w:rPr>
              <w:t>2</w:t>
            </w:r>
            <w:r>
              <w:rPr>
                <w:rFonts w:hint="eastAsia"/>
                <w:color w:val="auto"/>
                <w:highlight w:val="none"/>
              </w:rPr>
              <w:t>S</w:t>
            </w:r>
          </w:p>
        </w:tc>
      </w:tr>
      <w:tr w14:paraId="586E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D1B8A44">
            <w:pPr>
              <w:pStyle w:val="30"/>
              <w:bidi w:val="0"/>
              <w:rPr>
                <w:color w:val="auto"/>
                <w:highlight w:val="none"/>
              </w:rPr>
            </w:pPr>
          </w:p>
        </w:tc>
        <w:tc>
          <w:tcPr>
            <w:tcW w:w="1107" w:type="pct"/>
            <w:noWrap w:val="0"/>
            <w:vAlign w:val="center"/>
          </w:tcPr>
          <w:p w14:paraId="132972D7">
            <w:pPr>
              <w:pStyle w:val="30"/>
              <w:bidi w:val="0"/>
              <w:rPr>
                <w:color w:val="auto"/>
                <w:highlight w:val="none"/>
              </w:rPr>
            </w:pPr>
            <w:r>
              <w:rPr>
                <w:color w:val="auto"/>
                <w:highlight w:val="none"/>
              </w:rPr>
              <w:t>分子量：</w:t>
            </w:r>
          </w:p>
        </w:tc>
        <w:tc>
          <w:tcPr>
            <w:tcW w:w="3643" w:type="pct"/>
            <w:noWrap w:val="0"/>
            <w:vAlign w:val="top"/>
          </w:tcPr>
          <w:p w14:paraId="30688955">
            <w:pPr>
              <w:pStyle w:val="30"/>
              <w:bidi w:val="0"/>
              <w:rPr>
                <w:rFonts w:hint="eastAsia"/>
                <w:color w:val="auto"/>
                <w:highlight w:val="none"/>
              </w:rPr>
            </w:pPr>
            <w:r>
              <w:rPr>
                <w:rFonts w:hint="eastAsia"/>
                <w:color w:val="auto"/>
                <w:highlight w:val="none"/>
              </w:rPr>
              <w:t>34</w:t>
            </w:r>
          </w:p>
        </w:tc>
      </w:tr>
      <w:tr w14:paraId="789B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2E80B7D5">
            <w:pPr>
              <w:pStyle w:val="30"/>
              <w:bidi w:val="0"/>
              <w:rPr>
                <w:color w:val="auto"/>
                <w:highlight w:val="none"/>
              </w:rPr>
            </w:pPr>
          </w:p>
        </w:tc>
        <w:tc>
          <w:tcPr>
            <w:tcW w:w="1107" w:type="pct"/>
            <w:noWrap w:val="0"/>
            <w:vAlign w:val="center"/>
          </w:tcPr>
          <w:p w14:paraId="243A29BE">
            <w:pPr>
              <w:pStyle w:val="30"/>
              <w:bidi w:val="0"/>
              <w:rPr>
                <w:color w:val="auto"/>
                <w:highlight w:val="none"/>
              </w:rPr>
            </w:pPr>
            <w:r>
              <w:rPr>
                <w:color w:val="auto"/>
                <w:highlight w:val="none"/>
              </w:rPr>
              <w:t>CAS号：</w:t>
            </w:r>
          </w:p>
        </w:tc>
        <w:tc>
          <w:tcPr>
            <w:tcW w:w="3643" w:type="pct"/>
            <w:noWrap w:val="0"/>
            <w:vAlign w:val="top"/>
          </w:tcPr>
          <w:p w14:paraId="5FB56898">
            <w:pPr>
              <w:pStyle w:val="30"/>
              <w:bidi w:val="0"/>
              <w:rPr>
                <w:color w:val="auto"/>
                <w:highlight w:val="none"/>
              </w:rPr>
            </w:pPr>
            <w:r>
              <w:rPr>
                <w:rFonts w:hint="eastAsia"/>
                <w:color w:val="auto"/>
                <w:highlight w:val="none"/>
              </w:rPr>
              <w:t>7783-06-4</w:t>
            </w:r>
          </w:p>
        </w:tc>
      </w:tr>
      <w:tr w14:paraId="05D2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7A6DA7AA">
            <w:pPr>
              <w:pStyle w:val="30"/>
              <w:bidi w:val="0"/>
              <w:rPr>
                <w:color w:val="auto"/>
                <w:highlight w:val="none"/>
              </w:rPr>
            </w:pPr>
          </w:p>
        </w:tc>
        <w:tc>
          <w:tcPr>
            <w:tcW w:w="1107" w:type="pct"/>
            <w:noWrap w:val="0"/>
            <w:vAlign w:val="center"/>
          </w:tcPr>
          <w:p w14:paraId="5D47DFF8">
            <w:pPr>
              <w:pStyle w:val="30"/>
              <w:bidi w:val="0"/>
              <w:rPr>
                <w:color w:val="auto"/>
                <w:highlight w:val="none"/>
              </w:rPr>
            </w:pPr>
            <w:r>
              <w:rPr>
                <w:color w:val="auto"/>
                <w:highlight w:val="none"/>
              </w:rPr>
              <w:t>UN编号：</w:t>
            </w:r>
          </w:p>
        </w:tc>
        <w:tc>
          <w:tcPr>
            <w:tcW w:w="3643" w:type="pct"/>
            <w:noWrap w:val="0"/>
            <w:vAlign w:val="top"/>
          </w:tcPr>
          <w:p w14:paraId="53113C2E">
            <w:pPr>
              <w:pStyle w:val="30"/>
              <w:bidi w:val="0"/>
              <w:rPr>
                <w:color w:val="auto"/>
                <w:highlight w:val="none"/>
              </w:rPr>
            </w:pPr>
            <w:r>
              <w:rPr>
                <w:rFonts w:hint="eastAsia"/>
                <w:color w:val="auto"/>
                <w:highlight w:val="none"/>
              </w:rPr>
              <w:t>1053</w:t>
            </w:r>
          </w:p>
        </w:tc>
      </w:tr>
      <w:tr w14:paraId="2BD4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410ADC00">
            <w:pPr>
              <w:pStyle w:val="30"/>
              <w:bidi w:val="0"/>
              <w:rPr>
                <w:color w:val="auto"/>
                <w:highlight w:val="none"/>
              </w:rPr>
            </w:pPr>
          </w:p>
        </w:tc>
        <w:tc>
          <w:tcPr>
            <w:tcW w:w="1107" w:type="pct"/>
            <w:noWrap w:val="0"/>
            <w:vAlign w:val="center"/>
          </w:tcPr>
          <w:p w14:paraId="167EEF9A">
            <w:pPr>
              <w:pStyle w:val="30"/>
              <w:bidi w:val="0"/>
              <w:rPr>
                <w:color w:val="auto"/>
                <w:highlight w:val="none"/>
              </w:rPr>
            </w:pPr>
            <w:r>
              <w:rPr>
                <w:color w:val="auto"/>
                <w:highlight w:val="none"/>
              </w:rPr>
              <w:t>危险货物编号：</w:t>
            </w:r>
          </w:p>
        </w:tc>
        <w:tc>
          <w:tcPr>
            <w:tcW w:w="3643" w:type="pct"/>
            <w:noWrap w:val="0"/>
            <w:vAlign w:val="top"/>
          </w:tcPr>
          <w:p w14:paraId="15B08433">
            <w:pPr>
              <w:pStyle w:val="30"/>
              <w:bidi w:val="0"/>
              <w:rPr>
                <w:color w:val="auto"/>
                <w:highlight w:val="none"/>
              </w:rPr>
            </w:pPr>
            <w:r>
              <w:rPr>
                <w:rFonts w:hint="eastAsia"/>
                <w:color w:val="auto"/>
                <w:highlight w:val="none"/>
              </w:rPr>
              <w:t>21006</w:t>
            </w:r>
          </w:p>
        </w:tc>
      </w:tr>
      <w:tr w14:paraId="73F2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restart"/>
            <w:noWrap w:val="0"/>
            <w:vAlign w:val="top"/>
          </w:tcPr>
          <w:p w14:paraId="762DEA8A">
            <w:pPr>
              <w:pStyle w:val="30"/>
              <w:bidi w:val="0"/>
              <w:rPr>
                <w:color w:val="auto"/>
                <w:highlight w:val="none"/>
              </w:rPr>
            </w:pPr>
            <w:r>
              <w:rPr>
                <w:color w:val="auto"/>
                <w:highlight w:val="none"/>
              </w:rPr>
              <w:t>理</w:t>
            </w:r>
          </w:p>
          <w:p w14:paraId="775241C7">
            <w:pPr>
              <w:pStyle w:val="30"/>
              <w:bidi w:val="0"/>
              <w:rPr>
                <w:color w:val="auto"/>
                <w:highlight w:val="none"/>
              </w:rPr>
            </w:pPr>
            <w:r>
              <w:rPr>
                <w:color w:val="auto"/>
                <w:highlight w:val="none"/>
              </w:rPr>
              <w:t>化</w:t>
            </w:r>
          </w:p>
          <w:p w14:paraId="48349E46">
            <w:pPr>
              <w:pStyle w:val="30"/>
              <w:bidi w:val="0"/>
              <w:rPr>
                <w:color w:val="auto"/>
                <w:highlight w:val="none"/>
              </w:rPr>
            </w:pPr>
            <w:r>
              <w:rPr>
                <w:color w:val="auto"/>
                <w:highlight w:val="none"/>
              </w:rPr>
              <w:t>性</w:t>
            </w:r>
          </w:p>
          <w:p w14:paraId="71B60C08">
            <w:pPr>
              <w:pStyle w:val="30"/>
              <w:bidi w:val="0"/>
              <w:rPr>
                <w:color w:val="auto"/>
                <w:highlight w:val="none"/>
              </w:rPr>
            </w:pPr>
            <w:r>
              <w:rPr>
                <w:color w:val="auto"/>
                <w:highlight w:val="none"/>
              </w:rPr>
              <w:t>质</w:t>
            </w:r>
          </w:p>
        </w:tc>
        <w:tc>
          <w:tcPr>
            <w:tcW w:w="1107" w:type="pct"/>
            <w:noWrap w:val="0"/>
            <w:vAlign w:val="center"/>
          </w:tcPr>
          <w:p w14:paraId="5253EC33">
            <w:pPr>
              <w:pStyle w:val="30"/>
              <w:bidi w:val="0"/>
              <w:rPr>
                <w:color w:val="auto"/>
                <w:highlight w:val="none"/>
              </w:rPr>
            </w:pPr>
            <w:r>
              <w:rPr>
                <w:color w:val="auto"/>
                <w:highlight w:val="none"/>
              </w:rPr>
              <w:t>外观与性状：</w:t>
            </w:r>
          </w:p>
        </w:tc>
        <w:tc>
          <w:tcPr>
            <w:tcW w:w="3643" w:type="pct"/>
            <w:noWrap w:val="0"/>
            <w:vAlign w:val="top"/>
          </w:tcPr>
          <w:p w14:paraId="2939042F">
            <w:pPr>
              <w:pStyle w:val="30"/>
              <w:bidi w:val="0"/>
              <w:rPr>
                <w:color w:val="auto"/>
                <w:highlight w:val="none"/>
              </w:rPr>
            </w:pPr>
            <w:r>
              <w:rPr>
                <w:rFonts w:hint="eastAsia"/>
                <w:color w:val="auto"/>
                <w:highlight w:val="none"/>
              </w:rPr>
              <w:t>无色、有恶臭的气体。</w:t>
            </w:r>
          </w:p>
        </w:tc>
      </w:tr>
      <w:tr w14:paraId="331A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A39EDB1">
            <w:pPr>
              <w:pStyle w:val="30"/>
              <w:bidi w:val="0"/>
              <w:rPr>
                <w:color w:val="auto"/>
                <w:highlight w:val="none"/>
              </w:rPr>
            </w:pPr>
          </w:p>
        </w:tc>
        <w:tc>
          <w:tcPr>
            <w:tcW w:w="1107" w:type="pct"/>
            <w:noWrap w:val="0"/>
            <w:vAlign w:val="center"/>
          </w:tcPr>
          <w:p w14:paraId="76AC87A7">
            <w:pPr>
              <w:pStyle w:val="30"/>
              <w:bidi w:val="0"/>
              <w:rPr>
                <w:color w:val="auto"/>
                <w:highlight w:val="none"/>
              </w:rPr>
            </w:pPr>
            <w:r>
              <w:rPr>
                <w:color w:val="auto"/>
                <w:highlight w:val="none"/>
              </w:rPr>
              <w:t>主要用途：</w:t>
            </w:r>
          </w:p>
        </w:tc>
        <w:tc>
          <w:tcPr>
            <w:tcW w:w="3643" w:type="pct"/>
            <w:noWrap w:val="0"/>
            <w:vAlign w:val="top"/>
          </w:tcPr>
          <w:p w14:paraId="2921758E">
            <w:pPr>
              <w:pStyle w:val="30"/>
              <w:bidi w:val="0"/>
              <w:rPr>
                <w:color w:val="auto"/>
                <w:highlight w:val="none"/>
              </w:rPr>
            </w:pPr>
            <w:r>
              <w:rPr>
                <w:rFonts w:hint="eastAsia"/>
                <w:color w:val="auto"/>
                <w:highlight w:val="none"/>
              </w:rPr>
              <w:t>用于化学分析如鉴定金属离子。</w:t>
            </w:r>
          </w:p>
        </w:tc>
      </w:tr>
      <w:tr w14:paraId="679A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15E09584">
            <w:pPr>
              <w:pStyle w:val="30"/>
              <w:bidi w:val="0"/>
              <w:rPr>
                <w:color w:val="auto"/>
                <w:highlight w:val="none"/>
              </w:rPr>
            </w:pPr>
          </w:p>
        </w:tc>
        <w:tc>
          <w:tcPr>
            <w:tcW w:w="1107" w:type="pct"/>
            <w:noWrap w:val="0"/>
            <w:vAlign w:val="center"/>
          </w:tcPr>
          <w:p w14:paraId="2EE9F122">
            <w:pPr>
              <w:pStyle w:val="30"/>
              <w:bidi w:val="0"/>
              <w:rPr>
                <w:color w:val="auto"/>
                <w:highlight w:val="none"/>
              </w:rPr>
            </w:pPr>
            <w:r>
              <w:rPr>
                <w:color w:val="auto"/>
                <w:highlight w:val="none"/>
              </w:rPr>
              <w:t>熔点：</w:t>
            </w:r>
          </w:p>
        </w:tc>
        <w:tc>
          <w:tcPr>
            <w:tcW w:w="3643" w:type="pct"/>
            <w:noWrap w:val="0"/>
            <w:vAlign w:val="top"/>
          </w:tcPr>
          <w:p w14:paraId="491AF9C6">
            <w:pPr>
              <w:pStyle w:val="30"/>
              <w:bidi w:val="0"/>
              <w:rPr>
                <w:color w:val="auto"/>
                <w:highlight w:val="none"/>
              </w:rPr>
            </w:pPr>
            <w:r>
              <w:rPr>
                <w:rFonts w:hint="eastAsia"/>
                <w:color w:val="auto"/>
                <w:highlight w:val="none"/>
              </w:rPr>
              <w:t>-85.5</w:t>
            </w:r>
          </w:p>
        </w:tc>
      </w:tr>
      <w:tr w14:paraId="4470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792A9DC">
            <w:pPr>
              <w:pStyle w:val="30"/>
              <w:bidi w:val="0"/>
              <w:rPr>
                <w:color w:val="auto"/>
                <w:highlight w:val="none"/>
              </w:rPr>
            </w:pPr>
          </w:p>
        </w:tc>
        <w:tc>
          <w:tcPr>
            <w:tcW w:w="1107" w:type="pct"/>
            <w:noWrap w:val="0"/>
            <w:vAlign w:val="center"/>
          </w:tcPr>
          <w:p w14:paraId="465FE845">
            <w:pPr>
              <w:pStyle w:val="30"/>
              <w:bidi w:val="0"/>
              <w:rPr>
                <w:color w:val="auto"/>
                <w:highlight w:val="none"/>
              </w:rPr>
            </w:pPr>
            <w:r>
              <w:rPr>
                <w:color w:val="auto"/>
                <w:highlight w:val="none"/>
              </w:rPr>
              <w:t>沸点：</w:t>
            </w:r>
          </w:p>
        </w:tc>
        <w:tc>
          <w:tcPr>
            <w:tcW w:w="3643" w:type="pct"/>
            <w:noWrap w:val="0"/>
            <w:vAlign w:val="top"/>
          </w:tcPr>
          <w:p w14:paraId="43152425">
            <w:pPr>
              <w:pStyle w:val="30"/>
              <w:bidi w:val="0"/>
              <w:rPr>
                <w:color w:val="auto"/>
                <w:highlight w:val="none"/>
              </w:rPr>
            </w:pPr>
            <w:r>
              <w:rPr>
                <w:rFonts w:hint="eastAsia"/>
                <w:color w:val="auto"/>
                <w:highlight w:val="none"/>
              </w:rPr>
              <w:t>-60.4</w:t>
            </w:r>
          </w:p>
        </w:tc>
      </w:tr>
      <w:tr w14:paraId="4348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180FAF48">
            <w:pPr>
              <w:pStyle w:val="30"/>
              <w:bidi w:val="0"/>
              <w:rPr>
                <w:color w:val="auto"/>
                <w:highlight w:val="none"/>
              </w:rPr>
            </w:pPr>
          </w:p>
        </w:tc>
        <w:tc>
          <w:tcPr>
            <w:tcW w:w="1107" w:type="pct"/>
            <w:noWrap w:val="0"/>
            <w:vAlign w:val="center"/>
          </w:tcPr>
          <w:p w14:paraId="41CF2F21">
            <w:pPr>
              <w:pStyle w:val="30"/>
              <w:bidi w:val="0"/>
              <w:rPr>
                <w:color w:val="auto"/>
                <w:highlight w:val="none"/>
              </w:rPr>
            </w:pPr>
            <w:r>
              <w:rPr>
                <w:color w:val="auto"/>
                <w:highlight w:val="none"/>
              </w:rPr>
              <w:t>相对密度（水=1）：</w:t>
            </w:r>
          </w:p>
        </w:tc>
        <w:tc>
          <w:tcPr>
            <w:tcW w:w="3643" w:type="pct"/>
            <w:noWrap w:val="0"/>
            <w:vAlign w:val="top"/>
          </w:tcPr>
          <w:p w14:paraId="1C5A2F00">
            <w:pPr>
              <w:pStyle w:val="30"/>
              <w:bidi w:val="0"/>
              <w:rPr>
                <w:color w:val="auto"/>
                <w:highlight w:val="none"/>
              </w:rPr>
            </w:pPr>
            <w:r>
              <w:rPr>
                <w:rFonts w:hint="eastAsia"/>
                <w:color w:val="auto"/>
                <w:highlight w:val="none"/>
              </w:rPr>
              <w:t>无资料</w:t>
            </w:r>
          </w:p>
        </w:tc>
      </w:tr>
      <w:tr w14:paraId="5437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323F5315">
            <w:pPr>
              <w:pStyle w:val="30"/>
              <w:bidi w:val="0"/>
              <w:rPr>
                <w:color w:val="auto"/>
                <w:highlight w:val="none"/>
              </w:rPr>
            </w:pPr>
          </w:p>
        </w:tc>
        <w:tc>
          <w:tcPr>
            <w:tcW w:w="1107" w:type="pct"/>
            <w:noWrap w:val="0"/>
            <w:vAlign w:val="center"/>
          </w:tcPr>
          <w:p w14:paraId="3F85AF9F">
            <w:pPr>
              <w:pStyle w:val="30"/>
              <w:bidi w:val="0"/>
              <w:rPr>
                <w:color w:val="auto"/>
                <w:highlight w:val="none"/>
              </w:rPr>
            </w:pPr>
            <w:r>
              <w:rPr>
                <w:color w:val="auto"/>
                <w:highlight w:val="none"/>
              </w:rPr>
              <w:t>相对密度（空气=1）:</w:t>
            </w:r>
          </w:p>
        </w:tc>
        <w:tc>
          <w:tcPr>
            <w:tcW w:w="3643" w:type="pct"/>
            <w:noWrap w:val="0"/>
            <w:vAlign w:val="top"/>
          </w:tcPr>
          <w:p w14:paraId="21D38EAB">
            <w:pPr>
              <w:pStyle w:val="30"/>
              <w:bidi w:val="0"/>
              <w:rPr>
                <w:color w:val="auto"/>
                <w:highlight w:val="none"/>
              </w:rPr>
            </w:pPr>
            <w:r>
              <w:rPr>
                <w:rFonts w:hint="eastAsia"/>
                <w:color w:val="auto"/>
                <w:highlight w:val="none"/>
              </w:rPr>
              <w:t>1.19</w:t>
            </w:r>
          </w:p>
        </w:tc>
      </w:tr>
      <w:tr w14:paraId="3A7F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3E4F2446">
            <w:pPr>
              <w:pStyle w:val="30"/>
              <w:bidi w:val="0"/>
              <w:rPr>
                <w:color w:val="auto"/>
                <w:highlight w:val="none"/>
              </w:rPr>
            </w:pPr>
          </w:p>
        </w:tc>
        <w:tc>
          <w:tcPr>
            <w:tcW w:w="1107" w:type="pct"/>
            <w:noWrap w:val="0"/>
            <w:vAlign w:val="top"/>
          </w:tcPr>
          <w:p w14:paraId="038D0FA1">
            <w:pPr>
              <w:pStyle w:val="30"/>
              <w:bidi w:val="0"/>
              <w:rPr>
                <w:color w:val="auto"/>
                <w:highlight w:val="none"/>
              </w:rPr>
            </w:pPr>
            <w:r>
              <w:rPr>
                <w:color w:val="auto"/>
                <w:highlight w:val="none"/>
              </w:rPr>
              <w:t>饱和蒸汽压（kPa）：</w:t>
            </w:r>
          </w:p>
        </w:tc>
        <w:tc>
          <w:tcPr>
            <w:tcW w:w="3643" w:type="pct"/>
            <w:noWrap w:val="0"/>
            <w:vAlign w:val="top"/>
          </w:tcPr>
          <w:p w14:paraId="471D1A10">
            <w:pPr>
              <w:pStyle w:val="30"/>
              <w:bidi w:val="0"/>
              <w:rPr>
                <w:color w:val="auto"/>
                <w:highlight w:val="none"/>
              </w:rPr>
            </w:pPr>
            <w:r>
              <w:rPr>
                <w:rFonts w:hint="eastAsia"/>
                <w:color w:val="auto"/>
                <w:highlight w:val="none"/>
              </w:rPr>
              <w:t>2026.5（25.5℃）</w:t>
            </w:r>
          </w:p>
        </w:tc>
      </w:tr>
      <w:tr w14:paraId="6249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630239F">
            <w:pPr>
              <w:pStyle w:val="30"/>
              <w:bidi w:val="0"/>
              <w:rPr>
                <w:color w:val="auto"/>
                <w:highlight w:val="none"/>
              </w:rPr>
            </w:pPr>
          </w:p>
        </w:tc>
        <w:tc>
          <w:tcPr>
            <w:tcW w:w="1107" w:type="pct"/>
            <w:noWrap w:val="0"/>
            <w:vAlign w:val="center"/>
          </w:tcPr>
          <w:p w14:paraId="14238CE9">
            <w:pPr>
              <w:pStyle w:val="30"/>
              <w:bidi w:val="0"/>
              <w:rPr>
                <w:color w:val="auto"/>
                <w:highlight w:val="none"/>
              </w:rPr>
            </w:pPr>
            <w:r>
              <w:rPr>
                <w:color w:val="auto"/>
                <w:highlight w:val="none"/>
              </w:rPr>
              <w:t>溶解性：</w:t>
            </w:r>
          </w:p>
        </w:tc>
        <w:tc>
          <w:tcPr>
            <w:tcW w:w="3643" w:type="pct"/>
            <w:noWrap w:val="0"/>
            <w:vAlign w:val="top"/>
          </w:tcPr>
          <w:p w14:paraId="79EF0CC7">
            <w:pPr>
              <w:pStyle w:val="30"/>
              <w:bidi w:val="0"/>
              <w:rPr>
                <w:color w:val="auto"/>
                <w:highlight w:val="none"/>
              </w:rPr>
            </w:pPr>
            <w:r>
              <w:rPr>
                <w:rFonts w:hint="eastAsia"/>
                <w:color w:val="auto"/>
                <w:highlight w:val="none"/>
              </w:rPr>
              <w:t>溶于水、乙醇。</w:t>
            </w:r>
          </w:p>
        </w:tc>
      </w:tr>
      <w:tr w14:paraId="52E5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32EAB8B6">
            <w:pPr>
              <w:pStyle w:val="30"/>
              <w:bidi w:val="0"/>
              <w:rPr>
                <w:color w:val="auto"/>
                <w:highlight w:val="none"/>
              </w:rPr>
            </w:pPr>
          </w:p>
        </w:tc>
        <w:tc>
          <w:tcPr>
            <w:tcW w:w="1107" w:type="pct"/>
            <w:noWrap w:val="0"/>
            <w:vAlign w:val="center"/>
          </w:tcPr>
          <w:p w14:paraId="516CD4A0">
            <w:pPr>
              <w:pStyle w:val="30"/>
              <w:bidi w:val="0"/>
              <w:rPr>
                <w:color w:val="auto"/>
                <w:highlight w:val="none"/>
              </w:rPr>
            </w:pPr>
            <w:r>
              <w:rPr>
                <w:color w:val="auto"/>
                <w:highlight w:val="none"/>
              </w:rPr>
              <w:t>临界温度（</w:t>
            </w:r>
            <w:r>
              <w:rPr>
                <w:rFonts w:hint="eastAsia"/>
                <w:color w:val="auto"/>
                <w:highlight w:val="none"/>
              </w:rPr>
              <w:t>℃</w:t>
            </w:r>
            <w:r>
              <w:rPr>
                <w:color w:val="auto"/>
                <w:highlight w:val="none"/>
              </w:rPr>
              <w:t>）：</w:t>
            </w:r>
          </w:p>
        </w:tc>
        <w:tc>
          <w:tcPr>
            <w:tcW w:w="3643" w:type="pct"/>
            <w:noWrap w:val="0"/>
            <w:vAlign w:val="top"/>
          </w:tcPr>
          <w:p w14:paraId="19A6405D">
            <w:pPr>
              <w:pStyle w:val="30"/>
              <w:bidi w:val="0"/>
              <w:rPr>
                <w:color w:val="auto"/>
                <w:highlight w:val="none"/>
              </w:rPr>
            </w:pPr>
            <w:r>
              <w:rPr>
                <w:rFonts w:hint="eastAsia"/>
                <w:color w:val="auto"/>
                <w:highlight w:val="none"/>
              </w:rPr>
              <w:t>100.4</w:t>
            </w:r>
          </w:p>
        </w:tc>
      </w:tr>
      <w:tr w14:paraId="7193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470B7E95">
            <w:pPr>
              <w:pStyle w:val="30"/>
              <w:bidi w:val="0"/>
              <w:rPr>
                <w:color w:val="auto"/>
                <w:highlight w:val="none"/>
              </w:rPr>
            </w:pPr>
          </w:p>
        </w:tc>
        <w:tc>
          <w:tcPr>
            <w:tcW w:w="1107" w:type="pct"/>
            <w:noWrap w:val="0"/>
            <w:vAlign w:val="center"/>
          </w:tcPr>
          <w:p w14:paraId="75A9BE1D">
            <w:pPr>
              <w:pStyle w:val="30"/>
              <w:bidi w:val="0"/>
              <w:rPr>
                <w:color w:val="auto"/>
                <w:highlight w:val="none"/>
              </w:rPr>
            </w:pPr>
            <w:r>
              <w:rPr>
                <w:color w:val="auto"/>
                <w:highlight w:val="none"/>
              </w:rPr>
              <w:t>临界压力（MPa）：</w:t>
            </w:r>
          </w:p>
        </w:tc>
        <w:tc>
          <w:tcPr>
            <w:tcW w:w="3643" w:type="pct"/>
            <w:noWrap w:val="0"/>
            <w:vAlign w:val="top"/>
          </w:tcPr>
          <w:p w14:paraId="2BF49F17">
            <w:pPr>
              <w:pStyle w:val="30"/>
              <w:bidi w:val="0"/>
              <w:rPr>
                <w:color w:val="auto"/>
                <w:highlight w:val="none"/>
              </w:rPr>
            </w:pPr>
            <w:r>
              <w:rPr>
                <w:rFonts w:hint="eastAsia"/>
                <w:color w:val="auto"/>
                <w:highlight w:val="none"/>
              </w:rPr>
              <w:t>9.01</w:t>
            </w:r>
          </w:p>
        </w:tc>
      </w:tr>
      <w:tr w14:paraId="1989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1009B05">
            <w:pPr>
              <w:pStyle w:val="30"/>
              <w:bidi w:val="0"/>
              <w:rPr>
                <w:color w:val="auto"/>
                <w:highlight w:val="none"/>
              </w:rPr>
            </w:pPr>
          </w:p>
        </w:tc>
        <w:tc>
          <w:tcPr>
            <w:tcW w:w="1107" w:type="pct"/>
            <w:noWrap w:val="0"/>
            <w:vAlign w:val="center"/>
          </w:tcPr>
          <w:p w14:paraId="3DB233B2">
            <w:pPr>
              <w:pStyle w:val="30"/>
              <w:bidi w:val="0"/>
              <w:rPr>
                <w:color w:val="auto"/>
                <w:highlight w:val="none"/>
              </w:rPr>
            </w:pPr>
            <w:r>
              <w:rPr>
                <w:color w:val="auto"/>
                <w:highlight w:val="none"/>
              </w:rPr>
              <w:t>燃烧热（kj/mol）：</w:t>
            </w:r>
          </w:p>
        </w:tc>
        <w:tc>
          <w:tcPr>
            <w:tcW w:w="3643" w:type="pct"/>
            <w:noWrap w:val="0"/>
            <w:vAlign w:val="top"/>
          </w:tcPr>
          <w:p w14:paraId="116B5127">
            <w:pPr>
              <w:pStyle w:val="30"/>
              <w:bidi w:val="0"/>
              <w:rPr>
                <w:color w:val="auto"/>
                <w:highlight w:val="none"/>
              </w:rPr>
            </w:pPr>
            <w:r>
              <w:rPr>
                <w:rFonts w:hint="eastAsia"/>
                <w:color w:val="auto"/>
                <w:highlight w:val="none"/>
              </w:rPr>
              <w:t>无资料</w:t>
            </w:r>
          </w:p>
        </w:tc>
      </w:tr>
      <w:tr w14:paraId="3A96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3F9E25BD">
            <w:pPr>
              <w:pStyle w:val="30"/>
              <w:bidi w:val="0"/>
              <w:rPr>
                <w:color w:val="auto"/>
                <w:highlight w:val="none"/>
              </w:rPr>
            </w:pPr>
          </w:p>
        </w:tc>
        <w:tc>
          <w:tcPr>
            <w:tcW w:w="1107" w:type="pct"/>
            <w:noWrap w:val="0"/>
            <w:vAlign w:val="center"/>
          </w:tcPr>
          <w:p w14:paraId="5047357F">
            <w:pPr>
              <w:pStyle w:val="30"/>
              <w:bidi w:val="0"/>
              <w:rPr>
                <w:color w:val="auto"/>
                <w:highlight w:val="none"/>
              </w:rPr>
            </w:pPr>
            <w:r>
              <w:rPr>
                <w:color w:val="auto"/>
                <w:highlight w:val="none"/>
              </w:rPr>
              <w:t>闪点（</w:t>
            </w:r>
            <w:r>
              <w:rPr>
                <w:rFonts w:hint="eastAsia"/>
                <w:color w:val="auto"/>
                <w:highlight w:val="none"/>
              </w:rPr>
              <w:t>℃</w:t>
            </w:r>
            <w:r>
              <w:rPr>
                <w:color w:val="auto"/>
                <w:highlight w:val="none"/>
              </w:rPr>
              <w:t>）：</w:t>
            </w:r>
          </w:p>
        </w:tc>
        <w:tc>
          <w:tcPr>
            <w:tcW w:w="3643" w:type="pct"/>
            <w:noWrap w:val="0"/>
            <w:vAlign w:val="top"/>
          </w:tcPr>
          <w:p w14:paraId="385C6047">
            <w:pPr>
              <w:pStyle w:val="30"/>
              <w:bidi w:val="0"/>
              <w:rPr>
                <w:color w:val="auto"/>
                <w:highlight w:val="none"/>
              </w:rPr>
            </w:pPr>
            <w:r>
              <w:rPr>
                <w:rFonts w:hint="eastAsia"/>
                <w:color w:val="auto"/>
                <w:highlight w:val="none"/>
              </w:rPr>
              <w:t>无意义</w:t>
            </w:r>
          </w:p>
        </w:tc>
      </w:tr>
      <w:tr w14:paraId="5047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2CD18B3">
            <w:pPr>
              <w:pStyle w:val="30"/>
              <w:bidi w:val="0"/>
              <w:rPr>
                <w:color w:val="auto"/>
                <w:highlight w:val="none"/>
              </w:rPr>
            </w:pPr>
          </w:p>
        </w:tc>
        <w:tc>
          <w:tcPr>
            <w:tcW w:w="1107" w:type="pct"/>
            <w:noWrap w:val="0"/>
            <w:vAlign w:val="center"/>
          </w:tcPr>
          <w:p w14:paraId="586A8FCC">
            <w:pPr>
              <w:pStyle w:val="30"/>
              <w:bidi w:val="0"/>
              <w:rPr>
                <w:color w:val="auto"/>
                <w:highlight w:val="none"/>
              </w:rPr>
            </w:pPr>
            <w:r>
              <w:rPr>
                <w:rFonts w:hint="eastAsia"/>
                <w:color w:val="auto"/>
                <w:highlight w:val="none"/>
              </w:rPr>
              <w:t>引燃</w:t>
            </w:r>
            <w:r>
              <w:rPr>
                <w:color w:val="auto"/>
                <w:highlight w:val="none"/>
              </w:rPr>
              <w:t>温度（</w:t>
            </w:r>
            <w:r>
              <w:rPr>
                <w:rFonts w:hint="eastAsia"/>
                <w:color w:val="auto"/>
                <w:highlight w:val="none"/>
              </w:rPr>
              <w:t>℃</w:t>
            </w:r>
            <w:r>
              <w:rPr>
                <w:color w:val="auto"/>
                <w:highlight w:val="none"/>
              </w:rPr>
              <w:t>）：</w:t>
            </w:r>
          </w:p>
        </w:tc>
        <w:tc>
          <w:tcPr>
            <w:tcW w:w="3643" w:type="pct"/>
            <w:noWrap w:val="0"/>
            <w:vAlign w:val="top"/>
          </w:tcPr>
          <w:p w14:paraId="6D51E099">
            <w:pPr>
              <w:pStyle w:val="30"/>
              <w:bidi w:val="0"/>
              <w:rPr>
                <w:color w:val="auto"/>
                <w:highlight w:val="none"/>
              </w:rPr>
            </w:pPr>
            <w:r>
              <w:rPr>
                <w:rFonts w:hint="eastAsia"/>
                <w:color w:val="auto"/>
                <w:highlight w:val="none"/>
              </w:rPr>
              <w:t>260</w:t>
            </w:r>
          </w:p>
        </w:tc>
      </w:tr>
      <w:tr w14:paraId="74DE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2A437181">
            <w:pPr>
              <w:pStyle w:val="30"/>
              <w:bidi w:val="0"/>
              <w:rPr>
                <w:color w:val="auto"/>
                <w:highlight w:val="none"/>
              </w:rPr>
            </w:pPr>
          </w:p>
        </w:tc>
        <w:tc>
          <w:tcPr>
            <w:tcW w:w="1107" w:type="pct"/>
            <w:noWrap w:val="0"/>
            <w:vAlign w:val="center"/>
          </w:tcPr>
          <w:p w14:paraId="091EA087">
            <w:pPr>
              <w:pStyle w:val="30"/>
              <w:bidi w:val="0"/>
              <w:rPr>
                <w:color w:val="auto"/>
                <w:highlight w:val="none"/>
              </w:rPr>
            </w:pPr>
            <w:r>
              <w:rPr>
                <w:color w:val="auto"/>
                <w:highlight w:val="none"/>
              </w:rPr>
              <w:t>爆炸下限（V%）：</w:t>
            </w:r>
          </w:p>
        </w:tc>
        <w:tc>
          <w:tcPr>
            <w:tcW w:w="3643" w:type="pct"/>
            <w:noWrap w:val="0"/>
            <w:vAlign w:val="top"/>
          </w:tcPr>
          <w:p w14:paraId="6A6B277F">
            <w:pPr>
              <w:pStyle w:val="30"/>
              <w:bidi w:val="0"/>
              <w:rPr>
                <w:color w:val="auto"/>
                <w:highlight w:val="none"/>
              </w:rPr>
            </w:pPr>
            <w:r>
              <w:rPr>
                <w:rFonts w:hint="eastAsia"/>
                <w:color w:val="auto"/>
                <w:highlight w:val="none"/>
              </w:rPr>
              <w:t>46.0</w:t>
            </w:r>
          </w:p>
        </w:tc>
      </w:tr>
      <w:tr w14:paraId="2554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537D8F9F">
            <w:pPr>
              <w:pStyle w:val="30"/>
              <w:bidi w:val="0"/>
              <w:rPr>
                <w:color w:val="auto"/>
                <w:highlight w:val="none"/>
              </w:rPr>
            </w:pPr>
          </w:p>
        </w:tc>
        <w:tc>
          <w:tcPr>
            <w:tcW w:w="1107" w:type="pct"/>
            <w:noWrap w:val="0"/>
            <w:vAlign w:val="center"/>
          </w:tcPr>
          <w:p w14:paraId="15737827">
            <w:pPr>
              <w:pStyle w:val="30"/>
              <w:bidi w:val="0"/>
              <w:rPr>
                <w:color w:val="auto"/>
                <w:highlight w:val="none"/>
              </w:rPr>
            </w:pPr>
            <w:r>
              <w:rPr>
                <w:color w:val="auto"/>
                <w:highlight w:val="none"/>
              </w:rPr>
              <w:t>爆炸上限（V%）：</w:t>
            </w:r>
          </w:p>
        </w:tc>
        <w:tc>
          <w:tcPr>
            <w:tcW w:w="3643" w:type="pct"/>
            <w:noWrap w:val="0"/>
            <w:vAlign w:val="top"/>
          </w:tcPr>
          <w:p w14:paraId="39D884BD">
            <w:pPr>
              <w:pStyle w:val="30"/>
              <w:bidi w:val="0"/>
              <w:rPr>
                <w:color w:val="auto"/>
                <w:highlight w:val="none"/>
              </w:rPr>
            </w:pPr>
            <w:r>
              <w:rPr>
                <w:rFonts w:hint="eastAsia"/>
                <w:color w:val="auto"/>
                <w:highlight w:val="none"/>
              </w:rPr>
              <w:t>4.0</w:t>
            </w:r>
          </w:p>
        </w:tc>
      </w:tr>
      <w:tr w14:paraId="5AEF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A45949B">
            <w:pPr>
              <w:pStyle w:val="30"/>
              <w:bidi w:val="0"/>
              <w:rPr>
                <w:color w:val="auto"/>
                <w:highlight w:val="none"/>
              </w:rPr>
            </w:pPr>
          </w:p>
        </w:tc>
        <w:tc>
          <w:tcPr>
            <w:tcW w:w="1107" w:type="pct"/>
            <w:noWrap w:val="0"/>
            <w:vAlign w:val="center"/>
          </w:tcPr>
          <w:p w14:paraId="43F4CEA9">
            <w:pPr>
              <w:pStyle w:val="30"/>
              <w:bidi w:val="0"/>
              <w:rPr>
                <w:color w:val="auto"/>
                <w:highlight w:val="none"/>
              </w:rPr>
            </w:pPr>
            <w:r>
              <w:rPr>
                <w:color w:val="auto"/>
                <w:highlight w:val="none"/>
              </w:rPr>
              <w:t>危险特性：</w:t>
            </w:r>
          </w:p>
        </w:tc>
        <w:tc>
          <w:tcPr>
            <w:tcW w:w="3643" w:type="pct"/>
            <w:noWrap w:val="0"/>
            <w:vAlign w:val="top"/>
          </w:tcPr>
          <w:p w14:paraId="6BF1BF6D">
            <w:pPr>
              <w:pStyle w:val="30"/>
              <w:bidi w:val="0"/>
              <w:rPr>
                <w:color w:val="auto"/>
                <w:highlight w:val="none"/>
              </w:rPr>
            </w:pPr>
            <w:r>
              <w:rPr>
                <w:rFonts w:hint="eastAsia"/>
                <w:color w:val="auto"/>
                <w:highlight w:val="none"/>
              </w:rPr>
              <w:t>易燃，与空气混合能形成爆炸性混合物，遇明火、高热能引起燃烧爆炸。与浓硝酸、发烟硝酸或其它强氧化剂剧烈反应，发生爆炸。气体比空气重，能在较低处扩散到相当远的地方，遇火源会着火回燃。</w:t>
            </w:r>
          </w:p>
        </w:tc>
      </w:tr>
      <w:tr w14:paraId="139A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143BCC79">
            <w:pPr>
              <w:pStyle w:val="30"/>
              <w:bidi w:val="0"/>
              <w:rPr>
                <w:color w:val="auto"/>
                <w:highlight w:val="none"/>
              </w:rPr>
            </w:pPr>
          </w:p>
        </w:tc>
        <w:tc>
          <w:tcPr>
            <w:tcW w:w="1107" w:type="pct"/>
            <w:noWrap w:val="0"/>
            <w:vAlign w:val="center"/>
          </w:tcPr>
          <w:p w14:paraId="6DFB4C78">
            <w:pPr>
              <w:pStyle w:val="30"/>
              <w:bidi w:val="0"/>
              <w:rPr>
                <w:color w:val="auto"/>
                <w:highlight w:val="none"/>
              </w:rPr>
            </w:pPr>
            <w:r>
              <w:rPr>
                <w:color w:val="auto"/>
                <w:highlight w:val="none"/>
              </w:rPr>
              <w:t>燃烧（分解）产物：</w:t>
            </w:r>
          </w:p>
        </w:tc>
        <w:tc>
          <w:tcPr>
            <w:tcW w:w="3643" w:type="pct"/>
            <w:noWrap w:val="0"/>
            <w:vAlign w:val="top"/>
          </w:tcPr>
          <w:p w14:paraId="63BB1061">
            <w:pPr>
              <w:pStyle w:val="30"/>
              <w:bidi w:val="0"/>
              <w:rPr>
                <w:color w:val="auto"/>
                <w:highlight w:val="none"/>
              </w:rPr>
            </w:pPr>
            <w:r>
              <w:rPr>
                <w:rFonts w:hint="eastAsia"/>
                <w:color w:val="auto"/>
                <w:highlight w:val="none"/>
              </w:rPr>
              <w:t>氧化硫。</w:t>
            </w:r>
          </w:p>
        </w:tc>
      </w:tr>
      <w:tr w14:paraId="1B2E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2AC75FB4">
            <w:pPr>
              <w:pStyle w:val="30"/>
              <w:bidi w:val="0"/>
              <w:rPr>
                <w:color w:val="auto"/>
                <w:highlight w:val="none"/>
              </w:rPr>
            </w:pPr>
          </w:p>
        </w:tc>
        <w:tc>
          <w:tcPr>
            <w:tcW w:w="1107" w:type="pct"/>
            <w:noWrap w:val="0"/>
            <w:vAlign w:val="center"/>
          </w:tcPr>
          <w:p w14:paraId="032A658E">
            <w:pPr>
              <w:pStyle w:val="30"/>
              <w:bidi w:val="0"/>
              <w:rPr>
                <w:color w:val="auto"/>
                <w:highlight w:val="none"/>
              </w:rPr>
            </w:pPr>
            <w:r>
              <w:rPr>
                <w:color w:val="auto"/>
                <w:highlight w:val="none"/>
              </w:rPr>
              <w:t>禁忌物：</w:t>
            </w:r>
          </w:p>
        </w:tc>
        <w:tc>
          <w:tcPr>
            <w:tcW w:w="3643" w:type="pct"/>
            <w:noWrap w:val="0"/>
            <w:vAlign w:val="top"/>
          </w:tcPr>
          <w:p w14:paraId="59142A22">
            <w:pPr>
              <w:pStyle w:val="30"/>
              <w:bidi w:val="0"/>
              <w:rPr>
                <w:color w:val="auto"/>
                <w:highlight w:val="none"/>
              </w:rPr>
            </w:pPr>
            <w:r>
              <w:rPr>
                <w:rFonts w:hint="eastAsia"/>
                <w:color w:val="auto"/>
                <w:highlight w:val="none"/>
              </w:rPr>
              <w:t>强氧化剂、碱类。</w:t>
            </w:r>
          </w:p>
        </w:tc>
      </w:tr>
      <w:tr w14:paraId="1272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CDBC3BF">
            <w:pPr>
              <w:pStyle w:val="30"/>
              <w:bidi w:val="0"/>
              <w:rPr>
                <w:color w:val="auto"/>
                <w:highlight w:val="none"/>
              </w:rPr>
            </w:pPr>
          </w:p>
        </w:tc>
        <w:tc>
          <w:tcPr>
            <w:tcW w:w="1107" w:type="pct"/>
            <w:noWrap w:val="0"/>
            <w:vAlign w:val="center"/>
          </w:tcPr>
          <w:p w14:paraId="2ACB1553">
            <w:pPr>
              <w:pStyle w:val="30"/>
              <w:bidi w:val="0"/>
              <w:rPr>
                <w:color w:val="auto"/>
                <w:highlight w:val="none"/>
              </w:rPr>
            </w:pPr>
            <w:r>
              <w:rPr>
                <w:color w:val="auto"/>
                <w:highlight w:val="none"/>
              </w:rPr>
              <w:t>灭火方法：</w:t>
            </w:r>
          </w:p>
        </w:tc>
        <w:tc>
          <w:tcPr>
            <w:tcW w:w="3643" w:type="pct"/>
            <w:noWrap w:val="0"/>
            <w:vAlign w:val="top"/>
          </w:tcPr>
          <w:p w14:paraId="7EA7A7A5">
            <w:pPr>
              <w:pStyle w:val="30"/>
              <w:bidi w:val="0"/>
              <w:rPr>
                <w:color w:val="auto"/>
                <w:highlight w:val="none"/>
              </w:rPr>
            </w:pPr>
            <w:r>
              <w:rPr>
                <w:rFonts w:hint="eastAsia"/>
                <w:color w:val="auto"/>
                <w:highlight w:val="none"/>
              </w:rPr>
              <w:t>消防人员必须穿全身防火防毒服，在上风向灭火。切断气源。若不能切断气源，则不允许熄灭泄漏处的火焰。喷水冷却容器，可能的话将容器从火场移至空旷处。灭火剂：雾状水、抗溶性泡沫、干粉。</w:t>
            </w:r>
          </w:p>
        </w:tc>
      </w:tr>
      <w:tr w14:paraId="23EF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restart"/>
            <w:noWrap w:val="0"/>
            <w:vAlign w:val="center"/>
          </w:tcPr>
          <w:p w14:paraId="18048F8F">
            <w:pPr>
              <w:pStyle w:val="30"/>
              <w:bidi w:val="0"/>
              <w:rPr>
                <w:color w:val="auto"/>
                <w:highlight w:val="none"/>
              </w:rPr>
            </w:pPr>
            <w:r>
              <w:rPr>
                <w:color w:val="auto"/>
                <w:highlight w:val="none"/>
              </w:rPr>
              <w:t>包装与储运</w:t>
            </w:r>
          </w:p>
        </w:tc>
        <w:tc>
          <w:tcPr>
            <w:tcW w:w="1107" w:type="pct"/>
            <w:noWrap w:val="0"/>
            <w:vAlign w:val="center"/>
          </w:tcPr>
          <w:p w14:paraId="4D94F601">
            <w:pPr>
              <w:pStyle w:val="30"/>
              <w:bidi w:val="0"/>
              <w:rPr>
                <w:color w:val="auto"/>
                <w:highlight w:val="none"/>
              </w:rPr>
            </w:pPr>
            <w:r>
              <w:rPr>
                <w:color w:val="auto"/>
                <w:highlight w:val="none"/>
              </w:rPr>
              <w:t>危险性类别：</w:t>
            </w:r>
          </w:p>
        </w:tc>
        <w:tc>
          <w:tcPr>
            <w:tcW w:w="3643" w:type="pct"/>
            <w:noWrap w:val="0"/>
            <w:vAlign w:val="top"/>
          </w:tcPr>
          <w:p w14:paraId="6DC3526A">
            <w:pPr>
              <w:pStyle w:val="30"/>
              <w:bidi w:val="0"/>
              <w:rPr>
                <w:rFonts w:hint="eastAsia"/>
                <w:color w:val="auto"/>
                <w:highlight w:val="none"/>
              </w:rPr>
            </w:pPr>
            <w:r>
              <w:rPr>
                <w:rFonts w:hint="eastAsia"/>
                <w:color w:val="auto"/>
                <w:highlight w:val="none"/>
              </w:rPr>
              <w:t>有毒</w:t>
            </w:r>
          </w:p>
        </w:tc>
      </w:tr>
      <w:tr w14:paraId="55B2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44FCEE14">
            <w:pPr>
              <w:pStyle w:val="30"/>
              <w:bidi w:val="0"/>
              <w:rPr>
                <w:color w:val="auto"/>
                <w:highlight w:val="none"/>
              </w:rPr>
            </w:pPr>
          </w:p>
        </w:tc>
        <w:tc>
          <w:tcPr>
            <w:tcW w:w="1107" w:type="pct"/>
            <w:noWrap w:val="0"/>
            <w:vAlign w:val="center"/>
          </w:tcPr>
          <w:p w14:paraId="4DDB72E0">
            <w:pPr>
              <w:pStyle w:val="30"/>
              <w:bidi w:val="0"/>
              <w:rPr>
                <w:color w:val="auto"/>
                <w:highlight w:val="none"/>
              </w:rPr>
            </w:pPr>
            <w:r>
              <w:rPr>
                <w:color w:val="auto"/>
                <w:highlight w:val="none"/>
              </w:rPr>
              <w:t>危险货物包装</w:t>
            </w:r>
            <w:r>
              <w:rPr>
                <w:rFonts w:hint="eastAsia"/>
                <w:color w:val="auto"/>
                <w:highlight w:val="none"/>
              </w:rPr>
              <w:t>编号</w:t>
            </w:r>
            <w:r>
              <w:rPr>
                <w:color w:val="auto"/>
                <w:highlight w:val="none"/>
              </w:rPr>
              <w:t>：</w:t>
            </w:r>
          </w:p>
        </w:tc>
        <w:tc>
          <w:tcPr>
            <w:tcW w:w="3643" w:type="pct"/>
            <w:noWrap w:val="0"/>
            <w:vAlign w:val="top"/>
          </w:tcPr>
          <w:p w14:paraId="7BC8F290">
            <w:pPr>
              <w:pStyle w:val="30"/>
              <w:bidi w:val="0"/>
              <w:rPr>
                <w:color w:val="auto"/>
                <w:highlight w:val="none"/>
              </w:rPr>
            </w:pPr>
            <w:r>
              <w:rPr>
                <w:rFonts w:hint="eastAsia"/>
                <w:color w:val="auto"/>
                <w:highlight w:val="none"/>
              </w:rPr>
              <w:t>21006</w:t>
            </w:r>
          </w:p>
        </w:tc>
      </w:tr>
      <w:tr w14:paraId="1CED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646564A">
            <w:pPr>
              <w:pStyle w:val="30"/>
              <w:bidi w:val="0"/>
              <w:rPr>
                <w:color w:val="auto"/>
                <w:highlight w:val="none"/>
              </w:rPr>
            </w:pPr>
          </w:p>
        </w:tc>
        <w:tc>
          <w:tcPr>
            <w:tcW w:w="1107" w:type="pct"/>
            <w:noWrap w:val="0"/>
            <w:vAlign w:val="center"/>
          </w:tcPr>
          <w:p w14:paraId="41E790A3">
            <w:pPr>
              <w:pStyle w:val="30"/>
              <w:bidi w:val="0"/>
              <w:rPr>
                <w:color w:val="auto"/>
                <w:highlight w:val="none"/>
              </w:rPr>
            </w:pPr>
            <w:r>
              <w:rPr>
                <w:color w:val="auto"/>
                <w:highlight w:val="none"/>
              </w:rPr>
              <w:t>包装类别：</w:t>
            </w:r>
          </w:p>
        </w:tc>
        <w:tc>
          <w:tcPr>
            <w:tcW w:w="3643" w:type="pct"/>
            <w:noWrap w:val="0"/>
            <w:vAlign w:val="top"/>
          </w:tcPr>
          <w:p w14:paraId="4E5D3663">
            <w:pPr>
              <w:pStyle w:val="30"/>
              <w:bidi w:val="0"/>
              <w:rPr>
                <w:color w:val="auto"/>
                <w:highlight w:val="none"/>
              </w:rPr>
            </w:pPr>
            <w:r>
              <w:rPr>
                <w:rFonts w:hint="eastAsia"/>
                <w:color w:val="auto"/>
                <w:highlight w:val="none"/>
              </w:rPr>
              <w:t>O52</w:t>
            </w:r>
          </w:p>
        </w:tc>
      </w:tr>
      <w:tr w14:paraId="7B9C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B55A58C">
            <w:pPr>
              <w:pStyle w:val="30"/>
              <w:bidi w:val="0"/>
              <w:rPr>
                <w:color w:val="auto"/>
                <w:highlight w:val="none"/>
              </w:rPr>
            </w:pPr>
          </w:p>
        </w:tc>
        <w:tc>
          <w:tcPr>
            <w:tcW w:w="1107" w:type="pct"/>
            <w:noWrap w:val="0"/>
            <w:vAlign w:val="center"/>
          </w:tcPr>
          <w:p w14:paraId="22BF54B3">
            <w:pPr>
              <w:pStyle w:val="30"/>
              <w:bidi w:val="0"/>
              <w:rPr>
                <w:color w:val="auto"/>
                <w:highlight w:val="none"/>
              </w:rPr>
            </w:pPr>
            <w:r>
              <w:rPr>
                <w:color w:val="auto"/>
                <w:highlight w:val="none"/>
              </w:rPr>
              <w:t>储运注意事项：</w:t>
            </w:r>
          </w:p>
        </w:tc>
        <w:tc>
          <w:tcPr>
            <w:tcW w:w="3643" w:type="pct"/>
            <w:noWrap w:val="0"/>
            <w:vAlign w:val="top"/>
          </w:tcPr>
          <w:p w14:paraId="7936D9C2">
            <w:pPr>
              <w:pStyle w:val="30"/>
              <w:bidi w:val="0"/>
              <w:rPr>
                <w:color w:val="auto"/>
                <w:highlight w:val="none"/>
              </w:rPr>
            </w:pPr>
            <w:r>
              <w:rPr>
                <w:rFonts w:hint="eastAsia"/>
                <w:color w:val="auto"/>
                <w:highlight w:val="none"/>
              </w:rPr>
              <w:t>铁路运输时应严格按照铁道部《危险货物运输规则》中的危险货物配装表进行配装。采用刚瓶运输时必须戴好钢瓶上的安全帽。钢瓶一般平放，并应将瓶口朝同一方向，不可交叉；高度不得超过车辆的防护栏板，并用三角木垫卡牢，防止滚动。运输时运输车辆应配备相应品种和数量的消防器材。装运该物品的车辆排气管必须配备阻火装置，禁止使用易产生火花的机械设备和工具装卸。严禁与氧化剂、碱类、食用化学品等混装混运。夏季应早晚运输，防止日光曝晒。中途停留时应远离火种、热源。公路运输时要按规定路线行驶，禁止在居民区和人口稠密区停留。铁路运输时要禁止溜放。</w:t>
            </w:r>
          </w:p>
        </w:tc>
      </w:tr>
      <w:tr w14:paraId="19B9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1146A25">
            <w:pPr>
              <w:pStyle w:val="30"/>
              <w:bidi w:val="0"/>
              <w:rPr>
                <w:color w:val="auto"/>
                <w:highlight w:val="none"/>
              </w:rPr>
            </w:pPr>
          </w:p>
        </w:tc>
        <w:tc>
          <w:tcPr>
            <w:tcW w:w="1107" w:type="pct"/>
            <w:noWrap w:val="0"/>
            <w:vAlign w:val="center"/>
          </w:tcPr>
          <w:p w14:paraId="46305375">
            <w:pPr>
              <w:pStyle w:val="30"/>
              <w:bidi w:val="0"/>
              <w:rPr>
                <w:color w:val="auto"/>
                <w:highlight w:val="none"/>
              </w:rPr>
            </w:pPr>
            <w:r>
              <w:rPr>
                <w:color w:val="auto"/>
                <w:highlight w:val="none"/>
              </w:rPr>
              <w:t>健康危害：</w:t>
            </w:r>
          </w:p>
        </w:tc>
        <w:tc>
          <w:tcPr>
            <w:tcW w:w="3643" w:type="pct"/>
            <w:noWrap w:val="0"/>
            <w:vAlign w:val="top"/>
          </w:tcPr>
          <w:p w14:paraId="6FB4568A">
            <w:pPr>
              <w:pStyle w:val="30"/>
              <w:bidi w:val="0"/>
              <w:rPr>
                <w:color w:val="auto"/>
                <w:highlight w:val="none"/>
              </w:rPr>
            </w:pPr>
            <w:r>
              <w:rPr>
                <w:rFonts w:hint="eastAsia"/>
                <w:color w:val="auto"/>
                <w:highlight w:val="none"/>
              </w:rPr>
              <w:t>本品是强烈的神经毒物，对粘膜有强烈刺激作用。急性中毒：短期内吸入高浓度硫化氢后出现流泪、眼痛、眼内异物感、畏光、视物模糊、流涕、咽喉部灼热感、咳嗽、胸闷、头痛、头晕、乏力、意识模糊等。部分患者可有心肌损害。重者可出现脑水肿、肺水肿。极高浓度（1000mg/m3 以上）时可在数秒钟内突然昏迷，呼吸和心跳骤停，发生闪电型死亡。高浓度接触眼结膜发生水肿和角膜溃疡。长期低浓度接触，引起神经衰弱综合征和植物神经功能紊乱。</w:t>
            </w:r>
          </w:p>
        </w:tc>
      </w:tr>
      <w:tr w14:paraId="3163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restart"/>
            <w:noWrap w:val="0"/>
            <w:vAlign w:val="center"/>
          </w:tcPr>
          <w:p w14:paraId="1580C4CA">
            <w:pPr>
              <w:pStyle w:val="30"/>
              <w:bidi w:val="0"/>
              <w:rPr>
                <w:color w:val="auto"/>
                <w:highlight w:val="none"/>
              </w:rPr>
            </w:pPr>
            <w:r>
              <w:rPr>
                <w:color w:val="auto"/>
                <w:highlight w:val="none"/>
              </w:rPr>
              <w:t>急</w:t>
            </w:r>
          </w:p>
          <w:p w14:paraId="126FDA8E">
            <w:pPr>
              <w:pStyle w:val="30"/>
              <w:bidi w:val="0"/>
              <w:rPr>
                <w:color w:val="auto"/>
                <w:highlight w:val="none"/>
              </w:rPr>
            </w:pPr>
            <w:r>
              <w:rPr>
                <w:color w:val="auto"/>
                <w:highlight w:val="none"/>
              </w:rPr>
              <w:t>救</w:t>
            </w:r>
          </w:p>
        </w:tc>
        <w:tc>
          <w:tcPr>
            <w:tcW w:w="1107" w:type="pct"/>
            <w:noWrap w:val="0"/>
            <w:vAlign w:val="center"/>
          </w:tcPr>
          <w:p w14:paraId="47FEF2B9">
            <w:pPr>
              <w:pStyle w:val="30"/>
              <w:bidi w:val="0"/>
              <w:rPr>
                <w:color w:val="auto"/>
                <w:highlight w:val="none"/>
              </w:rPr>
            </w:pPr>
            <w:r>
              <w:rPr>
                <w:color w:val="auto"/>
                <w:highlight w:val="none"/>
              </w:rPr>
              <w:t>皮肤接触：</w:t>
            </w:r>
          </w:p>
        </w:tc>
        <w:tc>
          <w:tcPr>
            <w:tcW w:w="3643" w:type="pct"/>
            <w:noWrap w:val="0"/>
            <w:vAlign w:val="top"/>
          </w:tcPr>
          <w:p w14:paraId="4C601313">
            <w:pPr>
              <w:pStyle w:val="30"/>
              <w:bidi w:val="0"/>
              <w:rPr>
                <w:color w:val="auto"/>
                <w:highlight w:val="none"/>
              </w:rPr>
            </w:pPr>
          </w:p>
        </w:tc>
      </w:tr>
      <w:tr w14:paraId="16D8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376AF605">
            <w:pPr>
              <w:pStyle w:val="30"/>
              <w:bidi w:val="0"/>
              <w:rPr>
                <w:color w:val="auto"/>
                <w:highlight w:val="none"/>
              </w:rPr>
            </w:pPr>
          </w:p>
        </w:tc>
        <w:tc>
          <w:tcPr>
            <w:tcW w:w="1107" w:type="pct"/>
            <w:noWrap w:val="0"/>
            <w:vAlign w:val="center"/>
          </w:tcPr>
          <w:p w14:paraId="531AF693">
            <w:pPr>
              <w:pStyle w:val="30"/>
              <w:bidi w:val="0"/>
              <w:rPr>
                <w:color w:val="auto"/>
                <w:highlight w:val="none"/>
              </w:rPr>
            </w:pPr>
            <w:r>
              <w:rPr>
                <w:color w:val="auto"/>
                <w:highlight w:val="none"/>
              </w:rPr>
              <w:t>眼睛接触：</w:t>
            </w:r>
          </w:p>
        </w:tc>
        <w:tc>
          <w:tcPr>
            <w:tcW w:w="3643" w:type="pct"/>
            <w:noWrap w:val="0"/>
            <w:vAlign w:val="top"/>
          </w:tcPr>
          <w:p w14:paraId="2A5EAEE2">
            <w:pPr>
              <w:pStyle w:val="30"/>
              <w:bidi w:val="0"/>
              <w:rPr>
                <w:color w:val="auto"/>
                <w:highlight w:val="none"/>
              </w:rPr>
            </w:pPr>
            <w:r>
              <w:rPr>
                <w:rFonts w:hint="eastAsia"/>
                <w:color w:val="auto"/>
                <w:highlight w:val="none"/>
              </w:rPr>
              <w:t>立即提起眼睑，用大量流动清水或生理盐水彻底冲洗至少15分钟。就医。</w:t>
            </w:r>
          </w:p>
        </w:tc>
      </w:tr>
      <w:tr w14:paraId="3A0D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24DA58E6">
            <w:pPr>
              <w:pStyle w:val="30"/>
              <w:bidi w:val="0"/>
              <w:rPr>
                <w:color w:val="auto"/>
                <w:highlight w:val="none"/>
              </w:rPr>
            </w:pPr>
          </w:p>
        </w:tc>
        <w:tc>
          <w:tcPr>
            <w:tcW w:w="1107" w:type="pct"/>
            <w:noWrap w:val="0"/>
            <w:vAlign w:val="center"/>
          </w:tcPr>
          <w:p w14:paraId="35FE7998">
            <w:pPr>
              <w:pStyle w:val="30"/>
              <w:bidi w:val="0"/>
              <w:rPr>
                <w:color w:val="auto"/>
                <w:highlight w:val="none"/>
              </w:rPr>
            </w:pPr>
            <w:r>
              <w:rPr>
                <w:color w:val="auto"/>
                <w:highlight w:val="none"/>
              </w:rPr>
              <w:t>吸入：</w:t>
            </w:r>
          </w:p>
        </w:tc>
        <w:tc>
          <w:tcPr>
            <w:tcW w:w="3643" w:type="pct"/>
            <w:noWrap w:val="0"/>
            <w:vAlign w:val="top"/>
          </w:tcPr>
          <w:p w14:paraId="550C3BDC">
            <w:pPr>
              <w:pStyle w:val="30"/>
              <w:bidi w:val="0"/>
              <w:rPr>
                <w:color w:val="auto"/>
                <w:highlight w:val="none"/>
              </w:rPr>
            </w:pPr>
            <w:r>
              <w:rPr>
                <w:rFonts w:hint="eastAsia"/>
                <w:color w:val="auto"/>
                <w:highlight w:val="none"/>
              </w:rPr>
              <w:t>迅速脱离现场至空气新鲜处。保持呼吸道通畅。如呼吸困难，给输氧。如呼吸停止，立即进行人工呼吸。就医。</w:t>
            </w:r>
          </w:p>
        </w:tc>
      </w:tr>
      <w:tr w14:paraId="1EC4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restart"/>
            <w:noWrap w:val="0"/>
            <w:vAlign w:val="center"/>
          </w:tcPr>
          <w:p w14:paraId="10818F0D">
            <w:pPr>
              <w:pStyle w:val="30"/>
              <w:bidi w:val="0"/>
              <w:rPr>
                <w:rFonts w:hint="eastAsia"/>
                <w:color w:val="auto"/>
                <w:highlight w:val="none"/>
                <w:lang w:eastAsia="zh-CN"/>
              </w:rPr>
            </w:pPr>
            <w:r>
              <w:rPr>
                <w:color w:val="auto"/>
                <w:highlight w:val="none"/>
              </w:rPr>
              <w:t>防</w:t>
            </w:r>
          </w:p>
          <w:p w14:paraId="6EBF8E51">
            <w:pPr>
              <w:pStyle w:val="30"/>
              <w:bidi w:val="0"/>
              <w:rPr>
                <w:rFonts w:hint="eastAsia"/>
                <w:color w:val="auto"/>
                <w:highlight w:val="none"/>
                <w:lang w:eastAsia="zh-CN"/>
              </w:rPr>
            </w:pPr>
            <w:r>
              <w:rPr>
                <w:color w:val="auto"/>
                <w:highlight w:val="none"/>
              </w:rPr>
              <w:t>护</w:t>
            </w:r>
          </w:p>
          <w:p w14:paraId="74E09A32">
            <w:pPr>
              <w:pStyle w:val="30"/>
              <w:bidi w:val="0"/>
              <w:rPr>
                <w:rFonts w:hint="eastAsia"/>
                <w:color w:val="auto"/>
                <w:highlight w:val="none"/>
                <w:lang w:eastAsia="zh-CN"/>
              </w:rPr>
            </w:pPr>
            <w:r>
              <w:rPr>
                <w:color w:val="auto"/>
                <w:highlight w:val="none"/>
              </w:rPr>
              <w:t>措</w:t>
            </w:r>
          </w:p>
          <w:p w14:paraId="04BA6DEA">
            <w:pPr>
              <w:pStyle w:val="30"/>
              <w:bidi w:val="0"/>
              <w:rPr>
                <w:color w:val="auto"/>
                <w:highlight w:val="none"/>
              </w:rPr>
            </w:pPr>
            <w:r>
              <w:rPr>
                <w:color w:val="auto"/>
                <w:highlight w:val="none"/>
              </w:rPr>
              <w:t>施</w:t>
            </w:r>
          </w:p>
        </w:tc>
        <w:tc>
          <w:tcPr>
            <w:tcW w:w="1107" w:type="pct"/>
            <w:noWrap w:val="0"/>
            <w:vAlign w:val="center"/>
          </w:tcPr>
          <w:p w14:paraId="5541683C">
            <w:pPr>
              <w:pStyle w:val="30"/>
              <w:bidi w:val="0"/>
              <w:rPr>
                <w:color w:val="auto"/>
                <w:highlight w:val="none"/>
              </w:rPr>
            </w:pPr>
            <w:r>
              <w:rPr>
                <w:color w:val="auto"/>
                <w:highlight w:val="none"/>
              </w:rPr>
              <w:t>工程控制：</w:t>
            </w:r>
          </w:p>
        </w:tc>
        <w:tc>
          <w:tcPr>
            <w:tcW w:w="3643" w:type="pct"/>
            <w:noWrap w:val="0"/>
            <w:vAlign w:val="top"/>
          </w:tcPr>
          <w:p w14:paraId="5708D552">
            <w:pPr>
              <w:pStyle w:val="30"/>
              <w:bidi w:val="0"/>
              <w:rPr>
                <w:color w:val="auto"/>
                <w:highlight w:val="none"/>
              </w:rPr>
            </w:pPr>
            <w:r>
              <w:rPr>
                <w:rFonts w:hint="eastAsia"/>
                <w:color w:val="auto"/>
                <w:highlight w:val="none"/>
              </w:rPr>
              <w:t>严加密闭，提供充分的局部排风和全面通风。提供安全淋浴和洗眼设备。</w:t>
            </w:r>
          </w:p>
        </w:tc>
      </w:tr>
      <w:tr w14:paraId="5506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615E3126">
            <w:pPr>
              <w:pStyle w:val="30"/>
              <w:bidi w:val="0"/>
              <w:rPr>
                <w:color w:val="auto"/>
                <w:highlight w:val="none"/>
              </w:rPr>
            </w:pPr>
          </w:p>
        </w:tc>
        <w:tc>
          <w:tcPr>
            <w:tcW w:w="1107" w:type="pct"/>
            <w:noWrap w:val="0"/>
            <w:vAlign w:val="center"/>
          </w:tcPr>
          <w:p w14:paraId="65B3C83A">
            <w:pPr>
              <w:pStyle w:val="30"/>
              <w:bidi w:val="0"/>
              <w:rPr>
                <w:color w:val="auto"/>
                <w:highlight w:val="none"/>
              </w:rPr>
            </w:pPr>
            <w:r>
              <w:rPr>
                <w:color w:val="auto"/>
                <w:highlight w:val="none"/>
              </w:rPr>
              <w:t>呼吸系统防护：</w:t>
            </w:r>
          </w:p>
        </w:tc>
        <w:tc>
          <w:tcPr>
            <w:tcW w:w="3643" w:type="pct"/>
            <w:noWrap w:val="0"/>
            <w:vAlign w:val="top"/>
          </w:tcPr>
          <w:p w14:paraId="09B326A5">
            <w:pPr>
              <w:pStyle w:val="30"/>
              <w:bidi w:val="0"/>
              <w:rPr>
                <w:color w:val="auto"/>
                <w:highlight w:val="none"/>
              </w:rPr>
            </w:pPr>
            <w:r>
              <w:rPr>
                <w:rFonts w:hint="eastAsia"/>
                <w:color w:val="auto"/>
                <w:highlight w:val="none"/>
              </w:rPr>
              <w:t>空气中浓度超标时，佩戴过滤式防毒面具（半面罩）。紧急事态抢救或撤离时，建议佩戴氧气呼吸器或空气呼吸器。</w:t>
            </w:r>
          </w:p>
        </w:tc>
      </w:tr>
      <w:tr w14:paraId="3991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0827E430">
            <w:pPr>
              <w:pStyle w:val="30"/>
              <w:bidi w:val="0"/>
              <w:rPr>
                <w:color w:val="auto"/>
                <w:highlight w:val="none"/>
              </w:rPr>
            </w:pPr>
          </w:p>
        </w:tc>
        <w:tc>
          <w:tcPr>
            <w:tcW w:w="1107" w:type="pct"/>
            <w:noWrap w:val="0"/>
            <w:vAlign w:val="center"/>
          </w:tcPr>
          <w:p w14:paraId="16928F8C">
            <w:pPr>
              <w:pStyle w:val="30"/>
              <w:bidi w:val="0"/>
              <w:rPr>
                <w:color w:val="auto"/>
                <w:highlight w:val="none"/>
              </w:rPr>
            </w:pPr>
            <w:r>
              <w:rPr>
                <w:color w:val="auto"/>
                <w:highlight w:val="none"/>
              </w:rPr>
              <w:t>眼睛防护：</w:t>
            </w:r>
          </w:p>
        </w:tc>
        <w:tc>
          <w:tcPr>
            <w:tcW w:w="3643" w:type="pct"/>
            <w:noWrap w:val="0"/>
            <w:vAlign w:val="top"/>
          </w:tcPr>
          <w:p w14:paraId="105D21BA">
            <w:pPr>
              <w:pStyle w:val="30"/>
              <w:bidi w:val="0"/>
              <w:rPr>
                <w:color w:val="auto"/>
                <w:highlight w:val="none"/>
              </w:rPr>
            </w:pPr>
            <w:r>
              <w:rPr>
                <w:rFonts w:hint="eastAsia"/>
                <w:color w:val="auto"/>
                <w:highlight w:val="none"/>
              </w:rPr>
              <w:t>戴化学安全防护眼镜。</w:t>
            </w:r>
          </w:p>
        </w:tc>
      </w:tr>
      <w:tr w14:paraId="6EAB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3CF30087">
            <w:pPr>
              <w:pStyle w:val="30"/>
              <w:bidi w:val="0"/>
              <w:rPr>
                <w:color w:val="auto"/>
                <w:highlight w:val="none"/>
              </w:rPr>
            </w:pPr>
          </w:p>
        </w:tc>
        <w:tc>
          <w:tcPr>
            <w:tcW w:w="1107" w:type="pct"/>
            <w:noWrap w:val="0"/>
            <w:vAlign w:val="center"/>
          </w:tcPr>
          <w:p w14:paraId="18E97774">
            <w:pPr>
              <w:pStyle w:val="30"/>
              <w:bidi w:val="0"/>
              <w:rPr>
                <w:color w:val="auto"/>
                <w:highlight w:val="none"/>
              </w:rPr>
            </w:pPr>
            <w:r>
              <w:rPr>
                <w:color w:val="auto"/>
                <w:highlight w:val="none"/>
              </w:rPr>
              <w:t>防护服：</w:t>
            </w:r>
          </w:p>
        </w:tc>
        <w:tc>
          <w:tcPr>
            <w:tcW w:w="3643" w:type="pct"/>
            <w:noWrap w:val="0"/>
            <w:vAlign w:val="top"/>
          </w:tcPr>
          <w:p w14:paraId="209DAF19">
            <w:pPr>
              <w:pStyle w:val="30"/>
              <w:bidi w:val="0"/>
              <w:rPr>
                <w:color w:val="auto"/>
                <w:highlight w:val="none"/>
              </w:rPr>
            </w:pPr>
            <w:r>
              <w:rPr>
                <w:rFonts w:hint="eastAsia"/>
                <w:color w:val="auto"/>
                <w:highlight w:val="none"/>
              </w:rPr>
              <w:t>穿防静电工作服。</w:t>
            </w:r>
          </w:p>
        </w:tc>
      </w:tr>
      <w:tr w14:paraId="4982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46FAE0D2">
            <w:pPr>
              <w:pStyle w:val="30"/>
              <w:bidi w:val="0"/>
              <w:rPr>
                <w:color w:val="auto"/>
                <w:highlight w:val="none"/>
              </w:rPr>
            </w:pPr>
          </w:p>
        </w:tc>
        <w:tc>
          <w:tcPr>
            <w:tcW w:w="1107" w:type="pct"/>
            <w:noWrap w:val="0"/>
            <w:vAlign w:val="center"/>
          </w:tcPr>
          <w:p w14:paraId="235C028E">
            <w:pPr>
              <w:pStyle w:val="30"/>
              <w:bidi w:val="0"/>
              <w:rPr>
                <w:color w:val="auto"/>
                <w:highlight w:val="none"/>
              </w:rPr>
            </w:pPr>
            <w:r>
              <w:rPr>
                <w:color w:val="auto"/>
                <w:highlight w:val="none"/>
              </w:rPr>
              <w:t>手防护：</w:t>
            </w:r>
          </w:p>
        </w:tc>
        <w:tc>
          <w:tcPr>
            <w:tcW w:w="3643" w:type="pct"/>
            <w:noWrap w:val="0"/>
            <w:vAlign w:val="top"/>
          </w:tcPr>
          <w:p w14:paraId="7F987A49">
            <w:pPr>
              <w:pStyle w:val="30"/>
              <w:bidi w:val="0"/>
              <w:rPr>
                <w:color w:val="auto"/>
                <w:highlight w:val="none"/>
              </w:rPr>
            </w:pPr>
            <w:r>
              <w:rPr>
                <w:rFonts w:hint="eastAsia"/>
                <w:color w:val="auto"/>
                <w:highlight w:val="none"/>
              </w:rPr>
              <w:t>戴防化学品手套。</w:t>
            </w:r>
          </w:p>
        </w:tc>
      </w:tr>
      <w:tr w14:paraId="7912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Merge w:val="continue"/>
            <w:noWrap w:val="0"/>
            <w:vAlign w:val="top"/>
          </w:tcPr>
          <w:p w14:paraId="580BDD43">
            <w:pPr>
              <w:pStyle w:val="30"/>
              <w:bidi w:val="0"/>
              <w:rPr>
                <w:color w:val="auto"/>
                <w:highlight w:val="none"/>
              </w:rPr>
            </w:pPr>
          </w:p>
        </w:tc>
        <w:tc>
          <w:tcPr>
            <w:tcW w:w="1107" w:type="pct"/>
            <w:noWrap w:val="0"/>
            <w:vAlign w:val="center"/>
          </w:tcPr>
          <w:p w14:paraId="529DE00D">
            <w:pPr>
              <w:pStyle w:val="30"/>
              <w:bidi w:val="0"/>
              <w:rPr>
                <w:color w:val="auto"/>
                <w:highlight w:val="none"/>
              </w:rPr>
            </w:pPr>
            <w:r>
              <w:rPr>
                <w:color w:val="auto"/>
                <w:highlight w:val="none"/>
              </w:rPr>
              <w:t>其他：</w:t>
            </w:r>
          </w:p>
        </w:tc>
        <w:tc>
          <w:tcPr>
            <w:tcW w:w="3643" w:type="pct"/>
            <w:noWrap w:val="0"/>
            <w:vAlign w:val="top"/>
          </w:tcPr>
          <w:p w14:paraId="7BA06C43">
            <w:pPr>
              <w:pStyle w:val="30"/>
              <w:bidi w:val="0"/>
              <w:rPr>
                <w:color w:val="auto"/>
                <w:highlight w:val="none"/>
              </w:rPr>
            </w:pPr>
            <w:r>
              <w:rPr>
                <w:rFonts w:hint="eastAsia"/>
                <w:color w:val="auto"/>
                <w:highlight w:val="none"/>
              </w:rPr>
              <w:t>工作现场禁止吸烟、进食和饮水。工作完毕，淋浴更衣。及时换洗工作服。作业人员应学会自救互救。进入罐、限制性空间或其它高浓度区作业，须有人监护。</w:t>
            </w:r>
          </w:p>
        </w:tc>
      </w:tr>
    </w:tbl>
    <w:p w14:paraId="47794F0E">
      <w:pPr>
        <w:bidi w:val="0"/>
        <w:rPr>
          <w:rFonts w:hint="eastAsia"/>
          <w:color w:val="auto"/>
        </w:rPr>
      </w:pPr>
      <w:r>
        <w:rPr>
          <w:rFonts w:hint="eastAsia"/>
          <w:color w:val="auto"/>
          <w:lang w:val="en-US" w:eastAsia="zh-CN"/>
        </w:rPr>
        <w:t>6、</w:t>
      </w:r>
      <w:r>
        <w:rPr>
          <w:rFonts w:hint="eastAsia"/>
          <w:color w:val="auto"/>
        </w:rPr>
        <w:t>硫化钠</w:t>
      </w:r>
    </w:p>
    <w:p w14:paraId="7E1D8524">
      <w:pPr>
        <w:pStyle w:val="29"/>
        <w:bidi w:val="0"/>
        <w:rPr>
          <w:color w:val="auto"/>
        </w:rPr>
      </w:pPr>
      <w:r>
        <w:rPr>
          <w:rFonts w:hint="eastAsia"/>
          <w:color w:val="auto"/>
        </w:rPr>
        <w:t>表3</w:t>
      </w:r>
      <w:r>
        <w:rPr>
          <w:rFonts w:hint="eastAsia"/>
          <w:color w:val="auto"/>
          <w:lang w:val="en-US" w:eastAsia="zh-CN"/>
        </w:rPr>
        <w:t>.1</w:t>
      </w:r>
      <w:r>
        <w:rPr>
          <w:rFonts w:hint="eastAsia"/>
          <w:color w:val="auto"/>
        </w:rPr>
        <w:t>-</w:t>
      </w:r>
      <w:r>
        <w:rPr>
          <w:rFonts w:hint="eastAsia"/>
          <w:color w:val="auto"/>
          <w:lang w:val="en-US" w:eastAsia="zh-CN"/>
        </w:rPr>
        <w:t>6</w:t>
      </w:r>
      <w:r>
        <w:rPr>
          <w:rFonts w:hint="eastAsia"/>
          <w:color w:val="auto"/>
        </w:rPr>
        <w:t xml:space="preserve">  硫化钠理化特性表</w:t>
      </w:r>
    </w:p>
    <w:tbl>
      <w:tblPr>
        <w:tblStyle w:val="2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3849"/>
        <w:gridCol w:w="4253"/>
      </w:tblGrid>
      <w:tr w14:paraId="2975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restart"/>
            <w:noWrap w:val="0"/>
            <w:vAlign w:val="center"/>
          </w:tcPr>
          <w:p w14:paraId="66E711D8">
            <w:pPr>
              <w:pStyle w:val="30"/>
              <w:bidi w:val="0"/>
              <w:jc w:val="center"/>
              <w:rPr>
                <w:rFonts w:hint="default" w:eastAsia="宋体"/>
                <w:color w:val="auto"/>
                <w:highlight w:val="none"/>
                <w:lang w:val="en-US" w:eastAsia="zh-CN"/>
              </w:rPr>
            </w:pPr>
            <w:r>
              <w:rPr>
                <w:rFonts w:hint="eastAsia"/>
                <w:color w:val="auto"/>
                <w:highlight w:val="none"/>
                <w:lang w:val="en-US" w:eastAsia="zh-CN"/>
              </w:rPr>
              <w:t>标识</w:t>
            </w:r>
          </w:p>
        </w:tc>
        <w:tc>
          <w:tcPr>
            <w:tcW w:w="2049" w:type="pct"/>
            <w:noWrap w:val="0"/>
            <w:vAlign w:val="top"/>
          </w:tcPr>
          <w:p w14:paraId="32E37F2C">
            <w:pPr>
              <w:pStyle w:val="30"/>
              <w:bidi w:val="0"/>
              <w:rPr>
                <w:rFonts w:hint="default" w:eastAsia="宋体"/>
                <w:color w:val="auto"/>
                <w:highlight w:val="none"/>
                <w:lang w:val="en-US" w:eastAsia="zh-CN"/>
              </w:rPr>
            </w:pPr>
            <w:r>
              <w:rPr>
                <w:rFonts w:hint="eastAsia"/>
                <w:color w:val="auto"/>
                <w:highlight w:val="none"/>
                <w:lang w:val="en-US" w:eastAsia="zh-CN"/>
              </w:rPr>
              <w:t>中文名称</w:t>
            </w:r>
          </w:p>
        </w:tc>
        <w:tc>
          <w:tcPr>
            <w:tcW w:w="2263" w:type="pct"/>
            <w:noWrap w:val="0"/>
            <w:vAlign w:val="top"/>
          </w:tcPr>
          <w:p w14:paraId="5AB98CBC">
            <w:pPr>
              <w:pStyle w:val="30"/>
              <w:bidi w:val="0"/>
              <w:rPr>
                <w:rFonts w:hint="default" w:eastAsia="宋体"/>
                <w:color w:val="auto"/>
                <w:highlight w:val="none"/>
                <w:lang w:val="en-US" w:eastAsia="zh-CN"/>
              </w:rPr>
            </w:pPr>
            <w:r>
              <w:rPr>
                <w:rFonts w:hint="eastAsia"/>
                <w:color w:val="auto"/>
                <w:highlight w:val="none"/>
                <w:lang w:val="en-US" w:eastAsia="zh-CN"/>
              </w:rPr>
              <w:t>硫化钠、臭碱</w:t>
            </w:r>
          </w:p>
        </w:tc>
      </w:tr>
      <w:tr w14:paraId="395A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07CF42B9">
            <w:pPr>
              <w:pStyle w:val="30"/>
              <w:bidi w:val="0"/>
              <w:jc w:val="center"/>
              <w:rPr>
                <w:rFonts w:hint="eastAsia"/>
                <w:color w:val="auto"/>
                <w:highlight w:val="none"/>
              </w:rPr>
            </w:pPr>
          </w:p>
        </w:tc>
        <w:tc>
          <w:tcPr>
            <w:tcW w:w="2049" w:type="pct"/>
            <w:noWrap w:val="0"/>
            <w:vAlign w:val="top"/>
          </w:tcPr>
          <w:p w14:paraId="7428C2EC">
            <w:pPr>
              <w:pStyle w:val="30"/>
              <w:bidi w:val="0"/>
              <w:ind w:firstLine="0" w:firstLineChars="0"/>
              <w:rPr>
                <w:rFonts w:hint="eastAsia"/>
                <w:color w:val="auto"/>
                <w:highlight w:val="none"/>
              </w:rPr>
            </w:pPr>
            <w:r>
              <w:rPr>
                <w:rFonts w:hint="eastAsia"/>
                <w:color w:val="auto"/>
                <w:highlight w:val="none"/>
                <w:lang w:val="en-US" w:eastAsia="zh-CN"/>
              </w:rPr>
              <w:t>英文名称</w:t>
            </w:r>
          </w:p>
        </w:tc>
        <w:tc>
          <w:tcPr>
            <w:tcW w:w="2263" w:type="pct"/>
            <w:noWrap w:val="0"/>
            <w:vAlign w:val="top"/>
          </w:tcPr>
          <w:p w14:paraId="4ACD01DA">
            <w:pPr>
              <w:pStyle w:val="30"/>
              <w:bidi w:val="0"/>
              <w:ind w:firstLine="0" w:firstLineChars="0"/>
              <w:rPr>
                <w:rFonts w:hint="eastAsia"/>
                <w:color w:val="auto"/>
                <w:highlight w:val="none"/>
              </w:rPr>
            </w:pPr>
            <w:r>
              <w:rPr>
                <w:rFonts w:hint="eastAsia"/>
                <w:color w:val="auto"/>
                <w:highlight w:val="none"/>
                <w:lang w:val="en-US" w:eastAsia="zh-CN"/>
              </w:rPr>
              <w:t>Sodium sulfide</w:t>
            </w:r>
          </w:p>
        </w:tc>
      </w:tr>
      <w:tr w14:paraId="3481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1CF295E2">
            <w:pPr>
              <w:pStyle w:val="30"/>
              <w:bidi w:val="0"/>
              <w:jc w:val="center"/>
              <w:rPr>
                <w:rFonts w:hint="eastAsia"/>
                <w:color w:val="auto"/>
                <w:highlight w:val="none"/>
              </w:rPr>
            </w:pPr>
          </w:p>
        </w:tc>
        <w:tc>
          <w:tcPr>
            <w:tcW w:w="2049" w:type="pct"/>
            <w:noWrap w:val="0"/>
            <w:vAlign w:val="top"/>
          </w:tcPr>
          <w:p w14:paraId="59392BEA">
            <w:pPr>
              <w:pStyle w:val="30"/>
              <w:bidi w:val="0"/>
              <w:ind w:firstLine="0" w:firstLineChars="0"/>
              <w:rPr>
                <w:rFonts w:hint="eastAsia"/>
                <w:color w:val="auto"/>
                <w:highlight w:val="none"/>
              </w:rPr>
            </w:pPr>
            <w:r>
              <w:rPr>
                <w:rFonts w:hint="eastAsia"/>
                <w:color w:val="auto"/>
                <w:highlight w:val="none"/>
                <w:lang w:val="en-US" w:eastAsia="zh-CN"/>
              </w:rPr>
              <w:t>危规号</w:t>
            </w:r>
          </w:p>
        </w:tc>
        <w:tc>
          <w:tcPr>
            <w:tcW w:w="2263" w:type="pct"/>
            <w:noWrap w:val="0"/>
            <w:vAlign w:val="top"/>
          </w:tcPr>
          <w:p w14:paraId="6F8CC4B9">
            <w:pPr>
              <w:pStyle w:val="30"/>
              <w:bidi w:val="0"/>
              <w:ind w:firstLine="0" w:firstLineChars="0"/>
              <w:rPr>
                <w:rFonts w:hint="eastAsia"/>
                <w:color w:val="auto"/>
                <w:highlight w:val="none"/>
              </w:rPr>
            </w:pPr>
            <w:r>
              <w:rPr>
                <w:rFonts w:hint="eastAsia"/>
                <w:color w:val="auto"/>
                <w:highlight w:val="none"/>
                <w:lang w:val="en-US" w:eastAsia="zh-CN"/>
              </w:rPr>
              <w:t>82011</w:t>
            </w:r>
          </w:p>
        </w:tc>
      </w:tr>
      <w:tr w14:paraId="7B49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4A05D98B">
            <w:pPr>
              <w:pStyle w:val="30"/>
              <w:bidi w:val="0"/>
              <w:jc w:val="center"/>
              <w:rPr>
                <w:rFonts w:hint="eastAsia"/>
                <w:color w:val="auto"/>
                <w:highlight w:val="none"/>
              </w:rPr>
            </w:pPr>
          </w:p>
        </w:tc>
        <w:tc>
          <w:tcPr>
            <w:tcW w:w="2049" w:type="pct"/>
            <w:noWrap w:val="0"/>
            <w:vAlign w:val="top"/>
          </w:tcPr>
          <w:p w14:paraId="4BC737B9">
            <w:pPr>
              <w:pStyle w:val="30"/>
              <w:bidi w:val="0"/>
              <w:ind w:firstLine="0" w:firstLineChars="0"/>
              <w:rPr>
                <w:rFonts w:hint="eastAsia"/>
                <w:color w:val="auto"/>
                <w:highlight w:val="none"/>
              </w:rPr>
            </w:pPr>
            <w:r>
              <w:rPr>
                <w:rFonts w:hint="eastAsia"/>
                <w:color w:val="auto"/>
                <w:highlight w:val="none"/>
                <w:lang w:val="en-US" w:eastAsia="zh-CN"/>
              </w:rPr>
              <w:t>CAS号</w:t>
            </w:r>
          </w:p>
        </w:tc>
        <w:tc>
          <w:tcPr>
            <w:tcW w:w="2263" w:type="pct"/>
            <w:noWrap w:val="0"/>
            <w:vAlign w:val="top"/>
          </w:tcPr>
          <w:p w14:paraId="24C514DA">
            <w:pPr>
              <w:pStyle w:val="30"/>
              <w:bidi w:val="0"/>
              <w:ind w:firstLine="0" w:firstLineChars="0"/>
              <w:rPr>
                <w:rFonts w:hint="eastAsia"/>
                <w:color w:val="auto"/>
                <w:highlight w:val="none"/>
              </w:rPr>
            </w:pPr>
            <w:r>
              <w:rPr>
                <w:rFonts w:hint="eastAsia"/>
                <w:color w:val="auto"/>
                <w:highlight w:val="none"/>
                <w:lang w:val="en-US" w:eastAsia="zh-CN"/>
              </w:rPr>
              <w:t>7757-83-7</w:t>
            </w:r>
          </w:p>
        </w:tc>
      </w:tr>
      <w:tr w14:paraId="26ED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3FE3C14B">
            <w:pPr>
              <w:pStyle w:val="30"/>
              <w:bidi w:val="0"/>
              <w:jc w:val="center"/>
              <w:rPr>
                <w:rFonts w:hint="eastAsia"/>
                <w:color w:val="auto"/>
                <w:highlight w:val="none"/>
              </w:rPr>
            </w:pPr>
          </w:p>
        </w:tc>
        <w:tc>
          <w:tcPr>
            <w:tcW w:w="2049" w:type="pct"/>
            <w:noWrap w:val="0"/>
            <w:vAlign w:val="top"/>
          </w:tcPr>
          <w:p w14:paraId="7F7B4D05">
            <w:pPr>
              <w:pStyle w:val="30"/>
              <w:bidi w:val="0"/>
              <w:ind w:firstLine="0" w:firstLineChars="0"/>
              <w:rPr>
                <w:rFonts w:hint="eastAsia"/>
                <w:color w:val="auto"/>
                <w:highlight w:val="none"/>
              </w:rPr>
            </w:pPr>
            <w:r>
              <w:rPr>
                <w:rFonts w:hint="eastAsia"/>
                <w:color w:val="auto"/>
                <w:highlight w:val="none"/>
                <w:lang w:val="en-US" w:eastAsia="zh-CN"/>
              </w:rPr>
              <w:t>分子式</w:t>
            </w:r>
          </w:p>
        </w:tc>
        <w:tc>
          <w:tcPr>
            <w:tcW w:w="2263" w:type="pct"/>
            <w:noWrap w:val="0"/>
            <w:vAlign w:val="top"/>
          </w:tcPr>
          <w:p w14:paraId="23ACB6C9">
            <w:pPr>
              <w:pStyle w:val="30"/>
              <w:bidi w:val="0"/>
              <w:ind w:firstLine="0" w:firstLineChars="0"/>
              <w:rPr>
                <w:rFonts w:hint="eastAsia"/>
                <w:color w:val="auto"/>
                <w:highlight w:val="none"/>
              </w:rPr>
            </w:pPr>
            <w:r>
              <w:rPr>
                <w:rFonts w:hint="eastAsia"/>
                <w:color w:val="auto"/>
                <w:highlight w:val="none"/>
                <w:lang w:val="en-US" w:eastAsia="zh-CN"/>
              </w:rPr>
              <w:t>Na</w:t>
            </w:r>
            <w:r>
              <w:rPr>
                <w:rFonts w:hint="eastAsia"/>
                <w:color w:val="auto"/>
                <w:highlight w:val="none"/>
                <w:vertAlign w:val="subscript"/>
                <w:lang w:val="en-US" w:eastAsia="zh-CN"/>
              </w:rPr>
              <w:t>2</w:t>
            </w:r>
            <w:r>
              <w:rPr>
                <w:rFonts w:hint="eastAsia"/>
                <w:color w:val="auto"/>
                <w:highlight w:val="none"/>
                <w:lang w:val="en-US" w:eastAsia="zh-CN"/>
              </w:rPr>
              <w:t>S</w:t>
            </w:r>
          </w:p>
        </w:tc>
      </w:tr>
      <w:tr w14:paraId="3D44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7A6F42E9">
            <w:pPr>
              <w:pStyle w:val="30"/>
              <w:bidi w:val="0"/>
              <w:jc w:val="center"/>
              <w:rPr>
                <w:rFonts w:hint="eastAsia"/>
                <w:color w:val="auto"/>
                <w:highlight w:val="none"/>
              </w:rPr>
            </w:pPr>
          </w:p>
        </w:tc>
        <w:tc>
          <w:tcPr>
            <w:tcW w:w="2049" w:type="pct"/>
            <w:noWrap w:val="0"/>
            <w:vAlign w:val="top"/>
          </w:tcPr>
          <w:p w14:paraId="3814AC27">
            <w:pPr>
              <w:pStyle w:val="30"/>
              <w:bidi w:val="0"/>
              <w:ind w:firstLine="0" w:firstLineChars="0"/>
              <w:rPr>
                <w:rFonts w:hint="eastAsia"/>
                <w:color w:val="auto"/>
                <w:highlight w:val="none"/>
              </w:rPr>
            </w:pPr>
            <w:r>
              <w:rPr>
                <w:rFonts w:hint="eastAsia"/>
                <w:color w:val="auto"/>
                <w:highlight w:val="none"/>
                <w:lang w:val="en-US" w:eastAsia="zh-CN"/>
              </w:rPr>
              <w:t>分子量</w:t>
            </w:r>
          </w:p>
        </w:tc>
        <w:tc>
          <w:tcPr>
            <w:tcW w:w="2263" w:type="pct"/>
            <w:noWrap w:val="0"/>
            <w:vAlign w:val="top"/>
          </w:tcPr>
          <w:p w14:paraId="0F50A6BF">
            <w:pPr>
              <w:pStyle w:val="30"/>
              <w:bidi w:val="0"/>
              <w:ind w:firstLine="0" w:firstLineChars="0"/>
              <w:rPr>
                <w:rFonts w:hint="eastAsia"/>
                <w:color w:val="auto"/>
                <w:highlight w:val="none"/>
              </w:rPr>
            </w:pPr>
            <w:r>
              <w:rPr>
                <w:rFonts w:hint="eastAsia"/>
                <w:color w:val="auto"/>
                <w:highlight w:val="none"/>
                <w:lang w:val="en-US" w:eastAsia="zh-CN"/>
              </w:rPr>
              <w:t>78.04</w:t>
            </w:r>
          </w:p>
        </w:tc>
      </w:tr>
      <w:tr w14:paraId="4697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32696758">
            <w:pPr>
              <w:pStyle w:val="30"/>
              <w:bidi w:val="0"/>
              <w:jc w:val="center"/>
              <w:rPr>
                <w:rFonts w:hint="eastAsia"/>
                <w:color w:val="auto"/>
                <w:highlight w:val="none"/>
              </w:rPr>
            </w:pPr>
          </w:p>
        </w:tc>
        <w:tc>
          <w:tcPr>
            <w:tcW w:w="2049" w:type="pct"/>
            <w:noWrap w:val="0"/>
            <w:vAlign w:val="top"/>
          </w:tcPr>
          <w:p w14:paraId="47923F77">
            <w:pPr>
              <w:pStyle w:val="30"/>
              <w:bidi w:val="0"/>
              <w:ind w:firstLine="0" w:firstLineChars="0"/>
              <w:rPr>
                <w:rFonts w:hint="eastAsia"/>
                <w:color w:val="auto"/>
                <w:highlight w:val="none"/>
              </w:rPr>
            </w:pPr>
            <w:r>
              <w:rPr>
                <w:rFonts w:hint="eastAsia"/>
                <w:color w:val="auto"/>
                <w:highlight w:val="none"/>
                <w:lang w:val="en-US" w:eastAsia="zh-CN"/>
              </w:rPr>
              <w:t>危险性类别</w:t>
            </w:r>
          </w:p>
        </w:tc>
        <w:tc>
          <w:tcPr>
            <w:tcW w:w="2263" w:type="pct"/>
            <w:noWrap w:val="0"/>
            <w:vAlign w:val="top"/>
          </w:tcPr>
          <w:p w14:paraId="2323F6F2">
            <w:pPr>
              <w:pStyle w:val="30"/>
              <w:bidi w:val="0"/>
              <w:ind w:firstLine="0" w:firstLineChars="0"/>
              <w:rPr>
                <w:rFonts w:hint="eastAsia"/>
                <w:color w:val="auto"/>
                <w:highlight w:val="none"/>
              </w:rPr>
            </w:pPr>
            <w:r>
              <w:rPr>
                <w:rFonts w:hint="eastAsia"/>
                <w:color w:val="auto"/>
                <w:highlight w:val="none"/>
              </w:rPr>
              <w:t>第8.2 类碱性腐蚀品。</w:t>
            </w:r>
          </w:p>
        </w:tc>
      </w:tr>
      <w:tr w14:paraId="7594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vMerge w:val="continue"/>
            <w:noWrap w:val="0"/>
            <w:vAlign w:val="center"/>
          </w:tcPr>
          <w:p w14:paraId="60FCECBB">
            <w:pPr>
              <w:pStyle w:val="30"/>
              <w:bidi w:val="0"/>
              <w:jc w:val="center"/>
              <w:rPr>
                <w:rFonts w:hint="eastAsia"/>
                <w:color w:val="auto"/>
                <w:highlight w:val="none"/>
              </w:rPr>
            </w:pPr>
          </w:p>
        </w:tc>
        <w:tc>
          <w:tcPr>
            <w:tcW w:w="2049" w:type="pct"/>
            <w:noWrap w:val="0"/>
            <w:vAlign w:val="top"/>
          </w:tcPr>
          <w:p w14:paraId="347888D2">
            <w:pPr>
              <w:pStyle w:val="30"/>
              <w:bidi w:val="0"/>
              <w:ind w:firstLine="0" w:firstLineChars="0"/>
              <w:rPr>
                <w:rFonts w:hint="eastAsia"/>
                <w:color w:val="auto"/>
                <w:highlight w:val="none"/>
                <w:lang w:val="en-US" w:eastAsia="zh-CN"/>
              </w:rPr>
            </w:pPr>
            <w:r>
              <w:rPr>
                <w:rFonts w:hint="eastAsia"/>
                <w:color w:val="auto"/>
                <w:highlight w:val="none"/>
              </w:rPr>
              <w:t>UN编号</w:t>
            </w:r>
          </w:p>
        </w:tc>
        <w:tc>
          <w:tcPr>
            <w:tcW w:w="2263" w:type="pct"/>
            <w:noWrap w:val="0"/>
            <w:vAlign w:val="top"/>
          </w:tcPr>
          <w:p w14:paraId="2AC25DEB">
            <w:pPr>
              <w:pStyle w:val="30"/>
              <w:bidi w:val="0"/>
              <w:ind w:firstLine="0" w:firstLineChars="0"/>
              <w:rPr>
                <w:rFonts w:hint="eastAsia"/>
                <w:color w:val="auto"/>
                <w:highlight w:val="none"/>
              </w:rPr>
            </w:pPr>
            <w:r>
              <w:rPr>
                <w:rFonts w:hint="eastAsia"/>
                <w:color w:val="auto"/>
                <w:highlight w:val="none"/>
                <w:lang w:val="en-US" w:eastAsia="zh-CN"/>
              </w:rPr>
              <w:t>1894</w:t>
            </w:r>
          </w:p>
        </w:tc>
      </w:tr>
      <w:tr w14:paraId="29EA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230F7C31">
            <w:pPr>
              <w:pStyle w:val="30"/>
              <w:bidi w:val="0"/>
              <w:jc w:val="center"/>
              <w:rPr>
                <w:rFonts w:hint="eastAsia"/>
                <w:color w:val="auto"/>
                <w:highlight w:val="none"/>
              </w:rPr>
            </w:pPr>
            <w:r>
              <w:rPr>
                <w:rFonts w:hint="eastAsia"/>
                <w:color w:val="auto"/>
                <w:highlight w:val="none"/>
              </w:rPr>
              <w:t>危险性概述</w:t>
            </w:r>
          </w:p>
        </w:tc>
        <w:tc>
          <w:tcPr>
            <w:tcW w:w="4313" w:type="pct"/>
            <w:gridSpan w:val="2"/>
            <w:noWrap w:val="0"/>
            <w:vAlign w:val="top"/>
          </w:tcPr>
          <w:p w14:paraId="5E0F5399">
            <w:pPr>
              <w:pStyle w:val="30"/>
              <w:bidi w:val="0"/>
              <w:ind w:firstLine="0" w:firstLineChars="0"/>
              <w:jc w:val="both"/>
              <w:rPr>
                <w:rFonts w:hint="eastAsia"/>
                <w:color w:val="auto"/>
                <w:highlight w:val="none"/>
              </w:rPr>
            </w:pPr>
            <w:r>
              <w:rPr>
                <w:rFonts w:hint="eastAsia"/>
                <w:color w:val="auto"/>
                <w:highlight w:val="none"/>
              </w:rPr>
              <w:t>健康危害：本品在胃肠道中能分解出硫化氢，口服后能引起硫化氢中毒。对皮肤和眼睛有腐蚀作用。</w:t>
            </w:r>
          </w:p>
          <w:p w14:paraId="5EF9BF50">
            <w:pPr>
              <w:pStyle w:val="30"/>
              <w:bidi w:val="0"/>
              <w:ind w:firstLine="0" w:firstLineChars="0"/>
              <w:jc w:val="both"/>
              <w:rPr>
                <w:rFonts w:hint="eastAsia"/>
                <w:color w:val="auto"/>
                <w:highlight w:val="none"/>
              </w:rPr>
            </w:pPr>
            <w:r>
              <w:rPr>
                <w:rFonts w:hint="eastAsia"/>
                <w:color w:val="auto"/>
                <w:highlight w:val="none"/>
              </w:rPr>
              <w:t>环境危害：对环境有危害。</w:t>
            </w:r>
          </w:p>
          <w:p w14:paraId="1A70A915">
            <w:pPr>
              <w:pStyle w:val="30"/>
              <w:bidi w:val="0"/>
              <w:ind w:firstLine="0" w:firstLineChars="0"/>
              <w:jc w:val="both"/>
              <w:rPr>
                <w:rFonts w:hint="eastAsia"/>
                <w:color w:val="auto"/>
                <w:highlight w:val="none"/>
              </w:rPr>
            </w:pPr>
            <w:r>
              <w:rPr>
                <w:rFonts w:hint="eastAsia"/>
                <w:color w:val="auto"/>
                <w:highlight w:val="none"/>
              </w:rPr>
              <w:t>燃爆危险：本品易燃，具强腐蚀性、刺激性，可致人体灼伤。</w:t>
            </w:r>
          </w:p>
        </w:tc>
      </w:tr>
      <w:tr w14:paraId="1E84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7150BD2F">
            <w:pPr>
              <w:pStyle w:val="30"/>
              <w:bidi w:val="0"/>
              <w:jc w:val="center"/>
              <w:rPr>
                <w:rFonts w:hint="eastAsia"/>
                <w:color w:val="auto"/>
                <w:highlight w:val="none"/>
              </w:rPr>
            </w:pPr>
            <w:r>
              <w:rPr>
                <w:rFonts w:hint="eastAsia"/>
                <w:color w:val="auto"/>
                <w:highlight w:val="none"/>
              </w:rPr>
              <w:t>急救措施</w:t>
            </w:r>
          </w:p>
        </w:tc>
        <w:tc>
          <w:tcPr>
            <w:tcW w:w="4313" w:type="pct"/>
            <w:gridSpan w:val="2"/>
            <w:noWrap w:val="0"/>
            <w:vAlign w:val="top"/>
          </w:tcPr>
          <w:p w14:paraId="314D95DC">
            <w:pPr>
              <w:pStyle w:val="30"/>
              <w:bidi w:val="0"/>
              <w:ind w:firstLine="0" w:firstLineChars="0"/>
              <w:jc w:val="both"/>
              <w:rPr>
                <w:rFonts w:hint="eastAsia"/>
                <w:color w:val="auto"/>
                <w:highlight w:val="none"/>
              </w:rPr>
            </w:pPr>
            <w:r>
              <w:rPr>
                <w:rFonts w:hint="eastAsia"/>
                <w:color w:val="auto"/>
                <w:highlight w:val="none"/>
              </w:rPr>
              <w:t>皮肤接触：立即脱去污染的衣着，用大量流动清水冲洗至少15分钟。就医。</w:t>
            </w:r>
          </w:p>
          <w:p w14:paraId="26FF57FE">
            <w:pPr>
              <w:pStyle w:val="30"/>
              <w:bidi w:val="0"/>
              <w:ind w:firstLine="0" w:firstLineChars="0"/>
              <w:jc w:val="both"/>
              <w:rPr>
                <w:rFonts w:hint="eastAsia"/>
                <w:color w:val="auto"/>
                <w:highlight w:val="none"/>
              </w:rPr>
            </w:pPr>
            <w:r>
              <w:rPr>
                <w:rFonts w:hint="eastAsia"/>
                <w:color w:val="auto"/>
                <w:highlight w:val="none"/>
              </w:rPr>
              <w:t>眼睛接触：立即提起眼睑，用大量流动清水或生理盐水彻底冲洗至少15分钟。就医。</w:t>
            </w:r>
          </w:p>
          <w:p w14:paraId="79C4908B">
            <w:pPr>
              <w:pStyle w:val="30"/>
              <w:bidi w:val="0"/>
              <w:ind w:firstLine="0" w:firstLineChars="0"/>
              <w:jc w:val="both"/>
              <w:rPr>
                <w:rFonts w:hint="eastAsia"/>
                <w:color w:val="auto"/>
                <w:highlight w:val="none"/>
              </w:rPr>
            </w:pPr>
            <w:r>
              <w:rPr>
                <w:rFonts w:hint="eastAsia"/>
                <w:color w:val="auto"/>
                <w:highlight w:val="none"/>
              </w:rPr>
              <w:t>吸入：迅速脱离现场至空气新鲜处。保持呼吸道通畅。如呼吸困难，给输氧。如呼吸停止，立即进行人工呼吸。就医。</w:t>
            </w:r>
          </w:p>
          <w:p w14:paraId="28130A2B">
            <w:pPr>
              <w:pStyle w:val="30"/>
              <w:bidi w:val="0"/>
              <w:ind w:firstLine="0" w:firstLineChars="0"/>
              <w:jc w:val="both"/>
              <w:rPr>
                <w:rFonts w:hint="eastAsia"/>
                <w:color w:val="auto"/>
                <w:highlight w:val="none"/>
              </w:rPr>
            </w:pPr>
            <w:r>
              <w:rPr>
                <w:rFonts w:hint="eastAsia"/>
                <w:color w:val="auto"/>
                <w:highlight w:val="none"/>
              </w:rPr>
              <w:t>食入：用水漱口，给饮牛奶或蛋清。就医。</w:t>
            </w:r>
          </w:p>
        </w:tc>
      </w:tr>
      <w:tr w14:paraId="3275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759BB251">
            <w:pPr>
              <w:pStyle w:val="30"/>
              <w:bidi w:val="0"/>
              <w:jc w:val="center"/>
              <w:rPr>
                <w:rFonts w:hint="eastAsia"/>
                <w:color w:val="auto"/>
                <w:highlight w:val="none"/>
              </w:rPr>
            </w:pPr>
            <w:r>
              <w:rPr>
                <w:rFonts w:hint="eastAsia"/>
                <w:color w:val="auto"/>
                <w:highlight w:val="none"/>
              </w:rPr>
              <w:t>消防措施</w:t>
            </w:r>
          </w:p>
        </w:tc>
        <w:tc>
          <w:tcPr>
            <w:tcW w:w="4313" w:type="pct"/>
            <w:gridSpan w:val="2"/>
            <w:noWrap w:val="0"/>
            <w:vAlign w:val="top"/>
          </w:tcPr>
          <w:p w14:paraId="13F23B2F">
            <w:pPr>
              <w:pStyle w:val="30"/>
              <w:bidi w:val="0"/>
              <w:ind w:firstLine="0" w:firstLineChars="0"/>
              <w:jc w:val="both"/>
              <w:rPr>
                <w:rFonts w:hint="eastAsia"/>
                <w:color w:val="auto"/>
                <w:highlight w:val="none"/>
              </w:rPr>
            </w:pPr>
            <w:r>
              <w:rPr>
                <w:rFonts w:hint="eastAsia"/>
                <w:color w:val="auto"/>
                <w:highlight w:val="none"/>
              </w:rPr>
              <w:t>危险特性：无水物为自燃物品，其粉尘易在空气中自燃。遇酸分解</w:t>
            </w:r>
            <w:r>
              <w:rPr>
                <w:rFonts w:hint="eastAsia"/>
                <w:color w:val="auto"/>
                <w:highlight w:val="none"/>
                <w:lang w:eastAsia="zh-CN"/>
              </w:rPr>
              <w:t>，</w:t>
            </w:r>
            <w:r>
              <w:rPr>
                <w:rFonts w:hint="eastAsia"/>
                <w:color w:val="auto"/>
                <w:highlight w:val="none"/>
              </w:rPr>
              <w:t xml:space="preserve"> 放出剧毒的易燃气体。粉体与空气可形成爆炸性混合物。其水溶液有腐蚀性和强烈的刺激性。100℃时开始蒸发，蒸气可侵蚀玻璃。</w:t>
            </w:r>
          </w:p>
          <w:p w14:paraId="16465ED8">
            <w:pPr>
              <w:pStyle w:val="30"/>
              <w:bidi w:val="0"/>
              <w:ind w:firstLine="0" w:firstLineChars="0"/>
              <w:jc w:val="both"/>
              <w:rPr>
                <w:rFonts w:hint="eastAsia"/>
                <w:color w:val="auto"/>
                <w:highlight w:val="none"/>
              </w:rPr>
            </w:pPr>
            <w:r>
              <w:rPr>
                <w:rFonts w:hint="eastAsia"/>
                <w:color w:val="auto"/>
                <w:highlight w:val="none"/>
              </w:rPr>
              <w:t>有害燃烧产物：硫化氢、氧化硫。</w:t>
            </w:r>
          </w:p>
          <w:p w14:paraId="39971076">
            <w:pPr>
              <w:pStyle w:val="30"/>
              <w:bidi w:val="0"/>
              <w:ind w:firstLine="0" w:firstLineChars="0"/>
              <w:jc w:val="both"/>
              <w:rPr>
                <w:rFonts w:hint="eastAsia"/>
                <w:color w:val="auto"/>
                <w:highlight w:val="none"/>
              </w:rPr>
            </w:pPr>
            <w:r>
              <w:rPr>
                <w:rFonts w:hint="eastAsia"/>
                <w:color w:val="auto"/>
                <w:highlight w:val="none"/>
              </w:rPr>
              <w:t>灭火方法：采用水、雾状水、砂土灭火。</w:t>
            </w:r>
          </w:p>
        </w:tc>
      </w:tr>
      <w:tr w14:paraId="3257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6507A442">
            <w:pPr>
              <w:pStyle w:val="30"/>
              <w:bidi w:val="0"/>
              <w:jc w:val="center"/>
              <w:rPr>
                <w:rFonts w:hint="eastAsia"/>
                <w:color w:val="auto"/>
                <w:highlight w:val="none"/>
              </w:rPr>
            </w:pPr>
            <w:r>
              <w:rPr>
                <w:rFonts w:hint="eastAsia"/>
                <w:color w:val="auto"/>
                <w:highlight w:val="none"/>
              </w:rPr>
              <w:t>泄漏应急处理</w:t>
            </w:r>
          </w:p>
        </w:tc>
        <w:tc>
          <w:tcPr>
            <w:tcW w:w="4313" w:type="pct"/>
            <w:gridSpan w:val="2"/>
            <w:noWrap w:val="0"/>
            <w:vAlign w:val="top"/>
          </w:tcPr>
          <w:p w14:paraId="3E28B62B">
            <w:pPr>
              <w:pStyle w:val="30"/>
              <w:bidi w:val="0"/>
              <w:ind w:firstLine="0" w:firstLineChars="0"/>
              <w:jc w:val="both"/>
              <w:rPr>
                <w:rFonts w:hint="eastAsia"/>
                <w:color w:val="auto"/>
                <w:highlight w:val="none"/>
              </w:rPr>
            </w:pPr>
            <w:r>
              <w:rPr>
                <w:rFonts w:hint="eastAsia"/>
                <w:color w:val="auto"/>
                <w:highlight w:val="none"/>
              </w:rPr>
              <w:t>隔离泄漏污染区，限制出入。建议应急处理人员戴防尘面具（全面罩），穿防酸碱工作服。从上风处进入现场。小量泄漏：避免扬尘，用洁净的铲子收集于干燥、洁净、有盖的容器中。也可以用大量水冲洗，洗水稀释后放入废水系统。大量泄漏：收集回收或运至废物处理场所处置。</w:t>
            </w:r>
          </w:p>
        </w:tc>
      </w:tr>
      <w:tr w14:paraId="4663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49487C63">
            <w:pPr>
              <w:pStyle w:val="30"/>
              <w:bidi w:val="0"/>
              <w:jc w:val="center"/>
              <w:rPr>
                <w:rFonts w:hint="eastAsia"/>
                <w:color w:val="auto"/>
                <w:highlight w:val="none"/>
              </w:rPr>
            </w:pPr>
            <w:r>
              <w:rPr>
                <w:rFonts w:hint="eastAsia"/>
                <w:color w:val="auto"/>
                <w:highlight w:val="none"/>
              </w:rPr>
              <w:t>操作处置与储存</w:t>
            </w:r>
          </w:p>
        </w:tc>
        <w:tc>
          <w:tcPr>
            <w:tcW w:w="4313" w:type="pct"/>
            <w:gridSpan w:val="2"/>
            <w:noWrap w:val="0"/>
            <w:vAlign w:val="top"/>
          </w:tcPr>
          <w:p w14:paraId="33E77013">
            <w:pPr>
              <w:pStyle w:val="30"/>
              <w:bidi w:val="0"/>
              <w:ind w:firstLine="0" w:firstLineChars="0"/>
              <w:jc w:val="both"/>
              <w:rPr>
                <w:rFonts w:hint="eastAsia"/>
                <w:color w:val="auto"/>
                <w:highlight w:val="none"/>
              </w:rPr>
            </w:pPr>
            <w:r>
              <w:rPr>
                <w:rFonts w:hint="eastAsia"/>
                <w:color w:val="auto"/>
                <w:highlight w:val="none"/>
              </w:rPr>
              <w:t>操作注意事项：密闭操作。操作人员必须经过专门培训，严格遵守操作规程。建议操作人员佩戴自吸过滤式防尘口罩，戴化学安全防护眼镜，穿橡胶耐酸碱服，戴橡胶耐酸碱手套。远离火种、热源，工作场所严禁吸烟。使用防爆型的通风系统和设备。避免产生粉尘。避免与氧化剂、酸类接触。搬运时要轻装轻卸，防止包装及容器损坏。配备相应品种和数量的消防器材及泄漏应急处理设备。倒空的容器可能残留有害物。</w:t>
            </w:r>
          </w:p>
          <w:p w14:paraId="70D63F42">
            <w:pPr>
              <w:pStyle w:val="30"/>
              <w:bidi w:val="0"/>
              <w:ind w:firstLine="0" w:firstLineChars="0"/>
              <w:jc w:val="both"/>
              <w:rPr>
                <w:rFonts w:hint="eastAsia"/>
                <w:color w:val="auto"/>
                <w:highlight w:val="none"/>
              </w:rPr>
            </w:pPr>
            <w:r>
              <w:rPr>
                <w:rFonts w:hint="eastAsia"/>
                <w:color w:val="auto"/>
                <w:highlight w:val="none"/>
              </w:rPr>
              <w:t>储存注意事项：储存于阴凉、通风的库房。远离火种、热源。库内湿度最好不大于85％。包装密封。应与氧化剂、酸类分开存放，切忌混储。不宜久存，以免变质。配备相应品种和数量的消防器材。储区应备有合适的材料收容泄漏物。</w:t>
            </w:r>
          </w:p>
        </w:tc>
      </w:tr>
      <w:tr w14:paraId="3112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0C9A2A53">
            <w:pPr>
              <w:pStyle w:val="30"/>
              <w:bidi w:val="0"/>
              <w:jc w:val="center"/>
              <w:rPr>
                <w:rFonts w:hint="eastAsia"/>
                <w:color w:val="auto"/>
                <w:highlight w:val="none"/>
              </w:rPr>
            </w:pPr>
            <w:r>
              <w:rPr>
                <w:rFonts w:hint="eastAsia"/>
                <w:color w:val="auto"/>
                <w:highlight w:val="none"/>
              </w:rPr>
              <w:t>接触控制及个体防护</w:t>
            </w:r>
          </w:p>
        </w:tc>
        <w:tc>
          <w:tcPr>
            <w:tcW w:w="4313" w:type="pct"/>
            <w:gridSpan w:val="2"/>
            <w:noWrap w:val="0"/>
            <w:vAlign w:val="top"/>
          </w:tcPr>
          <w:p w14:paraId="06F85D9E">
            <w:pPr>
              <w:pStyle w:val="30"/>
              <w:bidi w:val="0"/>
              <w:ind w:firstLine="0" w:firstLineChars="0"/>
              <w:jc w:val="both"/>
              <w:rPr>
                <w:rFonts w:hint="eastAsia"/>
                <w:color w:val="auto"/>
                <w:highlight w:val="none"/>
              </w:rPr>
            </w:pPr>
            <w:r>
              <w:rPr>
                <w:rFonts w:hint="eastAsia"/>
                <w:color w:val="auto"/>
                <w:highlight w:val="none"/>
              </w:rPr>
              <w:t>接触限值：中国：未制定标准；前苏联MAC</w:t>
            </w:r>
            <w:r>
              <w:rPr>
                <w:rFonts w:hint="eastAsia"/>
                <w:color w:val="auto"/>
                <w:highlight w:val="none"/>
                <w:lang w:eastAsia="zh-CN"/>
              </w:rPr>
              <w:t>（</w:t>
            </w:r>
            <w:r>
              <w:rPr>
                <w:rFonts w:hint="eastAsia"/>
                <w:color w:val="auto"/>
                <w:highlight w:val="none"/>
              </w:rPr>
              <w:t>mg/m</w:t>
            </w:r>
            <w:r>
              <w:rPr>
                <w:rFonts w:hint="eastAsia"/>
                <w:color w:val="auto"/>
                <w:highlight w:val="none"/>
                <w:vertAlign w:val="superscript"/>
              </w:rPr>
              <w:t>3</w:t>
            </w:r>
            <w:r>
              <w:rPr>
                <w:rFonts w:hint="eastAsia"/>
                <w:color w:val="auto"/>
                <w:highlight w:val="none"/>
                <w:lang w:eastAsia="zh-CN"/>
              </w:rPr>
              <w:t>）</w:t>
            </w:r>
            <w:r>
              <w:rPr>
                <w:rFonts w:hint="eastAsia"/>
                <w:color w:val="auto"/>
                <w:highlight w:val="none"/>
              </w:rPr>
              <w:t>0.2</w:t>
            </w:r>
          </w:p>
          <w:p w14:paraId="11AEECDE">
            <w:pPr>
              <w:pStyle w:val="30"/>
              <w:bidi w:val="0"/>
              <w:ind w:firstLine="0" w:firstLineChars="0"/>
              <w:jc w:val="both"/>
              <w:rPr>
                <w:rFonts w:hint="eastAsia"/>
                <w:color w:val="auto"/>
                <w:highlight w:val="none"/>
              </w:rPr>
            </w:pPr>
            <w:r>
              <w:rPr>
                <w:rFonts w:hint="eastAsia"/>
                <w:color w:val="auto"/>
                <w:highlight w:val="none"/>
              </w:rPr>
              <w:t>工程控制：密闭操作。提供安全淋浴和洗眼设备。</w:t>
            </w:r>
          </w:p>
          <w:p w14:paraId="3822B556">
            <w:pPr>
              <w:pStyle w:val="30"/>
              <w:bidi w:val="0"/>
              <w:ind w:firstLine="0" w:firstLineChars="0"/>
              <w:jc w:val="both"/>
              <w:rPr>
                <w:rFonts w:hint="eastAsia"/>
                <w:color w:val="auto"/>
                <w:highlight w:val="none"/>
              </w:rPr>
            </w:pPr>
            <w:r>
              <w:rPr>
                <w:rFonts w:hint="eastAsia"/>
                <w:color w:val="auto"/>
                <w:highlight w:val="none"/>
              </w:rPr>
              <w:t>呼吸系统防护：可能接触其粉尘时，必须佩戴自吸过滤式防尘口罩。必要时，佩戴空气呼吸器。</w:t>
            </w:r>
          </w:p>
          <w:p w14:paraId="7CF49AB7">
            <w:pPr>
              <w:pStyle w:val="30"/>
              <w:bidi w:val="0"/>
              <w:ind w:firstLine="0" w:firstLineChars="0"/>
              <w:jc w:val="both"/>
              <w:rPr>
                <w:rFonts w:hint="eastAsia"/>
                <w:color w:val="auto"/>
                <w:highlight w:val="none"/>
              </w:rPr>
            </w:pPr>
            <w:r>
              <w:rPr>
                <w:rFonts w:hint="eastAsia"/>
                <w:color w:val="auto"/>
                <w:highlight w:val="none"/>
              </w:rPr>
              <w:t>眼睛防护：戴化学安全防护眼镜。</w:t>
            </w:r>
          </w:p>
          <w:p w14:paraId="4F534069">
            <w:pPr>
              <w:pStyle w:val="30"/>
              <w:bidi w:val="0"/>
              <w:ind w:firstLine="0" w:firstLineChars="0"/>
              <w:jc w:val="both"/>
              <w:rPr>
                <w:rFonts w:hint="eastAsia"/>
                <w:color w:val="auto"/>
                <w:highlight w:val="none"/>
              </w:rPr>
            </w:pPr>
            <w:r>
              <w:rPr>
                <w:rFonts w:hint="eastAsia"/>
                <w:color w:val="auto"/>
                <w:highlight w:val="none"/>
              </w:rPr>
              <w:t>身体防护：穿橡胶耐酸碱服。</w:t>
            </w:r>
          </w:p>
          <w:p w14:paraId="77A1EA8B">
            <w:pPr>
              <w:pStyle w:val="30"/>
              <w:bidi w:val="0"/>
              <w:ind w:firstLine="0" w:firstLineChars="0"/>
              <w:jc w:val="both"/>
              <w:rPr>
                <w:rFonts w:hint="eastAsia"/>
                <w:color w:val="auto"/>
                <w:highlight w:val="none"/>
              </w:rPr>
            </w:pPr>
            <w:r>
              <w:rPr>
                <w:rFonts w:hint="eastAsia"/>
                <w:color w:val="auto"/>
                <w:highlight w:val="none"/>
              </w:rPr>
              <w:t>手防护：戴橡胶耐酸碱手套。</w:t>
            </w:r>
          </w:p>
          <w:p w14:paraId="2C2C4143">
            <w:pPr>
              <w:pStyle w:val="30"/>
              <w:bidi w:val="0"/>
              <w:ind w:firstLine="0" w:firstLineChars="0"/>
              <w:jc w:val="both"/>
              <w:rPr>
                <w:rFonts w:hint="eastAsia"/>
                <w:color w:val="auto"/>
                <w:highlight w:val="none"/>
              </w:rPr>
            </w:pPr>
            <w:r>
              <w:rPr>
                <w:rFonts w:hint="eastAsia"/>
                <w:color w:val="auto"/>
                <w:highlight w:val="none"/>
              </w:rPr>
              <w:t>其他防护：工作场所禁止吸烟、进食和饮水，饭前要洗手。工作完毕，淋浴更衣。注意个人清洁卫生。</w:t>
            </w:r>
          </w:p>
        </w:tc>
      </w:tr>
      <w:tr w14:paraId="566D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7AF65671">
            <w:pPr>
              <w:pStyle w:val="30"/>
              <w:bidi w:val="0"/>
              <w:jc w:val="center"/>
              <w:rPr>
                <w:rFonts w:hint="eastAsia"/>
                <w:color w:val="auto"/>
                <w:highlight w:val="none"/>
              </w:rPr>
            </w:pPr>
            <w:r>
              <w:rPr>
                <w:rFonts w:hint="eastAsia"/>
                <w:color w:val="auto"/>
                <w:highlight w:val="none"/>
              </w:rPr>
              <w:t>理化特性</w:t>
            </w:r>
          </w:p>
        </w:tc>
        <w:tc>
          <w:tcPr>
            <w:tcW w:w="4313" w:type="pct"/>
            <w:gridSpan w:val="2"/>
            <w:noWrap w:val="0"/>
            <w:vAlign w:val="top"/>
          </w:tcPr>
          <w:p w14:paraId="12E6DCFC">
            <w:pPr>
              <w:pStyle w:val="30"/>
              <w:bidi w:val="0"/>
              <w:ind w:firstLine="0" w:firstLineChars="0"/>
              <w:jc w:val="both"/>
              <w:rPr>
                <w:rFonts w:hint="eastAsia"/>
                <w:color w:val="auto"/>
                <w:highlight w:val="none"/>
              </w:rPr>
            </w:pPr>
            <w:r>
              <w:rPr>
                <w:rFonts w:hint="eastAsia"/>
                <w:color w:val="auto"/>
                <w:highlight w:val="none"/>
              </w:rPr>
              <w:t>含量</w:t>
            </w:r>
            <w:r>
              <w:rPr>
                <w:rFonts w:hint="eastAsia"/>
                <w:color w:val="auto"/>
                <w:highlight w:val="none"/>
                <w:lang w:eastAsia="zh-CN"/>
              </w:rPr>
              <w:t>：</w:t>
            </w:r>
            <w:r>
              <w:rPr>
                <w:rFonts w:hint="eastAsia"/>
                <w:color w:val="auto"/>
                <w:highlight w:val="none"/>
              </w:rPr>
              <w:t>工业级 一级≥60.0％。外观与性状：无色或米黄色颗粒结晶，工业品为红褐色或砖红色块状。</w:t>
            </w:r>
          </w:p>
          <w:p w14:paraId="4FA41478">
            <w:pPr>
              <w:pStyle w:val="30"/>
              <w:bidi w:val="0"/>
              <w:ind w:firstLine="0" w:firstLineChars="0"/>
              <w:jc w:val="both"/>
              <w:rPr>
                <w:rFonts w:hint="eastAsia"/>
                <w:color w:val="auto"/>
                <w:highlight w:val="none"/>
              </w:rPr>
            </w:pPr>
            <w:r>
              <w:rPr>
                <w:rFonts w:hint="eastAsia"/>
                <w:color w:val="auto"/>
                <w:highlight w:val="none"/>
              </w:rPr>
              <w:t>溶解性：易溶于水，不溶于乙醚，微溶于乙醇。</w:t>
            </w:r>
          </w:p>
          <w:p w14:paraId="2ED50BB8">
            <w:pPr>
              <w:pStyle w:val="30"/>
              <w:bidi w:val="0"/>
              <w:ind w:firstLine="0" w:firstLineChars="0"/>
              <w:jc w:val="both"/>
              <w:rPr>
                <w:rFonts w:hint="eastAsia"/>
                <w:color w:val="auto"/>
                <w:highlight w:val="none"/>
              </w:rPr>
            </w:pPr>
            <w:r>
              <w:rPr>
                <w:rFonts w:hint="eastAsia"/>
                <w:color w:val="auto"/>
                <w:highlight w:val="none"/>
              </w:rPr>
              <w:t>熔点</w:t>
            </w:r>
            <w:r>
              <w:rPr>
                <w:rFonts w:hint="eastAsia"/>
                <w:color w:val="auto"/>
                <w:highlight w:val="none"/>
                <w:lang w:eastAsia="zh-CN"/>
              </w:rPr>
              <w:t>（</w:t>
            </w:r>
            <w:r>
              <w:rPr>
                <w:rFonts w:hint="eastAsia"/>
                <w:color w:val="auto"/>
                <w:highlight w:val="none"/>
              </w:rPr>
              <w:t>℃</w:t>
            </w:r>
            <w:r>
              <w:rPr>
                <w:rFonts w:hint="eastAsia"/>
                <w:color w:val="auto"/>
                <w:highlight w:val="none"/>
                <w:lang w:eastAsia="zh-CN"/>
              </w:rPr>
              <w:t>）</w:t>
            </w:r>
            <w:r>
              <w:rPr>
                <w:rFonts w:hint="eastAsia"/>
                <w:color w:val="auto"/>
                <w:highlight w:val="none"/>
              </w:rPr>
              <w:t>：1180　　　沸点</w:t>
            </w:r>
            <w:r>
              <w:rPr>
                <w:rFonts w:hint="eastAsia"/>
                <w:color w:val="auto"/>
                <w:highlight w:val="none"/>
                <w:lang w:eastAsia="zh-CN"/>
              </w:rPr>
              <w:t>（</w:t>
            </w:r>
            <w:r>
              <w:rPr>
                <w:rFonts w:hint="eastAsia"/>
                <w:color w:val="auto"/>
                <w:highlight w:val="none"/>
              </w:rPr>
              <w:t>℃</w:t>
            </w:r>
            <w:r>
              <w:rPr>
                <w:rFonts w:hint="eastAsia"/>
                <w:color w:val="auto"/>
                <w:highlight w:val="none"/>
                <w:lang w:eastAsia="zh-CN"/>
              </w:rPr>
              <w:t>）</w:t>
            </w:r>
            <w:r>
              <w:rPr>
                <w:rFonts w:hint="eastAsia"/>
                <w:color w:val="auto"/>
                <w:highlight w:val="none"/>
              </w:rPr>
              <w:t>：无资料　　　闪点</w:t>
            </w:r>
            <w:r>
              <w:rPr>
                <w:rFonts w:hint="eastAsia"/>
                <w:color w:val="auto"/>
                <w:highlight w:val="none"/>
                <w:lang w:eastAsia="zh-CN"/>
              </w:rPr>
              <w:t>（</w:t>
            </w:r>
            <w:r>
              <w:rPr>
                <w:rFonts w:hint="eastAsia"/>
                <w:color w:val="auto"/>
                <w:highlight w:val="none"/>
              </w:rPr>
              <w:t>℃</w:t>
            </w:r>
            <w:r>
              <w:rPr>
                <w:rFonts w:hint="eastAsia"/>
                <w:color w:val="auto"/>
                <w:highlight w:val="none"/>
                <w:lang w:eastAsia="zh-CN"/>
              </w:rPr>
              <w:t>）</w:t>
            </w:r>
            <w:r>
              <w:rPr>
                <w:rFonts w:hint="eastAsia"/>
                <w:color w:val="auto"/>
                <w:highlight w:val="none"/>
              </w:rPr>
              <w:t>：无意义　　　饱和蒸气压</w:t>
            </w:r>
            <w:r>
              <w:rPr>
                <w:rFonts w:hint="eastAsia"/>
                <w:color w:val="auto"/>
                <w:highlight w:val="none"/>
                <w:lang w:eastAsia="zh-CN"/>
              </w:rPr>
              <w:t>（</w:t>
            </w:r>
            <w:r>
              <w:rPr>
                <w:rFonts w:hint="eastAsia"/>
                <w:color w:val="auto"/>
                <w:highlight w:val="none"/>
              </w:rPr>
              <w:t>kPa</w:t>
            </w:r>
            <w:r>
              <w:rPr>
                <w:rFonts w:hint="eastAsia"/>
                <w:color w:val="auto"/>
                <w:highlight w:val="none"/>
                <w:lang w:eastAsia="zh-CN"/>
              </w:rPr>
              <w:t>）</w:t>
            </w:r>
            <w:r>
              <w:rPr>
                <w:rFonts w:hint="eastAsia"/>
                <w:color w:val="auto"/>
                <w:highlight w:val="none"/>
              </w:rPr>
              <w:t>：无资料</w:t>
            </w:r>
          </w:p>
          <w:p w14:paraId="0DE08532">
            <w:pPr>
              <w:pStyle w:val="30"/>
              <w:bidi w:val="0"/>
              <w:ind w:firstLine="0" w:firstLineChars="0"/>
              <w:jc w:val="both"/>
              <w:rPr>
                <w:rFonts w:hint="eastAsia"/>
                <w:color w:val="auto"/>
                <w:highlight w:val="none"/>
              </w:rPr>
            </w:pPr>
            <w:r>
              <w:rPr>
                <w:rFonts w:hint="eastAsia"/>
                <w:color w:val="auto"/>
                <w:highlight w:val="none"/>
              </w:rPr>
              <w:t>相对密度</w:t>
            </w:r>
            <w:r>
              <w:rPr>
                <w:rFonts w:hint="eastAsia"/>
                <w:color w:val="auto"/>
                <w:highlight w:val="none"/>
                <w:lang w:eastAsia="zh-CN"/>
              </w:rPr>
              <w:t>（</w:t>
            </w:r>
            <w:r>
              <w:rPr>
                <w:rFonts w:hint="eastAsia"/>
                <w:color w:val="auto"/>
                <w:highlight w:val="none"/>
              </w:rPr>
              <w:t>水=1</w:t>
            </w:r>
            <w:r>
              <w:rPr>
                <w:rFonts w:hint="eastAsia"/>
                <w:color w:val="auto"/>
                <w:highlight w:val="none"/>
                <w:lang w:eastAsia="zh-CN"/>
              </w:rPr>
              <w:t>）</w:t>
            </w:r>
            <w:r>
              <w:rPr>
                <w:rFonts w:hint="eastAsia"/>
                <w:color w:val="auto"/>
                <w:highlight w:val="none"/>
              </w:rPr>
              <w:t>：1.86　　　相对蒸气密度</w:t>
            </w:r>
            <w:r>
              <w:rPr>
                <w:rFonts w:hint="eastAsia"/>
                <w:color w:val="auto"/>
                <w:highlight w:val="none"/>
                <w:lang w:eastAsia="zh-CN"/>
              </w:rPr>
              <w:t>（</w:t>
            </w:r>
            <w:r>
              <w:rPr>
                <w:rFonts w:hint="eastAsia"/>
                <w:color w:val="auto"/>
                <w:highlight w:val="none"/>
              </w:rPr>
              <w:t>空气=1</w:t>
            </w:r>
            <w:r>
              <w:rPr>
                <w:rFonts w:hint="eastAsia"/>
                <w:color w:val="auto"/>
                <w:highlight w:val="none"/>
                <w:lang w:eastAsia="zh-CN"/>
              </w:rPr>
              <w:t>）</w:t>
            </w:r>
            <w:r>
              <w:rPr>
                <w:rFonts w:hint="eastAsia"/>
                <w:color w:val="auto"/>
                <w:highlight w:val="none"/>
              </w:rPr>
              <w:t>：无资料　　　爆炸极限%</w:t>
            </w:r>
            <w:r>
              <w:rPr>
                <w:rFonts w:hint="eastAsia"/>
                <w:color w:val="auto"/>
                <w:highlight w:val="none"/>
                <w:lang w:eastAsia="zh-CN"/>
              </w:rPr>
              <w:t>（</w:t>
            </w:r>
            <w:r>
              <w:rPr>
                <w:rFonts w:hint="eastAsia"/>
                <w:color w:val="auto"/>
                <w:highlight w:val="none"/>
              </w:rPr>
              <w:t>V/V</w:t>
            </w:r>
            <w:r>
              <w:rPr>
                <w:rFonts w:hint="eastAsia"/>
                <w:color w:val="auto"/>
                <w:highlight w:val="none"/>
                <w:lang w:eastAsia="zh-CN"/>
              </w:rPr>
              <w:t>）</w:t>
            </w:r>
            <w:r>
              <w:rPr>
                <w:rFonts w:hint="eastAsia"/>
                <w:color w:val="auto"/>
                <w:highlight w:val="none"/>
              </w:rPr>
              <w:t>：无资料</w:t>
            </w:r>
          </w:p>
          <w:p w14:paraId="75550726">
            <w:pPr>
              <w:pStyle w:val="30"/>
              <w:bidi w:val="0"/>
              <w:ind w:firstLine="0" w:firstLineChars="0"/>
              <w:jc w:val="both"/>
              <w:rPr>
                <w:rFonts w:hint="eastAsia"/>
                <w:color w:val="auto"/>
                <w:highlight w:val="none"/>
              </w:rPr>
            </w:pPr>
            <w:r>
              <w:rPr>
                <w:rFonts w:hint="eastAsia"/>
                <w:color w:val="auto"/>
                <w:highlight w:val="none"/>
              </w:rPr>
              <w:t>临界温度</w:t>
            </w:r>
            <w:r>
              <w:rPr>
                <w:rFonts w:hint="eastAsia"/>
                <w:color w:val="auto"/>
                <w:highlight w:val="none"/>
                <w:lang w:eastAsia="zh-CN"/>
              </w:rPr>
              <w:t>（</w:t>
            </w:r>
            <w:r>
              <w:rPr>
                <w:rFonts w:hint="eastAsia"/>
                <w:color w:val="auto"/>
                <w:highlight w:val="none"/>
              </w:rPr>
              <w:t>℃</w:t>
            </w:r>
            <w:r>
              <w:rPr>
                <w:rFonts w:hint="eastAsia"/>
                <w:color w:val="auto"/>
                <w:highlight w:val="none"/>
                <w:lang w:eastAsia="zh-CN"/>
              </w:rPr>
              <w:t>）</w:t>
            </w:r>
            <w:r>
              <w:rPr>
                <w:rFonts w:hint="eastAsia"/>
                <w:color w:val="auto"/>
                <w:highlight w:val="none"/>
              </w:rPr>
              <w:t>：无意义　　　临界压力</w:t>
            </w:r>
            <w:r>
              <w:rPr>
                <w:rFonts w:hint="eastAsia"/>
                <w:color w:val="auto"/>
                <w:highlight w:val="none"/>
                <w:lang w:eastAsia="zh-CN"/>
              </w:rPr>
              <w:t>（</w:t>
            </w:r>
            <w:r>
              <w:rPr>
                <w:rFonts w:hint="eastAsia"/>
                <w:color w:val="auto"/>
                <w:highlight w:val="none"/>
              </w:rPr>
              <w:t>MPa</w:t>
            </w:r>
            <w:r>
              <w:rPr>
                <w:rFonts w:hint="eastAsia"/>
                <w:color w:val="auto"/>
                <w:highlight w:val="none"/>
                <w:lang w:eastAsia="zh-CN"/>
              </w:rPr>
              <w:t>）</w:t>
            </w:r>
            <w:r>
              <w:rPr>
                <w:rFonts w:hint="eastAsia"/>
                <w:color w:val="auto"/>
                <w:highlight w:val="none"/>
              </w:rPr>
              <w:t>：无意义　　　引燃温度</w:t>
            </w:r>
            <w:r>
              <w:rPr>
                <w:rFonts w:hint="eastAsia"/>
                <w:color w:val="auto"/>
                <w:highlight w:val="none"/>
                <w:lang w:eastAsia="zh-CN"/>
              </w:rPr>
              <w:t>（</w:t>
            </w:r>
            <w:r>
              <w:rPr>
                <w:rFonts w:hint="eastAsia"/>
                <w:color w:val="auto"/>
                <w:highlight w:val="none"/>
              </w:rPr>
              <w:t>℃</w:t>
            </w:r>
            <w:r>
              <w:rPr>
                <w:rFonts w:hint="eastAsia"/>
                <w:color w:val="auto"/>
                <w:highlight w:val="none"/>
                <w:lang w:eastAsia="zh-CN"/>
              </w:rPr>
              <w:t>）</w:t>
            </w:r>
            <w:r>
              <w:rPr>
                <w:rFonts w:hint="eastAsia"/>
                <w:color w:val="auto"/>
                <w:highlight w:val="none"/>
              </w:rPr>
              <w:t>：无资料</w:t>
            </w:r>
          </w:p>
          <w:p w14:paraId="767AA06E">
            <w:pPr>
              <w:pStyle w:val="30"/>
              <w:bidi w:val="0"/>
              <w:ind w:firstLine="0" w:firstLineChars="0"/>
              <w:jc w:val="both"/>
              <w:rPr>
                <w:rFonts w:hint="eastAsia"/>
                <w:color w:val="auto"/>
                <w:highlight w:val="none"/>
              </w:rPr>
            </w:pPr>
            <w:r>
              <w:rPr>
                <w:rFonts w:hint="eastAsia"/>
                <w:color w:val="auto"/>
                <w:highlight w:val="none"/>
              </w:rPr>
              <w:t>主要用途：用于制造硫化染料，皮革脱毛剂，金属冶炼，照相，人造丝脱硝等。</w:t>
            </w:r>
          </w:p>
          <w:p w14:paraId="2646A434">
            <w:pPr>
              <w:pStyle w:val="30"/>
              <w:bidi w:val="0"/>
              <w:ind w:firstLine="0" w:firstLineChars="0"/>
              <w:jc w:val="both"/>
              <w:rPr>
                <w:rFonts w:hint="eastAsia"/>
                <w:color w:val="auto"/>
                <w:highlight w:val="none"/>
              </w:rPr>
            </w:pPr>
            <w:r>
              <w:rPr>
                <w:rFonts w:hint="eastAsia"/>
                <w:color w:val="auto"/>
                <w:highlight w:val="none"/>
              </w:rPr>
              <w:t>禁配物：酸类、强氧化剂。</w:t>
            </w:r>
          </w:p>
        </w:tc>
      </w:tr>
      <w:tr w14:paraId="085E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pct"/>
            <w:noWrap w:val="0"/>
            <w:vAlign w:val="center"/>
          </w:tcPr>
          <w:p w14:paraId="41E36A4E">
            <w:pPr>
              <w:pStyle w:val="30"/>
              <w:bidi w:val="0"/>
              <w:jc w:val="center"/>
              <w:rPr>
                <w:rFonts w:hint="eastAsia"/>
                <w:color w:val="auto"/>
                <w:highlight w:val="none"/>
              </w:rPr>
            </w:pPr>
            <w:r>
              <w:rPr>
                <w:rFonts w:hint="eastAsia"/>
                <w:color w:val="auto"/>
                <w:highlight w:val="none"/>
              </w:rPr>
              <w:t>运输信息</w:t>
            </w:r>
          </w:p>
        </w:tc>
        <w:tc>
          <w:tcPr>
            <w:tcW w:w="4313" w:type="pct"/>
            <w:gridSpan w:val="2"/>
            <w:noWrap w:val="0"/>
            <w:vAlign w:val="top"/>
          </w:tcPr>
          <w:p w14:paraId="492C0B10">
            <w:pPr>
              <w:pStyle w:val="30"/>
              <w:bidi w:val="0"/>
              <w:ind w:firstLine="0" w:firstLineChars="0"/>
              <w:jc w:val="both"/>
              <w:rPr>
                <w:rFonts w:hint="eastAsia"/>
                <w:color w:val="auto"/>
                <w:highlight w:val="none"/>
              </w:rPr>
            </w:pPr>
            <w:r>
              <w:rPr>
                <w:rFonts w:hint="eastAsia"/>
                <w:color w:val="auto"/>
                <w:highlight w:val="none"/>
              </w:rPr>
              <w:t>包装方法：装入0.5</w:t>
            </w:r>
            <w:r>
              <w:rPr>
                <w:rFonts w:hint="eastAsia"/>
                <w:color w:val="auto"/>
                <w:highlight w:val="none"/>
                <w:lang w:val="en-US" w:eastAsia="zh-CN"/>
              </w:rPr>
              <w:t>mm</w:t>
            </w:r>
            <w:r>
              <w:rPr>
                <w:rFonts w:hint="eastAsia"/>
                <w:color w:val="auto"/>
                <w:highlight w:val="none"/>
              </w:rPr>
              <w:t>厚的钢桶中严封，每桶净重不超过100公斤；螺纹口玻璃瓶、铁盖压口玻璃瓶、塑料瓶或金属桶（罐）外普通木箱；螺纹口玻璃瓶、塑料瓶或镀锡薄钢板桶（罐）外满底板花格箱、纤维板箱或胶合板箱；镀锡薄钢板桶（罐）、金属桶（罐）、塑料瓶或金属软管外瓦楞纸箱。</w:t>
            </w:r>
          </w:p>
          <w:p w14:paraId="655C3DD7">
            <w:pPr>
              <w:pStyle w:val="30"/>
              <w:bidi w:val="0"/>
              <w:ind w:firstLine="0" w:firstLineChars="0"/>
              <w:jc w:val="both"/>
              <w:rPr>
                <w:rFonts w:hint="eastAsia"/>
                <w:color w:val="auto"/>
                <w:highlight w:val="none"/>
              </w:rPr>
            </w:pPr>
            <w:r>
              <w:rPr>
                <w:rFonts w:hint="eastAsia"/>
                <w:color w:val="auto"/>
                <w:highlight w:val="none"/>
              </w:rPr>
              <w:t>运输注意事项：铁路运输时，钢桶包装的可用敞车运输。铁路运输时应严格按照铁道部《危险货物运输规则》中的危险货物配装表进行配装。起运时包装要完整，装载应稳妥。运输过程中要确保容器不泄漏、不倒塌、不坠落、不损坏。严禁与氧化剂、酸类、食用化学品等混装混运。运输时运输车辆应配备相应品种和数量的消防器材及泄漏应急处理设备。</w:t>
            </w:r>
          </w:p>
        </w:tc>
      </w:tr>
    </w:tbl>
    <w:p w14:paraId="7A88A3D7">
      <w:pPr>
        <w:bidi w:val="0"/>
        <w:rPr>
          <w:rFonts w:hint="eastAsia" w:eastAsia="宋体"/>
          <w:color w:val="auto"/>
          <w:lang w:val="en-US" w:eastAsia="zh-CN"/>
        </w:rPr>
      </w:pPr>
      <w:r>
        <w:rPr>
          <w:rFonts w:hint="eastAsia"/>
          <w:color w:val="auto"/>
          <w:lang w:val="en-US" w:eastAsia="zh-CN"/>
        </w:rPr>
        <w:t>7、</w:t>
      </w:r>
      <w:r>
        <w:rPr>
          <w:rFonts w:hint="eastAsia"/>
          <w:color w:val="auto"/>
        </w:rPr>
        <w:t>丁基黄药</w:t>
      </w:r>
    </w:p>
    <w:p w14:paraId="6C0F74B2">
      <w:pPr>
        <w:pStyle w:val="29"/>
        <w:bidi w:val="0"/>
        <w:rPr>
          <w:color w:val="auto"/>
        </w:rPr>
      </w:pPr>
      <w:r>
        <w:rPr>
          <w:rFonts w:hint="eastAsia"/>
          <w:color w:val="auto"/>
        </w:rPr>
        <w:t>表3.1-</w:t>
      </w:r>
      <w:r>
        <w:rPr>
          <w:rFonts w:hint="eastAsia"/>
          <w:color w:val="auto"/>
          <w:lang w:val="en-US" w:eastAsia="zh-CN"/>
        </w:rPr>
        <w:t>7</w:t>
      </w:r>
      <w:r>
        <w:rPr>
          <w:rFonts w:hint="eastAsia"/>
          <w:color w:val="auto"/>
        </w:rPr>
        <w:t xml:space="preserve">  丁基黄药理化特性表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4"/>
        <w:gridCol w:w="7236"/>
      </w:tblGrid>
      <w:tr w14:paraId="3A25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7F5E58B5">
            <w:pPr>
              <w:pStyle w:val="30"/>
              <w:bidi w:val="0"/>
              <w:rPr>
                <w:color w:val="auto"/>
              </w:rPr>
            </w:pPr>
            <w:r>
              <w:rPr>
                <w:color w:val="auto"/>
              </w:rPr>
              <w:t>中文名称：</w:t>
            </w:r>
          </w:p>
        </w:tc>
        <w:tc>
          <w:tcPr>
            <w:tcW w:w="3849" w:type="pct"/>
            <w:vAlign w:val="center"/>
          </w:tcPr>
          <w:p w14:paraId="617E0226">
            <w:pPr>
              <w:pStyle w:val="30"/>
              <w:bidi w:val="0"/>
              <w:rPr>
                <w:color w:val="auto"/>
              </w:rPr>
            </w:pPr>
            <w:r>
              <w:rPr>
                <w:color w:val="auto"/>
              </w:rPr>
              <w:t>丁基黄药</w:t>
            </w:r>
          </w:p>
        </w:tc>
      </w:tr>
      <w:tr w14:paraId="5C34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4845DF0E">
            <w:pPr>
              <w:pStyle w:val="30"/>
              <w:bidi w:val="0"/>
              <w:rPr>
                <w:color w:val="auto"/>
              </w:rPr>
            </w:pPr>
            <w:r>
              <w:rPr>
                <w:color w:val="auto"/>
              </w:rPr>
              <w:t>英文名称：</w:t>
            </w:r>
          </w:p>
        </w:tc>
        <w:tc>
          <w:tcPr>
            <w:tcW w:w="3849" w:type="pct"/>
            <w:vAlign w:val="center"/>
          </w:tcPr>
          <w:p w14:paraId="3B8AF062">
            <w:pPr>
              <w:pStyle w:val="30"/>
              <w:bidi w:val="0"/>
              <w:rPr>
                <w:color w:val="auto"/>
              </w:rPr>
            </w:pPr>
            <w:r>
              <w:rPr>
                <w:color w:val="auto"/>
              </w:rPr>
              <w:t xml:space="preserve">Sodium n-butylxanthate </w:t>
            </w:r>
          </w:p>
        </w:tc>
      </w:tr>
      <w:tr w14:paraId="275B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69F8010B">
            <w:pPr>
              <w:pStyle w:val="30"/>
              <w:bidi w:val="0"/>
              <w:rPr>
                <w:color w:val="auto"/>
              </w:rPr>
            </w:pPr>
            <w:r>
              <w:rPr>
                <w:color w:val="auto"/>
              </w:rPr>
              <w:t>分子式：</w:t>
            </w:r>
          </w:p>
        </w:tc>
        <w:tc>
          <w:tcPr>
            <w:tcW w:w="3849" w:type="pct"/>
            <w:vAlign w:val="center"/>
          </w:tcPr>
          <w:p w14:paraId="6A4D0239">
            <w:pPr>
              <w:pStyle w:val="30"/>
              <w:bidi w:val="0"/>
              <w:rPr>
                <w:color w:val="auto"/>
              </w:rPr>
            </w:pPr>
            <w:r>
              <w:rPr>
                <w:color w:val="auto"/>
              </w:rPr>
              <w:t>C</w:t>
            </w:r>
            <w:r>
              <w:rPr>
                <w:color w:val="auto"/>
                <w:vertAlign w:val="subscript"/>
              </w:rPr>
              <w:t>5</w:t>
            </w:r>
            <w:r>
              <w:rPr>
                <w:color w:val="auto"/>
              </w:rPr>
              <w:t>H</w:t>
            </w:r>
            <w:r>
              <w:rPr>
                <w:color w:val="auto"/>
                <w:vertAlign w:val="subscript"/>
              </w:rPr>
              <w:t>10</w:t>
            </w:r>
            <w:r>
              <w:rPr>
                <w:color w:val="auto"/>
              </w:rPr>
              <w:t>OS</w:t>
            </w:r>
            <w:r>
              <w:rPr>
                <w:color w:val="auto"/>
                <w:vertAlign w:val="subscript"/>
              </w:rPr>
              <w:t>2</w:t>
            </w:r>
          </w:p>
        </w:tc>
      </w:tr>
      <w:tr w14:paraId="5732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70225656">
            <w:pPr>
              <w:pStyle w:val="30"/>
              <w:bidi w:val="0"/>
              <w:rPr>
                <w:color w:val="auto"/>
              </w:rPr>
            </w:pPr>
            <w:r>
              <w:rPr>
                <w:color w:val="auto"/>
              </w:rPr>
              <w:t>相对分子质量：</w:t>
            </w:r>
          </w:p>
        </w:tc>
        <w:tc>
          <w:tcPr>
            <w:tcW w:w="3849" w:type="pct"/>
            <w:vAlign w:val="center"/>
          </w:tcPr>
          <w:p w14:paraId="705710F5">
            <w:pPr>
              <w:pStyle w:val="30"/>
              <w:bidi w:val="0"/>
              <w:rPr>
                <w:color w:val="auto"/>
              </w:rPr>
            </w:pPr>
            <w:r>
              <w:rPr>
                <w:color w:val="auto"/>
              </w:rPr>
              <w:t>150.26</w:t>
            </w:r>
          </w:p>
        </w:tc>
      </w:tr>
      <w:tr w14:paraId="3C85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477CD962">
            <w:pPr>
              <w:pStyle w:val="30"/>
              <w:bidi w:val="0"/>
              <w:rPr>
                <w:color w:val="auto"/>
              </w:rPr>
            </w:pPr>
            <w:r>
              <w:rPr>
                <w:color w:val="auto"/>
              </w:rPr>
              <w:t>CAS号：</w:t>
            </w:r>
          </w:p>
        </w:tc>
        <w:tc>
          <w:tcPr>
            <w:tcW w:w="3849" w:type="pct"/>
            <w:vAlign w:val="center"/>
          </w:tcPr>
          <w:p w14:paraId="1BAC4FFB">
            <w:pPr>
              <w:pStyle w:val="30"/>
              <w:bidi w:val="0"/>
              <w:rPr>
                <w:color w:val="auto"/>
              </w:rPr>
            </w:pPr>
            <w:r>
              <w:rPr>
                <w:color w:val="auto"/>
              </w:rPr>
              <w:t>110-50-9</w:t>
            </w:r>
          </w:p>
        </w:tc>
      </w:tr>
      <w:tr w14:paraId="316A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5A1D4BB2">
            <w:pPr>
              <w:pStyle w:val="30"/>
              <w:bidi w:val="0"/>
              <w:rPr>
                <w:color w:val="auto"/>
              </w:rPr>
            </w:pPr>
            <w:r>
              <w:rPr>
                <w:color w:val="auto"/>
              </w:rPr>
              <w:t>主要用途：</w:t>
            </w:r>
          </w:p>
        </w:tc>
        <w:tc>
          <w:tcPr>
            <w:tcW w:w="3849" w:type="pct"/>
            <w:vAlign w:val="center"/>
          </w:tcPr>
          <w:p w14:paraId="30EDE4AD">
            <w:pPr>
              <w:pStyle w:val="30"/>
              <w:bidi w:val="0"/>
              <w:rPr>
                <w:color w:val="auto"/>
              </w:rPr>
            </w:pPr>
            <w:r>
              <w:rPr>
                <w:color w:val="auto"/>
              </w:rPr>
              <w:t>硫化矿的优良捕收剂，选择性好，捕收能力适中，特别适用于黄铜矿、闪锌矿、黄铁矿等的浮选。还可用于湿法冶金沉淀剂及橡胶硫化促进剂。</w:t>
            </w:r>
          </w:p>
        </w:tc>
      </w:tr>
      <w:tr w14:paraId="3E74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5DFFEEAC">
            <w:pPr>
              <w:pStyle w:val="30"/>
              <w:bidi w:val="0"/>
              <w:rPr>
                <w:color w:val="auto"/>
              </w:rPr>
            </w:pPr>
            <w:r>
              <w:rPr>
                <w:color w:val="auto"/>
              </w:rPr>
              <w:t>危险性概述</w:t>
            </w:r>
          </w:p>
        </w:tc>
      </w:tr>
      <w:tr w14:paraId="0D41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0AE76D85">
            <w:pPr>
              <w:pStyle w:val="30"/>
              <w:bidi w:val="0"/>
              <w:rPr>
                <w:color w:val="auto"/>
              </w:rPr>
            </w:pPr>
            <w:r>
              <w:rPr>
                <w:color w:val="auto"/>
              </w:rPr>
              <w:t>危险性类别：</w:t>
            </w:r>
          </w:p>
        </w:tc>
        <w:tc>
          <w:tcPr>
            <w:tcW w:w="3849" w:type="pct"/>
            <w:vAlign w:val="center"/>
          </w:tcPr>
          <w:p w14:paraId="6B614282">
            <w:pPr>
              <w:pStyle w:val="30"/>
              <w:bidi w:val="0"/>
              <w:rPr>
                <w:color w:val="auto"/>
              </w:rPr>
            </w:pPr>
            <w:r>
              <w:rPr>
                <w:color w:val="auto"/>
              </w:rPr>
              <w:t>刺激、腐蚀、中等毒性。</w:t>
            </w:r>
          </w:p>
        </w:tc>
      </w:tr>
      <w:tr w14:paraId="493A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205D3013">
            <w:pPr>
              <w:pStyle w:val="30"/>
              <w:bidi w:val="0"/>
              <w:rPr>
                <w:color w:val="auto"/>
              </w:rPr>
            </w:pPr>
            <w:r>
              <w:rPr>
                <w:color w:val="auto"/>
              </w:rPr>
              <w:t>侵入途径：</w:t>
            </w:r>
          </w:p>
        </w:tc>
        <w:tc>
          <w:tcPr>
            <w:tcW w:w="3849" w:type="pct"/>
            <w:vAlign w:val="center"/>
          </w:tcPr>
          <w:p w14:paraId="320A1E52">
            <w:pPr>
              <w:pStyle w:val="30"/>
              <w:bidi w:val="0"/>
              <w:rPr>
                <w:color w:val="auto"/>
              </w:rPr>
            </w:pPr>
            <w:r>
              <w:rPr>
                <w:color w:val="auto"/>
              </w:rPr>
              <w:t>吸食、经皮、粘膜吸收。</w:t>
            </w:r>
          </w:p>
        </w:tc>
      </w:tr>
      <w:tr w14:paraId="0E43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52F7B281">
            <w:pPr>
              <w:pStyle w:val="30"/>
              <w:bidi w:val="0"/>
              <w:rPr>
                <w:color w:val="auto"/>
              </w:rPr>
            </w:pPr>
            <w:r>
              <w:rPr>
                <w:color w:val="auto"/>
              </w:rPr>
              <w:t>健康危害：</w:t>
            </w:r>
          </w:p>
        </w:tc>
        <w:tc>
          <w:tcPr>
            <w:tcW w:w="3849" w:type="pct"/>
            <w:vAlign w:val="center"/>
          </w:tcPr>
          <w:p w14:paraId="0387DD5A">
            <w:pPr>
              <w:pStyle w:val="30"/>
              <w:bidi w:val="0"/>
              <w:rPr>
                <w:color w:val="auto"/>
              </w:rPr>
            </w:pPr>
            <w:r>
              <w:rPr>
                <w:color w:val="auto"/>
              </w:rPr>
              <w:t>黄药对动物和人的毒害主要表现在对神经系统和肝脏等器官的损害。对肝脏的损害主要是由于黄药与金属离子的反应产物易在肝脏中积累，长期下去会导致肝脏病变；对神经系统的损害主要是由于进入动物或人体内的黄药在微酸性条件下被分解，所得产物之一二硫化碳属疏水亲脂的非极性物质，可通过血脑屏障进入大脑，使神经系统产生病症。</w:t>
            </w:r>
          </w:p>
        </w:tc>
      </w:tr>
      <w:tr w14:paraId="15E0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4DD43B6C">
            <w:pPr>
              <w:pStyle w:val="30"/>
              <w:bidi w:val="0"/>
              <w:rPr>
                <w:color w:val="auto"/>
              </w:rPr>
            </w:pPr>
            <w:r>
              <w:rPr>
                <w:color w:val="auto"/>
              </w:rPr>
              <w:t>环境危害：</w:t>
            </w:r>
          </w:p>
        </w:tc>
        <w:tc>
          <w:tcPr>
            <w:tcW w:w="3849" w:type="pct"/>
            <w:vAlign w:val="center"/>
          </w:tcPr>
          <w:p w14:paraId="61F883AF">
            <w:pPr>
              <w:pStyle w:val="30"/>
              <w:bidi w:val="0"/>
              <w:rPr>
                <w:color w:val="auto"/>
              </w:rPr>
            </w:pPr>
            <w:r>
              <w:rPr>
                <w:color w:val="auto"/>
              </w:rPr>
              <w:t>黄药具有恶臭，可使水质发臭，导致水域中鱼虾减少，鱼体变形，鱼肉有异味且不宜烹调，并严重影响附近水域的生态平衡。会对周边生态环境产生一定的危害。</w:t>
            </w:r>
          </w:p>
        </w:tc>
      </w:tr>
      <w:tr w14:paraId="6BC0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6C5FF7D8">
            <w:pPr>
              <w:pStyle w:val="30"/>
              <w:bidi w:val="0"/>
              <w:rPr>
                <w:color w:val="auto"/>
              </w:rPr>
            </w:pPr>
            <w:r>
              <w:rPr>
                <w:color w:val="auto"/>
              </w:rPr>
              <w:t>燃爆危险：</w:t>
            </w:r>
          </w:p>
        </w:tc>
        <w:tc>
          <w:tcPr>
            <w:tcW w:w="3849" w:type="pct"/>
            <w:vAlign w:val="center"/>
          </w:tcPr>
          <w:p w14:paraId="38B3FB67">
            <w:pPr>
              <w:pStyle w:val="30"/>
              <w:bidi w:val="0"/>
              <w:rPr>
                <w:color w:val="auto"/>
              </w:rPr>
            </w:pPr>
            <w:r>
              <w:rPr>
                <w:color w:val="auto"/>
              </w:rPr>
              <w:t>本品易燃。</w:t>
            </w:r>
          </w:p>
        </w:tc>
      </w:tr>
      <w:tr w14:paraId="1AAF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4E6874F7">
            <w:pPr>
              <w:pStyle w:val="30"/>
              <w:bidi w:val="0"/>
              <w:rPr>
                <w:color w:val="auto"/>
              </w:rPr>
            </w:pPr>
            <w:r>
              <w:rPr>
                <w:color w:val="auto"/>
              </w:rPr>
              <w:t>危险性类别：</w:t>
            </w:r>
          </w:p>
        </w:tc>
        <w:tc>
          <w:tcPr>
            <w:tcW w:w="3849" w:type="pct"/>
            <w:vAlign w:val="center"/>
          </w:tcPr>
          <w:p w14:paraId="185BF416">
            <w:pPr>
              <w:pStyle w:val="30"/>
              <w:bidi w:val="0"/>
              <w:rPr>
                <w:color w:val="auto"/>
              </w:rPr>
            </w:pPr>
            <w:r>
              <w:rPr>
                <w:color w:val="auto"/>
              </w:rPr>
              <w:t>刺激、腐蚀、中等毒性。</w:t>
            </w:r>
          </w:p>
        </w:tc>
      </w:tr>
      <w:tr w14:paraId="02E0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5FA61E30">
            <w:pPr>
              <w:pStyle w:val="30"/>
              <w:bidi w:val="0"/>
              <w:rPr>
                <w:color w:val="auto"/>
              </w:rPr>
            </w:pPr>
            <w:r>
              <w:rPr>
                <w:color w:val="auto"/>
              </w:rPr>
              <w:t>急救措施</w:t>
            </w:r>
          </w:p>
        </w:tc>
      </w:tr>
      <w:tr w14:paraId="6C58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0A3BE67A">
            <w:pPr>
              <w:pStyle w:val="30"/>
              <w:bidi w:val="0"/>
              <w:rPr>
                <w:color w:val="auto"/>
              </w:rPr>
            </w:pPr>
            <w:r>
              <w:rPr>
                <w:color w:val="auto"/>
              </w:rPr>
              <w:t>皮肤接触：</w:t>
            </w:r>
          </w:p>
        </w:tc>
        <w:tc>
          <w:tcPr>
            <w:tcW w:w="3849" w:type="pct"/>
            <w:vAlign w:val="center"/>
          </w:tcPr>
          <w:p w14:paraId="37059603">
            <w:pPr>
              <w:pStyle w:val="30"/>
              <w:bidi w:val="0"/>
              <w:rPr>
                <w:color w:val="auto"/>
              </w:rPr>
            </w:pPr>
            <w:r>
              <w:rPr>
                <w:color w:val="auto"/>
              </w:rPr>
              <w:t>立即脱去污染的衣着，用大量流动清水冲洗至少15分钟。就医。</w:t>
            </w:r>
          </w:p>
        </w:tc>
      </w:tr>
      <w:tr w14:paraId="38F7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2564E283">
            <w:pPr>
              <w:pStyle w:val="30"/>
              <w:bidi w:val="0"/>
              <w:rPr>
                <w:color w:val="auto"/>
              </w:rPr>
            </w:pPr>
            <w:r>
              <w:rPr>
                <w:color w:val="auto"/>
              </w:rPr>
              <w:t>眼睛接触：</w:t>
            </w:r>
          </w:p>
        </w:tc>
        <w:tc>
          <w:tcPr>
            <w:tcW w:w="3849" w:type="pct"/>
            <w:vAlign w:val="center"/>
          </w:tcPr>
          <w:p w14:paraId="2A5278F5">
            <w:pPr>
              <w:pStyle w:val="30"/>
              <w:bidi w:val="0"/>
              <w:rPr>
                <w:color w:val="auto"/>
              </w:rPr>
            </w:pPr>
            <w:r>
              <w:rPr>
                <w:color w:val="auto"/>
              </w:rPr>
              <w:t>立即提起眼睑，用大量流动清水或生理盐水彻底冲洗至少15分钟。就医。</w:t>
            </w:r>
          </w:p>
        </w:tc>
      </w:tr>
      <w:tr w14:paraId="45DF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7B8AE7C9">
            <w:pPr>
              <w:pStyle w:val="30"/>
              <w:bidi w:val="0"/>
              <w:rPr>
                <w:color w:val="auto"/>
              </w:rPr>
            </w:pPr>
            <w:r>
              <w:rPr>
                <w:color w:val="auto"/>
              </w:rPr>
              <w:t>吸入：</w:t>
            </w:r>
          </w:p>
        </w:tc>
        <w:tc>
          <w:tcPr>
            <w:tcW w:w="3849" w:type="pct"/>
            <w:vAlign w:val="center"/>
          </w:tcPr>
          <w:p w14:paraId="1AEB09B3">
            <w:pPr>
              <w:pStyle w:val="30"/>
              <w:bidi w:val="0"/>
              <w:rPr>
                <w:color w:val="auto"/>
              </w:rPr>
            </w:pPr>
            <w:r>
              <w:rPr>
                <w:color w:val="auto"/>
              </w:rPr>
              <w:t>脱离现场至空气新鲜处。救护人员必须佩戴好防毒口罩，如呼吸困难，给输氧。就医。</w:t>
            </w:r>
          </w:p>
        </w:tc>
      </w:tr>
      <w:tr w14:paraId="388E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3885C365">
            <w:pPr>
              <w:pStyle w:val="30"/>
              <w:bidi w:val="0"/>
              <w:rPr>
                <w:color w:val="auto"/>
              </w:rPr>
            </w:pPr>
            <w:r>
              <w:rPr>
                <w:color w:val="auto"/>
              </w:rPr>
              <w:t>食入：</w:t>
            </w:r>
          </w:p>
        </w:tc>
        <w:tc>
          <w:tcPr>
            <w:tcW w:w="3849" w:type="pct"/>
            <w:vAlign w:val="center"/>
          </w:tcPr>
          <w:p w14:paraId="7EA5C54A">
            <w:pPr>
              <w:pStyle w:val="30"/>
              <w:bidi w:val="0"/>
              <w:rPr>
                <w:color w:val="auto"/>
              </w:rPr>
            </w:pPr>
            <w:r>
              <w:rPr>
                <w:color w:val="auto"/>
              </w:rPr>
              <w:t>用水漱口，给饮牛奶或蛋清。就医。</w:t>
            </w:r>
          </w:p>
        </w:tc>
      </w:tr>
      <w:tr w14:paraId="2321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5568736E">
            <w:pPr>
              <w:pStyle w:val="30"/>
              <w:bidi w:val="0"/>
              <w:rPr>
                <w:color w:val="auto"/>
              </w:rPr>
            </w:pPr>
            <w:r>
              <w:rPr>
                <w:color w:val="auto"/>
              </w:rPr>
              <w:t>接触控制/个体防护</w:t>
            </w:r>
          </w:p>
        </w:tc>
      </w:tr>
      <w:tr w14:paraId="3224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4771E09F">
            <w:pPr>
              <w:pStyle w:val="30"/>
              <w:bidi w:val="0"/>
              <w:rPr>
                <w:color w:val="auto"/>
              </w:rPr>
            </w:pPr>
            <w:r>
              <w:rPr>
                <w:color w:val="auto"/>
              </w:rPr>
              <w:t>中国MAC</w:t>
            </w:r>
            <w:r>
              <w:rPr>
                <w:rFonts w:hint="eastAsia"/>
                <w:color w:val="auto"/>
                <w:lang w:eastAsia="zh-CN"/>
              </w:rPr>
              <w:t>（</w:t>
            </w:r>
            <w:r>
              <w:rPr>
                <w:color w:val="auto"/>
              </w:rPr>
              <w:t>mg/m</w:t>
            </w:r>
            <w:r>
              <w:rPr>
                <w:color w:val="auto"/>
                <w:vertAlign w:val="superscript"/>
              </w:rPr>
              <w:t>3</w:t>
            </w:r>
            <w:r>
              <w:rPr>
                <w:rFonts w:hint="eastAsia"/>
                <w:color w:val="auto"/>
                <w:lang w:eastAsia="zh-CN"/>
              </w:rPr>
              <w:t>）</w:t>
            </w:r>
            <w:r>
              <w:rPr>
                <w:color w:val="auto"/>
              </w:rPr>
              <w:t>：</w:t>
            </w:r>
          </w:p>
        </w:tc>
        <w:tc>
          <w:tcPr>
            <w:tcW w:w="3849" w:type="pct"/>
            <w:vAlign w:val="center"/>
          </w:tcPr>
          <w:p w14:paraId="76C301AF">
            <w:pPr>
              <w:pStyle w:val="30"/>
              <w:bidi w:val="0"/>
              <w:rPr>
                <w:color w:val="auto"/>
              </w:rPr>
            </w:pPr>
            <w:r>
              <w:rPr>
                <w:color w:val="auto"/>
              </w:rPr>
              <w:t>未制定标准</w:t>
            </w:r>
          </w:p>
        </w:tc>
      </w:tr>
      <w:tr w14:paraId="50AC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402F283F">
            <w:pPr>
              <w:pStyle w:val="30"/>
              <w:bidi w:val="0"/>
              <w:rPr>
                <w:color w:val="auto"/>
              </w:rPr>
            </w:pPr>
            <w:r>
              <w:rPr>
                <w:color w:val="auto"/>
              </w:rPr>
              <w:t>前苏联MAC</w:t>
            </w:r>
            <w:r>
              <w:rPr>
                <w:rFonts w:hint="eastAsia"/>
                <w:color w:val="auto"/>
                <w:lang w:eastAsia="zh-CN"/>
              </w:rPr>
              <w:t>（</w:t>
            </w:r>
            <w:r>
              <w:rPr>
                <w:color w:val="auto"/>
              </w:rPr>
              <w:t>mg/m</w:t>
            </w:r>
            <w:r>
              <w:rPr>
                <w:color w:val="auto"/>
                <w:vertAlign w:val="superscript"/>
              </w:rPr>
              <w:t>3</w:t>
            </w:r>
            <w:r>
              <w:rPr>
                <w:rFonts w:hint="eastAsia"/>
                <w:color w:val="auto"/>
                <w:lang w:eastAsia="zh-CN"/>
              </w:rPr>
              <w:t>）</w:t>
            </w:r>
            <w:r>
              <w:rPr>
                <w:color w:val="auto"/>
              </w:rPr>
              <w:t>：</w:t>
            </w:r>
          </w:p>
        </w:tc>
        <w:tc>
          <w:tcPr>
            <w:tcW w:w="3849" w:type="pct"/>
            <w:vAlign w:val="center"/>
          </w:tcPr>
          <w:p w14:paraId="6C27DF3D">
            <w:pPr>
              <w:pStyle w:val="30"/>
              <w:bidi w:val="0"/>
              <w:rPr>
                <w:color w:val="auto"/>
              </w:rPr>
            </w:pPr>
            <w:r>
              <w:rPr>
                <w:color w:val="auto"/>
              </w:rPr>
              <w:t>未制定标准</w:t>
            </w:r>
          </w:p>
        </w:tc>
      </w:tr>
      <w:tr w14:paraId="5813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726166BA">
            <w:pPr>
              <w:pStyle w:val="30"/>
              <w:bidi w:val="0"/>
              <w:rPr>
                <w:color w:val="auto"/>
              </w:rPr>
            </w:pPr>
            <w:r>
              <w:rPr>
                <w:color w:val="auto"/>
              </w:rPr>
              <w:t>TLVTN：</w:t>
            </w:r>
          </w:p>
        </w:tc>
        <w:tc>
          <w:tcPr>
            <w:tcW w:w="3849" w:type="pct"/>
            <w:vAlign w:val="center"/>
          </w:tcPr>
          <w:p w14:paraId="1DAEDAF8">
            <w:pPr>
              <w:pStyle w:val="30"/>
              <w:bidi w:val="0"/>
              <w:rPr>
                <w:color w:val="auto"/>
              </w:rPr>
            </w:pPr>
            <w:r>
              <w:rPr>
                <w:color w:val="auto"/>
              </w:rPr>
              <w:t>未制定标准</w:t>
            </w:r>
          </w:p>
        </w:tc>
      </w:tr>
      <w:tr w14:paraId="69DB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6F6898C7">
            <w:pPr>
              <w:pStyle w:val="30"/>
              <w:bidi w:val="0"/>
              <w:rPr>
                <w:color w:val="auto"/>
              </w:rPr>
            </w:pPr>
            <w:r>
              <w:rPr>
                <w:color w:val="auto"/>
              </w:rPr>
              <w:t>TLVWN：</w:t>
            </w:r>
          </w:p>
        </w:tc>
        <w:tc>
          <w:tcPr>
            <w:tcW w:w="3849" w:type="pct"/>
            <w:vAlign w:val="center"/>
          </w:tcPr>
          <w:p w14:paraId="1AB9ED93">
            <w:pPr>
              <w:pStyle w:val="30"/>
              <w:bidi w:val="0"/>
              <w:rPr>
                <w:color w:val="auto"/>
              </w:rPr>
            </w:pPr>
            <w:r>
              <w:rPr>
                <w:color w:val="auto"/>
              </w:rPr>
              <w:t>未制定标准</w:t>
            </w:r>
          </w:p>
        </w:tc>
      </w:tr>
      <w:tr w14:paraId="4897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353EC3AA">
            <w:pPr>
              <w:pStyle w:val="30"/>
              <w:bidi w:val="0"/>
              <w:rPr>
                <w:color w:val="auto"/>
              </w:rPr>
            </w:pPr>
            <w:r>
              <w:rPr>
                <w:color w:val="auto"/>
              </w:rPr>
              <w:t>监测方法：</w:t>
            </w:r>
          </w:p>
        </w:tc>
        <w:tc>
          <w:tcPr>
            <w:tcW w:w="3849" w:type="pct"/>
            <w:vAlign w:val="center"/>
          </w:tcPr>
          <w:p w14:paraId="43E523B4">
            <w:pPr>
              <w:pStyle w:val="30"/>
              <w:bidi w:val="0"/>
              <w:rPr>
                <w:color w:val="auto"/>
              </w:rPr>
            </w:pPr>
            <w:r>
              <w:rPr>
                <w:color w:val="auto"/>
              </w:rPr>
              <w:t>快速检测管理法</w:t>
            </w:r>
          </w:p>
        </w:tc>
      </w:tr>
      <w:tr w14:paraId="5862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790EE60F">
            <w:pPr>
              <w:pStyle w:val="30"/>
              <w:bidi w:val="0"/>
              <w:rPr>
                <w:color w:val="auto"/>
              </w:rPr>
            </w:pPr>
            <w:r>
              <w:rPr>
                <w:color w:val="auto"/>
              </w:rPr>
              <w:t>工程控制：</w:t>
            </w:r>
          </w:p>
        </w:tc>
        <w:tc>
          <w:tcPr>
            <w:tcW w:w="3849" w:type="pct"/>
            <w:vAlign w:val="center"/>
          </w:tcPr>
          <w:p w14:paraId="4B9CC5EF">
            <w:pPr>
              <w:pStyle w:val="30"/>
              <w:bidi w:val="0"/>
              <w:rPr>
                <w:color w:val="auto"/>
              </w:rPr>
            </w:pPr>
            <w:r>
              <w:rPr>
                <w:color w:val="auto"/>
              </w:rPr>
              <w:t>生产过程密闭，加强通风。</w:t>
            </w:r>
          </w:p>
        </w:tc>
      </w:tr>
      <w:tr w14:paraId="77BF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4C0AB542">
            <w:pPr>
              <w:pStyle w:val="30"/>
              <w:bidi w:val="0"/>
              <w:rPr>
                <w:color w:val="auto"/>
              </w:rPr>
            </w:pPr>
            <w:r>
              <w:rPr>
                <w:color w:val="auto"/>
              </w:rPr>
              <w:t>呼吸系统防护：</w:t>
            </w:r>
          </w:p>
        </w:tc>
        <w:tc>
          <w:tcPr>
            <w:tcW w:w="3849" w:type="pct"/>
            <w:vAlign w:val="center"/>
          </w:tcPr>
          <w:p w14:paraId="51D872FA">
            <w:pPr>
              <w:pStyle w:val="30"/>
              <w:bidi w:val="0"/>
              <w:rPr>
                <w:color w:val="auto"/>
              </w:rPr>
            </w:pPr>
            <w:r>
              <w:rPr>
                <w:color w:val="auto"/>
              </w:rPr>
              <w:t>空气中粉尘浓度超标时，必须佩戴自吸过滤式防尘口罩。紧急事态抢救或撤离时，应该佩戴空气呼吸器。</w:t>
            </w:r>
          </w:p>
        </w:tc>
      </w:tr>
      <w:tr w14:paraId="5077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11EA1140">
            <w:pPr>
              <w:pStyle w:val="30"/>
              <w:bidi w:val="0"/>
              <w:rPr>
                <w:color w:val="auto"/>
              </w:rPr>
            </w:pPr>
            <w:r>
              <w:rPr>
                <w:color w:val="auto"/>
              </w:rPr>
              <w:t>眼睛防护：</w:t>
            </w:r>
          </w:p>
        </w:tc>
        <w:tc>
          <w:tcPr>
            <w:tcW w:w="3849" w:type="pct"/>
            <w:vAlign w:val="center"/>
          </w:tcPr>
          <w:p w14:paraId="5BA47DB8">
            <w:pPr>
              <w:pStyle w:val="30"/>
              <w:bidi w:val="0"/>
              <w:rPr>
                <w:color w:val="auto"/>
              </w:rPr>
            </w:pPr>
            <w:r>
              <w:rPr>
                <w:color w:val="auto"/>
              </w:rPr>
              <w:t>戴化学安全防护眼镜。</w:t>
            </w:r>
          </w:p>
        </w:tc>
      </w:tr>
      <w:tr w14:paraId="7449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2221F72B">
            <w:pPr>
              <w:pStyle w:val="30"/>
              <w:bidi w:val="0"/>
              <w:rPr>
                <w:color w:val="auto"/>
              </w:rPr>
            </w:pPr>
            <w:r>
              <w:rPr>
                <w:color w:val="auto"/>
              </w:rPr>
              <w:t>身体防护：</w:t>
            </w:r>
          </w:p>
        </w:tc>
        <w:tc>
          <w:tcPr>
            <w:tcW w:w="3849" w:type="pct"/>
            <w:vAlign w:val="center"/>
          </w:tcPr>
          <w:p w14:paraId="0C13F275">
            <w:pPr>
              <w:pStyle w:val="30"/>
              <w:bidi w:val="0"/>
              <w:rPr>
                <w:color w:val="auto"/>
              </w:rPr>
            </w:pPr>
            <w:r>
              <w:rPr>
                <w:color w:val="auto"/>
              </w:rPr>
              <w:t>穿防毒物渗透工作服。</w:t>
            </w:r>
          </w:p>
        </w:tc>
      </w:tr>
      <w:tr w14:paraId="3B4C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36EC4CB7">
            <w:pPr>
              <w:pStyle w:val="30"/>
              <w:bidi w:val="0"/>
              <w:rPr>
                <w:color w:val="auto"/>
              </w:rPr>
            </w:pPr>
            <w:r>
              <w:rPr>
                <w:color w:val="auto"/>
              </w:rPr>
              <w:t>手防护：</w:t>
            </w:r>
          </w:p>
        </w:tc>
        <w:tc>
          <w:tcPr>
            <w:tcW w:w="3849" w:type="pct"/>
            <w:vAlign w:val="center"/>
          </w:tcPr>
          <w:p w14:paraId="2247E5EB">
            <w:pPr>
              <w:pStyle w:val="30"/>
              <w:bidi w:val="0"/>
              <w:rPr>
                <w:color w:val="auto"/>
              </w:rPr>
            </w:pPr>
            <w:r>
              <w:rPr>
                <w:color w:val="auto"/>
              </w:rPr>
              <w:t>戴橡胶手套。</w:t>
            </w:r>
          </w:p>
        </w:tc>
      </w:tr>
      <w:tr w14:paraId="6A7B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74BDA401">
            <w:pPr>
              <w:pStyle w:val="30"/>
              <w:bidi w:val="0"/>
              <w:rPr>
                <w:color w:val="auto"/>
              </w:rPr>
            </w:pPr>
            <w:r>
              <w:rPr>
                <w:color w:val="auto"/>
              </w:rPr>
              <w:t>其他防护：</w:t>
            </w:r>
          </w:p>
        </w:tc>
        <w:tc>
          <w:tcPr>
            <w:tcW w:w="3849" w:type="pct"/>
            <w:vAlign w:val="center"/>
          </w:tcPr>
          <w:p w14:paraId="2A49C0F0">
            <w:pPr>
              <w:pStyle w:val="30"/>
              <w:bidi w:val="0"/>
              <w:rPr>
                <w:color w:val="auto"/>
              </w:rPr>
            </w:pPr>
            <w:r>
              <w:rPr>
                <w:color w:val="auto"/>
              </w:rPr>
              <w:t>及时换洗工作服。保持良好的卫生习惯。 </w:t>
            </w:r>
          </w:p>
        </w:tc>
      </w:tr>
      <w:tr w14:paraId="6D38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1D053E6E">
            <w:pPr>
              <w:pStyle w:val="30"/>
              <w:bidi w:val="0"/>
              <w:rPr>
                <w:color w:val="auto"/>
              </w:rPr>
            </w:pPr>
            <w:r>
              <w:rPr>
                <w:color w:val="auto"/>
              </w:rPr>
              <w:t>操作处置与储存</w:t>
            </w:r>
          </w:p>
        </w:tc>
      </w:tr>
      <w:tr w14:paraId="0BD4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369D7871">
            <w:pPr>
              <w:pStyle w:val="30"/>
              <w:bidi w:val="0"/>
              <w:rPr>
                <w:color w:val="auto"/>
              </w:rPr>
            </w:pPr>
            <w:r>
              <w:rPr>
                <w:color w:val="auto"/>
              </w:rPr>
              <w:t>操作注意事项：</w:t>
            </w:r>
          </w:p>
        </w:tc>
        <w:tc>
          <w:tcPr>
            <w:tcW w:w="3849" w:type="pct"/>
            <w:vAlign w:val="center"/>
          </w:tcPr>
          <w:p w14:paraId="5222604A">
            <w:pPr>
              <w:pStyle w:val="30"/>
              <w:bidi w:val="0"/>
              <w:rPr>
                <w:color w:val="auto"/>
              </w:rPr>
            </w:pPr>
            <w:r>
              <w:rPr>
                <w:color w:val="auto"/>
              </w:rPr>
              <w:t>密闭操作，加强通风。操作人员必须经过专门培训，严格遵守操作规程。建议操作人员佩戴自吸过滤式防尘口罩，戴化学安全防护眼镜，穿防毒物渗透工作服，戴橡胶手套。避免产生粉尘。搬运时要轻装轻卸，防止包装及容器损坏。配备泄漏应急处理设备。倒空的容器可能残留有害物。稀释或制备溶液时，避免沸腾和飞溅。</w:t>
            </w:r>
          </w:p>
        </w:tc>
      </w:tr>
      <w:tr w14:paraId="3CDA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0043A4C5">
            <w:pPr>
              <w:pStyle w:val="30"/>
              <w:bidi w:val="0"/>
              <w:rPr>
                <w:color w:val="auto"/>
              </w:rPr>
            </w:pPr>
            <w:r>
              <w:rPr>
                <w:color w:val="auto"/>
              </w:rPr>
              <w:t>储存注意事项：</w:t>
            </w:r>
          </w:p>
        </w:tc>
        <w:tc>
          <w:tcPr>
            <w:tcW w:w="3849" w:type="pct"/>
            <w:vAlign w:val="center"/>
          </w:tcPr>
          <w:p w14:paraId="3E14BE6E">
            <w:pPr>
              <w:pStyle w:val="30"/>
              <w:bidi w:val="0"/>
              <w:rPr>
                <w:color w:val="auto"/>
              </w:rPr>
            </w:pPr>
            <w:r>
              <w:rPr>
                <w:color w:val="auto"/>
              </w:rPr>
              <w:t>产品应放在阴凉、通风处，防潮、防火、防暴晒。</w:t>
            </w:r>
          </w:p>
        </w:tc>
      </w:tr>
      <w:tr w14:paraId="4FDD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221D0F38">
            <w:pPr>
              <w:pStyle w:val="30"/>
              <w:bidi w:val="0"/>
              <w:rPr>
                <w:color w:val="auto"/>
              </w:rPr>
            </w:pPr>
            <w:r>
              <w:rPr>
                <w:color w:val="auto"/>
              </w:rPr>
              <w:t>消防措施</w:t>
            </w:r>
          </w:p>
        </w:tc>
      </w:tr>
      <w:tr w14:paraId="24FE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04FA7FBC">
            <w:pPr>
              <w:pStyle w:val="30"/>
              <w:bidi w:val="0"/>
              <w:rPr>
                <w:color w:val="auto"/>
              </w:rPr>
            </w:pPr>
            <w:r>
              <w:rPr>
                <w:color w:val="auto"/>
              </w:rPr>
              <w:t>危险特性：</w:t>
            </w:r>
          </w:p>
        </w:tc>
        <w:tc>
          <w:tcPr>
            <w:tcW w:w="3849" w:type="pct"/>
            <w:vAlign w:val="center"/>
          </w:tcPr>
          <w:p w14:paraId="19030C5E">
            <w:pPr>
              <w:pStyle w:val="30"/>
              <w:bidi w:val="0"/>
              <w:rPr>
                <w:color w:val="auto"/>
              </w:rPr>
            </w:pPr>
            <w:r>
              <w:rPr>
                <w:color w:val="auto"/>
              </w:rPr>
              <w:t>易燃，具有刺激性臭味。低毒。</w:t>
            </w:r>
          </w:p>
        </w:tc>
      </w:tr>
      <w:tr w14:paraId="5E12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452CDA57">
            <w:pPr>
              <w:pStyle w:val="30"/>
              <w:bidi w:val="0"/>
              <w:rPr>
                <w:color w:val="auto"/>
              </w:rPr>
            </w:pPr>
            <w:r>
              <w:rPr>
                <w:color w:val="auto"/>
              </w:rPr>
              <w:t>有害燃烧产物：</w:t>
            </w:r>
          </w:p>
        </w:tc>
        <w:tc>
          <w:tcPr>
            <w:tcW w:w="3849" w:type="pct"/>
            <w:vAlign w:val="center"/>
          </w:tcPr>
          <w:p w14:paraId="64C1136B">
            <w:pPr>
              <w:pStyle w:val="30"/>
              <w:bidi w:val="0"/>
              <w:rPr>
                <w:color w:val="auto"/>
              </w:rPr>
            </w:pPr>
            <w:r>
              <w:rPr>
                <w:color w:val="auto"/>
              </w:rPr>
              <w:t>有毒硫氧化物气体。</w:t>
            </w:r>
          </w:p>
        </w:tc>
      </w:tr>
      <w:tr w14:paraId="75E0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1" w:type="pct"/>
            <w:vAlign w:val="center"/>
          </w:tcPr>
          <w:p w14:paraId="16E46256">
            <w:pPr>
              <w:pStyle w:val="30"/>
              <w:bidi w:val="0"/>
              <w:rPr>
                <w:color w:val="auto"/>
              </w:rPr>
            </w:pPr>
            <w:r>
              <w:rPr>
                <w:color w:val="auto"/>
              </w:rPr>
              <w:t>灭火方法：</w:t>
            </w:r>
          </w:p>
        </w:tc>
        <w:tc>
          <w:tcPr>
            <w:tcW w:w="3849" w:type="pct"/>
            <w:vAlign w:val="center"/>
          </w:tcPr>
          <w:p w14:paraId="529D415A">
            <w:pPr>
              <w:pStyle w:val="30"/>
              <w:bidi w:val="0"/>
              <w:rPr>
                <w:color w:val="auto"/>
              </w:rPr>
            </w:pPr>
            <w:r>
              <w:rPr>
                <w:color w:val="auto"/>
              </w:rPr>
              <w:t>消防人员必须穿全身耐酸碱消防服、防毒口罩。</w:t>
            </w:r>
          </w:p>
        </w:tc>
      </w:tr>
    </w:tbl>
    <w:p w14:paraId="6A3C8CCD">
      <w:pPr>
        <w:pStyle w:val="3"/>
        <w:bidi w:val="0"/>
        <w:rPr>
          <w:rFonts w:hint="eastAsia"/>
          <w:color w:val="auto"/>
          <w:lang w:val="en-US" w:eastAsia="zh-CN"/>
        </w:rPr>
      </w:pPr>
      <w:bookmarkStart w:id="74" w:name="_Toc7353"/>
      <w:r>
        <w:rPr>
          <w:rFonts w:hint="eastAsia"/>
          <w:color w:val="auto"/>
          <w:lang w:val="en-US" w:eastAsia="zh-CN"/>
        </w:rPr>
        <w:t>3.2 场区布置、自然环境及周边环境安全影响分析</w:t>
      </w:r>
      <w:bookmarkEnd w:id="74"/>
    </w:p>
    <w:p w14:paraId="20CEC533">
      <w:pPr>
        <w:pStyle w:val="4"/>
        <w:bidi w:val="0"/>
        <w:rPr>
          <w:rFonts w:hint="eastAsia"/>
          <w:color w:val="auto"/>
        </w:rPr>
      </w:pPr>
      <w:bookmarkStart w:id="75" w:name="_Toc18122"/>
      <w:r>
        <w:rPr>
          <w:rFonts w:hint="eastAsia"/>
          <w:color w:val="auto"/>
          <w:lang w:val="en-US" w:eastAsia="zh-CN"/>
        </w:rPr>
        <w:t>3.2.1 厂址</w:t>
      </w:r>
      <w:r>
        <w:rPr>
          <w:rFonts w:hint="eastAsia"/>
          <w:color w:val="auto"/>
        </w:rPr>
        <w:t>及平面布置危险有害因素及程度分析</w:t>
      </w:r>
      <w:bookmarkEnd w:id="75"/>
    </w:p>
    <w:p w14:paraId="08C0B848">
      <w:pPr>
        <w:bidi w:val="0"/>
        <w:rPr>
          <w:rFonts w:hint="eastAsia"/>
          <w:color w:val="auto"/>
        </w:rPr>
      </w:pPr>
      <w:r>
        <w:rPr>
          <w:rFonts w:hint="eastAsia"/>
          <w:color w:val="auto"/>
        </w:rPr>
        <w:t>（1）厂址危险有害因素辨识与分析</w:t>
      </w:r>
    </w:p>
    <w:p w14:paraId="0930896B">
      <w:pPr>
        <w:bidi w:val="0"/>
        <w:rPr>
          <w:rFonts w:hint="eastAsia"/>
          <w:color w:val="auto"/>
        </w:rPr>
      </w:pPr>
      <w:r>
        <w:rPr>
          <w:rFonts w:hint="eastAsia"/>
          <w:color w:val="auto"/>
        </w:rPr>
        <w:t>根据项目岩土工程勘察报告，勘察场地土对混凝土结构有微腐蚀性，对混凝土结构中钢筋有微腐蚀性，对钢结构有微腐蚀性。此外，由于场地处于斜坡及坡脚地带，地形起伏较大，降雨条件下汇集的地表水及地表水渗流形成的地下水会对施工产生一定影响，因此应避开雨季施工。并采取相应的防排水措施，如：汇集的地表水引流进入厂外截洪沟、厂区内地表水通过厂区内排水沟排泄等。</w:t>
      </w:r>
    </w:p>
    <w:p w14:paraId="73BF809F">
      <w:pPr>
        <w:bidi w:val="0"/>
        <w:rPr>
          <w:rFonts w:hint="eastAsia"/>
          <w:color w:val="auto"/>
        </w:rPr>
      </w:pPr>
      <w:r>
        <w:rPr>
          <w:rFonts w:hint="eastAsia"/>
          <w:color w:val="auto"/>
        </w:rPr>
        <w:t>（2）总平面布置危险因素及程度分析</w:t>
      </w:r>
    </w:p>
    <w:p w14:paraId="0B7E74E7">
      <w:pPr>
        <w:bidi w:val="0"/>
        <w:rPr>
          <w:rFonts w:hint="eastAsia"/>
          <w:color w:val="auto"/>
        </w:rPr>
      </w:pPr>
      <w:r>
        <w:rPr>
          <w:rFonts w:hint="eastAsia"/>
          <w:color w:val="auto"/>
        </w:rPr>
        <w:t>当总平面布置不够合理时，生产线相互频繁交叉，操作人员没有足够的工作场所进行日常操作和维修，可能导致机械事故、起重伤害事故、物体打击事故、坠物伤害事故、淹溺、滑坡的发生。</w:t>
      </w:r>
    </w:p>
    <w:p w14:paraId="0C041E5E">
      <w:pPr>
        <w:bidi w:val="0"/>
        <w:rPr>
          <w:rFonts w:hint="eastAsia"/>
          <w:color w:val="auto"/>
        </w:rPr>
      </w:pPr>
      <w:r>
        <w:rPr>
          <w:rFonts w:hint="eastAsia"/>
          <w:color w:val="auto"/>
        </w:rPr>
        <w:t>（3）厂内运输危险因素及程度分析</w:t>
      </w:r>
    </w:p>
    <w:p w14:paraId="711D3977">
      <w:pPr>
        <w:bidi w:val="0"/>
        <w:rPr>
          <w:rFonts w:hint="eastAsia"/>
          <w:color w:val="auto"/>
        </w:rPr>
      </w:pPr>
      <w:r>
        <w:rPr>
          <w:rFonts w:hint="eastAsia"/>
          <w:color w:val="auto"/>
        </w:rPr>
        <w:t>运输道路的宽度、坡度、转弯半径、路面质量及汇车点等设计不合理时可能导致车辆相互剐蹭、碰撞或在运行中碰撞建筑物、构筑物引起建筑物倒塌、物体飞溅下落和撞击地面而产生物体飞溅等造成人身伤害。</w:t>
      </w:r>
    </w:p>
    <w:p w14:paraId="131E23DC">
      <w:pPr>
        <w:bidi w:val="0"/>
        <w:rPr>
          <w:rFonts w:hint="eastAsia"/>
          <w:color w:val="auto"/>
        </w:rPr>
      </w:pPr>
      <w:r>
        <w:rPr>
          <w:rFonts w:hint="eastAsia"/>
          <w:color w:val="auto"/>
        </w:rPr>
        <w:t>（4）建（构）筑物危险因素及程度分析</w:t>
      </w:r>
    </w:p>
    <w:p w14:paraId="4C6A31AD">
      <w:pPr>
        <w:bidi w:val="0"/>
        <w:rPr>
          <w:rFonts w:hint="eastAsia"/>
          <w:color w:val="auto"/>
        </w:rPr>
      </w:pPr>
      <w:r>
        <w:rPr>
          <w:rFonts w:hint="eastAsia"/>
          <w:color w:val="auto"/>
        </w:rPr>
        <w:t>建（构）筑物安全等级达不到抗震设防烈度，容易造成建筑物倒塌、伤人事故。</w:t>
      </w:r>
    </w:p>
    <w:p w14:paraId="28D0A024">
      <w:pPr>
        <w:bidi w:val="0"/>
        <w:rPr>
          <w:rFonts w:hint="eastAsia"/>
          <w:color w:val="auto"/>
        </w:rPr>
      </w:pPr>
      <w:r>
        <w:rPr>
          <w:rFonts w:hint="eastAsia"/>
          <w:color w:val="auto"/>
        </w:rPr>
        <w:t>夏季雷雨天气，在防雷措施不完善的情况下，建（构）筑物有遭受雷击的危险。</w:t>
      </w:r>
    </w:p>
    <w:p w14:paraId="2EF7BCC9">
      <w:pPr>
        <w:bidi w:val="0"/>
        <w:rPr>
          <w:rFonts w:hint="eastAsia"/>
          <w:color w:val="auto"/>
        </w:rPr>
      </w:pPr>
      <w:r>
        <w:rPr>
          <w:rFonts w:hint="eastAsia"/>
          <w:color w:val="auto"/>
        </w:rPr>
        <w:t>建（构）筑物耐火等级达不到要求，发生火灾时容易造成火灾的蔓延扩大。</w:t>
      </w:r>
    </w:p>
    <w:p w14:paraId="2F4D60DB">
      <w:pPr>
        <w:bidi w:val="0"/>
        <w:rPr>
          <w:rFonts w:hint="eastAsia"/>
          <w:color w:val="auto"/>
        </w:rPr>
      </w:pPr>
      <w:r>
        <w:rPr>
          <w:rFonts w:hint="eastAsia"/>
          <w:color w:val="auto"/>
        </w:rPr>
        <w:t>建（构）筑物基础施工时未采取防腐处理，由于受场地土腐蚀作用，造成坍塌。</w:t>
      </w:r>
    </w:p>
    <w:p w14:paraId="56B3471F">
      <w:pPr>
        <w:bidi w:val="0"/>
        <w:rPr>
          <w:rFonts w:hint="eastAsia"/>
          <w:color w:val="auto"/>
        </w:rPr>
      </w:pPr>
      <w:r>
        <w:rPr>
          <w:rFonts w:hint="eastAsia"/>
          <w:color w:val="auto"/>
        </w:rPr>
        <w:t>建（构）筑物设计时未考虑当地风压等因数，因结构强度不够，造成坍塌事故。</w:t>
      </w:r>
    </w:p>
    <w:p w14:paraId="63079E42">
      <w:pPr>
        <w:bidi w:val="0"/>
        <w:rPr>
          <w:rFonts w:hint="eastAsia"/>
          <w:color w:val="auto"/>
        </w:rPr>
      </w:pPr>
      <w:r>
        <w:rPr>
          <w:rFonts w:hint="eastAsia"/>
          <w:color w:val="auto"/>
        </w:rPr>
        <w:t>楼梯角度和宽度、廊道内人行通道净宽不合适，容易造成滑跌坠落等事故。</w:t>
      </w:r>
    </w:p>
    <w:p w14:paraId="5B81F765">
      <w:pPr>
        <w:bidi w:val="0"/>
        <w:rPr>
          <w:rFonts w:hint="eastAsia"/>
          <w:color w:val="auto"/>
        </w:rPr>
      </w:pPr>
      <w:r>
        <w:rPr>
          <w:rFonts w:hint="eastAsia"/>
          <w:color w:val="auto"/>
        </w:rPr>
        <w:t>建（构）筑物屋面、地坑、廊道、地沟电缆沟等未采取防水措施，容易因雨水渗漏造成各类事故。</w:t>
      </w:r>
    </w:p>
    <w:p w14:paraId="1AC3222B">
      <w:pPr>
        <w:pStyle w:val="4"/>
        <w:bidi w:val="0"/>
        <w:rPr>
          <w:rFonts w:hint="eastAsia"/>
          <w:color w:val="auto"/>
        </w:rPr>
      </w:pPr>
      <w:bookmarkStart w:id="76" w:name="_Toc16603"/>
      <w:r>
        <w:rPr>
          <w:rFonts w:hint="eastAsia"/>
          <w:color w:val="auto"/>
        </w:rPr>
        <w:t>3.2.</w:t>
      </w:r>
      <w:r>
        <w:rPr>
          <w:rFonts w:hint="eastAsia"/>
          <w:color w:val="auto"/>
          <w:lang w:val="en-US" w:eastAsia="zh-CN"/>
        </w:rPr>
        <w:t xml:space="preserve">2 </w:t>
      </w:r>
      <w:r>
        <w:rPr>
          <w:rFonts w:hint="eastAsia"/>
          <w:color w:val="auto"/>
        </w:rPr>
        <w:t>自然环境安全影响分析</w:t>
      </w:r>
      <w:bookmarkEnd w:id="76"/>
    </w:p>
    <w:p w14:paraId="12457187">
      <w:pPr>
        <w:bidi w:val="0"/>
        <w:rPr>
          <w:rFonts w:hint="eastAsia"/>
          <w:color w:val="auto"/>
        </w:rPr>
      </w:pPr>
      <w:r>
        <w:rPr>
          <w:rFonts w:hint="eastAsia"/>
          <w:color w:val="auto"/>
        </w:rPr>
        <w:t>项目位于地处低纬度高原，中亚热带气候区，主体气候属四季温差不大，干湿季分明垂直变异突出的低纬山季风气候。由于地形高差悬殊和不同气流的影响，构成显著的立体气候和干、雨季分明的特点。</w:t>
      </w:r>
    </w:p>
    <w:p w14:paraId="70BC7E53">
      <w:pPr>
        <w:bidi w:val="0"/>
        <w:rPr>
          <w:rFonts w:hint="eastAsia"/>
          <w:color w:val="auto"/>
        </w:rPr>
      </w:pPr>
      <w:r>
        <w:rPr>
          <w:rFonts w:hint="eastAsia"/>
          <w:color w:val="auto"/>
        </w:rPr>
        <w:t>多年常规气象观测统计资料看，年平均气温15.1℃，5~9月，多日照、强辐射、温度迅速回升，平均气温20.6℃，10月以后气温开始下降，下降速度逐渐加快，1月为最冷月，最低气温平均3.8℃，同时日照及太阳辐射也同步减少。每年7~8月份为最热月份，日照时数323．1h，无霜天333天，年平均降雨量912mm，年平均蒸发量1661.9mm，相对湿度74.2％。由于受地形影响，武定县风向较为稳定，全年盛行西南风，平均风速2.1m/s，其余各风向出现频率不足5%，静风频率为35%。</w:t>
      </w:r>
    </w:p>
    <w:p w14:paraId="10590C98">
      <w:pPr>
        <w:bidi w:val="0"/>
        <w:rPr>
          <w:rFonts w:hint="eastAsia"/>
          <w:color w:val="auto"/>
        </w:rPr>
      </w:pPr>
      <w:r>
        <w:rPr>
          <w:rFonts w:hint="eastAsia"/>
          <w:color w:val="auto"/>
        </w:rPr>
        <w:t>（1）地震</w:t>
      </w:r>
    </w:p>
    <w:p w14:paraId="2A8C8A43">
      <w:pPr>
        <w:bidi w:val="0"/>
        <w:rPr>
          <w:rFonts w:hint="eastAsia"/>
          <w:color w:val="auto"/>
        </w:rPr>
      </w:pPr>
      <w:r>
        <w:rPr>
          <w:rFonts w:hint="eastAsia"/>
          <w:color w:val="auto"/>
        </w:rPr>
        <w:t>项目所在区域抗震设防烈度为7度，设计基本地震加速度值得为0.15g。地震可引起设备设施、建（构）筑物损坏和人员伤亡，影响正常生产。</w:t>
      </w:r>
    </w:p>
    <w:p w14:paraId="5FED2D34">
      <w:pPr>
        <w:bidi w:val="0"/>
        <w:rPr>
          <w:rFonts w:hint="eastAsia"/>
          <w:color w:val="auto"/>
        </w:rPr>
      </w:pPr>
      <w:r>
        <w:rPr>
          <w:rFonts w:hint="eastAsia"/>
          <w:color w:val="auto"/>
        </w:rPr>
        <w:t>（2）雷击</w:t>
      </w:r>
    </w:p>
    <w:p w14:paraId="7C5D9020">
      <w:pPr>
        <w:bidi w:val="0"/>
        <w:rPr>
          <w:rFonts w:hint="eastAsia"/>
          <w:color w:val="auto"/>
        </w:rPr>
      </w:pPr>
      <w:r>
        <w:rPr>
          <w:rFonts w:hint="eastAsia"/>
          <w:color w:val="auto"/>
        </w:rPr>
        <w:t>雷电事故有可能造成对高耸的建筑物和电气设备造成破坏；但应在平缓开阔地带，雷击伤害不大。</w:t>
      </w:r>
    </w:p>
    <w:p w14:paraId="1BFBC051">
      <w:pPr>
        <w:bidi w:val="0"/>
        <w:rPr>
          <w:rFonts w:hint="eastAsia"/>
          <w:color w:val="auto"/>
        </w:rPr>
      </w:pPr>
      <w:r>
        <w:rPr>
          <w:rFonts w:hint="eastAsia"/>
          <w:color w:val="auto"/>
        </w:rPr>
        <w:t>（3）太阳辐射</w:t>
      </w:r>
    </w:p>
    <w:p w14:paraId="767E753F">
      <w:pPr>
        <w:bidi w:val="0"/>
        <w:rPr>
          <w:rFonts w:hint="eastAsia"/>
          <w:color w:val="auto"/>
        </w:rPr>
      </w:pPr>
      <w:r>
        <w:rPr>
          <w:rFonts w:hint="eastAsia"/>
          <w:color w:val="auto"/>
        </w:rPr>
        <w:t>项目所在地处北回归线以南，常年光照充足。太阳辐射强，白天增温剧烈，夜间降温快，长时间暴露在日光下，如果不采取适当的防护措施，对皮肤和眼睛会造成伤害。</w:t>
      </w:r>
    </w:p>
    <w:p w14:paraId="532E4000">
      <w:pPr>
        <w:bidi w:val="0"/>
        <w:rPr>
          <w:rFonts w:hint="eastAsia"/>
          <w:color w:val="auto"/>
        </w:rPr>
      </w:pPr>
      <w:r>
        <w:rPr>
          <w:rFonts w:hint="eastAsia"/>
          <w:color w:val="auto"/>
        </w:rPr>
        <w:t>（4）高温</w:t>
      </w:r>
    </w:p>
    <w:p w14:paraId="283607D4">
      <w:pPr>
        <w:bidi w:val="0"/>
        <w:rPr>
          <w:rFonts w:hint="eastAsia"/>
          <w:color w:val="auto"/>
        </w:rPr>
      </w:pPr>
      <w:r>
        <w:rPr>
          <w:rFonts w:hint="eastAsia"/>
          <w:color w:val="auto"/>
        </w:rPr>
        <w:t>武定县极端最高气温为38.8℃，夏季若遇极端高温天气，容易引起人员中暑等疾病。选厂属亚热带气候，存在高温危害。</w:t>
      </w:r>
    </w:p>
    <w:p w14:paraId="50EF48C7">
      <w:pPr>
        <w:bidi w:val="0"/>
        <w:rPr>
          <w:rFonts w:hint="eastAsia"/>
          <w:color w:val="auto"/>
        </w:rPr>
      </w:pPr>
      <w:r>
        <w:rPr>
          <w:rFonts w:hint="eastAsia"/>
          <w:color w:val="auto"/>
        </w:rPr>
        <w:t>（5）大风</w:t>
      </w:r>
    </w:p>
    <w:p w14:paraId="7602E8F9">
      <w:pPr>
        <w:bidi w:val="0"/>
        <w:rPr>
          <w:rFonts w:hint="eastAsia"/>
          <w:color w:val="auto"/>
        </w:rPr>
      </w:pPr>
      <w:r>
        <w:rPr>
          <w:rFonts w:hint="eastAsia"/>
          <w:color w:val="auto"/>
        </w:rPr>
        <w:t>大风可能会造成高处未佩戴安全防护用品的人员发生高处坠落事故，固接不牢的彩钢板掉落或导致高处堆放的零散物件坠落，对地面的人员造成物体打击伤害；大风还可能导致扬尘，造成现场灰尘弥漫，视线不清，从而引发机械伤害、车辆伤害等事故的发生；选厂存在大风所造成的危险，应采取相应的措施防止大风造成事故伤害。</w:t>
      </w:r>
    </w:p>
    <w:p w14:paraId="4A4A73B3">
      <w:pPr>
        <w:bidi w:val="0"/>
        <w:rPr>
          <w:rFonts w:hint="eastAsia"/>
          <w:color w:val="auto"/>
        </w:rPr>
      </w:pPr>
      <w:r>
        <w:rPr>
          <w:rFonts w:hint="eastAsia"/>
          <w:color w:val="auto"/>
        </w:rPr>
        <w:t>（6）暴雨</w:t>
      </w:r>
    </w:p>
    <w:p w14:paraId="5303A194">
      <w:pPr>
        <w:bidi w:val="0"/>
        <w:rPr>
          <w:rFonts w:hint="eastAsia"/>
          <w:color w:val="auto"/>
        </w:rPr>
      </w:pPr>
      <w:r>
        <w:rPr>
          <w:rFonts w:hint="eastAsia"/>
          <w:color w:val="auto"/>
        </w:rPr>
        <w:t>项目所在地降雨量912mm，年平均蒸发量1661.9mm。一次短时的或连续的强降水过程，在地势低洼、地形闭塞的地区，雨水不能迅速宣泄造成积水、土壤水分过度饱和，造成车辆运输受限，甚至于引起山洪暴发等危害。应采取相应的措施防止暴雨造成事故伤害。</w:t>
      </w:r>
    </w:p>
    <w:p w14:paraId="22BE2313">
      <w:pPr>
        <w:pStyle w:val="4"/>
        <w:bidi w:val="0"/>
        <w:rPr>
          <w:rFonts w:hint="eastAsia"/>
          <w:color w:val="auto"/>
        </w:rPr>
      </w:pPr>
      <w:bookmarkStart w:id="77" w:name="_Toc24523"/>
      <w:r>
        <w:rPr>
          <w:rFonts w:hint="eastAsia"/>
          <w:color w:val="auto"/>
        </w:rPr>
        <w:t>3.2.</w:t>
      </w:r>
      <w:r>
        <w:rPr>
          <w:rFonts w:hint="eastAsia"/>
          <w:color w:val="auto"/>
          <w:lang w:val="en-US" w:eastAsia="zh-CN"/>
        </w:rPr>
        <w:t xml:space="preserve">3 </w:t>
      </w:r>
      <w:r>
        <w:rPr>
          <w:rFonts w:hint="eastAsia"/>
          <w:color w:val="auto"/>
        </w:rPr>
        <w:t>选矿厂周边环境危险因素分析</w:t>
      </w:r>
      <w:bookmarkEnd w:id="77"/>
    </w:p>
    <w:p w14:paraId="4FA3481D">
      <w:pPr>
        <w:bidi w:val="0"/>
        <w:rPr>
          <w:rFonts w:hint="eastAsia"/>
          <w:color w:val="auto"/>
        </w:rPr>
      </w:pPr>
      <w:r>
        <w:rPr>
          <w:rFonts w:hint="eastAsia"/>
          <w:color w:val="auto"/>
        </w:rPr>
        <w:t>项目选厂西北侧20m为公司尾矿库，东北侧为办公生活区，西侧连接乡村道路，其余周围均为树林。项目在生产过程中可能会因为周边环境引发火灾、车辆伤害、坍塌、滑坡等危险。其主要引发原因有：</w:t>
      </w:r>
    </w:p>
    <w:p w14:paraId="0DB39562">
      <w:pPr>
        <w:bidi w:val="0"/>
        <w:rPr>
          <w:rFonts w:hint="eastAsia"/>
          <w:color w:val="auto"/>
        </w:rPr>
      </w:pPr>
      <w:r>
        <w:rPr>
          <w:rFonts w:hint="eastAsia"/>
          <w:color w:val="auto"/>
        </w:rPr>
        <w:t>（1）若周边树林发生火灾、坍塌、滑坡等事故，可能会由于飞火、高温、热辐射等因素导致引燃本项目内可燃物，进而引起火灾爆炸、坍塌、滑坡等危险。</w:t>
      </w:r>
    </w:p>
    <w:p w14:paraId="22B3C0BD">
      <w:pPr>
        <w:bidi w:val="0"/>
        <w:rPr>
          <w:rFonts w:hint="eastAsia"/>
          <w:color w:val="auto"/>
        </w:rPr>
      </w:pPr>
      <w:r>
        <w:rPr>
          <w:rFonts w:hint="eastAsia"/>
          <w:color w:val="auto"/>
        </w:rPr>
        <w:t>（2）选厂新建脱水车间西北侧39m处为公司尾矿库，项目施工建设过程中会因场地整平、雨水季节开挖而出现挖、填方对尾矿库边坡坡顶产生坍塌、滑坡等危险。厂区原矿堆场厂东南侧为1.5m边坡，施工、雨水季节开挖、出现产生坍塌、滑坡等危险。项目尾矿库边坡高度16m，场地为粉质黏土，新建脱水车间建筑物处于边坡滑动带范围外，建筑物对边坡不产生影响。原矿堆场厂东南侧为1.5m边坡设置重力式挡土墙进行围护和支挡。</w:t>
      </w:r>
    </w:p>
    <w:p w14:paraId="27979E37">
      <w:pPr>
        <w:bidi w:val="0"/>
        <w:rPr>
          <w:rFonts w:hint="eastAsia"/>
          <w:color w:val="auto"/>
        </w:rPr>
      </w:pPr>
      <w:r>
        <w:rPr>
          <w:rFonts w:hint="eastAsia"/>
          <w:color w:val="auto"/>
        </w:rPr>
        <w:t>（3）企业西边为乡村道路，员工上下班途中未按道路交通要求横跨马路或过往车辆未按要求行驶，对员工可能会造成车辆伤害，同时厂内车辆驾驶员违章驾驶，可能会对过往行人及车辆造成车辆伤害事故，同时整个项目区可能会引发交通堵塞等。</w:t>
      </w:r>
    </w:p>
    <w:p w14:paraId="6792A0BD">
      <w:pPr>
        <w:bidi w:val="0"/>
        <w:rPr>
          <w:rFonts w:hint="eastAsia"/>
          <w:color w:val="auto"/>
        </w:rPr>
      </w:pPr>
      <w:r>
        <w:rPr>
          <w:rFonts w:hint="eastAsia"/>
          <w:color w:val="auto"/>
        </w:rPr>
        <w:t>（4）若本企业发生火灾爆炸、其他爆炸等事故，可能会由于本项目事故过程中飞火、热辐射等因素导致本项目周边树林发生次生火灾等危险。</w:t>
      </w:r>
    </w:p>
    <w:p w14:paraId="6EAE65D4">
      <w:pPr>
        <w:bidi w:val="0"/>
        <w:rPr>
          <w:color w:val="auto"/>
        </w:rPr>
      </w:pPr>
      <w:r>
        <w:rPr>
          <w:rFonts w:hint="eastAsia"/>
          <w:color w:val="auto"/>
        </w:rPr>
        <w:t>由于该项目属于改建项目，选厂建厂已多年，未对周边环境造成影响。且废水不外排，噪声、粉尘通过采取有效的环保措施，对周边环境的影响在合理范围内。</w:t>
      </w:r>
    </w:p>
    <w:p w14:paraId="2FDF62E3">
      <w:pPr>
        <w:pStyle w:val="3"/>
        <w:bidi w:val="0"/>
        <w:rPr>
          <w:rFonts w:hint="eastAsia"/>
          <w:color w:val="auto"/>
        </w:rPr>
      </w:pPr>
      <w:bookmarkStart w:id="78" w:name="_Toc14788"/>
      <w:r>
        <w:rPr>
          <w:rFonts w:hint="eastAsia"/>
          <w:color w:val="auto"/>
        </w:rPr>
        <w:t>3.3</w:t>
      </w:r>
      <w:r>
        <w:rPr>
          <w:rFonts w:hint="eastAsia"/>
          <w:color w:val="auto"/>
          <w:lang w:val="en-US" w:eastAsia="zh-CN"/>
        </w:rPr>
        <w:t xml:space="preserve"> </w:t>
      </w:r>
      <w:r>
        <w:rPr>
          <w:rFonts w:hint="eastAsia"/>
          <w:color w:val="auto"/>
        </w:rPr>
        <w:t>生产过程中的危险性分析</w:t>
      </w:r>
      <w:bookmarkEnd w:id="78"/>
    </w:p>
    <w:p w14:paraId="394BD4BF">
      <w:pPr>
        <w:pStyle w:val="4"/>
        <w:bidi w:val="0"/>
        <w:rPr>
          <w:rFonts w:hint="eastAsia"/>
          <w:color w:val="auto"/>
        </w:rPr>
      </w:pPr>
      <w:bookmarkStart w:id="79" w:name="_Toc11498"/>
      <w:r>
        <w:rPr>
          <w:rFonts w:hint="eastAsia"/>
          <w:color w:val="auto"/>
        </w:rPr>
        <w:t>3.3.1</w:t>
      </w:r>
      <w:r>
        <w:rPr>
          <w:rFonts w:hint="eastAsia"/>
          <w:color w:val="auto"/>
          <w:lang w:val="en-US" w:eastAsia="zh-CN"/>
        </w:rPr>
        <w:t xml:space="preserve"> </w:t>
      </w:r>
      <w:r>
        <w:rPr>
          <w:rFonts w:hint="eastAsia"/>
          <w:color w:val="auto"/>
        </w:rPr>
        <w:t>机械伤害</w:t>
      </w:r>
      <w:bookmarkEnd w:id="79"/>
    </w:p>
    <w:p w14:paraId="1AD99F95">
      <w:pPr>
        <w:bidi w:val="0"/>
        <w:rPr>
          <w:rFonts w:hint="eastAsia"/>
          <w:color w:val="auto"/>
        </w:rPr>
      </w:pPr>
      <w:r>
        <w:rPr>
          <w:rFonts w:hint="eastAsia"/>
          <w:color w:val="auto"/>
        </w:rPr>
        <w:t>选矿过程中的主要设备有磨矿机、浮选、磁选机、泵、压滤机、皮带等。所有这些机械设备在使用过程中，由于机械设备运动（静止）部件、工具、加工件直接与人体接触引起夹击、碰撞、剪切、卷入、绞、碾、割、刺等伤害。常见的因素有：</w:t>
      </w:r>
    </w:p>
    <w:p w14:paraId="4ABDF02E">
      <w:pPr>
        <w:bidi w:val="0"/>
        <w:rPr>
          <w:rFonts w:hint="eastAsia"/>
          <w:color w:val="auto"/>
        </w:rPr>
      </w:pPr>
      <w:r>
        <w:rPr>
          <w:rFonts w:hint="eastAsia"/>
          <w:color w:val="auto"/>
        </w:rPr>
        <w:t>（1）所选用设备在设计上存在先天不足（如强度不够、刚度不够、稳定性差、操纵器缺陷、制动器缺陷等）；</w:t>
      </w:r>
    </w:p>
    <w:p w14:paraId="5B077CCF">
      <w:pPr>
        <w:bidi w:val="0"/>
        <w:rPr>
          <w:rFonts w:hint="eastAsia"/>
          <w:color w:val="auto"/>
        </w:rPr>
      </w:pPr>
      <w:r>
        <w:rPr>
          <w:rFonts w:hint="eastAsia"/>
          <w:color w:val="auto"/>
        </w:rPr>
        <w:t>（2）作业人员在操作设备时，由于破碎机、给料机、磨矿机、浮选</w:t>
      </w:r>
      <w:r>
        <w:rPr>
          <w:rFonts w:hint="eastAsia"/>
          <w:color w:val="auto"/>
          <w:lang w:val="en-US" w:eastAsia="zh-CN"/>
        </w:rPr>
        <w:t>机</w:t>
      </w:r>
      <w:r>
        <w:rPr>
          <w:rFonts w:hint="eastAsia"/>
          <w:color w:val="auto"/>
        </w:rPr>
        <w:t>、磁选机、泵等设备传动部位无防护罩或防护罩可靠性、有效性低而导致伤人事故发生；</w:t>
      </w:r>
    </w:p>
    <w:p w14:paraId="242E9164">
      <w:pPr>
        <w:bidi w:val="0"/>
        <w:rPr>
          <w:rFonts w:hint="eastAsia"/>
          <w:color w:val="auto"/>
        </w:rPr>
      </w:pPr>
      <w:r>
        <w:rPr>
          <w:rFonts w:hint="eastAsia"/>
          <w:color w:val="auto"/>
        </w:rPr>
        <w:t>（3）破碎机、给料机、磨矿机、浮选</w:t>
      </w:r>
      <w:r>
        <w:rPr>
          <w:rFonts w:hint="eastAsia"/>
          <w:color w:val="auto"/>
          <w:lang w:val="en-US" w:eastAsia="zh-CN"/>
        </w:rPr>
        <w:t>机</w:t>
      </w:r>
      <w:r>
        <w:rPr>
          <w:rFonts w:hint="eastAsia"/>
          <w:color w:val="auto"/>
        </w:rPr>
        <w:t>、磁选机各设备布置不合理，安全间距不足；</w:t>
      </w:r>
    </w:p>
    <w:p w14:paraId="7BF818C4">
      <w:pPr>
        <w:bidi w:val="0"/>
        <w:rPr>
          <w:rFonts w:hint="eastAsia"/>
          <w:color w:val="auto"/>
        </w:rPr>
      </w:pPr>
      <w:r>
        <w:rPr>
          <w:rFonts w:hint="eastAsia"/>
          <w:color w:val="auto"/>
        </w:rPr>
        <w:t>（4）机械设备安全防护缺陷（无防护、防护装置和设施缺陷、防护不当等）或损坏或被拆除等，导致事故发生；</w:t>
      </w:r>
    </w:p>
    <w:p w14:paraId="4E91684E">
      <w:pPr>
        <w:bidi w:val="0"/>
        <w:rPr>
          <w:rFonts w:hint="eastAsia"/>
          <w:color w:val="auto"/>
        </w:rPr>
      </w:pPr>
      <w:r>
        <w:rPr>
          <w:rFonts w:hint="eastAsia"/>
          <w:color w:val="auto"/>
        </w:rPr>
        <w:t>（5）在设备的检修和正常工作时，机器突然意外启动，导致事故发生；</w:t>
      </w:r>
    </w:p>
    <w:p w14:paraId="229EC8A5">
      <w:pPr>
        <w:bidi w:val="0"/>
        <w:rPr>
          <w:rFonts w:hint="eastAsia"/>
          <w:color w:val="auto"/>
        </w:rPr>
      </w:pPr>
      <w:r>
        <w:rPr>
          <w:rFonts w:hint="eastAsia"/>
          <w:color w:val="auto"/>
        </w:rPr>
        <w:t>（6）带式输送机未停电进行检修、未停机打扫和注油等作业和未在侧面设置急停拉绳开关或急停开关，首轮、尾轮未安装防护罩；</w:t>
      </w:r>
    </w:p>
    <w:p w14:paraId="5E0C6152">
      <w:pPr>
        <w:bidi w:val="0"/>
        <w:rPr>
          <w:rFonts w:hint="eastAsia"/>
          <w:color w:val="auto"/>
        </w:rPr>
      </w:pPr>
      <w:r>
        <w:rPr>
          <w:rFonts w:hint="eastAsia"/>
          <w:color w:val="auto"/>
        </w:rPr>
        <w:t>（7）联锁局部操作的带式输送机长度超过40m时，未设置启动预示信号；</w:t>
      </w:r>
    </w:p>
    <w:p w14:paraId="1523086C">
      <w:pPr>
        <w:bidi w:val="0"/>
        <w:rPr>
          <w:rFonts w:hint="eastAsia"/>
          <w:color w:val="auto"/>
        </w:rPr>
      </w:pPr>
      <w:r>
        <w:rPr>
          <w:rFonts w:hint="eastAsia"/>
          <w:color w:val="auto"/>
        </w:rPr>
        <w:t>（8）操作人员疏忽大意，身体进入机械危险部位；</w:t>
      </w:r>
    </w:p>
    <w:p w14:paraId="6F0BE87D">
      <w:pPr>
        <w:bidi w:val="0"/>
        <w:rPr>
          <w:rFonts w:hint="eastAsia"/>
          <w:color w:val="auto"/>
        </w:rPr>
      </w:pPr>
      <w:r>
        <w:rPr>
          <w:rFonts w:hint="eastAsia"/>
          <w:color w:val="auto"/>
        </w:rPr>
        <w:t>（9）在不安全的机械上停留、休息，导致事故发生；</w:t>
      </w:r>
    </w:p>
    <w:p w14:paraId="6DFD80F5">
      <w:pPr>
        <w:bidi w:val="0"/>
        <w:rPr>
          <w:rFonts w:hint="eastAsia"/>
          <w:color w:val="auto"/>
        </w:rPr>
      </w:pPr>
      <w:r>
        <w:rPr>
          <w:rFonts w:hint="eastAsia"/>
          <w:color w:val="auto"/>
        </w:rPr>
        <w:t>（10）作业人员违章操作及穿戴不符合安全规定的劳动防护用品进行操作；</w:t>
      </w:r>
    </w:p>
    <w:p w14:paraId="4BE3F4F2">
      <w:pPr>
        <w:bidi w:val="0"/>
        <w:rPr>
          <w:rFonts w:hint="eastAsia"/>
          <w:color w:val="auto"/>
        </w:rPr>
      </w:pPr>
      <w:r>
        <w:rPr>
          <w:rFonts w:hint="eastAsia"/>
          <w:color w:val="auto"/>
        </w:rPr>
        <w:t>（11）安全管理存在疏漏（如：信号缺陷、标志缺陷等）；</w:t>
      </w:r>
    </w:p>
    <w:p w14:paraId="1F40F98C">
      <w:pPr>
        <w:bidi w:val="0"/>
        <w:rPr>
          <w:rFonts w:hint="eastAsia"/>
          <w:color w:val="auto"/>
        </w:rPr>
      </w:pPr>
      <w:r>
        <w:rPr>
          <w:rFonts w:hint="eastAsia"/>
          <w:color w:val="auto"/>
        </w:rPr>
        <w:t>（12）作业场地较狭窄，通道堆放杂物，场地较凌乱，易发生作业人员碰伤伤害事故；</w:t>
      </w:r>
    </w:p>
    <w:p w14:paraId="04EC9644">
      <w:pPr>
        <w:bidi w:val="0"/>
        <w:rPr>
          <w:rFonts w:hint="eastAsia"/>
          <w:color w:val="auto"/>
        </w:rPr>
      </w:pPr>
      <w:r>
        <w:rPr>
          <w:rFonts w:hint="eastAsia"/>
          <w:color w:val="auto"/>
        </w:rPr>
        <w:t>（13）作业环境不良（基础下沉、安全过道缺陷、采光照明不良、有害光照等）；</w:t>
      </w:r>
    </w:p>
    <w:p w14:paraId="4D0441FA">
      <w:pPr>
        <w:bidi w:val="0"/>
        <w:rPr>
          <w:rFonts w:hint="eastAsia"/>
          <w:color w:val="auto"/>
        </w:rPr>
      </w:pPr>
      <w:r>
        <w:rPr>
          <w:rFonts w:hint="eastAsia"/>
          <w:color w:val="auto"/>
        </w:rPr>
        <w:t>（14）其他危险、有害因素（如：指挥错误、操作错误、监护错误、工具不合适等）。</w:t>
      </w:r>
    </w:p>
    <w:p w14:paraId="3C20978E">
      <w:pPr>
        <w:bidi w:val="0"/>
        <w:rPr>
          <w:rFonts w:hint="eastAsia"/>
          <w:color w:val="auto"/>
        </w:rPr>
      </w:pPr>
      <w:r>
        <w:rPr>
          <w:rFonts w:hint="eastAsia"/>
          <w:color w:val="auto"/>
        </w:rPr>
        <w:t>可能存在的部位：机械设备传动部位。</w:t>
      </w:r>
    </w:p>
    <w:p w14:paraId="5D19D240">
      <w:pPr>
        <w:pStyle w:val="4"/>
        <w:bidi w:val="0"/>
        <w:rPr>
          <w:rFonts w:hint="eastAsia"/>
          <w:color w:val="auto"/>
        </w:rPr>
      </w:pPr>
      <w:bookmarkStart w:id="80" w:name="_Toc8184"/>
      <w:r>
        <w:rPr>
          <w:rFonts w:hint="eastAsia"/>
          <w:color w:val="auto"/>
        </w:rPr>
        <w:t>3.3.2</w:t>
      </w:r>
      <w:r>
        <w:rPr>
          <w:rFonts w:hint="eastAsia"/>
          <w:color w:val="auto"/>
          <w:lang w:val="en-US" w:eastAsia="zh-CN"/>
        </w:rPr>
        <w:t xml:space="preserve"> </w:t>
      </w:r>
      <w:r>
        <w:rPr>
          <w:rFonts w:hint="eastAsia"/>
          <w:color w:val="auto"/>
        </w:rPr>
        <w:t>物体打击</w:t>
      </w:r>
      <w:bookmarkEnd w:id="80"/>
    </w:p>
    <w:p w14:paraId="5638D67F">
      <w:pPr>
        <w:bidi w:val="0"/>
        <w:rPr>
          <w:rFonts w:hint="eastAsia"/>
          <w:color w:val="auto"/>
        </w:rPr>
      </w:pPr>
      <w:r>
        <w:rPr>
          <w:rFonts w:hint="eastAsia"/>
          <w:color w:val="auto"/>
        </w:rPr>
        <w:t>（1）给矿等作业中矿石崩裂飞溅可能导致物体打击；</w:t>
      </w:r>
    </w:p>
    <w:p w14:paraId="2E5BC15C">
      <w:pPr>
        <w:bidi w:val="0"/>
        <w:rPr>
          <w:rFonts w:hint="eastAsia"/>
          <w:color w:val="auto"/>
        </w:rPr>
      </w:pPr>
      <w:r>
        <w:rPr>
          <w:rFonts w:hint="eastAsia"/>
          <w:color w:val="auto"/>
        </w:rPr>
        <w:t>（2）带式输送机设计缺陷、选型不合理，跑偏造成矿石撒落，在皮带非工作面上经过滚筒、犁式卸料器时，引发矿石飞溅导致物体打击；</w:t>
      </w:r>
    </w:p>
    <w:p w14:paraId="353BF052">
      <w:pPr>
        <w:bidi w:val="0"/>
        <w:rPr>
          <w:rFonts w:hint="eastAsia"/>
          <w:color w:val="auto"/>
        </w:rPr>
      </w:pPr>
      <w:r>
        <w:rPr>
          <w:rFonts w:hint="eastAsia"/>
          <w:color w:val="auto"/>
        </w:rPr>
        <w:t>（3）交叉作业或检修的过程中工具坠落；</w:t>
      </w:r>
    </w:p>
    <w:p w14:paraId="0842D6B9">
      <w:pPr>
        <w:bidi w:val="0"/>
        <w:rPr>
          <w:rFonts w:hint="eastAsia"/>
          <w:color w:val="auto"/>
        </w:rPr>
      </w:pPr>
      <w:r>
        <w:rPr>
          <w:rFonts w:hint="eastAsia"/>
          <w:color w:val="auto"/>
        </w:rPr>
        <w:t>（4）检修平台防护栏杆未设置踢脚板，造成物体打击；</w:t>
      </w:r>
    </w:p>
    <w:p w14:paraId="09857533">
      <w:pPr>
        <w:bidi w:val="0"/>
        <w:rPr>
          <w:rFonts w:hint="eastAsia"/>
          <w:color w:val="auto"/>
        </w:rPr>
      </w:pPr>
      <w:r>
        <w:rPr>
          <w:rFonts w:hint="eastAsia"/>
          <w:color w:val="auto"/>
        </w:rPr>
        <w:t>（5）磨矿机观察孔密闭不严，磨矿介质飞出伤人；</w:t>
      </w:r>
    </w:p>
    <w:p w14:paraId="5F0ADF34">
      <w:pPr>
        <w:bidi w:val="0"/>
        <w:rPr>
          <w:rFonts w:hint="eastAsia"/>
          <w:color w:val="auto"/>
        </w:rPr>
      </w:pPr>
      <w:r>
        <w:rPr>
          <w:rFonts w:hint="eastAsia"/>
          <w:color w:val="auto"/>
        </w:rPr>
        <w:t>（6）过滤操作平台防护栏杆未设置踢脚板，工器具从高空下落，造成物体打击。</w:t>
      </w:r>
    </w:p>
    <w:p w14:paraId="5D461435">
      <w:pPr>
        <w:bidi w:val="0"/>
        <w:rPr>
          <w:rFonts w:hint="eastAsia"/>
          <w:color w:val="auto"/>
        </w:rPr>
      </w:pPr>
      <w:r>
        <w:rPr>
          <w:rFonts w:hint="eastAsia"/>
          <w:color w:val="auto"/>
        </w:rPr>
        <w:t>可能存在的部位：各检修、操作平台，传动部位零部件及磨矿设备和带式输送机等部位。</w:t>
      </w:r>
    </w:p>
    <w:p w14:paraId="25CA67B1">
      <w:pPr>
        <w:pStyle w:val="4"/>
        <w:bidi w:val="0"/>
        <w:rPr>
          <w:rFonts w:hint="eastAsia"/>
          <w:color w:val="auto"/>
        </w:rPr>
      </w:pPr>
      <w:bookmarkStart w:id="81" w:name="_Toc12863"/>
      <w:r>
        <w:rPr>
          <w:rFonts w:hint="eastAsia"/>
          <w:color w:val="auto"/>
        </w:rPr>
        <w:t>3.3.3</w:t>
      </w:r>
      <w:r>
        <w:rPr>
          <w:rFonts w:hint="eastAsia"/>
          <w:color w:val="auto"/>
          <w:lang w:val="en-US" w:eastAsia="zh-CN"/>
        </w:rPr>
        <w:t xml:space="preserve"> </w:t>
      </w:r>
      <w:r>
        <w:rPr>
          <w:rFonts w:hint="eastAsia"/>
          <w:color w:val="auto"/>
        </w:rPr>
        <w:t>高处坠落</w:t>
      </w:r>
      <w:bookmarkEnd w:id="81"/>
    </w:p>
    <w:p w14:paraId="18E87AE2">
      <w:pPr>
        <w:bidi w:val="0"/>
        <w:rPr>
          <w:rFonts w:hint="eastAsia"/>
          <w:color w:val="auto"/>
        </w:rPr>
      </w:pPr>
      <w:r>
        <w:rPr>
          <w:rFonts w:hint="eastAsia"/>
          <w:color w:val="auto"/>
        </w:rPr>
        <w:t>在距坠落高度基准面2m或2m以上，有可能坠落的高处进行的作业均称为高处作业。作业高度分为2～5m；5～15m；15～30m；＞30m四个区域。相应高处作业分级为Ⅰ、Ⅱ、Ⅲ、Ⅳ四级。</w:t>
      </w:r>
    </w:p>
    <w:p w14:paraId="233F7B18">
      <w:pPr>
        <w:bidi w:val="0"/>
        <w:rPr>
          <w:rFonts w:hint="eastAsia"/>
          <w:color w:val="auto"/>
        </w:rPr>
      </w:pPr>
      <w:r>
        <w:rPr>
          <w:rFonts w:hint="eastAsia"/>
          <w:color w:val="auto"/>
        </w:rPr>
        <w:t>直接引起坠落的客观危险因素分为：</w:t>
      </w:r>
    </w:p>
    <w:p w14:paraId="32B18825">
      <w:pPr>
        <w:bidi w:val="0"/>
        <w:rPr>
          <w:rFonts w:hint="eastAsia"/>
          <w:color w:val="auto"/>
        </w:rPr>
      </w:pPr>
      <w:r>
        <w:rPr>
          <w:rFonts w:hint="eastAsia"/>
          <w:color w:val="auto"/>
        </w:rPr>
        <w:t>（1）阵风风力六级</w:t>
      </w:r>
      <w:r>
        <w:rPr>
          <w:rFonts w:hint="eastAsia"/>
          <w:color w:val="auto"/>
          <w:lang w:eastAsia="zh-CN"/>
        </w:rPr>
        <w:t>（</w:t>
      </w:r>
      <w:r>
        <w:rPr>
          <w:rFonts w:hint="eastAsia"/>
          <w:color w:val="auto"/>
        </w:rPr>
        <w:t>风速10.8m/s</w:t>
      </w:r>
      <w:r>
        <w:rPr>
          <w:rFonts w:hint="eastAsia"/>
          <w:color w:val="auto"/>
          <w:lang w:eastAsia="zh-CN"/>
        </w:rPr>
        <w:t>）</w:t>
      </w:r>
      <w:r>
        <w:rPr>
          <w:rFonts w:hint="eastAsia"/>
          <w:color w:val="auto"/>
        </w:rPr>
        <w:t>以上；</w:t>
      </w:r>
    </w:p>
    <w:p w14:paraId="2675C77D">
      <w:pPr>
        <w:bidi w:val="0"/>
        <w:rPr>
          <w:rFonts w:hint="eastAsia"/>
          <w:color w:val="auto"/>
        </w:rPr>
      </w:pPr>
      <w:r>
        <w:rPr>
          <w:rFonts w:hint="eastAsia"/>
          <w:color w:val="auto"/>
        </w:rPr>
        <w:t>（</w:t>
      </w:r>
      <w:r>
        <w:rPr>
          <w:rFonts w:hint="eastAsia"/>
          <w:color w:val="auto"/>
          <w:lang w:val="en-US" w:eastAsia="zh-CN"/>
        </w:rPr>
        <w:t>2</w:t>
      </w:r>
      <w:r>
        <w:rPr>
          <w:rFonts w:hint="eastAsia"/>
          <w:color w:val="auto"/>
        </w:rPr>
        <w:t>）气温低于10℃的室外环境；</w:t>
      </w:r>
    </w:p>
    <w:p w14:paraId="082E66B8">
      <w:pPr>
        <w:bidi w:val="0"/>
        <w:rPr>
          <w:rFonts w:hint="eastAsia"/>
          <w:color w:val="auto"/>
        </w:rPr>
      </w:pPr>
      <w:r>
        <w:rPr>
          <w:rFonts w:hint="eastAsia"/>
          <w:color w:val="auto"/>
        </w:rPr>
        <w:t>（</w:t>
      </w:r>
      <w:r>
        <w:rPr>
          <w:rFonts w:hint="eastAsia"/>
          <w:color w:val="auto"/>
          <w:lang w:val="en-US" w:eastAsia="zh-CN"/>
        </w:rPr>
        <w:t>3</w:t>
      </w:r>
      <w:r>
        <w:rPr>
          <w:rFonts w:hint="eastAsia"/>
          <w:color w:val="auto"/>
        </w:rPr>
        <w:t>）场地有冰、雪、霜、水、油等易滑物；</w:t>
      </w:r>
    </w:p>
    <w:p w14:paraId="1DE59FB1">
      <w:pPr>
        <w:bidi w:val="0"/>
        <w:rPr>
          <w:rFonts w:hint="eastAsia"/>
          <w:color w:val="auto"/>
        </w:rPr>
      </w:pPr>
      <w:r>
        <w:rPr>
          <w:rFonts w:hint="eastAsia"/>
          <w:color w:val="auto"/>
        </w:rPr>
        <w:t>（</w:t>
      </w:r>
      <w:r>
        <w:rPr>
          <w:rFonts w:hint="eastAsia"/>
          <w:color w:val="auto"/>
          <w:lang w:val="en-US" w:eastAsia="zh-CN"/>
        </w:rPr>
        <w:t>4</w:t>
      </w:r>
      <w:r>
        <w:rPr>
          <w:rFonts w:hint="eastAsia"/>
          <w:color w:val="auto"/>
        </w:rPr>
        <w:t>）自然光线不足，能见度差；</w:t>
      </w:r>
    </w:p>
    <w:p w14:paraId="19242C0B">
      <w:pPr>
        <w:bidi w:val="0"/>
        <w:rPr>
          <w:rFonts w:hint="eastAsia"/>
          <w:color w:val="auto"/>
        </w:rPr>
      </w:pPr>
      <w:r>
        <w:rPr>
          <w:rFonts w:hint="eastAsia"/>
          <w:color w:val="auto"/>
        </w:rPr>
        <w:t>（</w:t>
      </w:r>
      <w:r>
        <w:rPr>
          <w:rFonts w:hint="eastAsia"/>
          <w:color w:val="auto"/>
          <w:lang w:val="en-US" w:eastAsia="zh-CN"/>
        </w:rPr>
        <w:t>5</w:t>
      </w:r>
      <w:r>
        <w:rPr>
          <w:rFonts w:hint="eastAsia"/>
          <w:color w:val="auto"/>
        </w:rPr>
        <w:t>）接近或接触危险电压带电体；</w:t>
      </w:r>
    </w:p>
    <w:p w14:paraId="1E11A965">
      <w:pPr>
        <w:bidi w:val="0"/>
        <w:rPr>
          <w:rFonts w:hint="eastAsia"/>
          <w:color w:val="auto"/>
        </w:rPr>
      </w:pPr>
      <w:r>
        <w:rPr>
          <w:rFonts w:hint="eastAsia"/>
          <w:color w:val="auto"/>
        </w:rPr>
        <w:t>（</w:t>
      </w:r>
      <w:r>
        <w:rPr>
          <w:rFonts w:hint="eastAsia"/>
          <w:color w:val="auto"/>
          <w:lang w:val="en-US" w:eastAsia="zh-CN"/>
        </w:rPr>
        <w:t>6</w:t>
      </w:r>
      <w:r>
        <w:rPr>
          <w:rFonts w:hint="eastAsia"/>
          <w:color w:val="auto"/>
        </w:rPr>
        <w:t>）摆动，立足处不是平面或只有很小的平面，致使作业者无法维持正常姿势；</w:t>
      </w:r>
    </w:p>
    <w:p w14:paraId="5487AC41">
      <w:pPr>
        <w:bidi w:val="0"/>
        <w:rPr>
          <w:rFonts w:hint="eastAsia"/>
          <w:color w:val="auto"/>
        </w:rPr>
      </w:pPr>
      <w:r>
        <w:rPr>
          <w:rFonts w:hint="eastAsia"/>
          <w:color w:val="auto"/>
        </w:rPr>
        <w:t>（</w:t>
      </w:r>
      <w:r>
        <w:rPr>
          <w:rFonts w:hint="eastAsia"/>
          <w:color w:val="auto"/>
          <w:lang w:val="en-US" w:eastAsia="zh-CN"/>
        </w:rPr>
        <w:t>7</w:t>
      </w:r>
      <w:r>
        <w:rPr>
          <w:rFonts w:hint="eastAsia"/>
          <w:color w:val="auto"/>
        </w:rPr>
        <w:t>）抢救突然发生的各种灾害事故。</w:t>
      </w:r>
    </w:p>
    <w:p w14:paraId="618D5CB7">
      <w:pPr>
        <w:bidi w:val="0"/>
        <w:rPr>
          <w:rFonts w:hint="eastAsia"/>
          <w:color w:val="auto"/>
        </w:rPr>
      </w:pPr>
      <w:r>
        <w:rPr>
          <w:rFonts w:hint="eastAsia"/>
          <w:color w:val="auto"/>
        </w:rPr>
        <w:t>厂内各个工序的的高处平台比较多，可能发生高处坠落的位置也就较多。在这些平台、高空通道及斜梯上应安装牢固的防护栏杆。如果防护栏杆、挡板、踏板等设施质量不好、焊接不牢固，可能会造成人员高处坠落。这种事故的原因主要是：</w:t>
      </w:r>
    </w:p>
    <w:p w14:paraId="6BB66A6D">
      <w:pPr>
        <w:bidi w:val="0"/>
        <w:rPr>
          <w:rFonts w:hint="eastAsia"/>
          <w:color w:val="auto"/>
        </w:rPr>
      </w:pPr>
      <w:r>
        <w:rPr>
          <w:rFonts w:hint="eastAsia"/>
          <w:color w:val="auto"/>
        </w:rPr>
        <w:t>1）不进行高处作业审批（包括检修磨机时，人员站立在磨机人孔边缘）、不正规敷设跳板、不系安全带、防护用具失效；</w:t>
      </w:r>
    </w:p>
    <w:p w14:paraId="4E57F472">
      <w:pPr>
        <w:bidi w:val="0"/>
        <w:rPr>
          <w:rFonts w:hint="eastAsia"/>
          <w:color w:val="auto"/>
        </w:rPr>
      </w:pPr>
      <w:r>
        <w:rPr>
          <w:rFonts w:hint="eastAsia"/>
          <w:color w:val="auto"/>
        </w:rPr>
        <w:t>2）生产现场存在隐患，主要是指建（构）筑物主要设备预留孔、吊装孔不设栏杆或不加盖板，钢平台、楼梯扶手等处严重腐蚀或开焊，以及未设防护围栏等；</w:t>
      </w:r>
    </w:p>
    <w:p w14:paraId="7791E087">
      <w:pPr>
        <w:bidi w:val="0"/>
        <w:rPr>
          <w:rFonts w:hint="eastAsia"/>
          <w:color w:val="auto"/>
        </w:rPr>
      </w:pPr>
      <w:r>
        <w:rPr>
          <w:rFonts w:hint="eastAsia"/>
          <w:color w:val="auto"/>
        </w:rPr>
        <w:t>3）未设置操作平台或操作平台没有设置防护栏杆。</w:t>
      </w:r>
    </w:p>
    <w:p w14:paraId="591B698E">
      <w:pPr>
        <w:bidi w:val="0"/>
        <w:rPr>
          <w:rFonts w:hint="eastAsia"/>
          <w:color w:val="auto"/>
        </w:rPr>
      </w:pPr>
      <w:r>
        <w:rPr>
          <w:rFonts w:hint="eastAsia"/>
          <w:color w:val="auto"/>
        </w:rPr>
        <w:t>本项目中，各生产工序、公用工程及辅助设施均有可能发生高处坠落，主要包括输送廊、高处平台、通道、斜梯、设备设施顶部、检维修现场、其他高处作业现场等。</w:t>
      </w:r>
    </w:p>
    <w:p w14:paraId="7890FB3E">
      <w:pPr>
        <w:bidi w:val="0"/>
        <w:rPr>
          <w:rFonts w:hint="eastAsia"/>
          <w:color w:val="auto"/>
        </w:rPr>
      </w:pPr>
      <w:r>
        <w:rPr>
          <w:rFonts w:hint="eastAsia"/>
          <w:color w:val="auto"/>
        </w:rPr>
        <w:t>可能存在的部位：运行过程中检修平台、厂房内的作业平台，设备设施检修地点等。</w:t>
      </w:r>
    </w:p>
    <w:p w14:paraId="7478B34B">
      <w:pPr>
        <w:pStyle w:val="4"/>
        <w:bidi w:val="0"/>
        <w:rPr>
          <w:rFonts w:hint="eastAsia"/>
          <w:color w:val="auto"/>
        </w:rPr>
      </w:pPr>
      <w:bookmarkStart w:id="82" w:name="_Toc1606"/>
      <w:r>
        <w:rPr>
          <w:rFonts w:hint="eastAsia"/>
          <w:color w:val="auto"/>
        </w:rPr>
        <w:t>3.3.4</w:t>
      </w:r>
      <w:r>
        <w:rPr>
          <w:rFonts w:hint="eastAsia"/>
          <w:color w:val="auto"/>
          <w:lang w:val="en-US" w:eastAsia="zh-CN"/>
        </w:rPr>
        <w:t xml:space="preserve"> </w:t>
      </w:r>
      <w:r>
        <w:rPr>
          <w:rFonts w:hint="eastAsia"/>
          <w:color w:val="auto"/>
        </w:rPr>
        <w:t>触电</w:t>
      </w:r>
      <w:bookmarkEnd w:id="82"/>
    </w:p>
    <w:p w14:paraId="3E37E596">
      <w:pPr>
        <w:bidi w:val="0"/>
        <w:rPr>
          <w:rFonts w:hint="eastAsia"/>
          <w:color w:val="auto"/>
        </w:rPr>
      </w:pPr>
      <w:r>
        <w:rPr>
          <w:rFonts w:hint="eastAsia"/>
          <w:color w:val="auto"/>
        </w:rPr>
        <w:t>引起触电事故的主要原因，除了设备缺陷、设计缺陷等技术因素外，大部分是由于违章指挥、违章操作引起的。产生触电的原因分析如下：</w:t>
      </w:r>
    </w:p>
    <w:p w14:paraId="309C7352">
      <w:pPr>
        <w:bidi w:val="0"/>
        <w:rPr>
          <w:rFonts w:hint="eastAsia"/>
          <w:color w:val="auto"/>
        </w:rPr>
      </w:pPr>
      <w:r>
        <w:rPr>
          <w:rFonts w:hint="eastAsia"/>
          <w:color w:val="auto"/>
        </w:rPr>
        <w:t>（1）电气设施、电气线路或电气设备在设计、安装上存在缺陷，或在运行过程中，缺乏必要的检修维护，使设备或线路存在带电部位裸露漏电、过热、短路、接头松脱、断线碰壳、绝缘老化、绝缘击穿、绝缘损坏、断线等隐患；</w:t>
      </w:r>
    </w:p>
    <w:p w14:paraId="10F28321">
      <w:pPr>
        <w:bidi w:val="0"/>
        <w:rPr>
          <w:rFonts w:hint="eastAsia"/>
          <w:color w:val="auto"/>
        </w:rPr>
      </w:pPr>
      <w:r>
        <w:rPr>
          <w:rFonts w:hint="eastAsia"/>
          <w:color w:val="auto"/>
        </w:rPr>
        <w:t>（2）未采取必要的安全技术措施（如：电气设施的接零、接地；漏电保护；短路及欠压保护；错向闭锁、未上锁/挂牌等）或安全技术措施失效；</w:t>
      </w:r>
    </w:p>
    <w:p w14:paraId="1481B483">
      <w:pPr>
        <w:bidi w:val="0"/>
        <w:rPr>
          <w:rFonts w:hint="eastAsia"/>
          <w:color w:val="auto"/>
        </w:rPr>
      </w:pPr>
      <w:r>
        <w:rPr>
          <w:rFonts w:hint="eastAsia"/>
          <w:color w:val="auto"/>
        </w:rPr>
        <w:t>（3）电气设备运行管理不当，电气安全管理制度不完善；</w:t>
      </w:r>
    </w:p>
    <w:p w14:paraId="1F5BEDF6">
      <w:pPr>
        <w:bidi w:val="0"/>
        <w:rPr>
          <w:rFonts w:hint="eastAsia"/>
          <w:color w:val="auto"/>
        </w:rPr>
      </w:pPr>
      <w:r>
        <w:rPr>
          <w:rFonts w:hint="eastAsia"/>
          <w:color w:val="auto"/>
        </w:rPr>
        <w:t>（4）电工、机电设备操作人员操作失误，或违章作业等；</w:t>
      </w:r>
    </w:p>
    <w:p w14:paraId="13FAF7B9">
      <w:pPr>
        <w:bidi w:val="0"/>
        <w:rPr>
          <w:rFonts w:hint="eastAsia"/>
          <w:color w:val="auto"/>
        </w:rPr>
      </w:pPr>
      <w:r>
        <w:rPr>
          <w:rFonts w:hint="eastAsia"/>
          <w:color w:val="auto"/>
        </w:rPr>
        <w:t>（5）施工、检修过程中临时用电，未采取相应的漏电保护措施；</w:t>
      </w:r>
    </w:p>
    <w:p w14:paraId="402B991A">
      <w:pPr>
        <w:bidi w:val="0"/>
        <w:rPr>
          <w:rFonts w:hint="eastAsia"/>
          <w:color w:val="auto"/>
        </w:rPr>
      </w:pPr>
      <w:r>
        <w:rPr>
          <w:rFonts w:hint="eastAsia"/>
          <w:color w:val="auto"/>
        </w:rPr>
        <w:t>（6）配电站、车间低压电气线路、电缆敷设不规范，用电设备无漏电保护、短路保护、过载保护措施、电气开关设施安全距离不符合标准规范、电气设备外露部位无屏护等因素，存在触电危险。</w:t>
      </w:r>
    </w:p>
    <w:p w14:paraId="199A5C21">
      <w:pPr>
        <w:bidi w:val="0"/>
        <w:rPr>
          <w:rFonts w:hint="eastAsia"/>
          <w:color w:val="auto"/>
        </w:rPr>
      </w:pPr>
      <w:r>
        <w:rPr>
          <w:rFonts w:hint="eastAsia"/>
          <w:color w:val="auto"/>
        </w:rPr>
        <w:t>（7）高低压供配电设施安全距离不符合标准规定，无“五防”功能或功能不全等，作业人员工作时易发生触电事故。</w:t>
      </w:r>
    </w:p>
    <w:p w14:paraId="26018992">
      <w:pPr>
        <w:bidi w:val="0"/>
        <w:rPr>
          <w:rFonts w:hint="eastAsia"/>
          <w:color w:val="auto"/>
        </w:rPr>
      </w:pPr>
      <w:r>
        <w:rPr>
          <w:rFonts w:hint="eastAsia"/>
          <w:color w:val="auto"/>
        </w:rPr>
        <w:t>（8）作业人员违反电气作业安全规程违章作业、或缺乏安全用电常识或电气设备本身出现故障等原因，可能造成触电伤害。</w:t>
      </w:r>
    </w:p>
    <w:p w14:paraId="44F80E9C">
      <w:pPr>
        <w:bidi w:val="0"/>
        <w:rPr>
          <w:rFonts w:hint="eastAsia"/>
          <w:color w:val="auto"/>
        </w:rPr>
      </w:pPr>
      <w:r>
        <w:rPr>
          <w:rFonts w:hint="eastAsia"/>
          <w:color w:val="auto"/>
        </w:rPr>
        <w:t>针对选矿厂生产过程中，以下因素均可能导致触电事故的发生。</w:t>
      </w:r>
    </w:p>
    <w:p w14:paraId="2158B7D1">
      <w:pPr>
        <w:bidi w:val="0"/>
        <w:rPr>
          <w:rFonts w:hint="eastAsia"/>
          <w:color w:val="auto"/>
        </w:rPr>
      </w:pPr>
      <w:r>
        <w:rPr>
          <w:rFonts w:hint="eastAsia"/>
          <w:color w:val="auto"/>
        </w:rPr>
        <w:t>1）带式输送机、磁选机、磨矿机等机电设备在运行过程中，因故障而造成设备内部绝缘击穿或外部绝缘破损；</w:t>
      </w:r>
    </w:p>
    <w:p w14:paraId="4456512D">
      <w:pPr>
        <w:bidi w:val="0"/>
        <w:rPr>
          <w:rFonts w:hint="eastAsia"/>
          <w:color w:val="auto"/>
        </w:rPr>
      </w:pPr>
      <w:r>
        <w:rPr>
          <w:rFonts w:hint="eastAsia"/>
          <w:color w:val="auto"/>
        </w:rPr>
        <w:t>2）设备无接地装置或接地失效；</w:t>
      </w:r>
    </w:p>
    <w:p w14:paraId="29D63733">
      <w:pPr>
        <w:bidi w:val="0"/>
        <w:rPr>
          <w:rFonts w:hint="eastAsia"/>
          <w:color w:val="auto"/>
        </w:rPr>
      </w:pPr>
      <w:r>
        <w:rPr>
          <w:rFonts w:hint="eastAsia"/>
          <w:color w:val="auto"/>
        </w:rPr>
        <w:t>3）无漏电保护器；</w:t>
      </w:r>
    </w:p>
    <w:p w14:paraId="7C9A75BC">
      <w:pPr>
        <w:bidi w:val="0"/>
        <w:rPr>
          <w:rFonts w:hint="eastAsia"/>
          <w:color w:val="auto"/>
        </w:rPr>
      </w:pPr>
      <w:r>
        <w:rPr>
          <w:rFonts w:hint="eastAsia"/>
          <w:color w:val="auto"/>
        </w:rPr>
        <w:t>4）断电检修设备时，未严格执行停送电制度，误合闸；</w:t>
      </w:r>
    </w:p>
    <w:p w14:paraId="1C34D6DB">
      <w:pPr>
        <w:bidi w:val="0"/>
        <w:rPr>
          <w:rFonts w:hint="eastAsia"/>
          <w:color w:val="auto"/>
        </w:rPr>
      </w:pPr>
      <w:r>
        <w:rPr>
          <w:rFonts w:hint="eastAsia"/>
          <w:color w:val="auto"/>
        </w:rPr>
        <w:t>5）作业人员在带电检修高压设备时因三绝（绝缘手套、绝缘靴、绝缘工具）破损；</w:t>
      </w:r>
    </w:p>
    <w:p w14:paraId="0E83C3E7">
      <w:pPr>
        <w:bidi w:val="0"/>
        <w:rPr>
          <w:rFonts w:hint="eastAsia"/>
          <w:color w:val="auto"/>
        </w:rPr>
      </w:pPr>
      <w:r>
        <w:rPr>
          <w:rFonts w:hint="eastAsia"/>
          <w:color w:val="auto"/>
        </w:rPr>
        <w:t>6）人员在维护和检修高低压配电所内的高低压设备时违章操作；</w:t>
      </w:r>
    </w:p>
    <w:p w14:paraId="3D0371F6">
      <w:pPr>
        <w:bidi w:val="0"/>
        <w:rPr>
          <w:rFonts w:hint="eastAsia"/>
          <w:color w:val="auto"/>
        </w:rPr>
      </w:pPr>
      <w:r>
        <w:rPr>
          <w:rFonts w:hint="eastAsia"/>
          <w:color w:val="auto"/>
        </w:rPr>
        <w:t>7）电缆架设高度不符合设计要求，电缆铺设不规范，有裸露接头等；</w:t>
      </w:r>
    </w:p>
    <w:p w14:paraId="7A3F062B">
      <w:pPr>
        <w:bidi w:val="0"/>
        <w:rPr>
          <w:rFonts w:hint="eastAsia"/>
          <w:color w:val="auto"/>
        </w:rPr>
      </w:pPr>
      <w:r>
        <w:rPr>
          <w:rFonts w:hint="eastAsia"/>
          <w:color w:val="auto"/>
        </w:rPr>
        <w:t>8）检修作业不填写操作票或不执行监护制度，使用不合格绝缘工具和电气工具；</w:t>
      </w:r>
    </w:p>
    <w:p w14:paraId="4EE822D6">
      <w:pPr>
        <w:bidi w:val="0"/>
        <w:rPr>
          <w:rFonts w:hint="eastAsia"/>
          <w:color w:val="auto"/>
        </w:rPr>
      </w:pPr>
      <w:r>
        <w:rPr>
          <w:rFonts w:hint="eastAsia"/>
          <w:color w:val="auto"/>
        </w:rPr>
        <w:t>9）线路或电气设备工作完毕，未办理工作票终结手续，就对停电设备恢复送电；</w:t>
      </w:r>
    </w:p>
    <w:p w14:paraId="62CE486B">
      <w:pPr>
        <w:bidi w:val="0"/>
        <w:rPr>
          <w:rFonts w:hint="eastAsia"/>
          <w:color w:val="auto"/>
        </w:rPr>
      </w:pPr>
      <w:r>
        <w:rPr>
          <w:rFonts w:hint="eastAsia"/>
          <w:color w:val="auto"/>
        </w:rPr>
        <w:t>10）在带电设备附近进行作业，未制定安全措施，未设立监护人员，安全距离不符合规定；</w:t>
      </w:r>
    </w:p>
    <w:p w14:paraId="1E30DB3C">
      <w:pPr>
        <w:bidi w:val="0"/>
        <w:rPr>
          <w:rFonts w:hint="eastAsia"/>
          <w:color w:val="auto"/>
        </w:rPr>
      </w:pPr>
      <w:r>
        <w:rPr>
          <w:rFonts w:hint="eastAsia"/>
          <w:color w:val="auto"/>
        </w:rPr>
        <w:t>11）跨越安全围栏或在警戒区内误碰带电设备，在带电设备附近使用导电工具或携带超高金属物体在带电设备下行走；</w:t>
      </w:r>
    </w:p>
    <w:p w14:paraId="272C2316">
      <w:pPr>
        <w:bidi w:val="0"/>
        <w:rPr>
          <w:rFonts w:hint="eastAsia"/>
          <w:color w:val="auto"/>
        </w:rPr>
      </w:pPr>
      <w:r>
        <w:rPr>
          <w:rFonts w:hint="eastAsia"/>
          <w:color w:val="auto"/>
        </w:rPr>
        <w:t>12）绝缘胶鞋破损透水，作业者身体或使用工具碰到带电设备或电气线路上；</w:t>
      </w:r>
    </w:p>
    <w:p w14:paraId="32BD557D">
      <w:pPr>
        <w:bidi w:val="0"/>
        <w:rPr>
          <w:rFonts w:hint="eastAsia"/>
          <w:color w:val="auto"/>
        </w:rPr>
      </w:pPr>
      <w:r>
        <w:rPr>
          <w:rFonts w:hint="eastAsia"/>
          <w:color w:val="auto"/>
        </w:rPr>
        <w:t>13）悬挂标志不醒目或未悬挂标志；</w:t>
      </w:r>
    </w:p>
    <w:p w14:paraId="736F774E">
      <w:pPr>
        <w:bidi w:val="0"/>
        <w:rPr>
          <w:rFonts w:hint="eastAsia"/>
          <w:color w:val="auto"/>
        </w:rPr>
      </w:pPr>
      <w:r>
        <w:rPr>
          <w:rFonts w:hint="eastAsia"/>
          <w:color w:val="auto"/>
        </w:rPr>
        <w:t>14）工作人员擅自扩大工作范围；</w:t>
      </w:r>
    </w:p>
    <w:p w14:paraId="624C266C">
      <w:pPr>
        <w:bidi w:val="0"/>
        <w:rPr>
          <w:rFonts w:hint="eastAsia"/>
          <w:color w:val="auto"/>
        </w:rPr>
      </w:pPr>
      <w:r>
        <w:rPr>
          <w:rFonts w:hint="eastAsia"/>
          <w:color w:val="auto"/>
        </w:rPr>
        <w:t>15）使用电动工具不戴绝缘手套；</w:t>
      </w:r>
    </w:p>
    <w:p w14:paraId="08797681">
      <w:pPr>
        <w:bidi w:val="0"/>
        <w:rPr>
          <w:rFonts w:hint="eastAsia"/>
          <w:color w:val="auto"/>
        </w:rPr>
      </w:pPr>
      <w:r>
        <w:rPr>
          <w:rFonts w:hint="eastAsia"/>
          <w:color w:val="auto"/>
        </w:rPr>
        <w:t>16）在有限空间作业检修，未使用安全电压。</w:t>
      </w:r>
    </w:p>
    <w:p w14:paraId="5A0D39E2">
      <w:pPr>
        <w:bidi w:val="0"/>
        <w:rPr>
          <w:rFonts w:hint="eastAsia"/>
          <w:color w:val="auto"/>
        </w:rPr>
      </w:pPr>
      <w:r>
        <w:rPr>
          <w:rFonts w:hint="eastAsia"/>
          <w:color w:val="auto"/>
        </w:rPr>
        <w:t>17）安全管理工作存在疏漏。</w:t>
      </w:r>
    </w:p>
    <w:p w14:paraId="71B087B2">
      <w:pPr>
        <w:bidi w:val="0"/>
        <w:rPr>
          <w:rFonts w:hint="eastAsia"/>
          <w:color w:val="auto"/>
        </w:rPr>
      </w:pPr>
      <w:r>
        <w:rPr>
          <w:rFonts w:hint="eastAsia"/>
          <w:color w:val="auto"/>
        </w:rPr>
        <w:t>18）厂房潮湿漏电导致触电。</w:t>
      </w:r>
    </w:p>
    <w:p w14:paraId="04AF588A">
      <w:pPr>
        <w:bidi w:val="0"/>
        <w:rPr>
          <w:rFonts w:hint="eastAsia"/>
          <w:color w:val="auto"/>
        </w:rPr>
      </w:pPr>
      <w:r>
        <w:rPr>
          <w:rFonts w:hint="eastAsia"/>
          <w:color w:val="auto"/>
        </w:rPr>
        <w:t>本项目高、低压电气设备均可能导致触电事故发生，发生触电的主要原因有：</w:t>
      </w:r>
    </w:p>
    <w:p w14:paraId="7C9AE4AA">
      <w:pPr>
        <w:bidi w:val="0"/>
        <w:rPr>
          <w:rFonts w:hint="eastAsia"/>
          <w:color w:val="auto"/>
        </w:rPr>
      </w:pPr>
      <w:r>
        <w:rPr>
          <w:rFonts w:hint="eastAsia"/>
          <w:color w:val="auto"/>
        </w:rPr>
        <w:t>①配电设施布置不合理或屏护设施不符合要求导致人和带电体接触。</w:t>
      </w:r>
    </w:p>
    <w:p w14:paraId="60CC9127">
      <w:pPr>
        <w:bidi w:val="0"/>
        <w:rPr>
          <w:rFonts w:hint="eastAsia"/>
          <w:color w:val="auto"/>
        </w:rPr>
      </w:pPr>
      <w:r>
        <w:rPr>
          <w:rFonts w:hint="eastAsia"/>
          <w:color w:val="auto"/>
        </w:rPr>
        <w:t>②接地装置故障或者接地埋设不当、接地电阻不达标致使设备带电。</w:t>
      </w:r>
    </w:p>
    <w:p w14:paraId="6724607A">
      <w:pPr>
        <w:bidi w:val="0"/>
        <w:rPr>
          <w:rFonts w:hint="eastAsia"/>
          <w:color w:val="auto"/>
        </w:rPr>
      </w:pPr>
      <w:r>
        <w:rPr>
          <w:rFonts w:hint="eastAsia"/>
          <w:color w:val="auto"/>
        </w:rPr>
        <w:t>③进行维修电路故障作业时三相短路保护未设、带电体处于人能触摸的范围，检修时检修电源未安装触电保护器。</w:t>
      </w:r>
    </w:p>
    <w:p w14:paraId="256FFD83">
      <w:pPr>
        <w:bidi w:val="0"/>
        <w:rPr>
          <w:rFonts w:hint="eastAsia"/>
          <w:color w:val="auto"/>
        </w:rPr>
      </w:pPr>
      <w:r>
        <w:rPr>
          <w:rFonts w:hint="eastAsia"/>
          <w:color w:val="auto"/>
        </w:rPr>
        <w:t>④电网接地系统缺陷，没有电网接地系统对地电阻的定期检测，导致接地系统功能失效，从而导致触电事故发生。</w:t>
      </w:r>
    </w:p>
    <w:p w14:paraId="4E476B13">
      <w:pPr>
        <w:bidi w:val="0"/>
        <w:rPr>
          <w:rFonts w:hint="eastAsia"/>
          <w:color w:val="auto"/>
        </w:rPr>
      </w:pPr>
      <w:r>
        <w:rPr>
          <w:rFonts w:hint="eastAsia"/>
          <w:color w:val="auto"/>
        </w:rPr>
        <w:t>⑤安全标志不清晰、危险区域监护不严等都可能导致人员触电事故。</w:t>
      </w:r>
    </w:p>
    <w:p w14:paraId="5296A6EB">
      <w:pPr>
        <w:bidi w:val="0"/>
        <w:rPr>
          <w:rFonts w:hint="eastAsia"/>
          <w:color w:val="auto"/>
        </w:rPr>
      </w:pPr>
      <w:r>
        <w:rPr>
          <w:rFonts w:hint="eastAsia"/>
          <w:color w:val="auto"/>
        </w:rPr>
        <w:t>⑥临时接线不合理，接头电阻大，无任何标志，易引发人员触电。</w:t>
      </w:r>
    </w:p>
    <w:p w14:paraId="5BE18461">
      <w:pPr>
        <w:bidi w:val="0"/>
        <w:rPr>
          <w:rFonts w:hint="eastAsia"/>
          <w:color w:val="auto"/>
        </w:rPr>
      </w:pPr>
      <w:r>
        <w:rPr>
          <w:rFonts w:hint="eastAsia"/>
          <w:color w:val="auto"/>
        </w:rPr>
        <w:t>⑦没有严格执行调度命令，未执行操作票制度、无票操作或随意改变操作顺序。</w:t>
      </w:r>
    </w:p>
    <w:p w14:paraId="508B631B">
      <w:pPr>
        <w:bidi w:val="0"/>
        <w:rPr>
          <w:rFonts w:hint="eastAsia"/>
          <w:color w:val="auto"/>
        </w:rPr>
      </w:pPr>
      <w:r>
        <w:rPr>
          <w:rFonts w:hint="eastAsia"/>
          <w:color w:val="auto"/>
        </w:rPr>
        <w:t>⑧高压绝缘用具的检测、移动电气设备及手持电动工具未定期检验检测，作业时未使用或使用不合格的安全工器具。</w:t>
      </w:r>
    </w:p>
    <w:p w14:paraId="46F9D00C">
      <w:pPr>
        <w:bidi w:val="0"/>
        <w:rPr>
          <w:rFonts w:hint="eastAsia"/>
          <w:color w:val="auto"/>
        </w:rPr>
      </w:pPr>
      <w:r>
        <w:rPr>
          <w:rFonts w:hint="eastAsia"/>
          <w:color w:val="auto"/>
        </w:rPr>
        <w:t>⑨运行人员不熟悉防误装置的管理办法和实施细则，未做到“四懂三会。</w:t>
      </w:r>
    </w:p>
    <w:p w14:paraId="465F7C9C">
      <w:pPr>
        <w:bidi w:val="0"/>
        <w:rPr>
          <w:rFonts w:hint="eastAsia"/>
          <w:color w:val="auto"/>
        </w:rPr>
      </w:pPr>
      <w:r>
        <w:rPr>
          <w:rFonts w:hint="eastAsia"/>
          <w:color w:val="auto"/>
        </w:rPr>
        <w:t>⑩变配电站的两票四制执行不力、高压绝缘用具性能不良或使用不当、配电柜的二次护缺失、PE线与PN线的布置不当、移动电气设备与手持电动工具的管理不到位、电气临时电源线路的管理、电气维修挂牌作业等操作不当都可能导致触电。</w:t>
      </w:r>
    </w:p>
    <w:p w14:paraId="6305688B">
      <w:pPr>
        <w:bidi w:val="0"/>
        <w:rPr>
          <w:rFonts w:hint="eastAsia"/>
          <w:color w:val="auto"/>
        </w:rPr>
      </w:pPr>
      <w:r>
        <w:rPr>
          <w:rFonts w:hint="eastAsia"/>
          <w:color w:val="auto"/>
        </w:rPr>
        <w:t>存在的部位：各设备电机、照明线路、变配电所（室）、手持电动工具、检修现场等。</w:t>
      </w:r>
    </w:p>
    <w:p w14:paraId="28B53828">
      <w:pPr>
        <w:pStyle w:val="4"/>
        <w:bidi w:val="0"/>
        <w:rPr>
          <w:rFonts w:hint="eastAsia"/>
          <w:color w:val="auto"/>
        </w:rPr>
      </w:pPr>
      <w:bookmarkStart w:id="83" w:name="_Toc16912"/>
      <w:r>
        <w:rPr>
          <w:rFonts w:hint="eastAsia"/>
          <w:color w:val="auto"/>
        </w:rPr>
        <w:t>3.3.5</w:t>
      </w:r>
      <w:r>
        <w:rPr>
          <w:rFonts w:hint="eastAsia"/>
          <w:color w:val="auto"/>
          <w:lang w:val="en-US" w:eastAsia="zh-CN"/>
        </w:rPr>
        <w:t xml:space="preserve"> </w:t>
      </w:r>
      <w:r>
        <w:rPr>
          <w:rFonts w:hint="eastAsia"/>
          <w:color w:val="auto"/>
        </w:rPr>
        <w:t>淹溺</w:t>
      </w:r>
      <w:bookmarkEnd w:id="83"/>
    </w:p>
    <w:p w14:paraId="2ABD06C1">
      <w:pPr>
        <w:bidi w:val="0"/>
        <w:rPr>
          <w:rFonts w:hint="eastAsia"/>
          <w:color w:val="auto"/>
        </w:rPr>
      </w:pPr>
      <w:r>
        <w:rPr>
          <w:rFonts w:hint="eastAsia"/>
          <w:color w:val="auto"/>
        </w:rPr>
        <w:t>该厂设有回水池，由于常有蓄水，蓄水能力较大，其四周缺少安全警示标志、护栏或照明不足，人员可能不慎坠入，可能造成淹溺事故。选矿厂回水池等投入使用及检修过程中，由于无安全防护设施或设施损坏及管理措施不到位等，易发生人员不慎掉入池中导致淹溺事故。</w:t>
      </w:r>
    </w:p>
    <w:p w14:paraId="4AEDA1F2">
      <w:pPr>
        <w:bidi w:val="0"/>
        <w:rPr>
          <w:rFonts w:hint="eastAsia"/>
          <w:color w:val="auto"/>
        </w:rPr>
      </w:pPr>
      <w:r>
        <w:rPr>
          <w:rFonts w:hint="eastAsia"/>
          <w:color w:val="auto"/>
        </w:rPr>
        <w:t>可能存在的部位：回水池等。</w:t>
      </w:r>
    </w:p>
    <w:p w14:paraId="6023BA46">
      <w:pPr>
        <w:pStyle w:val="4"/>
        <w:bidi w:val="0"/>
        <w:rPr>
          <w:rFonts w:hint="eastAsia"/>
          <w:color w:val="auto"/>
        </w:rPr>
      </w:pPr>
      <w:bookmarkStart w:id="84" w:name="_Toc7624"/>
      <w:r>
        <w:rPr>
          <w:rFonts w:hint="eastAsia"/>
          <w:color w:val="auto"/>
        </w:rPr>
        <w:t>3.3.6</w:t>
      </w:r>
      <w:r>
        <w:rPr>
          <w:rFonts w:hint="eastAsia"/>
          <w:color w:val="auto"/>
          <w:lang w:val="en-US" w:eastAsia="zh-CN"/>
        </w:rPr>
        <w:t xml:space="preserve"> </w:t>
      </w:r>
      <w:r>
        <w:rPr>
          <w:rFonts w:hint="eastAsia"/>
          <w:color w:val="auto"/>
        </w:rPr>
        <w:t>火灾</w:t>
      </w:r>
      <w:bookmarkEnd w:id="84"/>
    </w:p>
    <w:p w14:paraId="297D839E">
      <w:pPr>
        <w:bidi w:val="0"/>
        <w:rPr>
          <w:rFonts w:hint="eastAsia"/>
          <w:color w:val="auto"/>
        </w:rPr>
      </w:pPr>
      <w:r>
        <w:rPr>
          <w:rFonts w:hint="eastAsia"/>
          <w:color w:val="auto"/>
        </w:rPr>
        <w:t>（1）可燃物</w:t>
      </w:r>
    </w:p>
    <w:p w14:paraId="0CCC265F">
      <w:pPr>
        <w:bidi w:val="0"/>
        <w:rPr>
          <w:rFonts w:hint="eastAsia"/>
          <w:color w:val="auto"/>
        </w:rPr>
      </w:pPr>
      <w:r>
        <w:rPr>
          <w:rFonts w:hint="eastAsia"/>
          <w:color w:val="auto"/>
        </w:rPr>
        <w:t>项目生产过程中可能因为电路故障发生火灾事故，730A</w:t>
      </w:r>
      <w:r>
        <w:rPr>
          <w:rFonts w:hint="eastAsia"/>
          <w:color w:val="auto"/>
          <w:lang w:eastAsia="zh-CN"/>
        </w:rPr>
        <w:t>、</w:t>
      </w:r>
      <w:r>
        <w:rPr>
          <w:rFonts w:hint="eastAsia"/>
          <w:color w:val="auto"/>
        </w:rPr>
        <w:t>硫化钠为可燃性液体，遇到点火源可能发生火灾，如果建构筑物防火间距、耐火等级不足，消防通道及消防设施不完善，安全出口等设置不合理，在发生事故后，逃生通道不畅通，容易导致事故后果扩大。</w:t>
      </w:r>
    </w:p>
    <w:p w14:paraId="79566539">
      <w:pPr>
        <w:bidi w:val="0"/>
        <w:rPr>
          <w:rFonts w:hint="eastAsia"/>
          <w:color w:val="auto"/>
        </w:rPr>
      </w:pPr>
      <w:r>
        <w:rPr>
          <w:rFonts w:hint="eastAsia"/>
          <w:color w:val="auto"/>
        </w:rPr>
        <w:t>（2）变压器火灾</w:t>
      </w:r>
    </w:p>
    <w:p w14:paraId="1F559098">
      <w:pPr>
        <w:bidi w:val="0"/>
        <w:rPr>
          <w:rFonts w:hint="eastAsia"/>
          <w:color w:val="auto"/>
        </w:rPr>
      </w:pPr>
      <w:r>
        <w:rPr>
          <w:rFonts w:hint="eastAsia"/>
          <w:color w:val="auto"/>
        </w:rPr>
        <w:t>变压器的绝缘材料，如电缆线、漆布、木材、黄漆布带、棉布、棉纱、浸渍纸等属可燃物质，在变压器长时间过载发热、短路或其它异常情况下，均易燃烧着火。</w:t>
      </w:r>
    </w:p>
    <w:p w14:paraId="6ACEF8A2">
      <w:pPr>
        <w:bidi w:val="0"/>
        <w:rPr>
          <w:rFonts w:hint="eastAsia"/>
          <w:color w:val="auto"/>
        </w:rPr>
      </w:pPr>
      <w:r>
        <w:rPr>
          <w:rFonts w:hint="eastAsia"/>
          <w:color w:val="auto"/>
        </w:rPr>
        <w:t>造成变压器绝缘损伤短路，产生电弧的主要原因有：</w:t>
      </w:r>
    </w:p>
    <w:p w14:paraId="50CAEE2B">
      <w:pPr>
        <w:bidi w:val="0"/>
        <w:rPr>
          <w:rFonts w:hint="eastAsia"/>
          <w:color w:val="auto"/>
        </w:rPr>
      </w:pPr>
      <w:r>
        <w:rPr>
          <w:rFonts w:hint="eastAsia"/>
          <w:color w:val="auto"/>
        </w:rPr>
        <w:t>1）变压器里的绝缘材料如电缆纸、棉纱、布料、木块等长期在较高温度作用下逐步老化，使绝缘强度降低、脱落，引起线圈匝间短路。</w:t>
      </w:r>
    </w:p>
    <w:p w14:paraId="2F96121E">
      <w:pPr>
        <w:bidi w:val="0"/>
        <w:rPr>
          <w:rFonts w:hint="eastAsia"/>
          <w:color w:val="auto"/>
        </w:rPr>
      </w:pPr>
      <w:r>
        <w:rPr>
          <w:rFonts w:hint="eastAsia"/>
          <w:color w:val="auto"/>
        </w:rPr>
        <w:t>2）在过电压冲击下，变压器发生穿越性故障。</w:t>
      </w:r>
    </w:p>
    <w:p w14:paraId="460D2F40">
      <w:pPr>
        <w:bidi w:val="0"/>
        <w:rPr>
          <w:rFonts w:hint="eastAsia"/>
          <w:color w:val="auto"/>
        </w:rPr>
      </w:pPr>
      <w:r>
        <w:rPr>
          <w:rFonts w:hint="eastAsia"/>
          <w:color w:val="auto"/>
        </w:rPr>
        <w:t>3）检修质量不良使局部绝缘损伤。</w:t>
      </w:r>
    </w:p>
    <w:p w14:paraId="1BA845FE">
      <w:pPr>
        <w:bidi w:val="0"/>
        <w:rPr>
          <w:rFonts w:hint="eastAsia"/>
          <w:color w:val="auto"/>
        </w:rPr>
      </w:pPr>
      <w:r>
        <w:rPr>
          <w:rFonts w:hint="eastAsia"/>
          <w:color w:val="auto"/>
        </w:rPr>
        <w:t>4）变压器油质劣化或变压器进水受潮。</w:t>
      </w:r>
    </w:p>
    <w:p w14:paraId="303383D6">
      <w:pPr>
        <w:bidi w:val="0"/>
        <w:rPr>
          <w:rFonts w:hint="eastAsia"/>
          <w:color w:val="auto"/>
        </w:rPr>
      </w:pPr>
      <w:r>
        <w:rPr>
          <w:rFonts w:hint="eastAsia"/>
          <w:color w:val="auto"/>
        </w:rPr>
        <w:t>5）变压器长期过载发热。</w:t>
      </w:r>
    </w:p>
    <w:p w14:paraId="56EE0A48">
      <w:pPr>
        <w:bidi w:val="0"/>
        <w:rPr>
          <w:rFonts w:hint="eastAsia"/>
          <w:color w:val="auto"/>
        </w:rPr>
      </w:pPr>
      <w:r>
        <w:rPr>
          <w:rFonts w:hint="eastAsia"/>
          <w:color w:val="auto"/>
        </w:rPr>
        <w:t>（3）电缆火灾</w:t>
      </w:r>
    </w:p>
    <w:p w14:paraId="0926B067">
      <w:pPr>
        <w:bidi w:val="0"/>
        <w:rPr>
          <w:rFonts w:hint="eastAsia"/>
          <w:color w:val="auto"/>
        </w:rPr>
      </w:pPr>
      <w:r>
        <w:rPr>
          <w:rFonts w:hint="eastAsia"/>
          <w:color w:val="auto"/>
        </w:rPr>
        <w:t>电缆的绝缘材料、填充物和保护层如浸渍纸、漆布、橡胶、塑料等均属可燃物质，具有火灾危险性。</w:t>
      </w:r>
    </w:p>
    <w:p w14:paraId="10A75E20">
      <w:pPr>
        <w:bidi w:val="0"/>
        <w:rPr>
          <w:rFonts w:hint="eastAsia"/>
          <w:color w:val="auto"/>
        </w:rPr>
      </w:pPr>
      <w:r>
        <w:rPr>
          <w:rFonts w:hint="eastAsia"/>
          <w:color w:val="auto"/>
        </w:rPr>
        <w:t>引起电缆火灾的原因有外部起火引起的着火、有电缆本身缺陷引起的着火。</w:t>
      </w:r>
    </w:p>
    <w:p w14:paraId="695A59E7">
      <w:pPr>
        <w:bidi w:val="0"/>
        <w:rPr>
          <w:rFonts w:hint="eastAsia"/>
          <w:color w:val="auto"/>
        </w:rPr>
      </w:pPr>
      <w:r>
        <w:rPr>
          <w:rFonts w:hint="eastAsia"/>
          <w:color w:val="auto"/>
        </w:rPr>
        <w:t>1）外部起火引起电缆着火的原因主要有：</w:t>
      </w:r>
    </w:p>
    <w:p w14:paraId="112B9022">
      <w:pPr>
        <w:bidi w:val="0"/>
        <w:rPr>
          <w:rFonts w:hint="eastAsia"/>
          <w:color w:val="auto"/>
        </w:rPr>
      </w:pPr>
      <w:r>
        <w:rPr>
          <w:rFonts w:hint="eastAsia"/>
          <w:color w:val="auto"/>
        </w:rPr>
        <w:t>①开关设备、其他电气设备短路或接触电阻过大产生高温起火将附近电缆引燃。</w:t>
      </w:r>
    </w:p>
    <w:p w14:paraId="09EA8FFB">
      <w:pPr>
        <w:bidi w:val="0"/>
        <w:rPr>
          <w:rFonts w:hint="eastAsia"/>
          <w:color w:val="auto"/>
        </w:rPr>
      </w:pPr>
      <w:r>
        <w:rPr>
          <w:rFonts w:hint="eastAsia"/>
          <w:color w:val="auto"/>
        </w:rPr>
        <w:t>②安装施工和检修时高温焊渣等掉到电缆上引起着火。</w:t>
      </w:r>
    </w:p>
    <w:p w14:paraId="2A1C7463">
      <w:pPr>
        <w:bidi w:val="0"/>
        <w:rPr>
          <w:rFonts w:hint="eastAsia"/>
          <w:color w:val="auto"/>
        </w:rPr>
      </w:pPr>
      <w:r>
        <w:rPr>
          <w:rFonts w:hint="eastAsia"/>
          <w:color w:val="auto"/>
        </w:rPr>
        <w:t>③其他可燃、易燃物质着火后将附近电缆引燃。</w:t>
      </w:r>
    </w:p>
    <w:p w14:paraId="34CCBC8C">
      <w:pPr>
        <w:bidi w:val="0"/>
        <w:rPr>
          <w:rFonts w:hint="eastAsia"/>
          <w:color w:val="auto"/>
        </w:rPr>
      </w:pPr>
      <w:r>
        <w:rPr>
          <w:rFonts w:hint="eastAsia"/>
          <w:color w:val="auto"/>
        </w:rPr>
        <w:t>2）电缆本身缺陷引起电缆着火的原因：</w:t>
      </w:r>
    </w:p>
    <w:p w14:paraId="41C3B622">
      <w:pPr>
        <w:bidi w:val="0"/>
        <w:rPr>
          <w:rFonts w:hint="eastAsia"/>
          <w:color w:val="auto"/>
        </w:rPr>
      </w:pPr>
      <w:r>
        <w:rPr>
          <w:rFonts w:hint="eastAsia"/>
          <w:color w:val="auto"/>
        </w:rPr>
        <w:t>①电缆本身在制造时有缺陷，在敷设时保护铅皮损坏或在运行中电缆绝缘受到机械损伤，引起电缆相间或相与铅皮之间的绝缘击穿而发生电弧。电弧高温能引燃电缆内的绝缘材料和电缆外层的麻布等。</w:t>
      </w:r>
    </w:p>
    <w:p w14:paraId="2FD6C103">
      <w:pPr>
        <w:bidi w:val="0"/>
        <w:rPr>
          <w:rFonts w:hint="eastAsia"/>
          <w:color w:val="auto"/>
        </w:rPr>
      </w:pPr>
      <w:r>
        <w:rPr>
          <w:rFonts w:hint="eastAsia"/>
          <w:color w:val="auto"/>
        </w:rPr>
        <w:t>②电缆长期受水、酸、碱和其他腐蚀性气体或液体腐蚀，使保护层破坏，绝缘强度降低，引起电缆短路起火。</w:t>
      </w:r>
    </w:p>
    <w:p w14:paraId="05CEA299">
      <w:pPr>
        <w:bidi w:val="0"/>
        <w:rPr>
          <w:rFonts w:hint="eastAsia"/>
          <w:color w:val="auto"/>
        </w:rPr>
      </w:pPr>
      <w:r>
        <w:rPr>
          <w:rFonts w:hint="eastAsia"/>
          <w:color w:val="auto"/>
        </w:rPr>
        <w:t>③在长时间运行中，由于过负荷、过热等原因使电缆绝缘加速老化、干枯，绝缘强度降低，引起电缆相间或对地击穿短路起火。</w:t>
      </w:r>
    </w:p>
    <w:p w14:paraId="71A54DE1">
      <w:pPr>
        <w:bidi w:val="0"/>
        <w:rPr>
          <w:rFonts w:hint="eastAsia"/>
          <w:color w:val="auto"/>
        </w:rPr>
      </w:pPr>
      <w:r>
        <w:rPr>
          <w:rFonts w:hint="eastAsia"/>
          <w:color w:val="auto"/>
        </w:rPr>
        <w:t>④电缆外护套破损或密封不良，使电缆发生水渗浸受潮，导致绝缘击穿短路。</w:t>
      </w:r>
    </w:p>
    <w:p w14:paraId="455E93C9">
      <w:pPr>
        <w:bidi w:val="0"/>
        <w:rPr>
          <w:rFonts w:hint="eastAsia"/>
          <w:color w:val="auto"/>
        </w:rPr>
      </w:pPr>
      <w:r>
        <w:rPr>
          <w:rFonts w:hint="eastAsia"/>
          <w:color w:val="auto"/>
        </w:rPr>
        <w:t>⑤过电压使电缆绝缘击穿发生短路起火。</w:t>
      </w:r>
    </w:p>
    <w:p w14:paraId="4BDA58D4">
      <w:pPr>
        <w:bidi w:val="0"/>
        <w:rPr>
          <w:rFonts w:hint="eastAsia"/>
          <w:color w:val="auto"/>
        </w:rPr>
      </w:pPr>
      <w:r>
        <w:rPr>
          <w:rFonts w:hint="eastAsia"/>
          <w:color w:val="auto"/>
        </w:rPr>
        <w:t>⑥安装时电缆的曲率半径过小，致使绝缘折断受损发生短路。</w:t>
      </w:r>
    </w:p>
    <w:p w14:paraId="4BB81CA1">
      <w:pPr>
        <w:bidi w:val="0"/>
        <w:rPr>
          <w:rFonts w:hint="eastAsia"/>
          <w:color w:val="auto"/>
        </w:rPr>
      </w:pPr>
      <w:r>
        <w:rPr>
          <w:rFonts w:hint="eastAsia"/>
          <w:color w:val="auto"/>
        </w:rPr>
        <w:t>⑦电缆终端接头和中间接头接触不良发生爆炸短路事故，引起电缆着火。</w:t>
      </w:r>
    </w:p>
    <w:p w14:paraId="64DDDFF3">
      <w:pPr>
        <w:bidi w:val="0"/>
        <w:rPr>
          <w:rFonts w:hint="eastAsia"/>
          <w:color w:val="auto"/>
        </w:rPr>
      </w:pPr>
      <w:r>
        <w:rPr>
          <w:rFonts w:hint="eastAsia"/>
          <w:color w:val="auto"/>
        </w:rPr>
        <w:t>3）其它火灾</w:t>
      </w:r>
    </w:p>
    <w:p w14:paraId="1DC17832">
      <w:pPr>
        <w:bidi w:val="0"/>
        <w:rPr>
          <w:rFonts w:hint="eastAsia"/>
          <w:color w:val="auto"/>
        </w:rPr>
      </w:pPr>
      <w:r>
        <w:rPr>
          <w:rFonts w:hint="eastAsia"/>
          <w:color w:val="auto"/>
        </w:rPr>
        <w:t>常用电气包括断路器、隔离开关、电动机、照明灯具等火灾危险性较大的电气设备。这些电气设备在发生故障时，可能会引燃绝缘材料或其它可燃物质，造成火灾事故的发生。</w:t>
      </w:r>
    </w:p>
    <w:p w14:paraId="1750D58F">
      <w:pPr>
        <w:bidi w:val="0"/>
        <w:rPr>
          <w:rFonts w:hint="eastAsia"/>
          <w:color w:val="auto"/>
        </w:rPr>
      </w:pPr>
      <w:r>
        <w:rPr>
          <w:rFonts w:hint="eastAsia"/>
          <w:color w:val="auto"/>
        </w:rPr>
        <w:t>电、气焊（割）作业过程中高温焊渣或熔融的金属火星飞溅到可燃物质上，会引起火灾。</w:t>
      </w:r>
    </w:p>
    <w:p w14:paraId="5719F692">
      <w:pPr>
        <w:bidi w:val="0"/>
        <w:rPr>
          <w:rFonts w:hint="eastAsia"/>
          <w:color w:val="auto"/>
        </w:rPr>
      </w:pPr>
      <w:r>
        <w:rPr>
          <w:rFonts w:hint="eastAsia"/>
          <w:color w:val="auto"/>
        </w:rPr>
        <w:t>设备上使用的润滑油具有可燃性，如遇明火或强氧化剂，也有发生火灾的可能。</w:t>
      </w:r>
    </w:p>
    <w:p w14:paraId="2FDB7A7A">
      <w:pPr>
        <w:bidi w:val="0"/>
        <w:rPr>
          <w:rFonts w:hint="eastAsia"/>
          <w:color w:val="auto"/>
        </w:rPr>
      </w:pPr>
      <w:r>
        <w:rPr>
          <w:rFonts w:hint="eastAsia"/>
          <w:color w:val="auto"/>
        </w:rPr>
        <w:t>本项目中，各生产工序、公用工程及辅助设施均有可能发生电气火灾，主要包括变配电所（室）、电气室、控制室、主电缆通道等。</w:t>
      </w:r>
    </w:p>
    <w:p w14:paraId="2BB6A480">
      <w:pPr>
        <w:bidi w:val="0"/>
        <w:rPr>
          <w:rFonts w:hint="eastAsia"/>
          <w:color w:val="auto"/>
        </w:rPr>
      </w:pPr>
      <w:r>
        <w:rPr>
          <w:rFonts w:hint="eastAsia"/>
          <w:color w:val="auto"/>
        </w:rPr>
        <w:t>可能存在的部位：药剂室、各电气室、控制室、变配电柜及厂房等部位。</w:t>
      </w:r>
    </w:p>
    <w:p w14:paraId="7B7FFC79">
      <w:pPr>
        <w:pStyle w:val="4"/>
        <w:bidi w:val="0"/>
        <w:rPr>
          <w:rFonts w:hint="eastAsia"/>
          <w:color w:val="auto"/>
        </w:rPr>
      </w:pPr>
      <w:bookmarkStart w:id="85" w:name="_Toc31052"/>
      <w:r>
        <w:rPr>
          <w:rFonts w:hint="eastAsia"/>
          <w:color w:val="auto"/>
        </w:rPr>
        <w:t>3.3.7</w:t>
      </w:r>
      <w:r>
        <w:rPr>
          <w:rFonts w:hint="eastAsia"/>
          <w:color w:val="auto"/>
          <w:lang w:val="en-US" w:eastAsia="zh-CN"/>
        </w:rPr>
        <w:t xml:space="preserve"> </w:t>
      </w:r>
      <w:r>
        <w:rPr>
          <w:rFonts w:hint="eastAsia"/>
          <w:color w:val="auto"/>
        </w:rPr>
        <w:t>车辆伤害</w:t>
      </w:r>
      <w:bookmarkEnd w:id="85"/>
    </w:p>
    <w:p w14:paraId="27AB385F">
      <w:pPr>
        <w:bidi w:val="0"/>
        <w:rPr>
          <w:rFonts w:hint="eastAsia"/>
          <w:color w:val="auto"/>
        </w:rPr>
      </w:pPr>
      <w:r>
        <w:rPr>
          <w:rFonts w:hint="eastAsia"/>
          <w:color w:val="auto"/>
        </w:rPr>
        <w:t>选矿厂精矿、尾矿及辅料采用汽车运输。在运输行驶过程中，由于违章载人、违章作业或作业场地狭窄而导致人员坠落和物体倒塌、下落、挤压伤亡事故；车辆在行驶过程中，由于道路坡陡弯急、行车速度快、车辆故障、违章驾驶、制动失灵、信号标志缺失等，易发生翻车、撞坏设备和撞伤人员等车辆伤害事故。</w:t>
      </w:r>
    </w:p>
    <w:p w14:paraId="34E6C937">
      <w:pPr>
        <w:bidi w:val="0"/>
        <w:rPr>
          <w:rFonts w:hint="eastAsia"/>
          <w:color w:val="auto"/>
        </w:rPr>
      </w:pPr>
      <w:r>
        <w:rPr>
          <w:rFonts w:hint="eastAsia"/>
          <w:color w:val="auto"/>
        </w:rPr>
        <w:t>可能存在的部位：精矿堆场、尾矿堆场、辅料运输等。</w:t>
      </w:r>
    </w:p>
    <w:p w14:paraId="13C7AB64">
      <w:pPr>
        <w:pStyle w:val="4"/>
        <w:bidi w:val="0"/>
        <w:rPr>
          <w:rFonts w:hint="eastAsia"/>
          <w:color w:val="auto"/>
        </w:rPr>
      </w:pPr>
      <w:bookmarkStart w:id="86" w:name="_Toc1767"/>
      <w:r>
        <w:rPr>
          <w:rFonts w:hint="eastAsia"/>
          <w:color w:val="auto"/>
        </w:rPr>
        <w:t>3.3.8</w:t>
      </w:r>
      <w:r>
        <w:rPr>
          <w:rFonts w:hint="eastAsia"/>
          <w:color w:val="auto"/>
          <w:lang w:val="en-US" w:eastAsia="zh-CN"/>
        </w:rPr>
        <w:t xml:space="preserve"> 中毒和</w:t>
      </w:r>
      <w:r>
        <w:rPr>
          <w:rFonts w:hint="eastAsia"/>
          <w:color w:val="auto"/>
        </w:rPr>
        <w:t>窒息</w:t>
      </w:r>
      <w:bookmarkEnd w:id="86"/>
    </w:p>
    <w:p w14:paraId="7989E716">
      <w:pPr>
        <w:bidi w:val="0"/>
        <w:rPr>
          <w:rFonts w:hint="eastAsia"/>
          <w:color w:val="auto"/>
        </w:rPr>
      </w:pPr>
      <w:r>
        <w:rPr>
          <w:rFonts w:hint="eastAsia"/>
          <w:color w:val="auto"/>
        </w:rPr>
        <w:t>（1）进入有限空间作业，未进行通风置换或无监护人，造成窒息；</w:t>
      </w:r>
    </w:p>
    <w:p w14:paraId="10B79845">
      <w:pPr>
        <w:bidi w:val="0"/>
        <w:rPr>
          <w:rFonts w:hint="eastAsia"/>
          <w:color w:val="auto"/>
        </w:rPr>
      </w:pPr>
      <w:r>
        <w:rPr>
          <w:rFonts w:hint="eastAsia"/>
          <w:color w:val="auto"/>
        </w:rPr>
        <w:t>（2）进入设置排污泵的低洼水池检修，由于未进行通风置换，造成中毒窒息。</w:t>
      </w:r>
    </w:p>
    <w:p w14:paraId="125AEADA">
      <w:pPr>
        <w:bidi w:val="0"/>
        <w:rPr>
          <w:rFonts w:hint="eastAsia"/>
          <w:color w:val="auto"/>
        </w:rPr>
      </w:pPr>
      <w:r>
        <w:rPr>
          <w:rFonts w:hint="eastAsia"/>
          <w:color w:val="auto"/>
        </w:rPr>
        <w:t>（3）脱水车间没有配备相应的通风装置或应急设施。</w:t>
      </w:r>
    </w:p>
    <w:p w14:paraId="0B260AD4">
      <w:pPr>
        <w:bidi w:val="0"/>
        <w:rPr>
          <w:rFonts w:hint="eastAsia"/>
          <w:color w:val="auto"/>
        </w:rPr>
      </w:pPr>
      <w:r>
        <w:rPr>
          <w:rFonts w:hint="eastAsia"/>
          <w:color w:val="auto"/>
        </w:rPr>
        <w:t>（4）配备的通风装置或应急设施没有定期检查其效能，易导致人员中毒后不能及时处理，从而造成人员伤亡。</w:t>
      </w:r>
    </w:p>
    <w:p w14:paraId="5D5E4AD4">
      <w:pPr>
        <w:bidi w:val="0"/>
        <w:rPr>
          <w:rFonts w:hint="eastAsia"/>
          <w:color w:val="auto"/>
        </w:rPr>
      </w:pPr>
      <w:r>
        <w:rPr>
          <w:rFonts w:hint="eastAsia"/>
          <w:color w:val="auto"/>
        </w:rPr>
        <w:t>（5）没有对员工进行急救措施的培训，易导致人员中毒后不能及时处理，从而造成人员伤亡。</w:t>
      </w:r>
    </w:p>
    <w:p w14:paraId="5746B0F1">
      <w:pPr>
        <w:bidi w:val="0"/>
        <w:rPr>
          <w:rFonts w:hint="eastAsia"/>
          <w:color w:val="auto"/>
        </w:rPr>
      </w:pPr>
      <w:r>
        <w:rPr>
          <w:rFonts w:hint="eastAsia"/>
          <w:color w:val="auto"/>
        </w:rPr>
        <w:t>（6）空气置换不彻底，作业人员没有穿戴防护用品和防毒面具，没有填报危险作业票（或未审批），未安排专人监护就进入有毒容器进行检修，易导致中毒事故的发生。</w:t>
      </w:r>
    </w:p>
    <w:p w14:paraId="522CD1B4">
      <w:pPr>
        <w:bidi w:val="0"/>
        <w:rPr>
          <w:rFonts w:hint="eastAsia"/>
          <w:color w:val="auto"/>
        </w:rPr>
      </w:pPr>
      <w:r>
        <w:rPr>
          <w:rFonts w:hint="eastAsia"/>
          <w:color w:val="auto"/>
        </w:rPr>
        <w:t>（7）未配置冲淋设施。</w:t>
      </w:r>
    </w:p>
    <w:p w14:paraId="3322B432">
      <w:pPr>
        <w:bidi w:val="0"/>
        <w:rPr>
          <w:rFonts w:hint="eastAsia"/>
          <w:color w:val="auto"/>
        </w:rPr>
      </w:pPr>
      <w:r>
        <w:rPr>
          <w:rFonts w:hint="eastAsia"/>
          <w:color w:val="auto"/>
        </w:rPr>
        <w:t>药剂硫化钠有毒且由于硫化钠等硫酸盐在酸性环境下可能产生硫化氢气体、厌氧条件下硫酸盐还原菌SRB还原SO</w:t>
      </w:r>
      <w:r>
        <w:rPr>
          <w:rFonts w:hint="eastAsia"/>
          <w:color w:val="auto"/>
          <w:vertAlign w:val="subscript"/>
        </w:rPr>
        <w:t>4</w:t>
      </w:r>
      <w:r>
        <w:rPr>
          <w:rFonts w:hint="eastAsia"/>
          <w:color w:val="auto"/>
          <w:vertAlign w:val="superscript"/>
        </w:rPr>
        <w:t>2-</w:t>
      </w:r>
      <w:r>
        <w:rPr>
          <w:rFonts w:hint="eastAsia"/>
          <w:color w:val="auto"/>
        </w:rPr>
        <w:t>产生H</w:t>
      </w:r>
      <w:r>
        <w:rPr>
          <w:rFonts w:hint="eastAsia"/>
          <w:color w:val="auto"/>
          <w:vertAlign w:val="subscript"/>
        </w:rPr>
        <w:t>2</w:t>
      </w:r>
      <w:r>
        <w:rPr>
          <w:rFonts w:hint="eastAsia"/>
          <w:color w:val="auto"/>
        </w:rPr>
        <w:t>S气体、含硫的有机物在微生物的作用下产生H</w:t>
      </w:r>
      <w:r>
        <w:rPr>
          <w:rFonts w:hint="eastAsia"/>
          <w:color w:val="auto"/>
          <w:vertAlign w:val="subscript"/>
        </w:rPr>
        <w:t>2</w:t>
      </w:r>
      <w:r>
        <w:rPr>
          <w:rFonts w:hint="eastAsia"/>
          <w:color w:val="auto"/>
        </w:rPr>
        <w:t>S气体，故在浮选过程中，药剂搅拌桶、回水池等有限空间可能产生硫化氢气体。</w:t>
      </w:r>
    </w:p>
    <w:p w14:paraId="3524B855">
      <w:pPr>
        <w:bidi w:val="0"/>
        <w:rPr>
          <w:rFonts w:hint="eastAsia"/>
          <w:color w:val="auto"/>
        </w:rPr>
      </w:pPr>
      <w:r>
        <w:rPr>
          <w:rFonts w:hint="eastAsia"/>
          <w:color w:val="auto"/>
        </w:rPr>
        <w:t>作业人员进入球磨机等有限空间进行检查、维修作业时，如未严格实行作业审批制度，擅自进入有限空间作业；未严格按照“先通风、再检测、后作业”的原则，或通风不良；未为作业人员配备个人防中毒窒息等防护装备，设置安全警示标识，无防护监护措施作业；未对作业人员进行安全培训，或教育培训不合格上岗作业；未制定应急措施，现场配备应急装备，盲目施救等可能会导致中毒和窒息事故的发生。</w:t>
      </w:r>
    </w:p>
    <w:p w14:paraId="6AF3837F">
      <w:pPr>
        <w:bidi w:val="0"/>
        <w:rPr>
          <w:rFonts w:hint="eastAsia"/>
          <w:color w:val="auto"/>
        </w:rPr>
      </w:pPr>
      <w:r>
        <w:rPr>
          <w:rFonts w:hint="eastAsia"/>
          <w:color w:val="auto"/>
        </w:rPr>
        <w:t>可能存在的部位：球磨机</w:t>
      </w:r>
      <w:r>
        <w:rPr>
          <w:rFonts w:hint="eastAsia"/>
          <w:color w:val="auto"/>
          <w:lang w:eastAsia="zh-CN"/>
        </w:rPr>
        <w:t>、</w:t>
      </w:r>
      <w:r>
        <w:rPr>
          <w:rFonts w:hint="eastAsia"/>
          <w:color w:val="auto"/>
          <w:lang w:val="en-US" w:eastAsia="zh-CN"/>
        </w:rPr>
        <w:t>药剂室、药剂搅拌桶、回水池</w:t>
      </w:r>
      <w:r>
        <w:rPr>
          <w:rFonts w:hint="eastAsia"/>
          <w:color w:val="auto"/>
        </w:rPr>
        <w:t>等部位。</w:t>
      </w:r>
    </w:p>
    <w:p w14:paraId="29AE1D59">
      <w:pPr>
        <w:pStyle w:val="4"/>
        <w:bidi w:val="0"/>
        <w:rPr>
          <w:rFonts w:hint="eastAsia"/>
          <w:color w:val="auto"/>
        </w:rPr>
      </w:pPr>
      <w:bookmarkStart w:id="87" w:name="_Toc30990"/>
      <w:r>
        <w:rPr>
          <w:rFonts w:hint="eastAsia"/>
          <w:color w:val="auto"/>
        </w:rPr>
        <w:t>3.3.9</w:t>
      </w:r>
      <w:r>
        <w:rPr>
          <w:rFonts w:hint="eastAsia"/>
          <w:color w:val="auto"/>
          <w:lang w:val="en-US" w:eastAsia="zh-CN"/>
        </w:rPr>
        <w:t xml:space="preserve"> </w:t>
      </w:r>
      <w:r>
        <w:rPr>
          <w:rFonts w:hint="eastAsia"/>
          <w:color w:val="auto"/>
        </w:rPr>
        <w:t>容器爆炸</w:t>
      </w:r>
      <w:bookmarkEnd w:id="87"/>
    </w:p>
    <w:p w14:paraId="0BCB4DA7">
      <w:pPr>
        <w:bidi w:val="0"/>
        <w:rPr>
          <w:rFonts w:hint="eastAsia"/>
          <w:color w:val="auto"/>
        </w:rPr>
      </w:pPr>
      <w:r>
        <w:rPr>
          <w:rFonts w:hint="eastAsia"/>
          <w:color w:val="auto"/>
        </w:rPr>
        <w:t>在进行气焊（割）作业时，使用的乙炔是易燃易爆气体，使用的氧气具有强烈的助燃性，如果控制不好，很容易发生燃烧或引起爆炸。</w:t>
      </w:r>
    </w:p>
    <w:p w14:paraId="333ACD09">
      <w:pPr>
        <w:bidi w:val="0"/>
        <w:rPr>
          <w:rFonts w:hint="eastAsia"/>
          <w:color w:val="auto"/>
        </w:rPr>
      </w:pPr>
      <w:r>
        <w:rPr>
          <w:rFonts w:hint="eastAsia"/>
          <w:color w:val="auto"/>
        </w:rPr>
        <w:t>可能存在的部位：主要包括检维修现场、仓库、其他存放易燃易爆物品的场所等。</w:t>
      </w:r>
    </w:p>
    <w:p w14:paraId="1E9F4955">
      <w:pPr>
        <w:pStyle w:val="4"/>
        <w:bidi w:val="0"/>
        <w:rPr>
          <w:rFonts w:hint="eastAsia"/>
          <w:color w:val="auto"/>
        </w:rPr>
      </w:pPr>
      <w:bookmarkStart w:id="88" w:name="_Toc8036"/>
      <w:r>
        <w:rPr>
          <w:rFonts w:hint="eastAsia"/>
          <w:color w:val="auto"/>
        </w:rPr>
        <w:t>3.3.10</w:t>
      </w:r>
      <w:r>
        <w:rPr>
          <w:rFonts w:hint="eastAsia"/>
          <w:color w:val="auto"/>
          <w:lang w:val="en-US" w:eastAsia="zh-CN"/>
        </w:rPr>
        <w:t xml:space="preserve"> </w:t>
      </w:r>
      <w:r>
        <w:rPr>
          <w:rFonts w:hint="eastAsia"/>
          <w:color w:val="auto"/>
        </w:rPr>
        <w:t>化学腐蚀及化学灼伤</w:t>
      </w:r>
      <w:bookmarkEnd w:id="88"/>
    </w:p>
    <w:p w14:paraId="3C2F3809">
      <w:pPr>
        <w:bidi w:val="0"/>
        <w:rPr>
          <w:rFonts w:hint="eastAsia"/>
          <w:color w:val="auto"/>
        </w:rPr>
      </w:pPr>
      <w:r>
        <w:rPr>
          <w:rFonts w:hint="eastAsia"/>
          <w:color w:val="auto"/>
        </w:rPr>
        <w:t>能造成腐蚀危害的物质主要是柴油等物质，具有很强的腐蚀性，因此，腐蚀危害也是使用必须重点防范的危险、有害因素之一。</w:t>
      </w:r>
    </w:p>
    <w:p w14:paraId="5A7223EF">
      <w:pPr>
        <w:bidi w:val="0"/>
        <w:rPr>
          <w:rFonts w:hint="eastAsia"/>
          <w:color w:val="auto"/>
        </w:rPr>
      </w:pPr>
      <w:r>
        <w:rPr>
          <w:rFonts w:hint="eastAsia"/>
          <w:color w:val="auto"/>
        </w:rPr>
        <w:t>可能存在的部位：备品备料库等。</w:t>
      </w:r>
    </w:p>
    <w:p w14:paraId="16C8F7AC">
      <w:pPr>
        <w:pStyle w:val="4"/>
        <w:bidi w:val="0"/>
        <w:rPr>
          <w:rFonts w:hint="eastAsia"/>
          <w:color w:val="auto"/>
        </w:rPr>
      </w:pPr>
      <w:bookmarkStart w:id="89" w:name="_Toc3318"/>
      <w:r>
        <w:rPr>
          <w:rFonts w:hint="eastAsia"/>
          <w:color w:val="auto"/>
        </w:rPr>
        <w:t>3.3.1</w:t>
      </w:r>
      <w:r>
        <w:rPr>
          <w:rFonts w:hint="eastAsia"/>
          <w:color w:val="auto"/>
          <w:lang w:val="en-US" w:eastAsia="zh-CN"/>
        </w:rPr>
        <w:t xml:space="preserve">1 </w:t>
      </w:r>
      <w:r>
        <w:rPr>
          <w:rFonts w:hint="eastAsia"/>
          <w:color w:val="auto"/>
        </w:rPr>
        <w:t>坍塌、滑坡</w:t>
      </w:r>
      <w:bookmarkEnd w:id="89"/>
    </w:p>
    <w:p w14:paraId="1292716F">
      <w:pPr>
        <w:bidi w:val="0"/>
        <w:rPr>
          <w:rFonts w:hint="eastAsia"/>
          <w:color w:val="auto"/>
        </w:rPr>
      </w:pPr>
      <w:r>
        <w:rPr>
          <w:rFonts w:hint="eastAsia"/>
          <w:color w:val="auto"/>
        </w:rPr>
        <w:t>（1）厂房布置台阶设置过高、坡面角过陡、排洪设施损坏、未设置防滚石设施或设施损坏、未设置挡墙或挡墙损坏、边坡未采取加固措施或加固措施不当、边坡管理不当等，都易造成边坡滚石、滑坡（坍塌）的危险，危及选厂作业人员和设备的安全。</w:t>
      </w:r>
    </w:p>
    <w:p w14:paraId="23E98E1F">
      <w:pPr>
        <w:bidi w:val="0"/>
        <w:rPr>
          <w:rFonts w:hint="eastAsia"/>
          <w:color w:val="auto"/>
        </w:rPr>
      </w:pPr>
      <w:r>
        <w:rPr>
          <w:rFonts w:hint="eastAsia"/>
          <w:color w:val="auto"/>
        </w:rPr>
        <w:t>（2）厂址存在相对高差，雨季可能发生滑坡事故。原矿堆场的原矿堆高过高、尾矿堆场尾矿堆积过高，会造成滑坡事故。</w:t>
      </w:r>
    </w:p>
    <w:p w14:paraId="3905689D">
      <w:pPr>
        <w:bidi w:val="0"/>
        <w:rPr>
          <w:rFonts w:hint="eastAsia"/>
          <w:color w:val="auto"/>
        </w:rPr>
      </w:pPr>
      <w:r>
        <w:rPr>
          <w:rFonts w:hint="eastAsia"/>
          <w:color w:val="auto"/>
        </w:rPr>
        <w:t>（3）建（构）筑物设计不合理，或施工质量不合格、年久失修，可能造成建构筑物坍塌等危险；</w:t>
      </w:r>
    </w:p>
    <w:p w14:paraId="52977BB0">
      <w:pPr>
        <w:bidi w:val="0"/>
        <w:rPr>
          <w:rFonts w:hint="eastAsia"/>
          <w:color w:val="auto"/>
        </w:rPr>
      </w:pPr>
      <w:r>
        <w:rPr>
          <w:rFonts w:hint="eastAsia"/>
          <w:color w:val="auto"/>
        </w:rPr>
        <w:t>可能存在的部位：原料堆场平台、破碎磨矿平台、脱水车间平台等高于2m的作业平台。</w:t>
      </w:r>
    </w:p>
    <w:p w14:paraId="06C442CB">
      <w:pPr>
        <w:pStyle w:val="4"/>
        <w:bidi w:val="0"/>
        <w:rPr>
          <w:rFonts w:hint="eastAsia"/>
          <w:color w:val="auto"/>
        </w:rPr>
      </w:pPr>
      <w:bookmarkStart w:id="90" w:name="_Toc23984"/>
      <w:r>
        <w:rPr>
          <w:rFonts w:hint="eastAsia"/>
          <w:color w:val="auto"/>
        </w:rPr>
        <w:t>3.3.1</w:t>
      </w:r>
      <w:r>
        <w:rPr>
          <w:rFonts w:hint="eastAsia"/>
          <w:color w:val="auto"/>
          <w:lang w:val="en-US" w:eastAsia="zh-CN"/>
        </w:rPr>
        <w:t xml:space="preserve">2 </w:t>
      </w:r>
      <w:r>
        <w:rPr>
          <w:rFonts w:hint="eastAsia"/>
          <w:color w:val="auto"/>
        </w:rPr>
        <w:t>设备、设施、工具、附件缺陷</w:t>
      </w:r>
      <w:bookmarkEnd w:id="90"/>
    </w:p>
    <w:p w14:paraId="104C6C56">
      <w:pPr>
        <w:bidi w:val="0"/>
        <w:rPr>
          <w:rFonts w:hint="eastAsia"/>
          <w:color w:val="auto"/>
        </w:rPr>
      </w:pPr>
      <w:r>
        <w:rPr>
          <w:rFonts w:hint="eastAsia"/>
          <w:color w:val="auto"/>
        </w:rPr>
        <w:t>生产过程中可能存在设备、设施、工具、附件缺陷，主要表现在强度不够、刚度不够、稳定性差、耐腐蚀性差、应力集中、外形缺陷，其中管道腐蚀包括全面腐蚀、局部腐蚀、应力腐蚀，将影响管道运行的期限及使用寿命，增加工程成本。设备、设施、工具、附件缺陷可能造成设施损坏、矿浆渗漏或者造成对周边环境污染。</w:t>
      </w:r>
    </w:p>
    <w:p w14:paraId="16BFF878">
      <w:pPr>
        <w:pStyle w:val="4"/>
        <w:bidi w:val="0"/>
        <w:rPr>
          <w:rFonts w:hint="eastAsia"/>
          <w:color w:val="auto"/>
        </w:rPr>
      </w:pPr>
      <w:bookmarkStart w:id="91" w:name="_Toc11681"/>
      <w:r>
        <w:rPr>
          <w:rFonts w:hint="eastAsia"/>
          <w:color w:val="auto"/>
        </w:rPr>
        <w:t>3.3.1</w:t>
      </w:r>
      <w:r>
        <w:rPr>
          <w:rFonts w:hint="eastAsia"/>
          <w:color w:val="auto"/>
          <w:lang w:val="en-US" w:eastAsia="zh-CN"/>
        </w:rPr>
        <w:t xml:space="preserve">3 </w:t>
      </w:r>
      <w:r>
        <w:rPr>
          <w:rFonts w:hint="eastAsia"/>
          <w:color w:val="auto"/>
        </w:rPr>
        <w:t>其他危害</w:t>
      </w:r>
      <w:bookmarkEnd w:id="91"/>
    </w:p>
    <w:p w14:paraId="042A2FCF">
      <w:pPr>
        <w:bidi w:val="0"/>
        <w:rPr>
          <w:rFonts w:hint="eastAsia"/>
          <w:color w:val="auto"/>
        </w:rPr>
      </w:pPr>
      <w:r>
        <w:rPr>
          <w:rFonts w:hint="eastAsia"/>
          <w:color w:val="auto"/>
        </w:rPr>
        <w:t>（1）粉尘</w:t>
      </w:r>
    </w:p>
    <w:p w14:paraId="4B549672">
      <w:pPr>
        <w:bidi w:val="0"/>
        <w:rPr>
          <w:rFonts w:hint="eastAsia"/>
          <w:color w:val="auto"/>
        </w:rPr>
      </w:pPr>
      <w:r>
        <w:rPr>
          <w:rFonts w:hint="eastAsia"/>
          <w:color w:val="auto"/>
        </w:rPr>
        <w:t>选矿厂带式输送机下料口有大量粉尘产生。若通风排风能力不够，达不到换气要求，空气中粉尘和有害气体含量超标；若未装设除尘（降尘）设备；或除尘（降尘）设备损坏未及时修理，作业人员接触粉尘污染，易患职业病。</w:t>
      </w:r>
    </w:p>
    <w:p w14:paraId="456BBC50">
      <w:pPr>
        <w:bidi w:val="0"/>
        <w:rPr>
          <w:rFonts w:hint="eastAsia"/>
          <w:color w:val="auto"/>
        </w:rPr>
      </w:pPr>
      <w:r>
        <w:rPr>
          <w:rFonts w:hint="eastAsia"/>
          <w:color w:val="auto"/>
        </w:rPr>
        <w:t>（2）噪声危害</w:t>
      </w:r>
    </w:p>
    <w:p w14:paraId="71EA4C30">
      <w:pPr>
        <w:bidi w:val="0"/>
        <w:rPr>
          <w:rFonts w:hint="eastAsia"/>
          <w:color w:val="auto"/>
        </w:rPr>
      </w:pPr>
      <w:r>
        <w:rPr>
          <w:rFonts w:hint="eastAsia"/>
          <w:color w:val="auto"/>
        </w:rPr>
        <w:t>噪声主要来源于各种设备在运转过程中由振动、摩擦、碰撞产生的机械动力噪声。主要噪声源有泵和磨机等设备及各种电动机等，操作人员长期接触噪声超标岗位，可能产生职业病。</w:t>
      </w:r>
    </w:p>
    <w:p w14:paraId="61E35828">
      <w:pPr>
        <w:bidi w:val="0"/>
        <w:rPr>
          <w:rFonts w:hint="eastAsia"/>
          <w:color w:val="auto"/>
        </w:rPr>
      </w:pPr>
      <w:r>
        <w:rPr>
          <w:rFonts w:hint="eastAsia"/>
          <w:color w:val="auto"/>
        </w:rPr>
        <w:t>（3）振动</w:t>
      </w:r>
    </w:p>
    <w:p w14:paraId="3226C48A">
      <w:pPr>
        <w:bidi w:val="0"/>
        <w:rPr>
          <w:rFonts w:hint="eastAsia"/>
          <w:color w:val="auto"/>
        </w:rPr>
      </w:pPr>
      <w:r>
        <w:rPr>
          <w:rFonts w:hint="eastAsia"/>
          <w:color w:val="auto"/>
        </w:rPr>
        <w:t>振动可对人体，建、构筑物和设备、仪器造成危害。</w:t>
      </w:r>
    </w:p>
    <w:p w14:paraId="12E211AC">
      <w:pPr>
        <w:bidi w:val="0"/>
        <w:rPr>
          <w:rFonts w:hint="eastAsia"/>
          <w:color w:val="auto"/>
        </w:rPr>
      </w:pPr>
      <w:r>
        <w:rPr>
          <w:rFonts w:hint="eastAsia"/>
          <w:color w:val="auto"/>
        </w:rPr>
        <w:t>振动对人的危害主要是引起辨别能力和短时记忆能力降低，视力恶化和视野改变，可能引起血压升高，脊柱病变，影响女性生殖功能。局部振动可导致外周循环机能障碍，引起中枢神经系统功能紊乱。</w:t>
      </w:r>
    </w:p>
    <w:p w14:paraId="1E502943">
      <w:pPr>
        <w:bidi w:val="0"/>
        <w:rPr>
          <w:rFonts w:hint="eastAsia"/>
          <w:color w:val="auto"/>
        </w:rPr>
      </w:pPr>
      <w:r>
        <w:rPr>
          <w:rFonts w:hint="eastAsia"/>
          <w:color w:val="auto"/>
        </w:rPr>
        <w:t>振动对建筑的影响主要表现在两个方面：振动施于建筑物，即机械能施于建筑物结构，将造成建筑物结构变形。振动不断地施于建筑物，建筑结构变形将不断增大，就会造成结构受到损坏。可能造成建、构筑物基础和墙皮龟裂，墙皮剥落，地基下沉等。重者可使建筑物倒塌。尤其是当振动频率和建筑物等结构的频率相近或一致时，损坏将更加严重。</w:t>
      </w:r>
    </w:p>
    <w:p w14:paraId="574FFD2B">
      <w:pPr>
        <w:bidi w:val="0"/>
        <w:rPr>
          <w:rFonts w:hint="eastAsia"/>
          <w:color w:val="auto"/>
        </w:rPr>
      </w:pPr>
      <w:r>
        <w:rPr>
          <w:rFonts w:hint="eastAsia"/>
          <w:color w:val="auto"/>
        </w:rPr>
        <w:t>当振动过大时，会直接损害设备、仪器、仪表以及机器上面与温度、压力、过电流、过电压等保护有关的部件，造成设备、仪表读数失常，误操作甚至失控，带来设备控制的不安全因素。</w:t>
      </w:r>
    </w:p>
    <w:p w14:paraId="6AB0C442">
      <w:pPr>
        <w:bidi w:val="0"/>
        <w:rPr>
          <w:rFonts w:hint="eastAsia"/>
          <w:color w:val="auto"/>
        </w:rPr>
      </w:pPr>
      <w:r>
        <w:rPr>
          <w:rFonts w:hint="eastAsia"/>
          <w:color w:val="auto"/>
        </w:rPr>
        <w:t>本项目机械振动是主要振动源，表现在磨矿机等部位，可能导致人员，建、构筑物及设备、仪表受到振动的危害。</w:t>
      </w:r>
    </w:p>
    <w:p w14:paraId="1CA4FD03">
      <w:pPr>
        <w:bidi w:val="0"/>
        <w:rPr>
          <w:rFonts w:hint="eastAsia"/>
          <w:color w:val="auto"/>
        </w:rPr>
      </w:pPr>
      <w:r>
        <w:rPr>
          <w:rFonts w:hint="eastAsia"/>
          <w:color w:val="auto"/>
        </w:rPr>
        <w:t>（4）起重伤害</w:t>
      </w:r>
    </w:p>
    <w:p w14:paraId="2CD619D7">
      <w:pPr>
        <w:bidi w:val="0"/>
        <w:rPr>
          <w:rFonts w:hint="eastAsia"/>
          <w:color w:val="auto"/>
        </w:rPr>
      </w:pPr>
      <w:r>
        <w:rPr>
          <w:rFonts w:hint="eastAsia"/>
          <w:color w:val="auto"/>
        </w:rPr>
        <w:t>由于项目检修、施工过程中使用起重设备进行设备安装，如果起重设备使用不规范、违规吊运、违章指挥等均可能发生起重伤害事故。</w:t>
      </w:r>
    </w:p>
    <w:p w14:paraId="3869ED88">
      <w:pPr>
        <w:bidi w:val="0"/>
        <w:rPr>
          <w:rFonts w:hint="eastAsia"/>
          <w:color w:val="auto"/>
        </w:rPr>
      </w:pPr>
      <w:r>
        <w:rPr>
          <w:rFonts w:hint="eastAsia"/>
          <w:color w:val="auto"/>
        </w:rPr>
        <w:t>（5）雷电伤害</w:t>
      </w:r>
    </w:p>
    <w:p w14:paraId="25B2BCDF">
      <w:pPr>
        <w:bidi w:val="0"/>
        <w:rPr>
          <w:rFonts w:hint="eastAsia"/>
          <w:color w:val="auto"/>
        </w:rPr>
      </w:pPr>
      <w:r>
        <w:rPr>
          <w:rFonts w:hint="eastAsia"/>
          <w:color w:val="auto"/>
        </w:rPr>
        <w:t>1）接地线将各个电气设备的接地线串联接地而不是采用并联方式。</w:t>
      </w:r>
    </w:p>
    <w:p w14:paraId="38D396ED">
      <w:pPr>
        <w:bidi w:val="0"/>
        <w:rPr>
          <w:rFonts w:hint="eastAsia"/>
          <w:color w:val="auto"/>
        </w:rPr>
      </w:pPr>
      <w:r>
        <w:rPr>
          <w:rFonts w:hint="eastAsia"/>
          <w:color w:val="auto"/>
        </w:rPr>
        <w:t>2）设有变压器的低压配电室电缆受电处的零线、建筑物的动力配电箱电缆受电处的零线、架空专用线终端进户处的零线未重复接地。</w:t>
      </w:r>
    </w:p>
    <w:p w14:paraId="1724CC9F">
      <w:pPr>
        <w:bidi w:val="0"/>
        <w:rPr>
          <w:rFonts w:hint="eastAsia"/>
          <w:color w:val="auto"/>
        </w:rPr>
      </w:pPr>
      <w:r>
        <w:rPr>
          <w:rFonts w:hint="eastAsia"/>
          <w:color w:val="auto"/>
        </w:rPr>
        <w:t>3）因无防雷措施或防雷措施不完善、防雷措施损坏易导致雷电伤害。</w:t>
      </w:r>
    </w:p>
    <w:p w14:paraId="54C8B870">
      <w:pPr>
        <w:bidi w:val="0"/>
        <w:rPr>
          <w:rFonts w:hint="eastAsia"/>
          <w:color w:val="auto"/>
        </w:rPr>
      </w:pPr>
      <w:r>
        <w:rPr>
          <w:rFonts w:hint="eastAsia"/>
          <w:color w:val="auto"/>
        </w:rPr>
        <w:t>（6）电磁辐射</w:t>
      </w:r>
    </w:p>
    <w:p w14:paraId="6EA79FAD">
      <w:pPr>
        <w:bidi w:val="0"/>
        <w:rPr>
          <w:rFonts w:hint="eastAsia"/>
          <w:color w:val="auto"/>
        </w:rPr>
      </w:pPr>
      <w:r>
        <w:rPr>
          <w:rFonts w:hint="eastAsia"/>
          <w:color w:val="auto"/>
        </w:rPr>
        <w:t>电磁辐射：对人体的危害主要表现在对神经系统、血液循环系统、生殖系统、血液微量元素及生化代谢等功能的影响。对环境则造成电磁污染和电磁干扰作用，在一定的时空范围内人体受到非正常和超值照射时，可使人产生失眠、头痛、心悸、脱发、记忆力减退等症状。</w:t>
      </w:r>
    </w:p>
    <w:p w14:paraId="0635E52C">
      <w:pPr>
        <w:bidi w:val="0"/>
        <w:rPr>
          <w:rFonts w:hint="eastAsia"/>
          <w:color w:val="auto"/>
        </w:rPr>
      </w:pPr>
      <w:r>
        <w:rPr>
          <w:rFonts w:hint="eastAsia"/>
          <w:color w:val="auto"/>
        </w:rPr>
        <w:t>变电所（站）运行人员在控制室、变压器旁和开关站进行值守和必要的巡视时，均有可能受到电磁辐射的影响。强电磁场还会对通讯设备和中控室设备产生干扰，影响安全运行正常工作。</w:t>
      </w:r>
    </w:p>
    <w:p w14:paraId="75051476">
      <w:pPr>
        <w:bidi w:val="0"/>
        <w:rPr>
          <w:rFonts w:hint="eastAsia"/>
          <w:color w:val="auto"/>
        </w:rPr>
      </w:pPr>
      <w:r>
        <w:rPr>
          <w:rFonts w:hint="eastAsia"/>
          <w:color w:val="auto"/>
        </w:rPr>
        <w:t>可能存在的部位：变电所（室）等。</w:t>
      </w:r>
    </w:p>
    <w:p w14:paraId="6B861741">
      <w:pPr>
        <w:bidi w:val="0"/>
        <w:rPr>
          <w:rFonts w:hint="eastAsia"/>
          <w:color w:val="auto"/>
        </w:rPr>
      </w:pPr>
      <w:r>
        <w:rPr>
          <w:rFonts w:hint="eastAsia"/>
          <w:color w:val="auto"/>
        </w:rPr>
        <w:t>（7）高温危害</w:t>
      </w:r>
    </w:p>
    <w:p w14:paraId="7CA30431">
      <w:pPr>
        <w:bidi w:val="0"/>
        <w:rPr>
          <w:rFonts w:hint="eastAsia"/>
          <w:color w:val="auto"/>
        </w:rPr>
      </w:pPr>
      <w:r>
        <w:rPr>
          <w:rFonts w:hint="eastAsia"/>
          <w:color w:val="auto"/>
        </w:rPr>
        <w:t>武定县极端最高气温为38.8℃，夏季若遇极端高温天气，容易引起人员中暑等疾病。选厂属亚热带气候，存在高温危害。</w:t>
      </w:r>
    </w:p>
    <w:p w14:paraId="05DDF82A">
      <w:pPr>
        <w:pStyle w:val="4"/>
        <w:bidi w:val="0"/>
        <w:rPr>
          <w:rFonts w:hint="eastAsia"/>
          <w:color w:val="auto"/>
        </w:rPr>
      </w:pPr>
      <w:bookmarkStart w:id="92" w:name="_Toc3108"/>
      <w:r>
        <w:rPr>
          <w:rFonts w:hint="eastAsia"/>
          <w:color w:val="auto"/>
        </w:rPr>
        <w:t>3.3.1</w:t>
      </w:r>
      <w:r>
        <w:rPr>
          <w:rFonts w:hint="eastAsia"/>
          <w:color w:val="auto"/>
          <w:lang w:val="en-US" w:eastAsia="zh-CN"/>
        </w:rPr>
        <w:t xml:space="preserve">4 </w:t>
      </w:r>
      <w:r>
        <w:rPr>
          <w:rFonts w:hint="eastAsia"/>
          <w:color w:val="auto"/>
        </w:rPr>
        <w:t>放射源及危险特性</w:t>
      </w:r>
      <w:bookmarkEnd w:id="92"/>
    </w:p>
    <w:p w14:paraId="7C1ED1F8">
      <w:pPr>
        <w:bidi w:val="0"/>
        <w:rPr>
          <w:rFonts w:hint="eastAsia"/>
          <w:color w:val="auto"/>
        </w:rPr>
      </w:pPr>
      <w:r>
        <w:rPr>
          <w:rFonts w:hint="eastAsia"/>
          <w:color w:val="auto"/>
        </w:rPr>
        <w:t>本次项目不涉及到放射源。</w:t>
      </w:r>
    </w:p>
    <w:p w14:paraId="5E9D5D0A">
      <w:pPr>
        <w:pStyle w:val="3"/>
        <w:bidi w:val="0"/>
        <w:rPr>
          <w:rFonts w:hint="eastAsia"/>
          <w:color w:val="auto"/>
        </w:rPr>
      </w:pPr>
      <w:bookmarkStart w:id="93" w:name="_Toc1926"/>
      <w:r>
        <w:rPr>
          <w:rFonts w:hint="eastAsia"/>
          <w:color w:val="auto"/>
        </w:rPr>
        <w:t>3.4</w:t>
      </w:r>
      <w:r>
        <w:rPr>
          <w:rFonts w:hint="eastAsia"/>
          <w:color w:val="auto"/>
          <w:lang w:val="en-US" w:eastAsia="zh-CN"/>
        </w:rPr>
        <w:t xml:space="preserve"> </w:t>
      </w:r>
      <w:r>
        <w:rPr>
          <w:rFonts w:hint="eastAsia"/>
          <w:color w:val="auto"/>
        </w:rPr>
        <w:t>安全管理危险有害因素辨识与分析</w:t>
      </w:r>
      <w:bookmarkEnd w:id="93"/>
    </w:p>
    <w:p w14:paraId="40169F15">
      <w:pPr>
        <w:bidi w:val="0"/>
        <w:rPr>
          <w:rFonts w:hint="eastAsia"/>
          <w:color w:val="auto"/>
        </w:rPr>
      </w:pPr>
      <w:r>
        <w:rPr>
          <w:rFonts w:hint="eastAsia"/>
          <w:color w:val="auto"/>
        </w:rPr>
        <w:t>（1）安全组织结构不健全：结构、人员组成不当或不适应生产系统，造成安全管理工作中存在衔接不当、管理空白、专业不全等，从而造成安全管理上的漏洞。</w:t>
      </w:r>
    </w:p>
    <w:p w14:paraId="0F961E3E">
      <w:pPr>
        <w:bidi w:val="0"/>
        <w:rPr>
          <w:rFonts w:hint="eastAsia"/>
          <w:color w:val="auto"/>
        </w:rPr>
      </w:pPr>
      <w:r>
        <w:rPr>
          <w:rFonts w:hint="eastAsia"/>
          <w:color w:val="auto"/>
        </w:rPr>
        <w:t>（2）安全责任制未落实、安全管理规章制度不完善：未根据生产系统特点补充、完善和落实安全生产责任制、安全生产管理制度、安全操作规程，容易造成生产过程中责任未落实，任务不明确，工作中无章可循，造成生产秩序混乱，诱发各类安全生产事故。</w:t>
      </w:r>
    </w:p>
    <w:p w14:paraId="002ACA50">
      <w:pPr>
        <w:bidi w:val="0"/>
        <w:rPr>
          <w:rFonts w:hint="eastAsia"/>
          <w:color w:val="auto"/>
        </w:rPr>
      </w:pPr>
      <w:r>
        <w:rPr>
          <w:rFonts w:hint="eastAsia"/>
          <w:color w:val="auto"/>
        </w:rPr>
        <w:t>（3）安全管理不完善：</w:t>
      </w:r>
    </w:p>
    <w:p w14:paraId="090E400E">
      <w:pPr>
        <w:bidi w:val="0"/>
        <w:rPr>
          <w:rFonts w:hint="eastAsia"/>
          <w:color w:val="auto"/>
        </w:rPr>
      </w:pPr>
      <w:r>
        <w:rPr>
          <w:rFonts w:hint="eastAsia"/>
          <w:color w:val="auto"/>
        </w:rPr>
        <w:t>1）未建立或未根据生产系统特点补充、完善安全生产记录档案，不利于及时、全面系统的掌握企业安全生产情况，及时反应安全生产动态；不利于分析安全生产中的危险因素和作出安全管理决策；</w:t>
      </w:r>
    </w:p>
    <w:p w14:paraId="55978DDF">
      <w:pPr>
        <w:bidi w:val="0"/>
        <w:rPr>
          <w:rFonts w:hint="eastAsia"/>
          <w:color w:val="auto"/>
        </w:rPr>
      </w:pPr>
      <w:r>
        <w:rPr>
          <w:rFonts w:hint="eastAsia"/>
          <w:color w:val="auto"/>
        </w:rPr>
        <w:t>2）未建立或未根据系统特点补充、完善应急救援预案或未进行应急演练，对突发事故无预见性，事故发生后无法及时组织救援，导致事故扩大，造成重大损失。</w:t>
      </w:r>
    </w:p>
    <w:p w14:paraId="0081CE4F">
      <w:pPr>
        <w:bidi w:val="0"/>
        <w:rPr>
          <w:rFonts w:hint="eastAsia"/>
          <w:color w:val="auto"/>
        </w:rPr>
      </w:pPr>
      <w:r>
        <w:rPr>
          <w:rFonts w:hint="eastAsia"/>
          <w:color w:val="auto"/>
        </w:rPr>
        <w:t>3）职业安全健康投入不足：安全资金投入不足、安全教育培训不够、个人防护不到位等而导致安全事故的发生。</w:t>
      </w:r>
    </w:p>
    <w:p w14:paraId="7C3865D7">
      <w:pPr>
        <w:bidi w:val="0"/>
        <w:rPr>
          <w:rFonts w:hint="eastAsia"/>
          <w:color w:val="auto"/>
        </w:rPr>
      </w:pPr>
      <w:r>
        <w:rPr>
          <w:rFonts w:hint="eastAsia"/>
          <w:color w:val="auto"/>
        </w:rPr>
        <w:t>4）其他管理因素缺陷：</w:t>
      </w:r>
    </w:p>
    <w:p w14:paraId="5C7085CE">
      <w:pPr>
        <w:bidi w:val="0"/>
        <w:rPr>
          <w:rFonts w:hint="eastAsia"/>
          <w:color w:val="auto"/>
        </w:rPr>
      </w:pPr>
      <w:r>
        <w:rPr>
          <w:rFonts w:hint="eastAsia"/>
          <w:color w:val="auto"/>
        </w:rPr>
        <w:t>①管理过程中违章指挥、发现违章作业而不制止等，使安全隐患得不到及时消除，最终导致安全事故；</w:t>
      </w:r>
    </w:p>
    <w:p w14:paraId="5A429781">
      <w:pPr>
        <w:bidi w:val="0"/>
        <w:rPr>
          <w:rFonts w:hint="eastAsia"/>
          <w:color w:val="auto"/>
        </w:rPr>
      </w:pPr>
      <w:r>
        <w:rPr>
          <w:rFonts w:hint="eastAsia"/>
          <w:color w:val="auto"/>
        </w:rPr>
        <w:t>②特种作业人员未经培训，无证上岗。</w:t>
      </w:r>
    </w:p>
    <w:p w14:paraId="1181E272">
      <w:pPr>
        <w:bidi w:val="0"/>
        <w:rPr>
          <w:rFonts w:hint="eastAsia"/>
          <w:color w:val="auto"/>
        </w:rPr>
      </w:pPr>
      <w:r>
        <w:rPr>
          <w:rFonts w:hint="eastAsia"/>
          <w:color w:val="auto"/>
        </w:rPr>
        <w:t>③承包商未履行相应责任等：a不具备合法资格，不具备承包工程（项目）的相应资质；b未签订《安全生产管理协议》，未能明确各自的安全生产管理职责和应当采取的安全措施；c在承包工程中，将工程转包和分包给不具备安全生产资质的单位或个人。</w:t>
      </w:r>
    </w:p>
    <w:p w14:paraId="39AAE865">
      <w:pPr>
        <w:pStyle w:val="3"/>
        <w:bidi w:val="0"/>
        <w:rPr>
          <w:rFonts w:hint="eastAsia"/>
          <w:color w:val="auto"/>
        </w:rPr>
      </w:pPr>
      <w:bookmarkStart w:id="94" w:name="_Toc2773"/>
      <w:r>
        <w:rPr>
          <w:rFonts w:hint="eastAsia"/>
          <w:color w:val="auto"/>
        </w:rPr>
        <w:t>3.5</w:t>
      </w:r>
      <w:r>
        <w:rPr>
          <w:rFonts w:hint="eastAsia"/>
          <w:color w:val="auto"/>
          <w:lang w:val="en-US" w:eastAsia="zh-CN"/>
        </w:rPr>
        <w:t xml:space="preserve"> </w:t>
      </w:r>
      <w:r>
        <w:rPr>
          <w:rFonts w:hint="eastAsia"/>
          <w:color w:val="auto"/>
        </w:rPr>
        <w:t>重大危险源辨识</w:t>
      </w:r>
      <w:bookmarkEnd w:id="94"/>
    </w:p>
    <w:p w14:paraId="5DECCFAC">
      <w:pPr>
        <w:bidi w:val="0"/>
        <w:rPr>
          <w:rFonts w:hint="eastAsia"/>
          <w:color w:val="auto"/>
        </w:rPr>
      </w:pPr>
      <w:r>
        <w:rPr>
          <w:rFonts w:hint="eastAsia"/>
          <w:color w:val="auto"/>
        </w:rPr>
        <w:t>重大危险源辨识的主要要求：</w:t>
      </w:r>
    </w:p>
    <w:p w14:paraId="32854A32">
      <w:pPr>
        <w:bidi w:val="0"/>
        <w:rPr>
          <w:rFonts w:hint="eastAsia"/>
          <w:color w:val="auto"/>
        </w:rPr>
      </w:pPr>
      <w:r>
        <w:rPr>
          <w:rFonts w:hint="eastAsia"/>
          <w:color w:val="auto"/>
        </w:rPr>
        <w:t>危险化学品重大危险源的认定，严格按照《危险化学品重大危险源辨识》（GB18218-2018）的具体要求执行。其思路是以某物品的实际量除以规定临界量的结果为计算元素，若所有危险化学品计算元素之和大于或等于1，即构成重大危险源。</w:t>
      </w:r>
    </w:p>
    <w:p w14:paraId="5571CF5C">
      <w:pPr>
        <w:pStyle w:val="4"/>
        <w:bidi w:val="0"/>
        <w:rPr>
          <w:rFonts w:hint="eastAsia"/>
          <w:color w:val="auto"/>
        </w:rPr>
      </w:pPr>
      <w:bookmarkStart w:id="95" w:name="_Toc12791"/>
      <w:r>
        <w:rPr>
          <w:rFonts w:hint="eastAsia"/>
          <w:color w:val="auto"/>
        </w:rPr>
        <w:t>3.5.1</w:t>
      </w:r>
      <w:r>
        <w:rPr>
          <w:rFonts w:hint="eastAsia"/>
          <w:color w:val="auto"/>
          <w:lang w:val="en-US" w:eastAsia="zh-CN"/>
        </w:rPr>
        <w:t xml:space="preserve"> </w:t>
      </w:r>
      <w:r>
        <w:rPr>
          <w:rFonts w:hint="eastAsia"/>
          <w:color w:val="auto"/>
        </w:rPr>
        <w:t>重大危险源辨识方法介绍</w:t>
      </w:r>
      <w:bookmarkEnd w:id="95"/>
    </w:p>
    <w:p w14:paraId="329C26EA">
      <w:pPr>
        <w:bidi w:val="0"/>
        <w:rPr>
          <w:rFonts w:hint="eastAsia"/>
          <w:color w:val="auto"/>
        </w:rPr>
      </w:pPr>
      <w:r>
        <w:rPr>
          <w:rFonts w:hint="eastAsia"/>
          <w:color w:val="auto"/>
        </w:rPr>
        <w:t>长期或临时生产、加工、使用或储存危险化学品，且危险化学品的数量等于或超过临界量的单元均为重大危险源。</w:t>
      </w:r>
    </w:p>
    <w:p w14:paraId="74419F3E">
      <w:pPr>
        <w:bidi w:val="0"/>
        <w:rPr>
          <w:rFonts w:hint="eastAsia"/>
          <w:color w:val="auto"/>
        </w:rPr>
      </w:pPr>
      <w:r>
        <w:rPr>
          <w:rFonts w:hint="eastAsia"/>
          <w:color w:val="auto"/>
        </w:rPr>
        <w:t>危险化学品重大危险源的辨识依据是危险化学品的危险特性及其数量。</w:t>
      </w:r>
    </w:p>
    <w:p w14:paraId="772FF27B">
      <w:pPr>
        <w:bidi w:val="0"/>
        <w:rPr>
          <w:rFonts w:hint="eastAsia"/>
          <w:color w:val="auto"/>
        </w:rPr>
      </w:pPr>
      <w:r>
        <w:rPr>
          <w:rFonts w:hint="eastAsia"/>
          <w:color w:val="auto"/>
        </w:rPr>
        <w:t>单元内存在危险化学品的数量等于或超过规定的临界量，即被定为重大危险源。单元内存在危险物质的数量根据处理物质种类的多少区分为以下两种情况：</w:t>
      </w:r>
    </w:p>
    <w:p w14:paraId="5752F416">
      <w:pPr>
        <w:bidi w:val="0"/>
        <w:rPr>
          <w:rFonts w:hint="eastAsia"/>
          <w:color w:val="auto"/>
        </w:rPr>
      </w:pPr>
      <w:r>
        <w:rPr>
          <w:rFonts w:hint="eastAsia"/>
          <w:color w:val="auto"/>
        </w:rPr>
        <w:t>①单元内存在的危险化学品为单一品种，则该危险化学品的数量即为单元内危险化学品的总量，若等于或超过相应的临界量，则定为重大危险源。</w:t>
      </w:r>
    </w:p>
    <w:p w14:paraId="4647E9B9">
      <w:pPr>
        <w:bidi w:val="0"/>
        <w:rPr>
          <w:rFonts w:hint="eastAsia"/>
          <w:color w:val="auto"/>
        </w:rPr>
      </w:pPr>
      <w:r>
        <w:rPr>
          <w:rFonts w:hint="eastAsia"/>
          <w:color w:val="auto"/>
        </w:rPr>
        <w:t>②单元内存在的危险化学品为多品种时，则按下式计算，若满足下面公式，则定为重大危险源：</w:t>
      </w:r>
    </w:p>
    <w:p w14:paraId="353F32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rPr>
      </w:pPr>
      <w:r>
        <w:rPr>
          <w:rFonts w:hint="default" w:ascii="Times New Roman" w:hAnsi="Times New Roman" w:cs="Times New Roman"/>
          <w:color w:val="auto"/>
        </w:rPr>
        <w:drawing>
          <wp:inline distT="0" distB="0" distL="114300" distR="114300">
            <wp:extent cx="1924050" cy="581025"/>
            <wp:effectExtent l="0" t="0" r="0" b="9525"/>
            <wp:docPr id="75" name="图片 38" descr="说明: QQ截图2016030309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8" descr="说明: QQ截图20160303091436"/>
                    <pic:cNvPicPr>
                      <a:picLocks noChangeAspect="1"/>
                    </pic:cNvPicPr>
                  </pic:nvPicPr>
                  <pic:blipFill>
                    <a:blip r:embed="rId15"/>
                    <a:stretch>
                      <a:fillRect/>
                    </a:stretch>
                  </pic:blipFill>
                  <pic:spPr>
                    <a:xfrm>
                      <a:off x="0" y="0"/>
                      <a:ext cx="1924050" cy="581025"/>
                    </a:xfrm>
                    <a:prstGeom prst="rect">
                      <a:avLst/>
                    </a:prstGeom>
                    <a:noFill/>
                    <a:ln>
                      <a:noFill/>
                    </a:ln>
                  </pic:spPr>
                </pic:pic>
              </a:graphicData>
            </a:graphic>
          </wp:inline>
        </w:drawing>
      </w:r>
    </w:p>
    <w:p w14:paraId="59FCAC84">
      <w:pPr>
        <w:bidi w:val="0"/>
        <w:rPr>
          <w:rFonts w:hint="eastAsia"/>
          <w:color w:val="auto"/>
        </w:rPr>
      </w:pPr>
      <w:r>
        <w:rPr>
          <w:rFonts w:hint="eastAsia"/>
          <w:color w:val="auto"/>
        </w:rPr>
        <w:t>式中：q</w:t>
      </w:r>
      <w:r>
        <w:rPr>
          <w:rFonts w:hint="eastAsia"/>
          <w:color w:val="auto"/>
          <w:vertAlign w:val="subscript"/>
        </w:rPr>
        <w:t>1</w:t>
      </w:r>
      <w:r>
        <w:rPr>
          <w:rFonts w:hint="eastAsia"/>
          <w:color w:val="auto"/>
        </w:rPr>
        <w:t>，q</w:t>
      </w:r>
      <w:r>
        <w:rPr>
          <w:rFonts w:hint="eastAsia"/>
          <w:color w:val="auto"/>
          <w:vertAlign w:val="subscript"/>
        </w:rPr>
        <w:t>2</w:t>
      </w:r>
      <w:r>
        <w:rPr>
          <w:rFonts w:hint="eastAsia"/>
          <w:color w:val="auto"/>
        </w:rPr>
        <w:t>，…，q</w:t>
      </w:r>
      <w:r>
        <w:rPr>
          <w:rFonts w:hint="eastAsia"/>
          <w:color w:val="auto"/>
          <w:vertAlign w:val="subscript"/>
        </w:rPr>
        <w:t>n</w:t>
      </w:r>
      <w:r>
        <w:rPr>
          <w:rFonts w:hint="eastAsia"/>
          <w:color w:val="auto"/>
        </w:rPr>
        <w:t xml:space="preserve"> ——每种危险化学品实际存在量，t。</w:t>
      </w:r>
    </w:p>
    <w:p w14:paraId="3B8C8218">
      <w:pPr>
        <w:bidi w:val="0"/>
        <w:rPr>
          <w:rFonts w:hint="eastAsia"/>
          <w:color w:val="auto"/>
        </w:rPr>
      </w:pPr>
      <w:r>
        <w:rPr>
          <w:rFonts w:hint="eastAsia"/>
          <w:color w:val="auto"/>
        </w:rPr>
        <w:t>Q</w:t>
      </w:r>
      <w:r>
        <w:rPr>
          <w:rFonts w:hint="eastAsia"/>
          <w:color w:val="auto"/>
          <w:vertAlign w:val="subscript"/>
        </w:rPr>
        <w:t>1</w:t>
      </w:r>
      <w:r>
        <w:rPr>
          <w:rFonts w:hint="eastAsia"/>
          <w:color w:val="auto"/>
        </w:rPr>
        <w:t>，Q</w:t>
      </w:r>
      <w:r>
        <w:rPr>
          <w:rFonts w:hint="eastAsia"/>
          <w:color w:val="auto"/>
          <w:vertAlign w:val="subscript"/>
        </w:rPr>
        <w:t>2</w:t>
      </w:r>
      <w:r>
        <w:rPr>
          <w:rFonts w:hint="eastAsia"/>
          <w:color w:val="auto"/>
        </w:rPr>
        <w:t xml:space="preserve"> ，… ，Q</w:t>
      </w:r>
      <w:r>
        <w:rPr>
          <w:rFonts w:hint="eastAsia"/>
          <w:color w:val="auto"/>
          <w:vertAlign w:val="subscript"/>
        </w:rPr>
        <w:t>n</w:t>
      </w:r>
      <w:r>
        <w:rPr>
          <w:rFonts w:hint="eastAsia"/>
          <w:color w:val="auto"/>
        </w:rPr>
        <w:t xml:space="preserve"> ——与各危险化学品相对应的临界量，t。</w:t>
      </w:r>
    </w:p>
    <w:p w14:paraId="5953CDB0">
      <w:pPr>
        <w:pStyle w:val="4"/>
        <w:bidi w:val="0"/>
        <w:rPr>
          <w:rFonts w:hint="eastAsia"/>
          <w:color w:val="auto"/>
        </w:rPr>
      </w:pPr>
      <w:bookmarkStart w:id="96" w:name="_Toc13585"/>
      <w:r>
        <w:rPr>
          <w:rFonts w:hint="eastAsia"/>
          <w:color w:val="auto"/>
        </w:rPr>
        <w:t>3.5.2</w:t>
      </w:r>
      <w:r>
        <w:rPr>
          <w:rFonts w:hint="eastAsia"/>
          <w:color w:val="auto"/>
          <w:lang w:val="en-US" w:eastAsia="zh-CN"/>
        </w:rPr>
        <w:t xml:space="preserve"> </w:t>
      </w:r>
      <w:r>
        <w:rPr>
          <w:rFonts w:hint="eastAsia"/>
          <w:color w:val="auto"/>
        </w:rPr>
        <w:t>重大危险源辨识</w:t>
      </w:r>
      <w:bookmarkEnd w:id="96"/>
    </w:p>
    <w:p w14:paraId="0E952735">
      <w:pPr>
        <w:bidi w:val="0"/>
        <w:rPr>
          <w:rFonts w:hint="eastAsia"/>
          <w:color w:val="auto"/>
        </w:rPr>
      </w:pPr>
      <w:r>
        <w:rPr>
          <w:rFonts w:hint="eastAsia"/>
          <w:color w:val="auto"/>
        </w:rPr>
        <w:t>根据《危险货物品名表》（GB</w:t>
      </w:r>
      <w:r>
        <w:rPr>
          <w:rFonts w:hint="eastAsia"/>
          <w:color w:val="auto"/>
          <w:lang w:val="en-US" w:eastAsia="zh-CN"/>
        </w:rPr>
        <w:t xml:space="preserve"> </w:t>
      </w:r>
      <w:r>
        <w:rPr>
          <w:rFonts w:hint="eastAsia"/>
          <w:color w:val="auto"/>
        </w:rPr>
        <w:t>12268-20</w:t>
      </w:r>
      <w:r>
        <w:rPr>
          <w:rFonts w:hint="eastAsia"/>
          <w:color w:val="auto"/>
          <w:lang w:val="en-US" w:eastAsia="zh-CN"/>
        </w:rPr>
        <w:t>12</w:t>
      </w:r>
      <w:r>
        <w:rPr>
          <w:rFonts w:hint="eastAsia"/>
          <w:color w:val="auto"/>
        </w:rPr>
        <w:t>）、《危险化学品重大危险源辨识》（GB18218-2018）进行重大危险源辩识。</w:t>
      </w:r>
    </w:p>
    <w:p w14:paraId="16A0B68E">
      <w:pPr>
        <w:pStyle w:val="29"/>
        <w:bidi w:val="0"/>
        <w:rPr>
          <w:color w:val="auto"/>
        </w:rPr>
      </w:pPr>
      <w:r>
        <w:rPr>
          <w:rFonts w:hint="eastAsia"/>
          <w:color w:val="auto"/>
        </w:rPr>
        <w:t>表3.5-1 危险化学品重大危险源辨识表</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
        <w:gridCol w:w="825"/>
        <w:gridCol w:w="695"/>
        <w:gridCol w:w="3700"/>
        <w:gridCol w:w="907"/>
        <w:gridCol w:w="1494"/>
        <w:gridCol w:w="1308"/>
      </w:tblGrid>
      <w:tr w14:paraId="125A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260" w:type="pct"/>
            <w:vAlign w:val="center"/>
          </w:tcPr>
          <w:p w14:paraId="3716FB68">
            <w:pPr>
              <w:pStyle w:val="30"/>
              <w:bidi w:val="0"/>
              <w:rPr>
                <w:color w:val="auto"/>
              </w:rPr>
            </w:pPr>
            <w:r>
              <w:rPr>
                <w:color w:val="auto"/>
              </w:rPr>
              <w:t>序号</w:t>
            </w:r>
          </w:p>
        </w:tc>
        <w:tc>
          <w:tcPr>
            <w:tcW w:w="450" w:type="pct"/>
            <w:vAlign w:val="center"/>
          </w:tcPr>
          <w:p w14:paraId="07B7957C">
            <w:pPr>
              <w:pStyle w:val="30"/>
              <w:bidi w:val="0"/>
              <w:rPr>
                <w:color w:val="auto"/>
              </w:rPr>
            </w:pPr>
            <w:r>
              <w:rPr>
                <w:color w:val="auto"/>
              </w:rPr>
              <w:t>物质名称</w:t>
            </w:r>
          </w:p>
        </w:tc>
        <w:tc>
          <w:tcPr>
            <w:tcW w:w="359" w:type="pct"/>
            <w:vAlign w:val="center"/>
          </w:tcPr>
          <w:p w14:paraId="28EE5B37">
            <w:pPr>
              <w:pStyle w:val="30"/>
              <w:bidi w:val="0"/>
              <w:rPr>
                <w:color w:val="auto"/>
              </w:rPr>
            </w:pPr>
            <w:r>
              <w:rPr>
                <w:color w:val="auto"/>
              </w:rPr>
              <w:t>临界量（t）</w:t>
            </w:r>
          </w:p>
        </w:tc>
        <w:tc>
          <w:tcPr>
            <w:tcW w:w="1980" w:type="pct"/>
            <w:vAlign w:val="center"/>
          </w:tcPr>
          <w:p w14:paraId="5B2E040D">
            <w:pPr>
              <w:pStyle w:val="30"/>
              <w:bidi w:val="0"/>
              <w:rPr>
                <w:color w:val="auto"/>
              </w:rPr>
            </w:pPr>
            <w:r>
              <w:rPr>
                <w:rFonts w:hint="eastAsia"/>
                <w:color w:val="auto"/>
              </w:rPr>
              <w:t>最大</w:t>
            </w:r>
            <w:r>
              <w:rPr>
                <w:color w:val="auto"/>
              </w:rPr>
              <w:t>存</w:t>
            </w:r>
            <w:r>
              <w:rPr>
                <w:rFonts w:hint="eastAsia"/>
                <w:color w:val="auto"/>
              </w:rPr>
              <w:t>储</w:t>
            </w:r>
            <w:r>
              <w:rPr>
                <w:color w:val="auto"/>
              </w:rPr>
              <w:t>量（t）</w:t>
            </w:r>
          </w:p>
        </w:tc>
        <w:tc>
          <w:tcPr>
            <w:tcW w:w="494" w:type="pct"/>
            <w:vAlign w:val="center"/>
          </w:tcPr>
          <w:p w14:paraId="0F5E53F9">
            <w:pPr>
              <w:pStyle w:val="30"/>
              <w:bidi w:val="0"/>
              <w:rPr>
                <w:color w:val="auto"/>
              </w:rPr>
            </w:pPr>
            <w:r>
              <w:rPr>
                <w:color w:val="auto"/>
              </w:rPr>
              <w:t>q/Q</w:t>
            </w:r>
          </w:p>
        </w:tc>
        <w:tc>
          <w:tcPr>
            <w:tcW w:w="750" w:type="pct"/>
            <w:vAlign w:val="center"/>
          </w:tcPr>
          <w:p w14:paraId="30C8247D">
            <w:pPr>
              <w:pStyle w:val="30"/>
              <w:bidi w:val="0"/>
              <w:rPr>
                <w:color w:val="auto"/>
              </w:rPr>
            </w:pPr>
            <w:r>
              <w:rPr>
                <w:rFonts w:hint="eastAsia"/>
                <w:color w:val="auto"/>
              </w:rPr>
              <w:t>S</w:t>
            </w:r>
          </w:p>
        </w:tc>
        <w:tc>
          <w:tcPr>
            <w:tcW w:w="705" w:type="pct"/>
            <w:vAlign w:val="center"/>
          </w:tcPr>
          <w:p w14:paraId="092CAF9F">
            <w:pPr>
              <w:pStyle w:val="30"/>
              <w:bidi w:val="0"/>
              <w:rPr>
                <w:color w:val="auto"/>
              </w:rPr>
            </w:pPr>
            <w:r>
              <w:rPr>
                <w:rFonts w:hint="eastAsia"/>
                <w:color w:val="auto"/>
              </w:rPr>
              <w:t>是否构成重大危险源</w:t>
            </w:r>
          </w:p>
        </w:tc>
      </w:tr>
      <w:tr w14:paraId="005D2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000" w:type="pct"/>
            <w:gridSpan w:val="7"/>
            <w:vAlign w:val="center"/>
          </w:tcPr>
          <w:p w14:paraId="26FAD8D5">
            <w:pPr>
              <w:pStyle w:val="30"/>
              <w:bidi w:val="0"/>
              <w:rPr>
                <w:color w:val="auto"/>
              </w:rPr>
            </w:pPr>
            <w:r>
              <w:rPr>
                <w:color w:val="auto"/>
              </w:rPr>
              <w:t>储存单元</w:t>
            </w:r>
          </w:p>
        </w:tc>
      </w:tr>
      <w:tr w14:paraId="498B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60" w:type="pct"/>
            <w:vAlign w:val="center"/>
          </w:tcPr>
          <w:p w14:paraId="114ABE51">
            <w:pPr>
              <w:pStyle w:val="30"/>
              <w:bidi w:val="0"/>
              <w:rPr>
                <w:color w:val="auto"/>
              </w:rPr>
            </w:pPr>
            <w:r>
              <w:rPr>
                <w:color w:val="auto"/>
              </w:rPr>
              <w:t>1</w:t>
            </w:r>
          </w:p>
        </w:tc>
        <w:tc>
          <w:tcPr>
            <w:tcW w:w="450" w:type="pct"/>
            <w:vAlign w:val="center"/>
          </w:tcPr>
          <w:p w14:paraId="7B73DC4D">
            <w:pPr>
              <w:pStyle w:val="30"/>
              <w:bidi w:val="0"/>
              <w:rPr>
                <w:color w:val="auto"/>
                <w:lang w:val="en-GB"/>
              </w:rPr>
            </w:pPr>
            <w:r>
              <w:rPr>
                <w:color w:val="auto"/>
                <w:lang w:val="en-GB"/>
              </w:rPr>
              <w:t>压缩氧气</w:t>
            </w:r>
          </w:p>
        </w:tc>
        <w:tc>
          <w:tcPr>
            <w:tcW w:w="359" w:type="pct"/>
            <w:vAlign w:val="center"/>
          </w:tcPr>
          <w:p w14:paraId="26D76AFE">
            <w:pPr>
              <w:pStyle w:val="30"/>
              <w:bidi w:val="0"/>
              <w:rPr>
                <w:color w:val="auto"/>
              </w:rPr>
            </w:pPr>
            <w:r>
              <w:rPr>
                <w:color w:val="auto"/>
              </w:rPr>
              <w:t>200</w:t>
            </w:r>
          </w:p>
        </w:tc>
        <w:tc>
          <w:tcPr>
            <w:tcW w:w="1980" w:type="pct"/>
            <w:vAlign w:val="center"/>
          </w:tcPr>
          <w:p w14:paraId="3130696B">
            <w:pPr>
              <w:pStyle w:val="30"/>
              <w:bidi w:val="0"/>
              <w:rPr>
                <w:color w:val="auto"/>
              </w:rPr>
            </w:pPr>
            <w:r>
              <w:rPr>
                <w:color w:val="auto"/>
              </w:rPr>
              <w:t>主要用于检修为过程中氧炔焊助燃气体，</w:t>
            </w:r>
            <w:r>
              <w:rPr>
                <w:rFonts w:hint="eastAsia"/>
                <w:color w:val="auto"/>
              </w:rPr>
              <w:t>日常不存储，检修时</w:t>
            </w:r>
            <w:r>
              <w:rPr>
                <w:color w:val="auto"/>
              </w:rPr>
              <w:t>其储存量一般不超过2瓶，每瓶约为5kg氧气。</w:t>
            </w:r>
          </w:p>
        </w:tc>
        <w:tc>
          <w:tcPr>
            <w:tcW w:w="494" w:type="pct"/>
            <w:vAlign w:val="center"/>
          </w:tcPr>
          <w:p w14:paraId="2948EADD">
            <w:pPr>
              <w:pStyle w:val="30"/>
              <w:bidi w:val="0"/>
              <w:rPr>
                <w:color w:val="auto"/>
              </w:rPr>
            </w:pPr>
            <w:r>
              <w:rPr>
                <w:color w:val="auto"/>
              </w:rPr>
              <w:t>0.00001</w:t>
            </w:r>
          </w:p>
        </w:tc>
        <w:tc>
          <w:tcPr>
            <w:tcW w:w="750" w:type="pct"/>
            <w:vMerge w:val="restart"/>
            <w:vAlign w:val="center"/>
          </w:tcPr>
          <w:p w14:paraId="6D66F494">
            <w:pPr>
              <w:pStyle w:val="30"/>
              <w:bidi w:val="0"/>
              <w:rPr>
                <w:color w:val="auto"/>
              </w:rPr>
            </w:pPr>
            <w:r>
              <w:rPr>
                <w:rFonts w:hint="eastAsia"/>
                <w:color w:val="auto"/>
              </w:rPr>
              <w:t>S=q</w:t>
            </w:r>
            <w:r>
              <w:rPr>
                <w:rFonts w:hint="eastAsia"/>
                <w:color w:val="auto"/>
                <w:vertAlign w:val="subscript"/>
              </w:rPr>
              <w:t>1</w:t>
            </w:r>
            <w:r>
              <w:rPr>
                <w:rFonts w:hint="eastAsia"/>
                <w:color w:val="auto"/>
              </w:rPr>
              <w:t>/Q</w:t>
            </w:r>
            <w:r>
              <w:rPr>
                <w:rFonts w:hint="eastAsia"/>
                <w:color w:val="auto"/>
                <w:vertAlign w:val="subscript"/>
              </w:rPr>
              <w:t>1</w:t>
            </w:r>
            <w:r>
              <w:rPr>
                <w:rFonts w:hint="eastAsia"/>
                <w:color w:val="auto"/>
              </w:rPr>
              <w:t>+q</w:t>
            </w:r>
            <w:r>
              <w:rPr>
                <w:rFonts w:hint="eastAsia"/>
                <w:color w:val="auto"/>
                <w:vertAlign w:val="subscript"/>
              </w:rPr>
              <w:t>2</w:t>
            </w:r>
            <w:r>
              <w:rPr>
                <w:rFonts w:hint="eastAsia"/>
                <w:color w:val="auto"/>
              </w:rPr>
              <w:t>/Q</w:t>
            </w:r>
            <w:r>
              <w:rPr>
                <w:rFonts w:hint="eastAsia"/>
                <w:color w:val="auto"/>
                <w:vertAlign w:val="subscript"/>
              </w:rPr>
              <w:t>2</w:t>
            </w:r>
          </w:p>
          <w:p w14:paraId="21C1B8DE">
            <w:pPr>
              <w:pStyle w:val="30"/>
              <w:bidi w:val="0"/>
              <w:rPr>
                <w:color w:val="auto"/>
              </w:rPr>
            </w:pPr>
            <w:r>
              <w:rPr>
                <w:rFonts w:hint="eastAsia"/>
                <w:color w:val="auto"/>
              </w:rPr>
              <w:t>+…+q</w:t>
            </w:r>
            <w:r>
              <w:rPr>
                <w:rFonts w:hint="eastAsia"/>
                <w:color w:val="auto"/>
                <w:vertAlign w:val="subscript"/>
              </w:rPr>
              <w:t>n</w:t>
            </w:r>
            <w:r>
              <w:rPr>
                <w:rFonts w:hint="eastAsia"/>
                <w:color w:val="auto"/>
              </w:rPr>
              <w:t>/Q</w:t>
            </w:r>
            <w:r>
              <w:rPr>
                <w:rFonts w:hint="eastAsia"/>
                <w:color w:val="auto"/>
                <w:vertAlign w:val="subscript"/>
              </w:rPr>
              <w:t>n</w:t>
            </w:r>
          </w:p>
          <w:p w14:paraId="1FDDF418">
            <w:pPr>
              <w:pStyle w:val="30"/>
              <w:bidi w:val="0"/>
              <w:rPr>
                <w:color w:val="auto"/>
              </w:rPr>
            </w:pPr>
            <w:r>
              <w:rPr>
                <w:rFonts w:hint="eastAsia"/>
                <w:color w:val="auto"/>
              </w:rPr>
              <w:t>=</w:t>
            </w:r>
            <w:r>
              <w:rPr>
                <w:color w:val="auto"/>
              </w:rPr>
              <w:t>0.12</w:t>
            </w:r>
            <w:r>
              <w:rPr>
                <w:rFonts w:hint="eastAsia"/>
                <w:color w:val="auto"/>
              </w:rPr>
              <w:t>＜1</w:t>
            </w:r>
          </w:p>
        </w:tc>
        <w:tc>
          <w:tcPr>
            <w:tcW w:w="705" w:type="pct"/>
            <w:vMerge w:val="restart"/>
            <w:vAlign w:val="center"/>
          </w:tcPr>
          <w:p w14:paraId="20E9EF39">
            <w:pPr>
              <w:pStyle w:val="30"/>
              <w:bidi w:val="0"/>
              <w:rPr>
                <w:color w:val="auto"/>
              </w:rPr>
            </w:pPr>
            <w:r>
              <w:rPr>
                <w:rFonts w:hint="eastAsia"/>
                <w:color w:val="auto"/>
              </w:rPr>
              <w:t>不构成</w:t>
            </w:r>
          </w:p>
        </w:tc>
      </w:tr>
      <w:tr w14:paraId="36D9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60" w:type="pct"/>
            <w:vAlign w:val="center"/>
          </w:tcPr>
          <w:p w14:paraId="7991AD8D">
            <w:pPr>
              <w:pStyle w:val="30"/>
              <w:bidi w:val="0"/>
              <w:rPr>
                <w:color w:val="auto"/>
              </w:rPr>
            </w:pPr>
            <w:r>
              <w:rPr>
                <w:color w:val="auto"/>
              </w:rPr>
              <w:t>2</w:t>
            </w:r>
          </w:p>
        </w:tc>
        <w:tc>
          <w:tcPr>
            <w:tcW w:w="450" w:type="pct"/>
            <w:vAlign w:val="center"/>
          </w:tcPr>
          <w:p w14:paraId="64BBE9F0">
            <w:pPr>
              <w:pStyle w:val="30"/>
              <w:bidi w:val="0"/>
              <w:rPr>
                <w:color w:val="auto"/>
                <w:lang w:val="en-GB"/>
              </w:rPr>
            </w:pPr>
            <w:r>
              <w:rPr>
                <w:color w:val="auto"/>
                <w:lang w:val="en-GB"/>
              </w:rPr>
              <w:t>乙炔</w:t>
            </w:r>
          </w:p>
        </w:tc>
        <w:tc>
          <w:tcPr>
            <w:tcW w:w="359" w:type="pct"/>
            <w:vAlign w:val="center"/>
          </w:tcPr>
          <w:p w14:paraId="180A95CD">
            <w:pPr>
              <w:pStyle w:val="30"/>
              <w:bidi w:val="0"/>
              <w:rPr>
                <w:color w:val="auto"/>
              </w:rPr>
            </w:pPr>
            <w:r>
              <w:rPr>
                <w:color w:val="auto"/>
              </w:rPr>
              <w:t>1</w:t>
            </w:r>
          </w:p>
        </w:tc>
        <w:tc>
          <w:tcPr>
            <w:tcW w:w="1980" w:type="pct"/>
            <w:vAlign w:val="center"/>
          </w:tcPr>
          <w:p w14:paraId="69218561">
            <w:pPr>
              <w:pStyle w:val="30"/>
              <w:bidi w:val="0"/>
              <w:rPr>
                <w:color w:val="auto"/>
              </w:rPr>
            </w:pPr>
            <w:r>
              <w:rPr>
                <w:color w:val="auto"/>
              </w:rPr>
              <w:t>主要用于检维修过程中氧炔焊。</w:t>
            </w:r>
            <w:r>
              <w:rPr>
                <w:rFonts w:hint="eastAsia"/>
                <w:color w:val="auto"/>
              </w:rPr>
              <w:t>日常不存储，检修时</w:t>
            </w:r>
            <w:r>
              <w:rPr>
                <w:color w:val="auto"/>
              </w:rPr>
              <w:t>储存量不一般不操过2瓶，每瓶约有6kg乙炔气。</w:t>
            </w:r>
          </w:p>
        </w:tc>
        <w:tc>
          <w:tcPr>
            <w:tcW w:w="494" w:type="pct"/>
            <w:vAlign w:val="center"/>
          </w:tcPr>
          <w:p w14:paraId="4606C503">
            <w:pPr>
              <w:pStyle w:val="30"/>
              <w:bidi w:val="0"/>
              <w:rPr>
                <w:color w:val="auto"/>
              </w:rPr>
            </w:pPr>
            <w:r>
              <w:rPr>
                <w:color w:val="auto"/>
              </w:rPr>
              <w:t>0.012</w:t>
            </w:r>
          </w:p>
        </w:tc>
        <w:tc>
          <w:tcPr>
            <w:tcW w:w="750" w:type="pct"/>
            <w:vMerge w:val="continue"/>
            <w:vAlign w:val="center"/>
          </w:tcPr>
          <w:p w14:paraId="0CC0D7B7">
            <w:pPr>
              <w:pStyle w:val="30"/>
              <w:bidi w:val="0"/>
              <w:rPr>
                <w:color w:val="auto"/>
              </w:rPr>
            </w:pPr>
          </w:p>
        </w:tc>
        <w:tc>
          <w:tcPr>
            <w:tcW w:w="705" w:type="pct"/>
            <w:vMerge w:val="continue"/>
            <w:vAlign w:val="center"/>
          </w:tcPr>
          <w:p w14:paraId="5D202FDE">
            <w:pPr>
              <w:pStyle w:val="30"/>
              <w:bidi w:val="0"/>
              <w:rPr>
                <w:color w:val="auto"/>
              </w:rPr>
            </w:pPr>
          </w:p>
        </w:tc>
      </w:tr>
      <w:tr w14:paraId="5B7F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60" w:type="pct"/>
            <w:vAlign w:val="center"/>
          </w:tcPr>
          <w:p w14:paraId="7804C66D">
            <w:pPr>
              <w:pStyle w:val="30"/>
              <w:bidi w:val="0"/>
              <w:rPr>
                <w:color w:val="auto"/>
              </w:rPr>
            </w:pPr>
            <w:r>
              <w:rPr>
                <w:rFonts w:hint="eastAsia"/>
                <w:color w:val="auto"/>
              </w:rPr>
              <w:t>3</w:t>
            </w:r>
          </w:p>
        </w:tc>
        <w:tc>
          <w:tcPr>
            <w:tcW w:w="450" w:type="pct"/>
            <w:vAlign w:val="center"/>
          </w:tcPr>
          <w:p w14:paraId="6A3D41C6">
            <w:pPr>
              <w:pStyle w:val="30"/>
              <w:bidi w:val="0"/>
              <w:rPr>
                <w:color w:val="auto"/>
              </w:rPr>
            </w:pPr>
            <w:r>
              <w:rPr>
                <w:rFonts w:hint="eastAsia"/>
                <w:color w:val="auto"/>
              </w:rPr>
              <w:t>硫化钠</w:t>
            </w:r>
          </w:p>
        </w:tc>
        <w:tc>
          <w:tcPr>
            <w:tcW w:w="359" w:type="pct"/>
            <w:vAlign w:val="center"/>
          </w:tcPr>
          <w:p w14:paraId="4B1144A3">
            <w:pPr>
              <w:pStyle w:val="30"/>
              <w:bidi w:val="0"/>
              <w:rPr>
                <w:color w:val="auto"/>
              </w:rPr>
            </w:pPr>
            <w:r>
              <w:rPr>
                <w:rFonts w:hint="eastAsia"/>
                <w:color w:val="auto"/>
              </w:rPr>
              <w:t>2</w:t>
            </w:r>
            <w:r>
              <w:rPr>
                <w:color w:val="auto"/>
              </w:rPr>
              <w:t>00</w:t>
            </w:r>
          </w:p>
        </w:tc>
        <w:tc>
          <w:tcPr>
            <w:tcW w:w="1980" w:type="pct"/>
            <w:vAlign w:val="center"/>
          </w:tcPr>
          <w:p w14:paraId="7082F6C8">
            <w:pPr>
              <w:pStyle w:val="30"/>
              <w:bidi w:val="0"/>
              <w:rPr>
                <w:color w:val="auto"/>
              </w:rPr>
            </w:pPr>
            <w:r>
              <w:rPr>
                <w:rFonts w:hint="eastAsia"/>
                <w:color w:val="auto"/>
              </w:rPr>
              <w:t>硫化钠作为选矿药剂，年使用量为7.2t，最大储存量</w:t>
            </w:r>
            <w:r>
              <w:rPr>
                <w:color w:val="auto"/>
              </w:rPr>
              <w:t>1</w:t>
            </w:r>
            <w:r>
              <w:rPr>
                <w:rFonts w:hint="eastAsia"/>
                <w:color w:val="auto"/>
              </w:rPr>
              <w:t>t。</w:t>
            </w:r>
          </w:p>
        </w:tc>
        <w:tc>
          <w:tcPr>
            <w:tcW w:w="494" w:type="pct"/>
            <w:vAlign w:val="center"/>
          </w:tcPr>
          <w:p w14:paraId="6B424121">
            <w:pPr>
              <w:pStyle w:val="30"/>
              <w:bidi w:val="0"/>
              <w:rPr>
                <w:color w:val="auto"/>
              </w:rPr>
            </w:pPr>
            <w:r>
              <w:rPr>
                <w:rFonts w:hint="eastAsia"/>
                <w:color w:val="auto"/>
              </w:rPr>
              <w:t>0</w:t>
            </w:r>
            <w:r>
              <w:rPr>
                <w:color w:val="auto"/>
              </w:rPr>
              <w:t>.005</w:t>
            </w:r>
          </w:p>
        </w:tc>
        <w:tc>
          <w:tcPr>
            <w:tcW w:w="750" w:type="pct"/>
            <w:vAlign w:val="center"/>
          </w:tcPr>
          <w:p w14:paraId="67C96D2C">
            <w:pPr>
              <w:pStyle w:val="30"/>
              <w:bidi w:val="0"/>
              <w:rPr>
                <w:color w:val="auto"/>
              </w:rPr>
            </w:pPr>
            <w:r>
              <w:rPr>
                <w:color w:val="auto"/>
              </w:rPr>
              <w:t>S=q</w:t>
            </w:r>
            <w:r>
              <w:rPr>
                <w:color w:val="auto"/>
                <w:vertAlign w:val="subscript"/>
              </w:rPr>
              <w:t>1</w:t>
            </w:r>
            <w:r>
              <w:rPr>
                <w:color w:val="auto"/>
              </w:rPr>
              <w:t>/Q</w:t>
            </w:r>
            <w:r>
              <w:rPr>
                <w:color w:val="auto"/>
                <w:vertAlign w:val="subscript"/>
              </w:rPr>
              <w:t>1</w:t>
            </w:r>
            <w:r>
              <w:rPr>
                <w:color w:val="auto"/>
              </w:rPr>
              <w:t>=0.005</w:t>
            </w:r>
          </w:p>
        </w:tc>
        <w:tc>
          <w:tcPr>
            <w:tcW w:w="705" w:type="pct"/>
            <w:vAlign w:val="center"/>
          </w:tcPr>
          <w:p w14:paraId="356E1743">
            <w:pPr>
              <w:pStyle w:val="30"/>
              <w:bidi w:val="0"/>
              <w:rPr>
                <w:color w:val="auto"/>
              </w:rPr>
            </w:pPr>
            <w:r>
              <w:rPr>
                <w:rFonts w:hint="eastAsia"/>
                <w:color w:val="auto"/>
              </w:rPr>
              <w:t>不构成</w:t>
            </w:r>
          </w:p>
        </w:tc>
      </w:tr>
    </w:tbl>
    <w:p w14:paraId="349491BC">
      <w:pPr>
        <w:bidi w:val="0"/>
        <w:rPr>
          <w:color w:val="auto"/>
        </w:rPr>
      </w:pPr>
      <w:r>
        <w:rPr>
          <w:rFonts w:hint="eastAsia"/>
          <w:color w:val="auto"/>
        </w:rPr>
        <w:t>按照《危险化学品重大危险源辨识》（GB18218-2018）的规定，项目在生产、检修环节中用到的乙炔、</w:t>
      </w:r>
      <w:r>
        <w:rPr>
          <w:rFonts w:hint="eastAsia"/>
          <w:color w:val="auto"/>
          <w:lang w:val="en-US" w:eastAsia="zh-CN"/>
        </w:rPr>
        <w:t>氧气、</w:t>
      </w:r>
      <w:r>
        <w:rPr>
          <w:rFonts w:hint="eastAsia"/>
          <w:color w:val="auto"/>
        </w:rPr>
        <w:t>硫化钠，其用量较少，远小于其临界量；综上，该项目未构成重大危险源。</w:t>
      </w:r>
    </w:p>
    <w:p w14:paraId="5F2C89B2">
      <w:pPr>
        <w:rPr>
          <w:color w:val="auto"/>
        </w:rPr>
      </w:pPr>
      <w:r>
        <w:rPr>
          <w:color w:val="auto"/>
        </w:rPr>
        <w:br w:type="page"/>
      </w:r>
    </w:p>
    <w:p w14:paraId="083C4EC9">
      <w:pPr>
        <w:pStyle w:val="2"/>
        <w:bidi w:val="0"/>
        <w:rPr>
          <w:rFonts w:hint="eastAsia"/>
          <w:color w:val="auto"/>
        </w:rPr>
      </w:pPr>
      <w:bookmarkStart w:id="97" w:name="_Toc24364"/>
      <w:r>
        <w:rPr>
          <w:rFonts w:hint="eastAsia"/>
          <w:color w:val="auto"/>
        </w:rPr>
        <w:t>4 评价单元划分及评价方法选择</w:t>
      </w:r>
      <w:bookmarkEnd w:id="97"/>
    </w:p>
    <w:p w14:paraId="785405D0">
      <w:pPr>
        <w:pStyle w:val="3"/>
        <w:bidi w:val="0"/>
        <w:rPr>
          <w:rFonts w:hint="eastAsia"/>
          <w:color w:val="auto"/>
        </w:rPr>
      </w:pPr>
      <w:bookmarkStart w:id="98" w:name="_Toc12241"/>
      <w:r>
        <w:rPr>
          <w:rFonts w:hint="eastAsia"/>
          <w:color w:val="auto"/>
        </w:rPr>
        <w:t>4.1 评价单元划分</w:t>
      </w:r>
      <w:bookmarkEnd w:id="98"/>
    </w:p>
    <w:p w14:paraId="03AEA53A">
      <w:pPr>
        <w:pStyle w:val="4"/>
        <w:bidi w:val="0"/>
        <w:rPr>
          <w:rFonts w:hint="eastAsia"/>
          <w:color w:val="auto"/>
        </w:rPr>
      </w:pPr>
      <w:bookmarkStart w:id="99" w:name="_Toc21872"/>
      <w:r>
        <w:rPr>
          <w:rFonts w:hint="eastAsia"/>
          <w:color w:val="auto"/>
        </w:rPr>
        <w:t>4.1.1</w:t>
      </w:r>
      <w:r>
        <w:rPr>
          <w:rFonts w:hint="eastAsia"/>
          <w:color w:val="auto"/>
          <w:lang w:val="en-US" w:eastAsia="zh-CN"/>
        </w:rPr>
        <w:t xml:space="preserve"> </w:t>
      </w:r>
      <w:r>
        <w:rPr>
          <w:rFonts w:hint="eastAsia"/>
          <w:color w:val="auto"/>
        </w:rPr>
        <w:t>评价单元划分原则</w:t>
      </w:r>
      <w:bookmarkEnd w:id="99"/>
    </w:p>
    <w:p w14:paraId="1AF62EFD">
      <w:pPr>
        <w:bidi w:val="0"/>
        <w:rPr>
          <w:rFonts w:hint="eastAsia"/>
          <w:color w:val="auto"/>
        </w:rPr>
      </w:pPr>
      <w:r>
        <w:rPr>
          <w:rFonts w:hint="eastAsia"/>
          <w:color w:val="auto"/>
        </w:rPr>
        <w:t>划分评价单元是为评价目标和选用评价方法服务的，为便于评价工作的进行，有利于提高评价工作的准确性。评价单元一般以工艺流程、工艺装置、物料的特点和特性与危险和有害因素的类别、分布有机结合进行划分，还可以按评价的需要将一个评价单元再划分为若干子评价单元或更细致的单元。</w:t>
      </w:r>
    </w:p>
    <w:p w14:paraId="70BD0F18">
      <w:pPr>
        <w:bidi w:val="0"/>
        <w:rPr>
          <w:rFonts w:hint="eastAsia"/>
          <w:color w:val="auto"/>
        </w:rPr>
      </w:pPr>
      <w:r>
        <w:rPr>
          <w:rFonts w:hint="eastAsia"/>
          <w:color w:val="auto"/>
        </w:rPr>
        <w:t>评价单元划分的原则和方法为：</w:t>
      </w:r>
    </w:p>
    <w:p w14:paraId="4E5D6FA4">
      <w:pPr>
        <w:bidi w:val="0"/>
        <w:rPr>
          <w:rFonts w:hint="eastAsia"/>
          <w:color w:val="auto"/>
        </w:rPr>
      </w:pPr>
      <w:r>
        <w:rPr>
          <w:rFonts w:hint="eastAsia"/>
          <w:color w:val="auto"/>
        </w:rPr>
        <w:t>1、以危险、有害因素的类别为主划分</w:t>
      </w:r>
    </w:p>
    <w:p w14:paraId="6B20ED85">
      <w:pPr>
        <w:bidi w:val="0"/>
        <w:rPr>
          <w:rFonts w:hint="eastAsia"/>
          <w:color w:val="auto"/>
        </w:rPr>
      </w:pPr>
      <w:r>
        <w:rPr>
          <w:rFonts w:hint="eastAsia"/>
          <w:color w:val="auto"/>
        </w:rPr>
        <w:t>（1）按工艺方案、总体布置和自然条件、社会环境对企业的影响等综合方面的危险、有害因素分析和评价，宜将整个企业作为一个评价单元；</w:t>
      </w:r>
    </w:p>
    <w:p w14:paraId="4B4F462D">
      <w:pPr>
        <w:bidi w:val="0"/>
        <w:rPr>
          <w:rFonts w:hint="eastAsia"/>
          <w:color w:val="auto"/>
        </w:rPr>
      </w:pPr>
      <w:r>
        <w:rPr>
          <w:rFonts w:hint="eastAsia"/>
          <w:color w:val="auto"/>
        </w:rPr>
        <w:t>（2）将具有共性危险因素、有害因素的场所和装置划为一个单元。</w:t>
      </w:r>
    </w:p>
    <w:p w14:paraId="18A3180F">
      <w:pPr>
        <w:bidi w:val="0"/>
        <w:rPr>
          <w:rFonts w:hint="eastAsia"/>
          <w:color w:val="auto"/>
        </w:rPr>
      </w:pPr>
      <w:r>
        <w:rPr>
          <w:rFonts w:hint="eastAsia"/>
          <w:color w:val="auto"/>
        </w:rPr>
        <w:t>1）按危险因素类别各划归一个单元，再按工艺、物料、作业特点（即其潜在危险因素不同）划分成子单元分别评价；</w:t>
      </w:r>
    </w:p>
    <w:p w14:paraId="427EA501">
      <w:pPr>
        <w:bidi w:val="0"/>
        <w:rPr>
          <w:rFonts w:hint="eastAsia"/>
          <w:color w:val="auto"/>
        </w:rPr>
      </w:pPr>
      <w:r>
        <w:rPr>
          <w:rFonts w:hint="eastAsia"/>
          <w:color w:val="auto"/>
        </w:rPr>
        <w:t>2）进行有害因素评价时，宜按有害因素（有害作业）的类别划分评价单元。例如，将噪声、毒物、粉尘、高温危害的场所各划归一个评价单元。</w:t>
      </w:r>
    </w:p>
    <w:p w14:paraId="247B82FB">
      <w:pPr>
        <w:bidi w:val="0"/>
        <w:rPr>
          <w:rFonts w:hint="eastAsia"/>
          <w:color w:val="auto"/>
        </w:rPr>
      </w:pPr>
      <w:r>
        <w:rPr>
          <w:rFonts w:hint="eastAsia"/>
          <w:color w:val="auto"/>
        </w:rPr>
        <w:t>2、按装置和物质特征划分</w:t>
      </w:r>
    </w:p>
    <w:p w14:paraId="213D17F2">
      <w:pPr>
        <w:bidi w:val="0"/>
        <w:rPr>
          <w:rFonts w:hint="eastAsia"/>
          <w:color w:val="auto"/>
        </w:rPr>
      </w:pPr>
      <w:r>
        <w:rPr>
          <w:rFonts w:hint="eastAsia"/>
          <w:color w:val="auto"/>
        </w:rPr>
        <w:t>（1）按装置工艺功能划分；</w:t>
      </w:r>
    </w:p>
    <w:p w14:paraId="0C21A77B">
      <w:pPr>
        <w:bidi w:val="0"/>
        <w:rPr>
          <w:rFonts w:hint="eastAsia"/>
          <w:color w:val="auto"/>
        </w:rPr>
      </w:pPr>
      <w:r>
        <w:rPr>
          <w:rFonts w:hint="eastAsia"/>
          <w:color w:val="auto"/>
        </w:rPr>
        <w:t>（2）按布置的相对独立性划分；</w:t>
      </w:r>
    </w:p>
    <w:p w14:paraId="2202B226">
      <w:pPr>
        <w:bidi w:val="0"/>
        <w:rPr>
          <w:rFonts w:hint="eastAsia"/>
          <w:color w:val="auto"/>
        </w:rPr>
      </w:pPr>
      <w:r>
        <w:rPr>
          <w:rFonts w:hint="eastAsia"/>
          <w:color w:val="auto"/>
        </w:rPr>
        <w:t>（3）按工艺条件划分；</w:t>
      </w:r>
    </w:p>
    <w:p w14:paraId="2DAA936A">
      <w:pPr>
        <w:bidi w:val="0"/>
        <w:rPr>
          <w:rFonts w:hint="eastAsia"/>
          <w:color w:val="auto"/>
        </w:rPr>
      </w:pPr>
      <w:r>
        <w:rPr>
          <w:rFonts w:hint="eastAsia"/>
          <w:color w:val="auto"/>
        </w:rPr>
        <w:t>（4）按贮存、处理危险物质的潜在化学能、毒性和危险物质的数量划分；</w:t>
      </w:r>
    </w:p>
    <w:p w14:paraId="1CC5A646">
      <w:pPr>
        <w:bidi w:val="0"/>
        <w:rPr>
          <w:rFonts w:hint="eastAsia"/>
          <w:color w:val="auto"/>
        </w:rPr>
      </w:pPr>
      <w:r>
        <w:rPr>
          <w:rFonts w:hint="eastAsia"/>
          <w:color w:val="auto"/>
        </w:rPr>
        <w:t>（5）按事故损失程度或危险性划分。</w:t>
      </w:r>
    </w:p>
    <w:p w14:paraId="5A3CE585">
      <w:pPr>
        <w:pStyle w:val="4"/>
        <w:bidi w:val="0"/>
        <w:rPr>
          <w:rFonts w:hint="eastAsia"/>
          <w:color w:val="auto"/>
        </w:rPr>
      </w:pPr>
      <w:bookmarkStart w:id="100" w:name="_Toc20637"/>
      <w:r>
        <w:rPr>
          <w:rFonts w:hint="eastAsia"/>
          <w:color w:val="auto"/>
        </w:rPr>
        <w:t>4.1.2</w:t>
      </w:r>
      <w:r>
        <w:rPr>
          <w:rFonts w:hint="eastAsia"/>
          <w:color w:val="auto"/>
          <w:lang w:val="en-US" w:eastAsia="zh-CN"/>
        </w:rPr>
        <w:t xml:space="preserve"> </w:t>
      </w:r>
      <w:r>
        <w:rPr>
          <w:rFonts w:hint="eastAsia"/>
          <w:color w:val="auto"/>
        </w:rPr>
        <w:t>评价单元的划分</w:t>
      </w:r>
      <w:bookmarkEnd w:id="100"/>
    </w:p>
    <w:p w14:paraId="099CF73F">
      <w:pPr>
        <w:bidi w:val="0"/>
        <w:rPr>
          <w:rFonts w:hint="eastAsia"/>
          <w:color w:val="auto"/>
        </w:rPr>
      </w:pPr>
      <w:r>
        <w:rPr>
          <w:rFonts w:hint="eastAsia"/>
          <w:color w:val="auto"/>
        </w:rPr>
        <w:t>根据该项目的总图布置和生产工艺特点，为达到对该项目系统、科学、全面的评价目的，将该项目评价单元做如下划分：</w:t>
      </w:r>
    </w:p>
    <w:p w14:paraId="208CD397">
      <w:pPr>
        <w:pStyle w:val="29"/>
        <w:bidi w:val="0"/>
        <w:rPr>
          <w:color w:val="auto"/>
        </w:rPr>
      </w:pPr>
      <w:r>
        <w:rPr>
          <w:rFonts w:hint="eastAsia"/>
          <w:color w:val="auto"/>
        </w:rPr>
        <w:t xml:space="preserve">表4.1-1 </w:t>
      </w:r>
      <w:r>
        <w:rPr>
          <w:rFonts w:hint="eastAsia"/>
          <w:color w:val="auto"/>
          <w:lang w:val="en-US" w:eastAsia="zh-CN"/>
        </w:rPr>
        <w:t xml:space="preserve"> </w:t>
      </w:r>
      <w:r>
        <w:rPr>
          <w:rFonts w:hint="eastAsia"/>
          <w:color w:val="auto"/>
        </w:rPr>
        <w:t>评价单元与评价方法对照表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3506"/>
        <w:gridCol w:w="5050"/>
      </w:tblGrid>
      <w:tr w14:paraId="71AF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847" w:type="dxa"/>
            <w:noWrap w:val="0"/>
            <w:vAlign w:val="center"/>
          </w:tcPr>
          <w:p w14:paraId="47C557CA">
            <w:pPr>
              <w:pStyle w:val="30"/>
              <w:bidi w:val="0"/>
              <w:rPr>
                <w:rFonts w:hint="default"/>
                <w:b/>
                <w:bCs/>
                <w:color w:val="auto"/>
              </w:rPr>
            </w:pPr>
            <w:r>
              <w:rPr>
                <w:rFonts w:hint="default"/>
                <w:b/>
                <w:bCs/>
                <w:color w:val="auto"/>
              </w:rPr>
              <w:t>序号</w:t>
            </w:r>
          </w:p>
        </w:tc>
        <w:tc>
          <w:tcPr>
            <w:tcW w:w="3506" w:type="dxa"/>
            <w:noWrap w:val="0"/>
            <w:vAlign w:val="center"/>
          </w:tcPr>
          <w:p w14:paraId="7BE7F190">
            <w:pPr>
              <w:pStyle w:val="30"/>
              <w:bidi w:val="0"/>
              <w:rPr>
                <w:rFonts w:hint="default"/>
                <w:b/>
                <w:bCs/>
                <w:color w:val="auto"/>
              </w:rPr>
            </w:pPr>
            <w:r>
              <w:rPr>
                <w:rFonts w:hint="default"/>
                <w:b/>
                <w:bCs/>
                <w:color w:val="auto"/>
              </w:rPr>
              <w:t>评价单元</w:t>
            </w:r>
          </w:p>
        </w:tc>
        <w:tc>
          <w:tcPr>
            <w:tcW w:w="5050" w:type="dxa"/>
            <w:noWrap w:val="0"/>
            <w:vAlign w:val="center"/>
          </w:tcPr>
          <w:p w14:paraId="5B447337">
            <w:pPr>
              <w:pStyle w:val="30"/>
              <w:bidi w:val="0"/>
              <w:rPr>
                <w:rFonts w:hint="default"/>
                <w:b/>
                <w:bCs/>
                <w:color w:val="auto"/>
              </w:rPr>
            </w:pPr>
            <w:r>
              <w:rPr>
                <w:rFonts w:hint="default"/>
                <w:b/>
                <w:bCs/>
                <w:color w:val="auto"/>
              </w:rPr>
              <w:t>评价方法选择</w:t>
            </w:r>
          </w:p>
        </w:tc>
      </w:tr>
      <w:tr w14:paraId="5F57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7" w:type="dxa"/>
            <w:noWrap w:val="0"/>
            <w:vAlign w:val="center"/>
          </w:tcPr>
          <w:p w14:paraId="63162247">
            <w:pPr>
              <w:pStyle w:val="30"/>
              <w:bidi w:val="0"/>
              <w:rPr>
                <w:rFonts w:hint="default"/>
                <w:color w:val="auto"/>
              </w:rPr>
            </w:pPr>
            <w:r>
              <w:rPr>
                <w:rFonts w:hint="default"/>
                <w:color w:val="auto"/>
              </w:rPr>
              <w:t>1</w:t>
            </w:r>
          </w:p>
        </w:tc>
        <w:tc>
          <w:tcPr>
            <w:tcW w:w="3506" w:type="dxa"/>
            <w:noWrap w:val="0"/>
            <w:vAlign w:val="center"/>
          </w:tcPr>
          <w:p w14:paraId="5CE00368">
            <w:pPr>
              <w:pStyle w:val="30"/>
              <w:bidi w:val="0"/>
              <w:rPr>
                <w:rFonts w:hint="default"/>
                <w:color w:val="auto"/>
              </w:rPr>
            </w:pPr>
            <w:r>
              <w:rPr>
                <w:rFonts w:hint="default"/>
                <w:color w:val="auto"/>
              </w:rPr>
              <w:t>建设程序单元</w:t>
            </w:r>
          </w:p>
        </w:tc>
        <w:tc>
          <w:tcPr>
            <w:tcW w:w="5050" w:type="dxa"/>
            <w:noWrap w:val="0"/>
            <w:vAlign w:val="center"/>
          </w:tcPr>
          <w:p w14:paraId="1D78C47C">
            <w:pPr>
              <w:pStyle w:val="30"/>
              <w:bidi w:val="0"/>
              <w:rPr>
                <w:rFonts w:hint="default"/>
                <w:color w:val="auto"/>
              </w:rPr>
            </w:pPr>
            <w:r>
              <w:rPr>
                <w:rFonts w:hint="default"/>
                <w:color w:val="auto"/>
              </w:rPr>
              <w:t>安全检查表法</w:t>
            </w:r>
          </w:p>
        </w:tc>
      </w:tr>
      <w:tr w14:paraId="2262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7" w:type="dxa"/>
            <w:noWrap w:val="0"/>
            <w:vAlign w:val="center"/>
          </w:tcPr>
          <w:p w14:paraId="06546D56">
            <w:pPr>
              <w:pStyle w:val="30"/>
              <w:bidi w:val="0"/>
              <w:rPr>
                <w:rFonts w:hint="default"/>
                <w:color w:val="auto"/>
              </w:rPr>
            </w:pPr>
            <w:r>
              <w:rPr>
                <w:rFonts w:hint="default"/>
                <w:color w:val="auto"/>
              </w:rPr>
              <w:t>2</w:t>
            </w:r>
          </w:p>
        </w:tc>
        <w:tc>
          <w:tcPr>
            <w:tcW w:w="3506" w:type="dxa"/>
            <w:noWrap w:val="0"/>
            <w:vAlign w:val="center"/>
          </w:tcPr>
          <w:p w14:paraId="312C54EF">
            <w:pPr>
              <w:pStyle w:val="30"/>
              <w:bidi w:val="0"/>
              <w:rPr>
                <w:rFonts w:hint="default"/>
                <w:color w:val="auto"/>
              </w:rPr>
            </w:pPr>
            <w:r>
              <w:rPr>
                <w:rFonts w:hint="default"/>
                <w:color w:val="auto"/>
              </w:rPr>
              <w:t>厂址及总平面布置单元</w:t>
            </w:r>
          </w:p>
        </w:tc>
        <w:tc>
          <w:tcPr>
            <w:tcW w:w="5050" w:type="dxa"/>
            <w:noWrap w:val="0"/>
            <w:vAlign w:val="center"/>
          </w:tcPr>
          <w:p w14:paraId="2F853560">
            <w:pPr>
              <w:pStyle w:val="30"/>
              <w:bidi w:val="0"/>
              <w:rPr>
                <w:rFonts w:hint="default"/>
                <w:color w:val="auto"/>
              </w:rPr>
            </w:pPr>
            <w:r>
              <w:rPr>
                <w:rFonts w:hint="default"/>
                <w:color w:val="auto"/>
              </w:rPr>
              <w:t>安全检查表法</w:t>
            </w:r>
          </w:p>
        </w:tc>
      </w:tr>
      <w:tr w14:paraId="1C26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7" w:type="dxa"/>
            <w:noWrap w:val="0"/>
            <w:vAlign w:val="center"/>
          </w:tcPr>
          <w:p w14:paraId="0931CAE4">
            <w:pPr>
              <w:pStyle w:val="30"/>
              <w:bidi w:val="0"/>
              <w:rPr>
                <w:rFonts w:hint="default"/>
                <w:color w:val="auto"/>
              </w:rPr>
            </w:pPr>
            <w:r>
              <w:rPr>
                <w:rFonts w:hint="default"/>
                <w:color w:val="auto"/>
              </w:rPr>
              <w:t>3</w:t>
            </w:r>
          </w:p>
        </w:tc>
        <w:tc>
          <w:tcPr>
            <w:tcW w:w="3506" w:type="dxa"/>
            <w:noWrap w:val="0"/>
            <w:vAlign w:val="center"/>
          </w:tcPr>
          <w:p w14:paraId="2B34E055">
            <w:pPr>
              <w:pStyle w:val="30"/>
              <w:bidi w:val="0"/>
              <w:rPr>
                <w:rFonts w:hint="default"/>
                <w:color w:val="auto"/>
              </w:rPr>
            </w:pPr>
            <w:r>
              <w:rPr>
                <w:rFonts w:hint="default"/>
                <w:color w:val="auto"/>
              </w:rPr>
              <w:t>生产工艺及设备单元</w:t>
            </w:r>
          </w:p>
        </w:tc>
        <w:tc>
          <w:tcPr>
            <w:tcW w:w="5050" w:type="dxa"/>
            <w:noWrap w:val="0"/>
            <w:vAlign w:val="center"/>
          </w:tcPr>
          <w:p w14:paraId="6A66F8F7">
            <w:pPr>
              <w:pStyle w:val="30"/>
              <w:bidi w:val="0"/>
              <w:rPr>
                <w:rFonts w:hint="default"/>
                <w:color w:val="auto"/>
              </w:rPr>
            </w:pPr>
            <w:r>
              <w:rPr>
                <w:rFonts w:hint="default"/>
                <w:color w:val="auto"/>
              </w:rPr>
              <w:t>安全检查表法</w:t>
            </w:r>
          </w:p>
        </w:tc>
      </w:tr>
      <w:tr w14:paraId="3F13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7" w:type="dxa"/>
            <w:noWrap w:val="0"/>
            <w:vAlign w:val="center"/>
          </w:tcPr>
          <w:p w14:paraId="2216F197">
            <w:pPr>
              <w:pStyle w:val="30"/>
              <w:bidi w:val="0"/>
              <w:rPr>
                <w:rFonts w:hint="default"/>
                <w:color w:val="auto"/>
              </w:rPr>
            </w:pPr>
            <w:r>
              <w:rPr>
                <w:rFonts w:hint="default"/>
                <w:color w:val="auto"/>
              </w:rPr>
              <w:t>4</w:t>
            </w:r>
          </w:p>
        </w:tc>
        <w:tc>
          <w:tcPr>
            <w:tcW w:w="3506" w:type="dxa"/>
            <w:noWrap w:val="0"/>
            <w:vAlign w:val="center"/>
          </w:tcPr>
          <w:p w14:paraId="315E5107">
            <w:pPr>
              <w:pStyle w:val="30"/>
              <w:bidi w:val="0"/>
              <w:rPr>
                <w:rFonts w:hint="default"/>
                <w:color w:val="auto"/>
              </w:rPr>
            </w:pPr>
            <w:r>
              <w:rPr>
                <w:rFonts w:hint="default"/>
                <w:color w:val="auto"/>
              </w:rPr>
              <w:t>公用工程及辅助设施单元</w:t>
            </w:r>
          </w:p>
        </w:tc>
        <w:tc>
          <w:tcPr>
            <w:tcW w:w="5050" w:type="dxa"/>
            <w:noWrap w:val="0"/>
            <w:vAlign w:val="center"/>
          </w:tcPr>
          <w:p w14:paraId="3D739D7C">
            <w:pPr>
              <w:pStyle w:val="30"/>
              <w:bidi w:val="0"/>
              <w:rPr>
                <w:rFonts w:hint="default"/>
                <w:color w:val="auto"/>
              </w:rPr>
            </w:pPr>
            <w:r>
              <w:rPr>
                <w:rFonts w:hint="default"/>
                <w:color w:val="auto"/>
              </w:rPr>
              <w:t>安全检查表法</w:t>
            </w:r>
          </w:p>
        </w:tc>
      </w:tr>
      <w:tr w14:paraId="5D7B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7" w:type="dxa"/>
            <w:noWrap w:val="0"/>
            <w:vAlign w:val="center"/>
          </w:tcPr>
          <w:p w14:paraId="525F41F7">
            <w:pPr>
              <w:pStyle w:val="30"/>
              <w:bidi w:val="0"/>
              <w:rPr>
                <w:rFonts w:hint="default"/>
                <w:color w:val="auto"/>
              </w:rPr>
            </w:pPr>
            <w:r>
              <w:rPr>
                <w:rFonts w:hint="default"/>
                <w:color w:val="auto"/>
              </w:rPr>
              <w:t>5</w:t>
            </w:r>
          </w:p>
        </w:tc>
        <w:tc>
          <w:tcPr>
            <w:tcW w:w="3506" w:type="dxa"/>
            <w:noWrap w:val="0"/>
            <w:vAlign w:val="center"/>
          </w:tcPr>
          <w:p w14:paraId="0FCC6E7D">
            <w:pPr>
              <w:pStyle w:val="30"/>
              <w:bidi w:val="0"/>
              <w:rPr>
                <w:rFonts w:hint="default"/>
                <w:color w:val="auto"/>
              </w:rPr>
            </w:pPr>
            <w:r>
              <w:rPr>
                <w:rFonts w:hint="default"/>
                <w:color w:val="auto"/>
              </w:rPr>
              <w:t>安全设施单元</w:t>
            </w:r>
          </w:p>
        </w:tc>
        <w:tc>
          <w:tcPr>
            <w:tcW w:w="5050" w:type="dxa"/>
            <w:noWrap w:val="0"/>
            <w:vAlign w:val="center"/>
          </w:tcPr>
          <w:p w14:paraId="530EBF8E">
            <w:pPr>
              <w:pStyle w:val="30"/>
              <w:bidi w:val="0"/>
              <w:rPr>
                <w:rFonts w:hint="default"/>
                <w:color w:val="auto"/>
              </w:rPr>
            </w:pPr>
            <w:r>
              <w:rPr>
                <w:rFonts w:hint="default"/>
                <w:color w:val="auto"/>
              </w:rPr>
              <w:t>安全检查法</w:t>
            </w:r>
            <w:r>
              <w:rPr>
                <w:rFonts w:hint="eastAsia"/>
                <w:color w:val="auto"/>
                <w:lang w:eastAsia="zh-CN"/>
              </w:rPr>
              <w:t>、</w:t>
            </w:r>
            <w:r>
              <w:rPr>
                <w:rFonts w:hint="default"/>
                <w:color w:val="auto"/>
              </w:rPr>
              <w:t>安全检查</w:t>
            </w:r>
            <w:r>
              <w:rPr>
                <w:rFonts w:hint="eastAsia"/>
                <w:color w:val="auto"/>
                <w:lang w:val="en-US" w:eastAsia="zh-CN"/>
              </w:rPr>
              <w:t>表</w:t>
            </w:r>
            <w:r>
              <w:rPr>
                <w:rFonts w:hint="default"/>
                <w:color w:val="auto"/>
              </w:rPr>
              <w:t>法</w:t>
            </w:r>
          </w:p>
        </w:tc>
      </w:tr>
      <w:tr w14:paraId="14CF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7" w:type="dxa"/>
            <w:noWrap w:val="0"/>
            <w:vAlign w:val="center"/>
          </w:tcPr>
          <w:p w14:paraId="3AF3E05B">
            <w:pPr>
              <w:pStyle w:val="30"/>
              <w:bidi w:val="0"/>
              <w:rPr>
                <w:rFonts w:hint="default"/>
                <w:color w:val="auto"/>
              </w:rPr>
            </w:pPr>
            <w:r>
              <w:rPr>
                <w:rFonts w:hint="default"/>
                <w:color w:val="auto"/>
              </w:rPr>
              <w:t>6</w:t>
            </w:r>
          </w:p>
        </w:tc>
        <w:tc>
          <w:tcPr>
            <w:tcW w:w="3506" w:type="dxa"/>
            <w:noWrap w:val="0"/>
            <w:vAlign w:val="center"/>
          </w:tcPr>
          <w:p w14:paraId="79016DC0">
            <w:pPr>
              <w:pStyle w:val="30"/>
              <w:bidi w:val="0"/>
              <w:rPr>
                <w:rFonts w:hint="default"/>
                <w:color w:val="auto"/>
              </w:rPr>
            </w:pPr>
            <w:r>
              <w:rPr>
                <w:rFonts w:hint="default"/>
                <w:color w:val="auto"/>
              </w:rPr>
              <w:t>安全管理单元</w:t>
            </w:r>
          </w:p>
        </w:tc>
        <w:tc>
          <w:tcPr>
            <w:tcW w:w="5050" w:type="dxa"/>
            <w:noWrap w:val="0"/>
            <w:vAlign w:val="center"/>
          </w:tcPr>
          <w:p w14:paraId="30981CA3">
            <w:pPr>
              <w:pStyle w:val="30"/>
              <w:bidi w:val="0"/>
              <w:rPr>
                <w:rFonts w:hint="default"/>
                <w:color w:val="auto"/>
              </w:rPr>
            </w:pPr>
            <w:r>
              <w:rPr>
                <w:rFonts w:hint="default"/>
                <w:color w:val="auto"/>
              </w:rPr>
              <w:t>安全检查表法</w:t>
            </w:r>
          </w:p>
        </w:tc>
      </w:tr>
      <w:tr w14:paraId="3F18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7" w:type="dxa"/>
            <w:noWrap w:val="0"/>
            <w:vAlign w:val="center"/>
          </w:tcPr>
          <w:p w14:paraId="7B89A186">
            <w:pPr>
              <w:pStyle w:val="30"/>
              <w:bidi w:val="0"/>
              <w:rPr>
                <w:rFonts w:hint="default"/>
                <w:color w:val="auto"/>
                <w:lang w:val="en-US" w:eastAsia="zh-CN"/>
              </w:rPr>
            </w:pPr>
            <w:r>
              <w:rPr>
                <w:rFonts w:hint="default"/>
                <w:color w:val="auto"/>
                <w:lang w:val="en-US" w:eastAsia="zh-CN"/>
              </w:rPr>
              <w:t>7</w:t>
            </w:r>
          </w:p>
        </w:tc>
        <w:tc>
          <w:tcPr>
            <w:tcW w:w="3506" w:type="dxa"/>
            <w:noWrap w:val="0"/>
            <w:vAlign w:val="center"/>
          </w:tcPr>
          <w:p w14:paraId="0D1F139C">
            <w:pPr>
              <w:pStyle w:val="30"/>
              <w:bidi w:val="0"/>
              <w:rPr>
                <w:rFonts w:hint="default"/>
                <w:color w:val="auto"/>
              </w:rPr>
            </w:pPr>
            <w:r>
              <w:rPr>
                <w:rFonts w:hint="default"/>
                <w:color w:val="auto"/>
              </w:rPr>
              <w:t>危险危害程度评价单元</w:t>
            </w:r>
          </w:p>
        </w:tc>
        <w:tc>
          <w:tcPr>
            <w:tcW w:w="5050" w:type="dxa"/>
            <w:noWrap w:val="0"/>
            <w:vAlign w:val="center"/>
          </w:tcPr>
          <w:p w14:paraId="408005D2">
            <w:pPr>
              <w:pStyle w:val="30"/>
              <w:bidi w:val="0"/>
              <w:rPr>
                <w:rFonts w:hint="default"/>
                <w:color w:val="auto"/>
              </w:rPr>
            </w:pPr>
            <w:r>
              <w:rPr>
                <w:rFonts w:hint="default"/>
                <w:color w:val="auto"/>
              </w:rPr>
              <w:t>作业条件危险性评价法</w:t>
            </w:r>
          </w:p>
        </w:tc>
      </w:tr>
      <w:tr w14:paraId="41F2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7" w:type="dxa"/>
            <w:noWrap w:val="0"/>
            <w:vAlign w:val="center"/>
          </w:tcPr>
          <w:p w14:paraId="53859308">
            <w:pPr>
              <w:pStyle w:val="30"/>
              <w:bidi w:val="0"/>
              <w:rPr>
                <w:rFonts w:hint="default"/>
                <w:color w:val="auto"/>
                <w:lang w:val="en-US" w:eastAsia="zh-CN"/>
              </w:rPr>
            </w:pPr>
            <w:r>
              <w:rPr>
                <w:rFonts w:hint="eastAsia"/>
                <w:color w:val="auto"/>
                <w:lang w:val="en-US" w:eastAsia="zh-CN"/>
              </w:rPr>
              <w:t>8</w:t>
            </w:r>
          </w:p>
        </w:tc>
        <w:tc>
          <w:tcPr>
            <w:tcW w:w="3506" w:type="dxa"/>
            <w:noWrap w:val="0"/>
            <w:vAlign w:val="center"/>
          </w:tcPr>
          <w:p w14:paraId="24E05AD3">
            <w:pPr>
              <w:pStyle w:val="30"/>
              <w:bidi w:val="0"/>
              <w:rPr>
                <w:rFonts w:hint="default"/>
                <w:color w:val="auto"/>
              </w:rPr>
            </w:pPr>
            <w:r>
              <w:rPr>
                <w:rFonts w:hint="default"/>
                <w:color w:val="auto"/>
              </w:rPr>
              <w:t>重大生产安全事故隐患判定单元</w:t>
            </w:r>
          </w:p>
        </w:tc>
        <w:tc>
          <w:tcPr>
            <w:tcW w:w="5050" w:type="dxa"/>
            <w:noWrap w:val="0"/>
            <w:vAlign w:val="center"/>
          </w:tcPr>
          <w:p w14:paraId="6EA93AF8">
            <w:pPr>
              <w:pStyle w:val="30"/>
              <w:bidi w:val="0"/>
              <w:rPr>
                <w:rFonts w:hint="default"/>
                <w:color w:val="auto"/>
              </w:rPr>
            </w:pPr>
            <w:r>
              <w:rPr>
                <w:rFonts w:hint="default"/>
                <w:color w:val="auto"/>
              </w:rPr>
              <w:t>安全检查表法</w:t>
            </w:r>
          </w:p>
        </w:tc>
      </w:tr>
    </w:tbl>
    <w:p w14:paraId="564B891E">
      <w:pPr>
        <w:pStyle w:val="3"/>
        <w:bidi w:val="0"/>
        <w:rPr>
          <w:rFonts w:hint="eastAsia"/>
          <w:color w:val="auto"/>
        </w:rPr>
      </w:pPr>
      <w:bookmarkStart w:id="101" w:name="_Toc17129"/>
      <w:r>
        <w:rPr>
          <w:rFonts w:hint="eastAsia"/>
          <w:color w:val="auto"/>
        </w:rPr>
        <w:t>4.2 评价方法的选择</w:t>
      </w:r>
      <w:bookmarkEnd w:id="101"/>
    </w:p>
    <w:p w14:paraId="11D85E02">
      <w:pPr>
        <w:pStyle w:val="4"/>
        <w:bidi w:val="0"/>
        <w:rPr>
          <w:rFonts w:hint="eastAsia"/>
          <w:color w:val="auto"/>
        </w:rPr>
      </w:pPr>
      <w:bookmarkStart w:id="102" w:name="_Toc2232"/>
      <w:r>
        <w:rPr>
          <w:rFonts w:hint="eastAsia"/>
          <w:color w:val="auto"/>
        </w:rPr>
        <w:t>4.2.1</w:t>
      </w:r>
      <w:r>
        <w:rPr>
          <w:rFonts w:hint="eastAsia"/>
          <w:color w:val="auto"/>
          <w:lang w:val="en-US" w:eastAsia="zh-CN"/>
        </w:rPr>
        <w:t xml:space="preserve"> </w:t>
      </w:r>
      <w:r>
        <w:rPr>
          <w:rFonts w:hint="eastAsia"/>
          <w:color w:val="auto"/>
        </w:rPr>
        <w:t>评价方法选择</w:t>
      </w:r>
      <w:bookmarkEnd w:id="102"/>
    </w:p>
    <w:p w14:paraId="3D1D2DB5">
      <w:pPr>
        <w:bidi w:val="0"/>
        <w:rPr>
          <w:rFonts w:hint="eastAsia"/>
          <w:color w:val="auto"/>
        </w:rPr>
      </w:pPr>
      <w:r>
        <w:rPr>
          <w:rFonts w:hint="eastAsia"/>
          <w:color w:val="auto"/>
        </w:rPr>
        <w:t>安全评价方法是对系统的危险和有害因素及其危险危害程度进行分析、评价的方法，是进行定性、定量安全评价的工具。选择安全评价方法应遵循充分性、适应性、系统性、针对性和合理性等原则。</w:t>
      </w:r>
    </w:p>
    <w:p w14:paraId="27B2AFCD">
      <w:pPr>
        <w:bidi w:val="0"/>
        <w:rPr>
          <w:rFonts w:hint="eastAsia"/>
          <w:color w:val="auto"/>
        </w:rPr>
      </w:pPr>
      <w:r>
        <w:rPr>
          <w:rFonts w:hint="eastAsia"/>
          <w:color w:val="auto"/>
        </w:rPr>
        <w:t>根据《安全评价通则》（AQ 8001-2007）及《安全验收评价导则》（AQ 8003-2007）的要求，结合该项目的评价范围、存在的危险有害因素的特点和划分的评价单元，本报告主要采用下列评价方法：</w:t>
      </w:r>
    </w:p>
    <w:p w14:paraId="4D1296DE">
      <w:pPr>
        <w:bidi w:val="0"/>
        <w:rPr>
          <w:rFonts w:hint="eastAsia"/>
          <w:color w:val="auto"/>
        </w:rPr>
      </w:pPr>
      <w:r>
        <w:rPr>
          <w:rFonts w:hint="eastAsia"/>
          <w:color w:val="auto"/>
        </w:rPr>
        <w:t>1、安全检查表法（SCA）；</w:t>
      </w:r>
    </w:p>
    <w:p w14:paraId="01249DA3">
      <w:pPr>
        <w:bidi w:val="0"/>
        <w:rPr>
          <w:rFonts w:hint="eastAsia"/>
          <w:color w:val="auto"/>
        </w:rPr>
      </w:pPr>
      <w:r>
        <w:rPr>
          <w:rFonts w:hint="eastAsia"/>
          <w:color w:val="auto"/>
        </w:rPr>
        <w:t>2、安全检查法；</w:t>
      </w:r>
    </w:p>
    <w:p w14:paraId="72AA421D">
      <w:pPr>
        <w:bidi w:val="0"/>
        <w:rPr>
          <w:rFonts w:hint="eastAsia"/>
          <w:color w:val="auto"/>
        </w:rPr>
      </w:pPr>
      <w:r>
        <w:rPr>
          <w:rFonts w:hint="eastAsia"/>
          <w:color w:val="auto"/>
        </w:rPr>
        <w:t>3、作业条件危险性评价法（LEC）。</w:t>
      </w:r>
    </w:p>
    <w:p w14:paraId="74432A7F">
      <w:pPr>
        <w:pStyle w:val="4"/>
        <w:bidi w:val="0"/>
        <w:rPr>
          <w:rFonts w:hint="eastAsia"/>
          <w:color w:val="auto"/>
        </w:rPr>
      </w:pPr>
      <w:bookmarkStart w:id="103" w:name="_Toc18594"/>
      <w:r>
        <w:rPr>
          <w:rFonts w:hint="eastAsia"/>
          <w:color w:val="auto"/>
        </w:rPr>
        <w:t>4.2.2</w:t>
      </w:r>
      <w:r>
        <w:rPr>
          <w:rFonts w:hint="eastAsia"/>
          <w:color w:val="auto"/>
          <w:lang w:val="en-US" w:eastAsia="zh-CN"/>
        </w:rPr>
        <w:t xml:space="preserve"> </w:t>
      </w:r>
      <w:r>
        <w:rPr>
          <w:rFonts w:hint="eastAsia"/>
          <w:color w:val="auto"/>
        </w:rPr>
        <w:t>评价方法简介</w:t>
      </w:r>
      <w:bookmarkEnd w:id="103"/>
    </w:p>
    <w:p w14:paraId="03B18143">
      <w:pPr>
        <w:bidi w:val="0"/>
        <w:rPr>
          <w:rFonts w:hint="eastAsia"/>
          <w:color w:val="auto"/>
        </w:rPr>
      </w:pPr>
      <w:r>
        <w:rPr>
          <w:rFonts w:hint="eastAsia"/>
          <w:color w:val="auto"/>
        </w:rPr>
        <w:t>1、安全检查表法</w:t>
      </w:r>
    </w:p>
    <w:p w14:paraId="0D4EC367">
      <w:pPr>
        <w:bidi w:val="0"/>
        <w:rPr>
          <w:rFonts w:hint="eastAsia"/>
          <w:color w:val="auto"/>
        </w:rPr>
      </w:pPr>
      <w:r>
        <w:rPr>
          <w:rFonts w:hint="eastAsia"/>
          <w:color w:val="auto"/>
        </w:rPr>
        <w:t>安全检查表评价方法简便灵活，是安全评价的常规方法，具有简便、实用、有效的特点。依据国家、地区、行业等相关的标准、法规编制检查表，判断是否、有无，找出缺陷、疏漏、隐患、问题。所以对工程总体和各装置单元的验收评价中均运用了这一方法。本评价中安全检查表的内容主要有四部分：</w:t>
      </w:r>
    </w:p>
    <w:p w14:paraId="4B697262">
      <w:pPr>
        <w:bidi w:val="0"/>
        <w:rPr>
          <w:rFonts w:hint="eastAsia"/>
          <w:color w:val="auto"/>
        </w:rPr>
      </w:pPr>
      <w:r>
        <w:rPr>
          <w:rFonts w:hint="eastAsia"/>
          <w:color w:val="auto"/>
        </w:rPr>
        <w:t>（1）“检查项目和要求”：针对该单元功能、工艺、设备等固有或潜在的主要危险危害因素，逐条列出检查的项目和国家有关劳动安全卫生方面的法律、法规、标准以及行业规定中对工程设计、施工、运行管理的各种具体要求。</w:t>
      </w:r>
    </w:p>
    <w:p w14:paraId="107309EE">
      <w:pPr>
        <w:bidi w:val="0"/>
        <w:rPr>
          <w:rFonts w:hint="eastAsia"/>
          <w:color w:val="auto"/>
        </w:rPr>
      </w:pPr>
      <w:r>
        <w:rPr>
          <w:rFonts w:hint="eastAsia"/>
          <w:color w:val="auto"/>
        </w:rPr>
        <w:t>（2）“检查依据”：与项目相关的国家或行业有关劳动安全卫生方面的法律、法规、标准。</w:t>
      </w:r>
    </w:p>
    <w:p w14:paraId="2F70B94B">
      <w:pPr>
        <w:bidi w:val="0"/>
        <w:rPr>
          <w:rFonts w:hint="eastAsia"/>
          <w:color w:val="auto"/>
        </w:rPr>
      </w:pPr>
      <w:r>
        <w:rPr>
          <w:rFonts w:hint="eastAsia"/>
          <w:color w:val="auto"/>
        </w:rPr>
        <w:t>（3）“检查情况”：对工程实际情况的描述。</w:t>
      </w:r>
    </w:p>
    <w:p w14:paraId="39BD0266">
      <w:pPr>
        <w:bidi w:val="0"/>
        <w:rPr>
          <w:rFonts w:hint="eastAsia"/>
          <w:color w:val="auto"/>
        </w:rPr>
      </w:pPr>
      <w:r>
        <w:rPr>
          <w:rFonts w:hint="eastAsia"/>
          <w:color w:val="auto"/>
        </w:rPr>
        <w:t>（4）“检查结果”：针对检查项目和要求，通过审查文件资料，勘察现场，项目是否符合国家或行业的法律、法规、标准。</w:t>
      </w:r>
    </w:p>
    <w:p w14:paraId="68E4085C">
      <w:pPr>
        <w:bidi w:val="0"/>
        <w:rPr>
          <w:rFonts w:hint="eastAsia"/>
          <w:color w:val="auto"/>
        </w:rPr>
      </w:pPr>
      <w:r>
        <w:rPr>
          <w:rFonts w:hint="eastAsia"/>
          <w:color w:val="auto"/>
        </w:rPr>
        <w:t>2、安全检查法</w:t>
      </w:r>
    </w:p>
    <w:p w14:paraId="0877486F">
      <w:pPr>
        <w:bidi w:val="0"/>
        <w:rPr>
          <w:rFonts w:hint="eastAsia"/>
          <w:color w:val="auto"/>
        </w:rPr>
      </w:pPr>
      <w:r>
        <w:rPr>
          <w:rFonts w:hint="eastAsia"/>
          <w:color w:val="auto"/>
        </w:rPr>
        <w:t>安全检查方法也称为工艺安全审查或“设计审查”及“损失预防审查”。它可以用于项目的任何阶段。对现有装置（在役装置）进行评价时，传统的安全检查主要包括巡视检查、正规日常检查或安全检查。即是对工程、系统的设计、装置条件、实际操作、维修等进行详细检查以识别所存的危险性。</w:t>
      </w:r>
    </w:p>
    <w:p w14:paraId="740DA68D">
      <w:pPr>
        <w:bidi w:val="0"/>
        <w:rPr>
          <w:rFonts w:hint="eastAsia"/>
          <w:color w:val="auto"/>
        </w:rPr>
      </w:pPr>
      <w:r>
        <w:rPr>
          <w:rFonts w:hint="eastAsia"/>
          <w:color w:val="auto"/>
        </w:rPr>
        <w:t>安全检查的目的是：</w:t>
      </w:r>
    </w:p>
    <w:p w14:paraId="268E1054">
      <w:pPr>
        <w:bidi w:val="0"/>
        <w:rPr>
          <w:rFonts w:hint="eastAsia"/>
          <w:color w:val="auto"/>
        </w:rPr>
      </w:pPr>
      <w:r>
        <w:rPr>
          <w:rFonts w:hint="eastAsia"/>
          <w:color w:val="auto"/>
        </w:rPr>
        <w:t>（1）使操作人员保持对工艺危险的警觉性；</w:t>
      </w:r>
    </w:p>
    <w:p w14:paraId="67B60672">
      <w:pPr>
        <w:bidi w:val="0"/>
        <w:rPr>
          <w:rFonts w:hint="eastAsia"/>
          <w:color w:val="auto"/>
        </w:rPr>
      </w:pPr>
      <w:r>
        <w:rPr>
          <w:rFonts w:hint="eastAsia"/>
          <w:color w:val="auto"/>
        </w:rPr>
        <w:t>（2）对需要修订的操作规程进行审查；</w:t>
      </w:r>
    </w:p>
    <w:p w14:paraId="7F730AB3">
      <w:pPr>
        <w:bidi w:val="0"/>
        <w:rPr>
          <w:rFonts w:hint="eastAsia"/>
          <w:color w:val="auto"/>
        </w:rPr>
      </w:pPr>
      <w:r>
        <w:rPr>
          <w:rFonts w:hint="eastAsia"/>
          <w:color w:val="auto"/>
        </w:rPr>
        <w:t>（3）对那些设备和工艺变化可能带来的任何危险性进行识别；</w:t>
      </w:r>
    </w:p>
    <w:p w14:paraId="26815717">
      <w:pPr>
        <w:bidi w:val="0"/>
        <w:rPr>
          <w:rFonts w:hint="eastAsia"/>
          <w:color w:val="auto"/>
        </w:rPr>
      </w:pPr>
      <w:r>
        <w:rPr>
          <w:rFonts w:hint="eastAsia"/>
          <w:color w:val="auto"/>
        </w:rPr>
        <w:t>（4）评价安全系统和控制的设计依据；</w:t>
      </w:r>
    </w:p>
    <w:p w14:paraId="047736BE">
      <w:pPr>
        <w:bidi w:val="0"/>
        <w:rPr>
          <w:rFonts w:hint="eastAsia"/>
          <w:color w:val="auto"/>
        </w:rPr>
      </w:pPr>
      <w:r>
        <w:rPr>
          <w:rFonts w:hint="eastAsia"/>
          <w:color w:val="auto"/>
        </w:rPr>
        <w:t>（5）对现有危险性的新技术应用进行审查；</w:t>
      </w:r>
    </w:p>
    <w:p w14:paraId="2A13C3AF">
      <w:pPr>
        <w:bidi w:val="0"/>
        <w:rPr>
          <w:rFonts w:hint="eastAsia"/>
          <w:color w:val="auto"/>
        </w:rPr>
      </w:pPr>
      <w:r>
        <w:rPr>
          <w:rFonts w:hint="eastAsia"/>
          <w:color w:val="auto"/>
        </w:rPr>
        <w:t>（6）审查维护和安全检查是否充分。</w:t>
      </w:r>
    </w:p>
    <w:p w14:paraId="4F8C5E09">
      <w:pPr>
        <w:bidi w:val="0"/>
        <w:rPr>
          <w:rFonts w:hint="eastAsia"/>
          <w:color w:val="auto"/>
        </w:rPr>
      </w:pPr>
      <w:r>
        <w:rPr>
          <w:rFonts w:hint="eastAsia"/>
          <w:color w:val="auto"/>
        </w:rPr>
        <w:t>3、作业条件危险性评价法</w:t>
      </w:r>
    </w:p>
    <w:p w14:paraId="2CF815D8">
      <w:pPr>
        <w:bidi w:val="0"/>
        <w:rPr>
          <w:rFonts w:hint="eastAsia"/>
          <w:color w:val="auto"/>
        </w:rPr>
      </w:pPr>
      <w:r>
        <w:rPr>
          <w:rFonts w:hint="eastAsia"/>
          <w:color w:val="auto"/>
        </w:rPr>
        <w:t>作业条件危险性评价法是一种简便易行的评价方法，用来评价人们在某种具有潜在危险环境中作业的危险性。该法以被评价的环境与某些作为参考的环境进行比较为基础，采用专家“评分”的办法确定各种自变量的分数值，最后根据总的危险分数值来评价其危险性。该法已用于工业企业危险性的评价，取得较好效果。格雷厄姆和金尼认为影响危险性的主要因素有三个：</w:t>
      </w:r>
    </w:p>
    <w:p w14:paraId="03A4D459">
      <w:pPr>
        <w:bidi w:val="0"/>
        <w:rPr>
          <w:rFonts w:hint="eastAsia"/>
          <w:color w:val="auto"/>
        </w:rPr>
      </w:pPr>
      <w:r>
        <w:rPr>
          <w:rFonts w:hint="eastAsia"/>
          <w:color w:val="auto"/>
        </w:rPr>
        <w:t>（1）发生事故和危险事件的可能性；</w:t>
      </w:r>
    </w:p>
    <w:p w14:paraId="2C8F07B0">
      <w:pPr>
        <w:bidi w:val="0"/>
        <w:rPr>
          <w:rFonts w:hint="eastAsia"/>
          <w:color w:val="auto"/>
        </w:rPr>
      </w:pPr>
      <w:r>
        <w:rPr>
          <w:rFonts w:hint="eastAsia"/>
          <w:color w:val="auto"/>
        </w:rPr>
        <w:t>（2）暴露于这种危险环境的频率；</w:t>
      </w:r>
    </w:p>
    <w:p w14:paraId="010013EA">
      <w:pPr>
        <w:bidi w:val="0"/>
        <w:rPr>
          <w:rFonts w:hint="eastAsia"/>
          <w:color w:val="auto"/>
        </w:rPr>
      </w:pPr>
      <w:r>
        <w:rPr>
          <w:rFonts w:hint="eastAsia"/>
          <w:color w:val="auto"/>
        </w:rPr>
        <w:t>（3）事故一旦发生时可能产生的后果。</w:t>
      </w:r>
    </w:p>
    <w:p w14:paraId="569D8914">
      <w:pPr>
        <w:bidi w:val="0"/>
        <w:rPr>
          <w:rFonts w:hint="eastAsia"/>
          <w:color w:val="auto"/>
        </w:rPr>
      </w:pPr>
      <w:r>
        <w:rPr>
          <w:rFonts w:hint="eastAsia"/>
          <w:color w:val="auto"/>
        </w:rPr>
        <w:t>前两者可以看作是危险概率，后者则相当于危险严重度。危险性可以下式来表达：</w:t>
      </w:r>
    </w:p>
    <w:p w14:paraId="7BFB766F">
      <w:pPr>
        <w:bidi w:val="0"/>
        <w:rPr>
          <w:rFonts w:hint="eastAsia"/>
          <w:color w:val="auto"/>
        </w:rPr>
      </w:pPr>
      <w:r>
        <w:rPr>
          <w:rFonts w:hint="eastAsia"/>
          <w:color w:val="auto"/>
        </w:rPr>
        <w:t>危险性（D）=L×E×C</w:t>
      </w:r>
    </w:p>
    <w:p w14:paraId="56EA75E6">
      <w:pPr>
        <w:bidi w:val="0"/>
        <w:rPr>
          <w:rFonts w:hint="eastAsia"/>
          <w:color w:val="auto"/>
        </w:rPr>
      </w:pPr>
      <w:r>
        <w:rPr>
          <w:rFonts w:hint="eastAsia"/>
          <w:color w:val="auto"/>
        </w:rPr>
        <w:t>式中：L—事故或危险事件发生的可能性；</w:t>
      </w:r>
    </w:p>
    <w:p w14:paraId="1CF7F184">
      <w:pPr>
        <w:bidi w:val="0"/>
        <w:rPr>
          <w:rFonts w:hint="eastAsia"/>
          <w:color w:val="auto"/>
        </w:rPr>
      </w:pPr>
      <w:r>
        <w:rPr>
          <w:rFonts w:hint="eastAsia"/>
          <w:color w:val="auto"/>
        </w:rPr>
        <w:t>E—暴露于危险环境的频率；</w:t>
      </w:r>
    </w:p>
    <w:p w14:paraId="78AF837D">
      <w:pPr>
        <w:bidi w:val="0"/>
        <w:rPr>
          <w:rFonts w:hint="eastAsia"/>
          <w:color w:val="auto"/>
        </w:rPr>
      </w:pPr>
      <w:r>
        <w:rPr>
          <w:rFonts w:hint="eastAsia"/>
          <w:color w:val="auto"/>
        </w:rPr>
        <w:t>C—危险严重度。</w:t>
      </w:r>
    </w:p>
    <w:p w14:paraId="6BCD8270">
      <w:pPr>
        <w:bidi w:val="0"/>
        <w:rPr>
          <w:rFonts w:hint="eastAsia"/>
          <w:color w:val="auto"/>
        </w:rPr>
      </w:pPr>
      <w:r>
        <w:rPr>
          <w:rFonts w:hint="eastAsia"/>
          <w:color w:val="auto"/>
        </w:rPr>
        <w:t>1）可能性因素L</w:t>
      </w:r>
    </w:p>
    <w:p w14:paraId="49869AB9">
      <w:pPr>
        <w:bidi w:val="0"/>
        <w:rPr>
          <w:rFonts w:hint="eastAsia"/>
          <w:color w:val="auto"/>
        </w:rPr>
      </w:pPr>
      <w:r>
        <w:rPr>
          <w:rFonts w:hint="eastAsia"/>
          <w:color w:val="auto"/>
        </w:rPr>
        <w:t>事故或危险事件发生的可能性是与它们实际的数学概率相关联的。绝对不可能发生的事件的概率为0，而必然发生的事件的概率则为1，但在实际情况中，绝对不可能发生的事故是不存在的，只能说可能性很小，概率趋于0，所以，可能性因素L的分数取值范围为0.1~10具体见下表：</w:t>
      </w:r>
    </w:p>
    <w:p w14:paraId="7F3C7282">
      <w:pPr>
        <w:pStyle w:val="29"/>
        <w:bidi w:val="0"/>
        <w:rPr>
          <w:rFonts w:hint="eastAsia"/>
          <w:color w:val="auto"/>
        </w:rPr>
      </w:pPr>
    </w:p>
    <w:p w14:paraId="0E6BCFDB">
      <w:pPr>
        <w:pStyle w:val="29"/>
        <w:bidi w:val="0"/>
        <w:rPr>
          <w:rFonts w:hint="eastAsia"/>
          <w:color w:val="auto"/>
        </w:rPr>
      </w:pPr>
    </w:p>
    <w:p w14:paraId="2D4751AE">
      <w:pPr>
        <w:pStyle w:val="29"/>
        <w:bidi w:val="0"/>
        <w:rPr>
          <w:color w:val="auto"/>
        </w:rPr>
      </w:pPr>
      <w:r>
        <w:rPr>
          <w:rFonts w:hint="eastAsia"/>
          <w:color w:val="auto"/>
        </w:rPr>
        <w:t>表4.2-1  事故或危险事件发生的可能性L的分数值表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1"/>
        <w:gridCol w:w="4702"/>
      </w:tblGrid>
      <w:tr w14:paraId="6DF1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701" w:type="dxa"/>
            <w:noWrap w:val="0"/>
            <w:vAlign w:val="center"/>
          </w:tcPr>
          <w:p w14:paraId="4CF08AB0">
            <w:pPr>
              <w:pStyle w:val="30"/>
              <w:bidi w:val="0"/>
              <w:rPr>
                <w:rFonts w:hint="default"/>
                <w:b/>
                <w:bCs/>
                <w:color w:val="auto"/>
              </w:rPr>
            </w:pPr>
            <w:r>
              <w:rPr>
                <w:rFonts w:hint="default"/>
                <w:b/>
                <w:bCs/>
                <w:color w:val="auto"/>
              </w:rPr>
              <w:t>分数值</w:t>
            </w:r>
          </w:p>
        </w:tc>
        <w:tc>
          <w:tcPr>
            <w:tcW w:w="4702" w:type="dxa"/>
            <w:noWrap w:val="0"/>
            <w:vAlign w:val="center"/>
          </w:tcPr>
          <w:p w14:paraId="1CE28787">
            <w:pPr>
              <w:pStyle w:val="30"/>
              <w:bidi w:val="0"/>
              <w:rPr>
                <w:rFonts w:hint="default"/>
                <w:b/>
                <w:bCs/>
                <w:color w:val="auto"/>
              </w:rPr>
            </w:pPr>
            <w:r>
              <w:rPr>
                <w:rFonts w:hint="default"/>
                <w:b/>
                <w:bCs/>
                <w:color w:val="auto"/>
              </w:rPr>
              <w:t>事故或危险事件发生的可能性</w:t>
            </w:r>
          </w:p>
        </w:tc>
      </w:tr>
      <w:tr w14:paraId="2E55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29102B8A">
            <w:pPr>
              <w:pStyle w:val="30"/>
              <w:bidi w:val="0"/>
              <w:rPr>
                <w:rFonts w:hint="default"/>
                <w:color w:val="auto"/>
              </w:rPr>
            </w:pPr>
            <w:r>
              <w:rPr>
                <w:rFonts w:hint="default"/>
                <w:color w:val="auto"/>
              </w:rPr>
              <w:t>10</w:t>
            </w:r>
          </w:p>
        </w:tc>
        <w:tc>
          <w:tcPr>
            <w:tcW w:w="4702" w:type="dxa"/>
            <w:noWrap w:val="0"/>
            <w:vAlign w:val="center"/>
          </w:tcPr>
          <w:p w14:paraId="0B880549">
            <w:pPr>
              <w:pStyle w:val="30"/>
              <w:bidi w:val="0"/>
              <w:rPr>
                <w:rFonts w:hint="default"/>
                <w:color w:val="auto"/>
              </w:rPr>
            </w:pPr>
            <w:r>
              <w:rPr>
                <w:rFonts w:hint="default"/>
                <w:color w:val="auto"/>
              </w:rPr>
              <w:t>完全会被预料到</w:t>
            </w:r>
          </w:p>
        </w:tc>
      </w:tr>
      <w:tr w14:paraId="1330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2402D221">
            <w:pPr>
              <w:pStyle w:val="30"/>
              <w:bidi w:val="0"/>
              <w:rPr>
                <w:rFonts w:hint="default"/>
                <w:color w:val="auto"/>
              </w:rPr>
            </w:pPr>
            <w:r>
              <w:rPr>
                <w:rFonts w:hint="default"/>
                <w:color w:val="auto"/>
              </w:rPr>
              <w:t>6</w:t>
            </w:r>
          </w:p>
        </w:tc>
        <w:tc>
          <w:tcPr>
            <w:tcW w:w="4702" w:type="dxa"/>
            <w:noWrap w:val="0"/>
            <w:vAlign w:val="center"/>
          </w:tcPr>
          <w:p w14:paraId="57983213">
            <w:pPr>
              <w:pStyle w:val="30"/>
              <w:bidi w:val="0"/>
              <w:rPr>
                <w:rFonts w:hint="default"/>
                <w:color w:val="auto"/>
              </w:rPr>
            </w:pPr>
            <w:r>
              <w:rPr>
                <w:rFonts w:hint="default"/>
                <w:color w:val="auto"/>
              </w:rPr>
              <w:t>相对可能</w:t>
            </w:r>
          </w:p>
        </w:tc>
      </w:tr>
      <w:tr w14:paraId="212E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64C6C32F">
            <w:pPr>
              <w:pStyle w:val="30"/>
              <w:bidi w:val="0"/>
              <w:rPr>
                <w:rFonts w:hint="default"/>
                <w:color w:val="auto"/>
              </w:rPr>
            </w:pPr>
            <w:r>
              <w:rPr>
                <w:rFonts w:hint="default"/>
                <w:color w:val="auto"/>
              </w:rPr>
              <w:t>3</w:t>
            </w:r>
          </w:p>
        </w:tc>
        <w:tc>
          <w:tcPr>
            <w:tcW w:w="4702" w:type="dxa"/>
            <w:noWrap w:val="0"/>
            <w:vAlign w:val="center"/>
          </w:tcPr>
          <w:p w14:paraId="01F160FD">
            <w:pPr>
              <w:pStyle w:val="30"/>
              <w:bidi w:val="0"/>
              <w:rPr>
                <w:rFonts w:hint="default"/>
                <w:color w:val="auto"/>
              </w:rPr>
            </w:pPr>
            <w:r>
              <w:rPr>
                <w:rFonts w:hint="default"/>
                <w:color w:val="auto"/>
              </w:rPr>
              <w:t>不经常，但可能</w:t>
            </w:r>
          </w:p>
        </w:tc>
      </w:tr>
      <w:tr w14:paraId="6BED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19C35F0B">
            <w:pPr>
              <w:pStyle w:val="30"/>
              <w:bidi w:val="0"/>
              <w:rPr>
                <w:rFonts w:hint="default"/>
                <w:color w:val="auto"/>
              </w:rPr>
            </w:pPr>
            <w:r>
              <w:rPr>
                <w:rFonts w:hint="default"/>
                <w:color w:val="auto"/>
              </w:rPr>
              <w:t>1</w:t>
            </w:r>
          </w:p>
        </w:tc>
        <w:tc>
          <w:tcPr>
            <w:tcW w:w="4702" w:type="dxa"/>
            <w:noWrap w:val="0"/>
            <w:vAlign w:val="center"/>
          </w:tcPr>
          <w:p w14:paraId="4562E0A2">
            <w:pPr>
              <w:pStyle w:val="30"/>
              <w:bidi w:val="0"/>
              <w:rPr>
                <w:rFonts w:hint="default"/>
                <w:color w:val="auto"/>
              </w:rPr>
            </w:pPr>
            <w:r>
              <w:rPr>
                <w:rFonts w:hint="default"/>
                <w:color w:val="auto"/>
              </w:rPr>
              <w:t>完全意外，极少可能</w:t>
            </w:r>
          </w:p>
        </w:tc>
      </w:tr>
      <w:tr w14:paraId="49A6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2AC55E55">
            <w:pPr>
              <w:pStyle w:val="30"/>
              <w:bidi w:val="0"/>
              <w:rPr>
                <w:rFonts w:hint="default"/>
                <w:color w:val="auto"/>
              </w:rPr>
            </w:pPr>
            <w:r>
              <w:rPr>
                <w:rFonts w:hint="default"/>
                <w:color w:val="auto"/>
              </w:rPr>
              <w:t>0.5</w:t>
            </w:r>
          </w:p>
        </w:tc>
        <w:tc>
          <w:tcPr>
            <w:tcW w:w="4702" w:type="dxa"/>
            <w:noWrap w:val="0"/>
            <w:vAlign w:val="center"/>
          </w:tcPr>
          <w:p w14:paraId="5800884E">
            <w:pPr>
              <w:pStyle w:val="30"/>
              <w:bidi w:val="0"/>
              <w:rPr>
                <w:rFonts w:hint="default"/>
                <w:color w:val="auto"/>
              </w:rPr>
            </w:pPr>
            <w:r>
              <w:rPr>
                <w:rFonts w:hint="default"/>
                <w:color w:val="auto"/>
              </w:rPr>
              <w:t>可以设想</w:t>
            </w:r>
          </w:p>
        </w:tc>
      </w:tr>
      <w:tr w14:paraId="32D4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5B366FEC">
            <w:pPr>
              <w:pStyle w:val="30"/>
              <w:bidi w:val="0"/>
              <w:rPr>
                <w:rFonts w:hint="default"/>
                <w:color w:val="auto"/>
              </w:rPr>
            </w:pPr>
            <w:r>
              <w:rPr>
                <w:rFonts w:hint="default"/>
                <w:color w:val="auto"/>
              </w:rPr>
              <w:t>0.2</w:t>
            </w:r>
          </w:p>
        </w:tc>
        <w:tc>
          <w:tcPr>
            <w:tcW w:w="4702" w:type="dxa"/>
            <w:noWrap w:val="0"/>
            <w:vAlign w:val="center"/>
          </w:tcPr>
          <w:p w14:paraId="70C1ACDA">
            <w:pPr>
              <w:pStyle w:val="30"/>
              <w:bidi w:val="0"/>
              <w:rPr>
                <w:rFonts w:hint="default"/>
                <w:color w:val="auto"/>
              </w:rPr>
            </w:pPr>
            <w:r>
              <w:rPr>
                <w:rFonts w:hint="default"/>
                <w:color w:val="auto"/>
              </w:rPr>
              <w:t>极不可能</w:t>
            </w:r>
          </w:p>
        </w:tc>
      </w:tr>
      <w:tr w14:paraId="12BF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59DC84D1">
            <w:pPr>
              <w:pStyle w:val="30"/>
              <w:bidi w:val="0"/>
              <w:rPr>
                <w:rFonts w:hint="default"/>
                <w:color w:val="auto"/>
              </w:rPr>
            </w:pPr>
            <w:r>
              <w:rPr>
                <w:rFonts w:hint="default"/>
                <w:color w:val="auto"/>
              </w:rPr>
              <w:t>0.1</w:t>
            </w:r>
          </w:p>
        </w:tc>
        <w:tc>
          <w:tcPr>
            <w:tcW w:w="4702" w:type="dxa"/>
            <w:noWrap w:val="0"/>
            <w:vAlign w:val="center"/>
          </w:tcPr>
          <w:p w14:paraId="3C2691D2">
            <w:pPr>
              <w:pStyle w:val="30"/>
              <w:bidi w:val="0"/>
              <w:rPr>
                <w:rFonts w:hint="default"/>
                <w:color w:val="auto"/>
              </w:rPr>
            </w:pPr>
            <w:r>
              <w:rPr>
                <w:rFonts w:hint="default"/>
                <w:color w:val="auto"/>
              </w:rPr>
              <w:t>实际上不可能</w:t>
            </w:r>
          </w:p>
        </w:tc>
      </w:tr>
    </w:tbl>
    <w:p w14:paraId="1E0638AB">
      <w:pPr>
        <w:bidi w:val="0"/>
        <w:rPr>
          <w:rFonts w:hint="default"/>
          <w:color w:val="auto"/>
        </w:rPr>
      </w:pPr>
      <w:r>
        <w:rPr>
          <w:rFonts w:hint="default"/>
          <w:color w:val="auto"/>
        </w:rPr>
        <w:t>2</w:t>
      </w:r>
      <w:r>
        <w:rPr>
          <w:rFonts w:hint="eastAsia"/>
          <w:color w:val="auto"/>
          <w:lang w:eastAsia="zh-CN"/>
        </w:rPr>
        <w:t>）</w:t>
      </w:r>
      <w:r>
        <w:rPr>
          <w:rFonts w:hint="default"/>
          <w:color w:val="auto"/>
        </w:rPr>
        <w:t>暴露于危险环境的频率E</w:t>
      </w:r>
    </w:p>
    <w:p w14:paraId="413E2317">
      <w:pPr>
        <w:bidi w:val="0"/>
        <w:rPr>
          <w:rFonts w:hint="default"/>
          <w:color w:val="auto"/>
        </w:rPr>
      </w:pPr>
      <w:r>
        <w:rPr>
          <w:rFonts w:hint="default"/>
          <w:color w:val="auto"/>
        </w:rPr>
        <w:t>操作人员出现在危险环境中的时间越多，收到伤害的可能性就越大，相应的危险性也越大。连续出现在危险环境的情况其频率为10，非常罕见地暴露于危险环境则为0.5.具体分数值见下表：</w:t>
      </w:r>
    </w:p>
    <w:p w14:paraId="125E2BDC">
      <w:pPr>
        <w:pStyle w:val="29"/>
        <w:bidi w:val="0"/>
        <w:rPr>
          <w:rFonts w:hint="default"/>
          <w:color w:val="auto"/>
        </w:rPr>
      </w:pPr>
      <w:r>
        <w:rPr>
          <w:rFonts w:hint="default"/>
          <w:color w:val="auto"/>
        </w:rPr>
        <w:t xml:space="preserve">表4.2-2 </w:t>
      </w:r>
      <w:r>
        <w:rPr>
          <w:rFonts w:hint="eastAsia"/>
          <w:color w:val="auto"/>
          <w:lang w:val="en-US" w:eastAsia="zh-CN"/>
        </w:rPr>
        <w:t xml:space="preserve"> </w:t>
      </w:r>
      <w:r>
        <w:rPr>
          <w:rFonts w:hint="default"/>
          <w:color w:val="auto"/>
        </w:rPr>
        <w:t>暴露于潜在危险环境频率E的分数值</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1"/>
        <w:gridCol w:w="4702"/>
      </w:tblGrid>
      <w:tr w14:paraId="76AD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701" w:type="dxa"/>
            <w:noWrap w:val="0"/>
            <w:vAlign w:val="center"/>
          </w:tcPr>
          <w:p w14:paraId="66F7036A">
            <w:pPr>
              <w:pStyle w:val="30"/>
              <w:bidi w:val="0"/>
              <w:rPr>
                <w:rFonts w:hint="default"/>
                <w:b/>
                <w:bCs/>
                <w:color w:val="auto"/>
              </w:rPr>
            </w:pPr>
            <w:r>
              <w:rPr>
                <w:rFonts w:hint="default"/>
                <w:b/>
                <w:bCs/>
                <w:color w:val="auto"/>
              </w:rPr>
              <w:t>分数值</w:t>
            </w:r>
          </w:p>
        </w:tc>
        <w:tc>
          <w:tcPr>
            <w:tcW w:w="4702" w:type="dxa"/>
            <w:noWrap w:val="0"/>
            <w:vAlign w:val="center"/>
          </w:tcPr>
          <w:p w14:paraId="595FB36E">
            <w:pPr>
              <w:pStyle w:val="30"/>
              <w:bidi w:val="0"/>
              <w:rPr>
                <w:rFonts w:hint="default"/>
                <w:b/>
                <w:bCs/>
                <w:color w:val="auto"/>
              </w:rPr>
            </w:pPr>
            <w:r>
              <w:rPr>
                <w:rFonts w:hint="default"/>
                <w:b/>
                <w:bCs/>
                <w:color w:val="auto"/>
              </w:rPr>
              <w:t>暴露于危险环境的频率</w:t>
            </w:r>
          </w:p>
        </w:tc>
      </w:tr>
      <w:tr w14:paraId="52FD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72074AFA">
            <w:pPr>
              <w:pStyle w:val="30"/>
              <w:bidi w:val="0"/>
              <w:rPr>
                <w:rFonts w:hint="default"/>
                <w:color w:val="auto"/>
              </w:rPr>
            </w:pPr>
            <w:r>
              <w:rPr>
                <w:rFonts w:hint="default"/>
                <w:color w:val="auto"/>
              </w:rPr>
              <w:t>10</w:t>
            </w:r>
          </w:p>
        </w:tc>
        <w:tc>
          <w:tcPr>
            <w:tcW w:w="4702" w:type="dxa"/>
            <w:noWrap w:val="0"/>
            <w:vAlign w:val="center"/>
          </w:tcPr>
          <w:p w14:paraId="0DA8B0CE">
            <w:pPr>
              <w:pStyle w:val="30"/>
              <w:bidi w:val="0"/>
              <w:rPr>
                <w:rFonts w:hint="default"/>
                <w:color w:val="auto"/>
              </w:rPr>
            </w:pPr>
            <w:r>
              <w:rPr>
                <w:rFonts w:hint="default"/>
                <w:color w:val="auto"/>
              </w:rPr>
              <w:t>连续暴露</w:t>
            </w:r>
          </w:p>
        </w:tc>
      </w:tr>
      <w:tr w14:paraId="11DA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760C15A1">
            <w:pPr>
              <w:pStyle w:val="30"/>
              <w:bidi w:val="0"/>
              <w:rPr>
                <w:rFonts w:hint="default"/>
                <w:color w:val="auto"/>
              </w:rPr>
            </w:pPr>
            <w:r>
              <w:rPr>
                <w:rFonts w:hint="default"/>
                <w:color w:val="auto"/>
              </w:rPr>
              <w:t>6</w:t>
            </w:r>
          </w:p>
        </w:tc>
        <w:tc>
          <w:tcPr>
            <w:tcW w:w="4702" w:type="dxa"/>
            <w:noWrap w:val="0"/>
            <w:vAlign w:val="center"/>
          </w:tcPr>
          <w:p w14:paraId="61DCE653">
            <w:pPr>
              <w:pStyle w:val="30"/>
              <w:bidi w:val="0"/>
              <w:rPr>
                <w:rFonts w:hint="default"/>
                <w:color w:val="auto"/>
              </w:rPr>
            </w:pPr>
            <w:r>
              <w:rPr>
                <w:rFonts w:hint="default"/>
                <w:color w:val="auto"/>
              </w:rPr>
              <w:t>每天工作时间内暴露</w:t>
            </w:r>
          </w:p>
        </w:tc>
      </w:tr>
      <w:tr w14:paraId="213A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499B31E3">
            <w:pPr>
              <w:pStyle w:val="30"/>
              <w:bidi w:val="0"/>
              <w:rPr>
                <w:rFonts w:hint="default"/>
                <w:color w:val="auto"/>
              </w:rPr>
            </w:pPr>
            <w:r>
              <w:rPr>
                <w:rFonts w:hint="default"/>
                <w:color w:val="auto"/>
              </w:rPr>
              <w:t>3</w:t>
            </w:r>
          </w:p>
        </w:tc>
        <w:tc>
          <w:tcPr>
            <w:tcW w:w="4702" w:type="dxa"/>
            <w:noWrap w:val="0"/>
            <w:vAlign w:val="center"/>
          </w:tcPr>
          <w:p w14:paraId="21E34A07">
            <w:pPr>
              <w:pStyle w:val="30"/>
              <w:bidi w:val="0"/>
              <w:rPr>
                <w:rFonts w:hint="default"/>
                <w:color w:val="auto"/>
              </w:rPr>
            </w:pPr>
            <w:r>
              <w:rPr>
                <w:rFonts w:hint="default"/>
                <w:color w:val="auto"/>
              </w:rPr>
              <w:t>每周一次或偶然暴露</w:t>
            </w:r>
          </w:p>
        </w:tc>
      </w:tr>
      <w:tr w14:paraId="1A1E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4701" w:type="dxa"/>
            <w:noWrap w:val="0"/>
            <w:vAlign w:val="center"/>
          </w:tcPr>
          <w:p w14:paraId="488DEABC">
            <w:pPr>
              <w:pStyle w:val="30"/>
              <w:bidi w:val="0"/>
              <w:rPr>
                <w:rFonts w:hint="default"/>
                <w:color w:val="auto"/>
              </w:rPr>
            </w:pPr>
            <w:r>
              <w:rPr>
                <w:rFonts w:hint="default"/>
                <w:color w:val="auto"/>
              </w:rPr>
              <w:t>2</w:t>
            </w:r>
          </w:p>
        </w:tc>
        <w:tc>
          <w:tcPr>
            <w:tcW w:w="4702" w:type="dxa"/>
            <w:noWrap w:val="0"/>
            <w:vAlign w:val="center"/>
          </w:tcPr>
          <w:p w14:paraId="0AFFF52C">
            <w:pPr>
              <w:pStyle w:val="30"/>
              <w:bidi w:val="0"/>
              <w:rPr>
                <w:rFonts w:hint="default"/>
                <w:color w:val="auto"/>
              </w:rPr>
            </w:pPr>
            <w:r>
              <w:rPr>
                <w:rFonts w:hint="default"/>
                <w:color w:val="auto"/>
              </w:rPr>
              <w:t>每月一次暴露</w:t>
            </w:r>
          </w:p>
        </w:tc>
      </w:tr>
      <w:tr w14:paraId="3507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57D9FADF">
            <w:pPr>
              <w:pStyle w:val="30"/>
              <w:bidi w:val="0"/>
              <w:rPr>
                <w:rFonts w:hint="default"/>
                <w:color w:val="auto"/>
              </w:rPr>
            </w:pPr>
            <w:r>
              <w:rPr>
                <w:rFonts w:hint="default"/>
                <w:color w:val="auto"/>
              </w:rPr>
              <w:t>1</w:t>
            </w:r>
          </w:p>
        </w:tc>
        <w:tc>
          <w:tcPr>
            <w:tcW w:w="4702" w:type="dxa"/>
            <w:noWrap w:val="0"/>
            <w:vAlign w:val="center"/>
          </w:tcPr>
          <w:p w14:paraId="469C93D9">
            <w:pPr>
              <w:pStyle w:val="30"/>
              <w:bidi w:val="0"/>
              <w:rPr>
                <w:rFonts w:hint="default"/>
                <w:color w:val="auto"/>
              </w:rPr>
            </w:pPr>
            <w:r>
              <w:rPr>
                <w:rFonts w:hint="default"/>
                <w:color w:val="auto"/>
              </w:rPr>
              <w:t>每年几次暴露</w:t>
            </w:r>
          </w:p>
        </w:tc>
      </w:tr>
      <w:tr w14:paraId="0465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1" w:type="dxa"/>
            <w:noWrap w:val="0"/>
            <w:vAlign w:val="center"/>
          </w:tcPr>
          <w:p w14:paraId="4B6C3951">
            <w:pPr>
              <w:pStyle w:val="30"/>
              <w:bidi w:val="0"/>
              <w:rPr>
                <w:rFonts w:hint="default"/>
                <w:color w:val="auto"/>
              </w:rPr>
            </w:pPr>
            <w:r>
              <w:rPr>
                <w:rFonts w:hint="default"/>
                <w:color w:val="auto"/>
              </w:rPr>
              <w:t>0.5</w:t>
            </w:r>
          </w:p>
        </w:tc>
        <w:tc>
          <w:tcPr>
            <w:tcW w:w="4702" w:type="dxa"/>
            <w:noWrap w:val="0"/>
            <w:vAlign w:val="center"/>
          </w:tcPr>
          <w:p w14:paraId="26A39916">
            <w:pPr>
              <w:pStyle w:val="30"/>
              <w:bidi w:val="0"/>
              <w:rPr>
                <w:rFonts w:hint="default"/>
                <w:color w:val="auto"/>
              </w:rPr>
            </w:pPr>
            <w:r>
              <w:rPr>
                <w:rFonts w:hint="default"/>
                <w:color w:val="auto"/>
              </w:rPr>
              <w:t>非常罕见的暴露</w:t>
            </w:r>
          </w:p>
        </w:tc>
      </w:tr>
    </w:tbl>
    <w:p w14:paraId="5E88596D">
      <w:pPr>
        <w:bidi w:val="0"/>
        <w:rPr>
          <w:rFonts w:hint="default"/>
          <w:color w:val="auto"/>
        </w:rPr>
      </w:pPr>
      <w:r>
        <w:rPr>
          <w:rFonts w:hint="default"/>
          <w:color w:val="auto"/>
        </w:rPr>
        <w:t>3</w:t>
      </w:r>
      <w:r>
        <w:rPr>
          <w:rFonts w:hint="eastAsia"/>
          <w:color w:val="auto"/>
          <w:lang w:eastAsia="zh-CN"/>
        </w:rPr>
        <w:t>）</w:t>
      </w:r>
      <w:r>
        <w:rPr>
          <w:rFonts w:hint="default"/>
          <w:color w:val="auto"/>
        </w:rPr>
        <w:t>事故或危险事件的危险严重度C</w:t>
      </w:r>
    </w:p>
    <w:p w14:paraId="1C66AC8E">
      <w:pPr>
        <w:bidi w:val="0"/>
        <w:rPr>
          <w:rFonts w:hint="default"/>
          <w:color w:val="auto"/>
        </w:rPr>
      </w:pPr>
      <w:r>
        <w:rPr>
          <w:rFonts w:hint="default"/>
          <w:color w:val="auto"/>
        </w:rPr>
        <w:t>事故或危险事件对人身伤害的严重程度变化范围很大，可以从伤害直至死亡事故，规定分数值1~100。具体分数值见下表：</w:t>
      </w:r>
    </w:p>
    <w:p w14:paraId="2E45FDD0">
      <w:pPr>
        <w:pStyle w:val="29"/>
        <w:bidi w:val="0"/>
        <w:rPr>
          <w:rFonts w:hint="default"/>
          <w:color w:val="auto"/>
        </w:rPr>
      </w:pPr>
      <w:r>
        <w:rPr>
          <w:rFonts w:hint="default"/>
          <w:color w:val="auto"/>
        </w:rPr>
        <w:t>表4.2-3</w:t>
      </w:r>
      <w:r>
        <w:rPr>
          <w:rFonts w:hint="default"/>
          <w:color w:val="auto"/>
          <w:lang w:val="en-US" w:eastAsia="zh-CN"/>
        </w:rPr>
        <w:t xml:space="preserve"> </w:t>
      </w:r>
      <w:r>
        <w:rPr>
          <w:rFonts w:hint="default"/>
          <w:color w:val="auto"/>
        </w:rPr>
        <w:t xml:space="preserve"> 事故或危险事件的危险严重度C的分数值</w:t>
      </w:r>
    </w:p>
    <w:tbl>
      <w:tblPr>
        <w:tblStyle w:val="20"/>
        <w:tblW w:w="9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4"/>
        <w:gridCol w:w="5759"/>
      </w:tblGrid>
      <w:tr w14:paraId="47BF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644" w:type="dxa"/>
            <w:noWrap w:val="0"/>
            <w:vAlign w:val="center"/>
          </w:tcPr>
          <w:p w14:paraId="5E5F37CB">
            <w:pPr>
              <w:pStyle w:val="30"/>
              <w:bidi w:val="0"/>
              <w:rPr>
                <w:rFonts w:hint="default"/>
                <w:b/>
                <w:bCs/>
                <w:color w:val="auto"/>
              </w:rPr>
            </w:pPr>
            <w:r>
              <w:rPr>
                <w:rFonts w:hint="default"/>
                <w:b/>
                <w:bCs/>
                <w:color w:val="auto"/>
              </w:rPr>
              <w:t>分数值</w:t>
            </w:r>
          </w:p>
        </w:tc>
        <w:tc>
          <w:tcPr>
            <w:tcW w:w="5759" w:type="dxa"/>
            <w:noWrap w:val="0"/>
            <w:vAlign w:val="center"/>
          </w:tcPr>
          <w:p w14:paraId="32A0A37F">
            <w:pPr>
              <w:pStyle w:val="30"/>
              <w:bidi w:val="0"/>
              <w:rPr>
                <w:rFonts w:hint="default"/>
                <w:b/>
                <w:bCs/>
                <w:color w:val="auto"/>
              </w:rPr>
            </w:pPr>
            <w:r>
              <w:rPr>
                <w:rFonts w:hint="default"/>
                <w:b/>
                <w:bCs/>
                <w:color w:val="auto"/>
              </w:rPr>
              <w:t>可能结果</w:t>
            </w:r>
          </w:p>
        </w:tc>
      </w:tr>
      <w:tr w14:paraId="6BFE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4" w:type="dxa"/>
            <w:noWrap w:val="0"/>
            <w:vAlign w:val="center"/>
          </w:tcPr>
          <w:p w14:paraId="290EB43D">
            <w:pPr>
              <w:pStyle w:val="30"/>
              <w:bidi w:val="0"/>
              <w:rPr>
                <w:rFonts w:hint="default"/>
                <w:color w:val="auto"/>
              </w:rPr>
            </w:pPr>
            <w:r>
              <w:rPr>
                <w:rFonts w:hint="default"/>
                <w:color w:val="auto"/>
              </w:rPr>
              <w:t>100</w:t>
            </w:r>
          </w:p>
        </w:tc>
        <w:tc>
          <w:tcPr>
            <w:tcW w:w="5759" w:type="dxa"/>
            <w:noWrap w:val="0"/>
            <w:vAlign w:val="center"/>
          </w:tcPr>
          <w:p w14:paraId="56C1AAC9">
            <w:pPr>
              <w:pStyle w:val="30"/>
              <w:bidi w:val="0"/>
              <w:rPr>
                <w:rFonts w:hint="default"/>
                <w:color w:val="auto"/>
              </w:rPr>
            </w:pPr>
            <w:r>
              <w:rPr>
                <w:rFonts w:hint="default"/>
                <w:color w:val="auto"/>
              </w:rPr>
              <w:t>大灾难，许多人死亡，或造成重大财产损失</w:t>
            </w:r>
          </w:p>
        </w:tc>
      </w:tr>
      <w:tr w14:paraId="1534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4" w:type="dxa"/>
            <w:noWrap w:val="0"/>
            <w:vAlign w:val="center"/>
          </w:tcPr>
          <w:p w14:paraId="766C2589">
            <w:pPr>
              <w:pStyle w:val="30"/>
              <w:bidi w:val="0"/>
              <w:rPr>
                <w:rFonts w:hint="default"/>
                <w:color w:val="auto"/>
              </w:rPr>
            </w:pPr>
            <w:r>
              <w:rPr>
                <w:rFonts w:hint="default"/>
                <w:color w:val="auto"/>
              </w:rPr>
              <w:t>40</w:t>
            </w:r>
          </w:p>
        </w:tc>
        <w:tc>
          <w:tcPr>
            <w:tcW w:w="5759" w:type="dxa"/>
            <w:noWrap w:val="0"/>
            <w:vAlign w:val="center"/>
          </w:tcPr>
          <w:p w14:paraId="54AB1270">
            <w:pPr>
              <w:pStyle w:val="30"/>
              <w:bidi w:val="0"/>
              <w:rPr>
                <w:rFonts w:hint="default"/>
                <w:color w:val="auto"/>
              </w:rPr>
            </w:pPr>
            <w:r>
              <w:rPr>
                <w:rFonts w:hint="default"/>
                <w:color w:val="auto"/>
              </w:rPr>
              <w:t>灾难，数人死亡，或造成很大财产损失</w:t>
            </w:r>
          </w:p>
        </w:tc>
      </w:tr>
      <w:tr w14:paraId="2DA5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4" w:type="dxa"/>
            <w:noWrap w:val="0"/>
            <w:vAlign w:val="center"/>
          </w:tcPr>
          <w:p w14:paraId="482D0361">
            <w:pPr>
              <w:pStyle w:val="30"/>
              <w:bidi w:val="0"/>
              <w:rPr>
                <w:rFonts w:hint="default"/>
                <w:color w:val="auto"/>
              </w:rPr>
            </w:pPr>
            <w:r>
              <w:rPr>
                <w:rFonts w:hint="default"/>
                <w:color w:val="auto"/>
              </w:rPr>
              <w:t>15</w:t>
            </w:r>
          </w:p>
        </w:tc>
        <w:tc>
          <w:tcPr>
            <w:tcW w:w="5759" w:type="dxa"/>
            <w:noWrap w:val="0"/>
            <w:vAlign w:val="center"/>
          </w:tcPr>
          <w:p w14:paraId="25BC7DEC">
            <w:pPr>
              <w:pStyle w:val="30"/>
              <w:bidi w:val="0"/>
              <w:rPr>
                <w:rFonts w:hint="default"/>
                <w:color w:val="auto"/>
              </w:rPr>
            </w:pPr>
            <w:r>
              <w:rPr>
                <w:rFonts w:hint="default"/>
                <w:color w:val="auto"/>
              </w:rPr>
              <w:t>非常严重，一人死亡，或造成一定的财产损失</w:t>
            </w:r>
          </w:p>
        </w:tc>
      </w:tr>
      <w:tr w14:paraId="5C19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4" w:type="dxa"/>
            <w:noWrap w:val="0"/>
            <w:vAlign w:val="center"/>
          </w:tcPr>
          <w:p w14:paraId="2B5EBCB3">
            <w:pPr>
              <w:pStyle w:val="30"/>
              <w:bidi w:val="0"/>
              <w:rPr>
                <w:rFonts w:hint="default"/>
                <w:color w:val="auto"/>
              </w:rPr>
            </w:pPr>
            <w:r>
              <w:rPr>
                <w:rFonts w:hint="default"/>
                <w:color w:val="auto"/>
              </w:rPr>
              <w:t>7</w:t>
            </w:r>
          </w:p>
        </w:tc>
        <w:tc>
          <w:tcPr>
            <w:tcW w:w="5759" w:type="dxa"/>
            <w:noWrap w:val="0"/>
            <w:vAlign w:val="center"/>
          </w:tcPr>
          <w:p w14:paraId="521701AE">
            <w:pPr>
              <w:pStyle w:val="30"/>
              <w:bidi w:val="0"/>
              <w:rPr>
                <w:rFonts w:hint="default"/>
                <w:color w:val="auto"/>
              </w:rPr>
            </w:pPr>
            <w:r>
              <w:rPr>
                <w:rFonts w:hint="default"/>
                <w:color w:val="auto"/>
              </w:rPr>
              <w:t>严重，重伤，或造成较小的财产损失</w:t>
            </w:r>
          </w:p>
        </w:tc>
      </w:tr>
      <w:tr w14:paraId="0EF1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4" w:type="dxa"/>
            <w:noWrap w:val="0"/>
            <w:vAlign w:val="center"/>
          </w:tcPr>
          <w:p w14:paraId="0AF8BFD3">
            <w:pPr>
              <w:pStyle w:val="30"/>
              <w:bidi w:val="0"/>
              <w:rPr>
                <w:rFonts w:hint="default"/>
                <w:color w:val="auto"/>
              </w:rPr>
            </w:pPr>
            <w:r>
              <w:rPr>
                <w:rFonts w:hint="default"/>
                <w:color w:val="auto"/>
              </w:rPr>
              <w:t>3</w:t>
            </w:r>
          </w:p>
        </w:tc>
        <w:tc>
          <w:tcPr>
            <w:tcW w:w="5759" w:type="dxa"/>
            <w:noWrap w:val="0"/>
            <w:vAlign w:val="center"/>
          </w:tcPr>
          <w:p w14:paraId="1F42743E">
            <w:pPr>
              <w:pStyle w:val="30"/>
              <w:bidi w:val="0"/>
              <w:rPr>
                <w:rFonts w:hint="default"/>
                <w:color w:val="auto"/>
              </w:rPr>
            </w:pPr>
            <w:r>
              <w:rPr>
                <w:rFonts w:hint="default"/>
                <w:color w:val="auto"/>
              </w:rPr>
              <w:t>重大，致残，或很小的财产损失</w:t>
            </w:r>
          </w:p>
        </w:tc>
      </w:tr>
      <w:tr w14:paraId="1C9B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4" w:type="dxa"/>
            <w:noWrap w:val="0"/>
            <w:vAlign w:val="center"/>
          </w:tcPr>
          <w:p w14:paraId="09A9ED81">
            <w:pPr>
              <w:pStyle w:val="30"/>
              <w:bidi w:val="0"/>
              <w:rPr>
                <w:rFonts w:hint="default"/>
                <w:color w:val="auto"/>
              </w:rPr>
            </w:pPr>
            <w:r>
              <w:rPr>
                <w:rFonts w:hint="default"/>
                <w:color w:val="auto"/>
              </w:rPr>
              <w:t>1</w:t>
            </w:r>
          </w:p>
        </w:tc>
        <w:tc>
          <w:tcPr>
            <w:tcW w:w="5759" w:type="dxa"/>
            <w:noWrap w:val="0"/>
            <w:vAlign w:val="center"/>
          </w:tcPr>
          <w:p w14:paraId="73E73C88">
            <w:pPr>
              <w:pStyle w:val="30"/>
              <w:bidi w:val="0"/>
              <w:rPr>
                <w:rFonts w:hint="default"/>
                <w:color w:val="auto"/>
              </w:rPr>
            </w:pPr>
            <w:r>
              <w:rPr>
                <w:rFonts w:hint="default"/>
                <w:color w:val="auto"/>
              </w:rPr>
              <w:t>引人注目，不利于基本的安全卫生要求</w:t>
            </w:r>
          </w:p>
        </w:tc>
      </w:tr>
    </w:tbl>
    <w:p w14:paraId="02C472C3">
      <w:pPr>
        <w:bidi w:val="0"/>
        <w:rPr>
          <w:rFonts w:hint="default"/>
          <w:color w:val="auto"/>
        </w:rPr>
      </w:pPr>
      <w:r>
        <w:rPr>
          <w:rFonts w:hint="default"/>
          <w:color w:val="auto"/>
        </w:rPr>
        <w:t>4</w:t>
      </w:r>
      <w:r>
        <w:rPr>
          <w:rFonts w:hint="eastAsia"/>
          <w:color w:val="auto"/>
          <w:lang w:eastAsia="zh-CN"/>
        </w:rPr>
        <w:t>）</w:t>
      </w:r>
      <w:r>
        <w:rPr>
          <w:rFonts w:hint="default"/>
          <w:color w:val="auto"/>
        </w:rPr>
        <w:t>危险性程度分级D</w:t>
      </w:r>
    </w:p>
    <w:p w14:paraId="330B7B27">
      <w:pPr>
        <w:bidi w:val="0"/>
        <w:rPr>
          <w:rFonts w:hint="default"/>
          <w:color w:val="auto"/>
        </w:rPr>
      </w:pPr>
      <w:r>
        <w:rPr>
          <w:rFonts w:hint="default"/>
          <w:color w:val="auto"/>
        </w:rPr>
        <w:t>在确定了上述三个因素的分数值后，其三者的乘积即为总的危险性分数值D。根据相关资料，将危险性程度分级的相应分数值列入下表：</w:t>
      </w:r>
    </w:p>
    <w:p w14:paraId="390FAC2B">
      <w:pPr>
        <w:pStyle w:val="29"/>
        <w:bidi w:val="0"/>
        <w:rPr>
          <w:rFonts w:hint="default"/>
          <w:color w:val="auto"/>
        </w:rPr>
      </w:pPr>
      <w:r>
        <w:rPr>
          <w:rFonts w:hint="default"/>
          <w:color w:val="auto"/>
        </w:rPr>
        <w:t xml:space="preserve">表4.2-4 </w:t>
      </w:r>
      <w:r>
        <w:rPr>
          <w:rFonts w:hint="default"/>
          <w:color w:val="auto"/>
          <w:lang w:val="en-US" w:eastAsia="zh-CN"/>
        </w:rPr>
        <w:t xml:space="preserve"> </w:t>
      </w:r>
      <w:r>
        <w:rPr>
          <w:rFonts w:hint="default"/>
          <w:color w:val="auto"/>
        </w:rPr>
        <w:t>危险性程度分级的分数值</w:t>
      </w:r>
    </w:p>
    <w:tbl>
      <w:tblPr>
        <w:tblStyle w:val="20"/>
        <w:tblW w:w="9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6809"/>
      </w:tblGrid>
      <w:tr w14:paraId="4853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2594" w:type="dxa"/>
            <w:noWrap w:val="0"/>
            <w:vAlign w:val="center"/>
          </w:tcPr>
          <w:p w14:paraId="61488606">
            <w:pPr>
              <w:pStyle w:val="30"/>
              <w:bidi w:val="0"/>
              <w:rPr>
                <w:rFonts w:hint="default"/>
                <w:b/>
                <w:bCs/>
                <w:color w:val="auto"/>
              </w:rPr>
            </w:pPr>
            <w:r>
              <w:rPr>
                <w:rFonts w:hint="default"/>
                <w:b/>
                <w:bCs/>
                <w:color w:val="auto"/>
              </w:rPr>
              <w:t>分数值</w:t>
            </w:r>
          </w:p>
        </w:tc>
        <w:tc>
          <w:tcPr>
            <w:tcW w:w="6809" w:type="dxa"/>
            <w:noWrap w:val="0"/>
            <w:vAlign w:val="center"/>
          </w:tcPr>
          <w:p w14:paraId="161C0F63">
            <w:pPr>
              <w:pStyle w:val="30"/>
              <w:bidi w:val="0"/>
              <w:rPr>
                <w:rFonts w:hint="default"/>
                <w:b/>
                <w:bCs/>
                <w:color w:val="auto"/>
              </w:rPr>
            </w:pPr>
            <w:r>
              <w:rPr>
                <w:rFonts w:hint="default"/>
                <w:b/>
                <w:bCs/>
                <w:color w:val="auto"/>
              </w:rPr>
              <w:t>危险性程度</w:t>
            </w:r>
          </w:p>
        </w:tc>
      </w:tr>
      <w:tr w14:paraId="0763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4" w:type="dxa"/>
            <w:noWrap w:val="0"/>
            <w:vAlign w:val="center"/>
          </w:tcPr>
          <w:p w14:paraId="35DD3C0F">
            <w:pPr>
              <w:pStyle w:val="30"/>
              <w:bidi w:val="0"/>
              <w:rPr>
                <w:rFonts w:hint="default"/>
                <w:color w:val="auto"/>
              </w:rPr>
            </w:pPr>
            <w:r>
              <w:rPr>
                <w:rFonts w:hint="default"/>
                <w:color w:val="auto"/>
              </w:rPr>
              <w:t>&gt;320</w:t>
            </w:r>
          </w:p>
        </w:tc>
        <w:tc>
          <w:tcPr>
            <w:tcW w:w="6809" w:type="dxa"/>
            <w:noWrap w:val="0"/>
            <w:vAlign w:val="center"/>
          </w:tcPr>
          <w:p w14:paraId="6A027065">
            <w:pPr>
              <w:pStyle w:val="30"/>
              <w:bidi w:val="0"/>
              <w:rPr>
                <w:rFonts w:hint="eastAsia"/>
                <w:color w:val="auto"/>
                <w:lang w:eastAsia="zh-CN"/>
              </w:rPr>
            </w:pPr>
            <w:r>
              <w:rPr>
                <w:rFonts w:hint="default"/>
                <w:color w:val="auto"/>
              </w:rPr>
              <w:t>极其危险，不能继续作业</w:t>
            </w:r>
            <w:r>
              <w:rPr>
                <w:rFonts w:hint="default"/>
                <w:color w:val="auto"/>
                <w:lang w:eastAsia="zh-CN"/>
              </w:rPr>
              <w:t>（</w:t>
            </w:r>
            <w:r>
              <w:rPr>
                <w:rFonts w:hint="default"/>
                <w:color w:val="auto"/>
              </w:rPr>
              <w:t>制定管理方案及应急预案</w:t>
            </w:r>
            <w:r>
              <w:rPr>
                <w:rFonts w:hint="eastAsia"/>
                <w:color w:val="auto"/>
                <w:lang w:eastAsia="zh-CN"/>
              </w:rPr>
              <w:t>）</w:t>
            </w:r>
          </w:p>
        </w:tc>
      </w:tr>
      <w:tr w14:paraId="6A45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4" w:type="dxa"/>
            <w:noWrap w:val="0"/>
            <w:vAlign w:val="center"/>
          </w:tcPr>
          <w:p w14:paraId="24B726E1">
            <w:pPr>
              <w:pStyle w:val="30"/>
              <w:bidi w:val="0"/>
              <w:rPr>
                <w:rFonts w:hint="default"/>
                <w:color w:val="auto"/>
              </w:rPr>
            </w:pPr>
            <w:r>
              <w:rPr>
                <w:rFonts w:hint="default"/>
                <w:color w:val="auto"/>
              </w:rPr>
              <w:t>160~320</w:t>
            </w:r>
          </w:p>
        </w:tc>
        <w:tc>
          <w:tcPr>
            <w:tcW w:w="6809" w:type="dxa"/>
            <w:noWrap w:val="0"/>
            <w:vAlign w:val="center"/>
          </w:tcPr>
          <w:p w14:paraId="1D773F2A">
            <w:pPr>
              <w:pStyle w:val="30"/>
              <w:bidi w:val="0"/>
              <w:rPr>
                <w:rFonts w:hint="eastAsia"/>
                <w:color w:val="auto"/>
                <w:lang w:eastAsia="zh-CN"/>
              </w:rPr>
            </w:pPr>
            <w:r>
              <w:rPr>
                <w:rFonts w:hint="default"/>
                <w:color w:val="auto"/>
              </w:rPr>
              <w:t>高度危险，要立即整改</w:t>
            </w:r>
            <w:r>
              <w:rPr>
                <w:rFonts w:hint="default"/>
                <w:color w:val="auto"/>
                <w:lang w:eastAsia="zh-CN"/>
              </w:rPr>
              <w:t>（</w:t>
            </w:r>
            <w:r>
              <w:rPr>
                <w:rFonts w:hint="default"/>
                <w:color w:val="auto"/>
              </w:rPr>
              <w:t>制定管理方案及应急预案</w:t>
            </w:r>
            <w:r>
              <w:rPr>
                <w:rFonts w:hint="eastAsia"/>
                <w:color w:val="auto"/>
                <w:lang w:eastAsia="zh-CN"/>
              </w:rPr>
              <w:t>）</w:t>
            </w:r>
          </w:p>
        </w:tc>
      </w:tr>
      <w:tr w14:paraId="2711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4" w:type="dxa"/>
            <w:noWrap w:val="0"/>
            <w:vAlign w:val="center"/>
          </w:tcPr>
          <w:p w14:paraId="1D76E203">
            <w:pPr>
              <w:pStyle w:val="30"/>
              <w:bidi w:val="0"/>
              <w:rPr>
                <w:rFonts w:hint="default"/>
                <w:color w:val="auto"/>
              </w:rPr>
            </w:pPr>
            <w:r>
              <w:rPr>
                <w:rFonts w:hint="default"/>
                <w:color w:val="auto"/>
              </w:rPr>
              <w:t>70~160</w:t>
            </w:r>
          </w:p>
        </w:tc>
        <w:tc>
          <w:tcPr>
            <w:tcW w:w="6809" w:type="dxa"/>
            <w:noWrap w:val="0"/>
            <w:vAlign w:val="center"/>
          </w:tcPr>
          <w:p w14:paraId="6211DA01">
            <w:pPr>
              <w:pStyle w:val="30"/>
              <w:bidi w:val="0"/>
              <w:rPr>
                <w:rFonts w:hint="eastAsia"/>
                <w:color w:val="auto"/>
                <w:lang w:eastAsia="zh-CN"/>
              </w:rPr>
            </w:pPr>
            <w:r>
              <w:rPr>
                <w:rFonts w:hint="default"/>
                <w:color w:val="auto"/>
              </w:rPr>
              <w:t>显著危险，需要整改</w:t>
            </w:r>
            <w:r>
              <w:rPr>
                <w:rFonts w:hint="default"/>
                <w:color w:val="auto"/>
                <w:lang w:eastAsia="zh-CN"/>
              </w:rPr>
              <w:t>（</w:t>
            </w:r>
            <w:r>
              <w:rPr>
                <w:rFonts w:hint="default"/>
                <w:color w:val="auto"/>
              </w:rPr>
              <w:t>编制管理方案</w:t>
            </w:r>
            <w:r>
              <w:rPr>
                <w:rFonts w:hint="eastAsia"/>
                <w:color w:val="auto"/>
                <w:lang w:eastAsia="zh-CN"/>
              </w:rPr>
              <w:t>）</w:t>
            </w:r>
          </w:p>
        </w:tc>
      </w:tr>
      <w:tr w14:paraId="33C7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4" w:type="dxa"/>
            <w:noWrap w:val="0"/>
            <w:vAlign w:val="center"/>
          </w:tcPr>
          <w:p w14:paraId="461E154F">
            <w:pPr>
              <w:pStyle w:val="30"/>
              <w:bidi w:val="0"/>
              <w:rPr>
                <w:rFonts w:hint="default"/>
                <w:color w:val="auto"/>
              </w:rPr>
            </w:pPr>
            <w:r>
              <w:rPr>
                <w:rFonts w:hint="default"/>
                <w:color w:val="auto"/>
              </w:rPr>
              <w:t>20~70</w:t>
            </w:r>
          </w:p>
        </w:tc>
        <w:tc>
          <w:tcPr>
            <w:tcW w:w="6809" w:type="dxa"/>
            <w:noWrap w:val="0"/>
            <w:vAlign w:val="center"/>
          </w:tcPr>
          <w:p w14:paraId="1A7BEA0D">
            <w:pPr>
              <w:pStyle w:val="30"/>
              <w:bidi w:val="0"/>
              <w:rPr>
                <w:rFonts w:hint="default"/>
                <w:color w:val="auto"/>
              </w:rPr>
            </w:pPr>
            <w:r>
              <w:rPr>
                <w:rFonts w:hint="default"/>
                <w:color w:val="auto"/>
              </w:rPr>
              <w:t>一般危险，需要注意</w:t>
            </w:r>
          </w:p>
        </w:tc>
      </w:tr>
      <w:tr w14:paraId="5996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4" w:type="dxa"/>
            <w:noWrap w:val="0"/>
            <w:vAlign w:val="center"/>
          </w:tcPr>
          <w:p w14:paraId="549A9130">
            <w:pPr>
              <w:pStyle w:val="30"/>
              <w:bidi w:val="0"/>
              <w:rPr>
                <w:rFonts w:hint="default"/>
                <w:color w:val="auto"/>
              </w:rPr>
            </w:pPr>
            <w:r>
              <w:rPr>
                <w:rFonts w:hint="default"/>
                <w:color w:val="auto"/>
              </w:rPr>
              <w:t>&lt;20</w:t>
            </w:r>
          </w:p>
        </w:tc>
        <w:tc>
          <w:tcPr>
            <w:tcW w:w="6809" w:type="dxa"/>
            <w:noWrap w:val="0"/>
            <w:vAlign w:val="center"/>
          </w:tcPr>
          <w:p w14:paraId="60CF919C">
            <w:pPr>
              <w:pStyle w:val="30"/>
              <w:bidi w:val="0"/>
              <w:rPr>
                <w:rFonts w:hint="default"/>
                <w:color w:val="auto"/>
              </w:rPr>
            </w:pPr>
            <w:r>
              <w:rPr>
                <w:rFonts w:hint="default"/>
                <w:color w:val="auto"/>
              </w:rPr>
              <w:t>稍有危险，可以接受</w:t>
            </w:r>
          </w:p>
        </w:tc>
      </w:tr>
    </w:tbl>
    <w:p w14:paraId="48625057">
      <w:pPr>
        <w:rPr>
          <w:color w:val="auto"/>
        </w:rPr>
      </w:pPr>
      <w:r>
        <w:rPr>
          <w:color w:val="auto"/>
        </w:rPr>
        <w:br w:type="page"/>
      </w:r>
    </w:p>
    <w:p w14:paraId="05CACE21">
      <w:pPr>
        <w:pStyle w:val="2"/>
        <w:bidi w:val="0"/>
        <w:rPr>
          <w:rFonts w:hint="eastAsia"/>
          <w:color w:val="auto"/>
        </w:rPr>
      </w:pPr>
      <w:bookmarkStart w:id="104" w:name="_Toc24210"/>
      <w:r>
        <w:rPr>
          <w:rFonts w:hint="eastAsia"/>
          <w:color w:val="auto"/>
        </w:rPr>
        <w:t>5 定性、定量分析评价</w:t>
      </w:r>
      <w:bookmarkEnd w:id="104"/>
    </w:p>
    <w:p w14:paraId="2FBC4F3E">
      <w:pPr>
        <w:pStyle w:val="3"/>
        <w:bidi w:val="0"/>
        <w:rPr>
          <w:rFonts w:hint="eastAsia"/>
          <w:color w:val="auto"/>
        </w:rPr>
      </w:pPr>
      <w:bookmarkStart w:id="105" w:name="_Toc16044"/>
      <w:r>
        <w:rPr>
          <w:rFonts w:hint="eastAsia"/>
          <w:color w:val="auto"/>
        </w:rPr>
        <w:t>5.1 建设程序单元分析评价</w:t>
      </w:r>
      <w:bookmarkEnd w:id="105"/>
    </w:p>
    <w:p w14:paraId="6034C1D3">
      <w:pPr>
        <w:pStyle w:val="4"/>
        <w:bidi w:val="0"/>
        <w:rPr>
          <w:rFonts w:hint="eastAsia"/>
          <w:color w:val="auto"/>
        </w:rPr>
      </w:pPr>
      <w:bookmarkStart w:id="106" w:name="_Toc4041"/>
      <w:r>
        <w:rPr>
          <w:rFonts w:hint="eastAsia"/>
          <w:color w:val="auto"/>
        </w:rPr>
        <w:t>5.1.1</w:t>
      </w:r>
      <w:r>
        <w:rPr>
          <w:rFonts w:hint="eastAsia"/>
          <w:color w:val="auto"/>
          <w:lang w:val="en-US" w:eastAsia="zh-CN"/>
        </w:rPr>
        <w:t xml:space="preserve"> </w:t>
      </w:r>
      <w:r>
        <w:rPr>
          <w:rFonts w:hint="eastAsia"/>
          <w:color w:val="auto"/>
        </w:rPr>
        <w:t>建设程序安全检查表</w:t>
      </w:r>
      <w:bookmarkEnd w:id="106"/>
    </w:p>
    <w:p w14:paraId="7974E3AD">
      <w:pPr>
        <w:bidi w:val="0"/>
        <w:rPr>
          <w:rFonts w:hint="eastAsia"/>
          <w:color w:val="auto"/>
        </w:rPr>
      </w:pPr>
      <w:r>
        <w:rPr>
          <w:rFonts w:hint="eastAsia"/>
          <w:color w:val="auto"/>
        </w:rPr>
        <w:t>依据《建设项目安全设施“三同时”监督管理办法》（原国家安全生产监督管理总局令第36号，77号令修订）的相关要求对该项目建设程序进行检查，其检查情况如下表所示：</w:t>
      </w:r>
    </w:p>
    <w:p w14:paraId="51A61D75">
      <w:pPr>
        <w:pStyle w:val="29"/>
        <w:bidi w:val="0"/>
        <w:rPr>
          <w:color w:val="auto"/>
        </w:rPr>
      </w:pPr>
      <w:r>
        <w:rPr>
          <w:rFonts w:hint="eastAsia"/>
          <w:color w:val="auto"/>
        </w:rPr>
        <w:t>表5.1-1  建设程序的安全检查表</w:t>
      </w:r>
    </w:p>
    <w:tbl>
      <w:tblPr>
        <w:tblStyle w:val="20"/>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400"/>
        <w:gridCol w:w="1825"/>
        <w:gridCol w:w="2754"/>
        <w:gridCol w:w="716"/>
      </w:tblGrid>
      <w:tr w14:paraId="2197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8" w:type="dxa"/>
            <w:noWrap w:val="0"/>
            <w:vAlign w:val="center"/>
          </w:tcPr>
          <w:p w14:paraId="7525A84F">
            <w:pPr>
              <w:pStyle w:val="30"/>
              <w:bidi w:val="0"/>
              <w:rPr>
                <w:rFonts w:hint="default"/>
                <w:b/>
                <w:bCs/>
                <w:color w:val="auto"/>
              </w:rPr>
            </w:pPr>
            <w:r>
              <w:rPr>
                <w:rFonts w:hint="default"/>
                <w:b/>
                <w:bCs/>
                <w:color w:val="auto"/>
              </w:rPr>
              <w:t>序号</w:t>
            </w:r>
          </w:p>
        </w:tc>
        <w:tc>
          <w:tcPr>
            <w:tcW w:w="3400" w:type="dxa"/>
            <w:noWrap w:val="0"/>
            <w:vAlign w:val="center"/>
          </w:tcPr>
          <w:p w14:paraId="73282EFB">
            <w:pPr>
              <w:pStyle w:val="30"/>
              <w:bidi w:val="0"/>
              <w:jc w:val="center"/>
              <w:rPr>
                <w:rFonts w:hint="default"/>
                <w:b/>
                <w:bCs/>
                <w:color w:val="auto"/>
              </w:rPr>
            </w:pPr>
            <w:r>
              <w:rPr>
                <w:rFonts w:hint="default"/>
                <w:b/>
                <w:bCs/>
                <w:color w:val="auto"/>
              </w:rPr>
              <w:t>检查内容</w:t>
            </w:r>
          </w:p>
        </w:tc>
        <w:tc>
          <w:tcPr>
            <w:tcW w:w="1825" w:type="dxa"/>
            <w:noWrap w:val="0"/>
            <w:vAlign w:val="center"/>
          </w:tcPr>
          <w:p w14:paraId="56B918FB">
            <w:pPr>
              <w:pStyle w:val="30"/>
              <w:bidi w:val="0"/>
              <w:rPr>
                <w:rFonts w:hint="default"/>
                <w:b/>
                <w:bCs/>
                <w:color w:val="auto"/>
              </w:rPr>
            </w:pPr>
            <w:r>
              <w:rPr>
                <w:rFonts w:hint="default"/>
                <w:b/>
                <w:bCs/>
                <w:color w:val="auto"/>
              </w:rPr>
              <w:t>检查依据</w:t>
            </w:r>
          </w:p>
        </w:tc>
        <w:tc>
          <w:tcPr>
            <w:tcW w:w="2754" w:type="dxa"/>
            <w:noWrap w:val="0"/>
            <w:vAlign w:val="center"/>
          </w:tcPr>
          <w:p w14:paraId="611016F6">
            <w:pPr>
              <w:pStyle w:val="30"/>
              <w:bidi w:val="0"/>
              <w:rPr>
                <w:rFonts w:hint="default"/>
                <w:b/>
                <w:bCs/>
                <w:color w:val="auto"/>
              </w:rPr>
            </w:pPr>
            <w:r>
              <w:rPr>
                <w:rFonts w:hint="default"/>
                <w:b/>
                <w:bCs/>
                <w:color w:val="auto"/>
              </w:rPr>
              <w:t>检查情况</w:t>
            </w:r>
          </w:p>
        </w:tc>
        <w:tc>
          <w:tcPr>
            <w:tcW w:w="716" w:type="dxa"/>
            <w:noWrap w:val="0"/>
            <w:vAlign w:val="center"/>
          </w:tcPr>
          <w:p w14:paraId="02BA659E">
            <w:pPr>
              <w:pStyle w:val="30"/>
              <w:bidi w:val="0"/>
              <w:rPr>
                <w:rFonts w:hint="default"/>
                <w:b/>
                <w:bCs/>
                <w:color w:val="auto"/>
              </w:rPr>
            </w:pPr>
            <w:r>
              <w:rPr>
                <w:rFonts w:hint="eastAsia"/>
                <w:b/>
                <w:bCs/>
                <w:color w:val="auto"/>
                <w:lang w:val="en-US" w:eastAsia="zh-CN"/>
              </w:rPr>
              <w:t>检查</w:t>
            </w:r>
            <w:r>
              <w:rPr>
                <w:rFonts w:hint="default"/>
                <w:b/>
                <w:bCs/>
                <w:color w:val="auto"/>
              </w:rPr>
              <w:t>结果</w:t>
            </w:r>
          </w:p>
        </w:tc>
      </w:tr>
      <w:tr w14:paraId="7565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14:paraId="65133F93">
            <w:pPr>
              <w:pStyle w:val="30"/>
              <w:bidi w:val="0"/>
              <w:rPr>
                <w:rFonts w:hint="default"/>
                <w:color w:val="auto"/>
              </w:rPr>
            </w:pPr>
            <w:r>
              <w:rPr>
                <w:rFonts w:hint="default"/>
                <w:color w:val="auto"/>
              </w:rPr>
              <w:t>1</w:t>
            </w:r>
          </w:p>
        </w:tc>
        <w:tc>
          <w:tcPr>
            <w:tcW w:w="3400" w:type="dxa"/>
            <w:noWrap w:val="0"/>
            <w:vAlign w:val="center"/>
          </w:tcPr>
          <w:p w14:paraId="11809208">
            <w:pPr>
              <w:pStyle w:val="30"/>
              <w:bidi w:val="0"/>
              <w:jc w:val="both"/>
              <w:rPr>
                <w:rFonts w:hint="eastAsia" w:eastAsia="宋体"/>
                <w:color w:val="auto"/>
                <w:lang w:eastAsia="zh-CN"/>
              </w:rPr>
            </w:pPr>
            <w:r>
              <w:rPr>
                <w:rFonts w:hint="default"/>
                <w:color w:val="auto"/>
              </w:rPr>
              <w:t>第七条</w:t>
            </w:r>
            <w:r>
              <w:rPr>
                <w:rFonts w:hint="eastAsia"/>
                <w:color w:val="auto"/>
                <w:lang w:val="en-US" w:eastAsia="zh-CN"/>
              </w:rPr>
              <w:t xml:space="preserve"> </w:t>
            </w:r>
            <w:r>
              <w:rPr>
                <w:rFonts w:hint="default"/>
                <w:color w:val="auto"/>
              </w:rPr>
              <w:t>下列建设项目在进行可行性研究时，生产经营单位应当按照国家规定，进行安全预评价</w:t>
            </w:r>
            <w:r>
              <w:rPr>
                <w:rFonts w:hint="eastAsia"/>
                <w:color w:val="auto"/>
                <w:lang w:eastAsia="zh-CN"/>
              </w:rPr>
              <w:t>：</w:t>
            </w:r>
          </w:p>
          <w:p w14:paraId="022C2E01">
            <w:pPr>
              <w:pStyle w:val="30"/>
              <w:bidi w:val="0"/>
              <w:jc w:val="both"/>
              <w:rPr>
                <w:rFonts w:hint="eastAsia" w:eastAsia="宋体"/>
                <w:color w:val="auto"/>
                <w:lang w:eastAsia="zh-CN"/>
              </w:rPr>
            </w:pPr>
            <w:r>
              <w:rPr>
                <w:rFonts w:hint="eastAsia"/>
                <w:color w:val="auto"/>
                <w:lang w:eastAsia="zh-CN"/>
              </w:rPr>
              <w:t>（</w:t>
            </w:r>
            <w:r>
              <w:rPr>
                <w:rFonts w:hint="default"/>
                <w:color w:val="auto"/>
              </w:rPr>
              <w:t>一</w:t>
            </w:r>
            <w:r>
              <w:rPr>
                <w:rFonts w:hint="eastAsia"/>
                <w:color w:val="auto"/>
                <w:lang w:eastAsia="zh-CN"/>
              </w:rPr>
              <w:t>）</w:t>
            </w:r>
            <w:r>
              <w:rPr>
                <w:rFonts w:hint="default"/>
                <w:color w:val="auto"/>
              </w:rPr>
              <w:t>非煤矿矿山建设项目</w:t>
            </w:r>
            <w:r>
              <w:rPr>
                <w:rFonts w:hint="eastAsia"/>
                <w:color w:val="auto"/>
                <w:lang w:eastAsia="zh-CN"/>
              </w:rPr>
              <w:t>；</w:t>
            </w:r>
          </w:p>
          <w:p w14:paraId="186FB39C">
            <w:pPr>
              <w:pStyle w:val="30"/>
              <w:bidi w:val="0"/>
              <w:jc w:val="both"/>
              <w:rPr>
                <w:rFonts w:hint="eastAsia" w:eastAsia="宋体"/>
                <w:color w:val="auto"/>
                <w:lang w:val="en-US" w:eastAsia="zh-CN"/>
              </w:rPr>
            </w:pPr>
            <w:r>
              <w:rPr>
                <w:rFonts w:hint="eastAsia"/>
                <w:color w:val="auto"/>
                <w:lang w:eastAsia="zh-CN"/>
              </w:rPr>
              <w:t>（</w:t>
            </w:r>
            <w:r>
              <w:rPr>
                <w:rFonts w:hint="default"/>
                <w:color w:val="auto"/>
              </w:rPr>
              <w:t>二</w:t>
            </w:r>
            <w:r>
              <w:rPr>
                <w:rFonts w:hint="eastAsia"/>
                <w:color w:val="auto"/>
                <w:lang w:eastAsia="zh-CN"/>
              </w:rPr>
              <w:t>）</w:t>
            </w:r>
            <w:r>
              <w:rPr>
                <w:rFonts w:hint="default"/>
                <w:color w:val="auto"/>
              </w:rPr>
              <w:t>生产、储存危险化学品</w:t>
            </w:r>
            <w:r>
              <w:rPr>
                <w:rFonts w:hint="eastAsia"/>
                <w:color w:val="auto"/>
                <w:lang w:eastAsia="zh-CN"/>
              </w:rPr>
              <w:t>（</w:t>
            </w:r>
            <w:r>
              <w:rPr>
                <w:rFonts w:hint="default"/>
                <w:color w:val="auto"/>
              </w:rPr>
              <w:t>包括使用长输管道输送危险化学品，下同</w:t>
            </w:r>
            <w:r>
              <w:rPr>
                <w:rFonts w:hint="eastAsia"/>
                <w:color w:val="auto"/>
                <w:lang w:eastAsia="zh-CN"/>
              </w:rPr>
              <w:t>）</w:t>
            </w:r>
            <w:r>
              <w:rPr>
                <w:rFonts w:hint="default"/>
                <w:color w:val="auto"/>
              </w:rPr>
              <w:t>的建设项</w:t>
            </w:r>
            <w:r>
              <w:rPr>
                <w:rFonts w:hint="eastAsia"/>
                <w:color w:val="auto"/>
                <w:lang w:val="en-US" w:eastAsia="zh-CN"/>
              </w:rPr>
              <w:t>目；</w:t>
            </w:r>
          </w:p>
          <w:p w14:paraId="67902BDF">
            <w:pPr>
              <w:pStyle w:val="30"/>
              <w:bidi w:val="0"/>
              <w:jc w:val="both"/>
              <w:rPr>
                <w:rFonts w:hint="eastAsia" w:eastAsia="宋体"/>
                <w:color w:val="auto"/>
                <w:lang w:eastAsia="zh-CN"/>
              </w:rPr>
            </w:pPr>
            <w:r>
              <w:rPr>
                <w:rFonts w:hint="eastAsia"/>
                <w:color w:val="auto"/>
                <w:lang w:eastAsia="zh-CN"/>
              </w:rPr>
              <w:t>（</w:t>
            </w:r>
            <w:r>
              <w:rPr>
                <w:rFonts w:hint="eastAsia"/>
                <w:color w:val="auto"/>
                <w:lang w:val="en-US" w:eastAsia="zh-CN"/>
              </w:rPr>
              <w:t>三</w:t>
            </w:r>
            <w:r>
              <w:rPr>
                <w:rFonts w:hint="eastAsia"/>
                <w:color w:val="auto"/>
                <w:lang w:eastAsia="zh-CN"/>
              </w:rPr>
              <w:t>）</w:t>
            </w:r>
            <w:r>
              <w:rPr>
                <w:rFonts w:hint="default"/>
                <w:color w:val="auto"/>
              </w:rPr>
              <w:t>生产、储存烟花爆竹的建设项目</w:t>
            </w:r>
            <w:r>
              <w:rPr>
                <w:rFonts w:hint="eastAsia"/>
                <w:color w:val="auto"/>
                <w:lang w:eastAsia="zh-CN"/>
              </w:rPr>
              <w:t>；</w:t>
            </w:r>
          </w:p>
          <w:p w14:paraId="61FC790D">
            <w:pPr>
              <w:pStyle w:val="30"/>
              <w:bidi w:val="0"/>
              <w:jc w:val="both"/>
              <w:rPr>
                <w:rFonts w:hint="eastAsia" w:eastAsia="宋体"/>
                <w:color w:val="auto"/>
                <w:lang w:eastAsia="zh-CN"/>
              </w:rPr>
            </w:pPr>
            <w:r>
              <w:rPr>
                <w:rFonts w:hint="eastAsia"/>
                <w:color w:val="auto"/>
                <w:lang w:eastAsia="zh-CN"/>
              </w:rPr>
              <w:t>（</w:t>
            </w:r>
            <w:r>
              <w:rPr>
                <w:rFonts w:hint="default"/>
                <w:color w:val="auto"/>
              </w:rPr>
              <w:t>四</w:t>
            </w:r>
            <w:r>
              <w:rPr>
                <w:rFonts w:hint="eastAsia"/>
                <w:color w:val="auto"/>
                <w:lang w:eastAsia="zh-CN"/>
              </w:rPr>
              <w:t>）</w:t>
            </w:r>
            <w:r>
              <w:rPr>
                <w:rFonts w:hint="default"/>
                <w:color w:val="auto"/>
              </w:rPr>
              <w:t>金属冶炼建设项目</w:t>
            </w:r>
            <w:r>
              <w:rPr>
                <w:rFonts w:hint="eastAsia"/>
                <w:color w:val="auto"/>
                <w:lang w:eastAsia="zh-CN"/>
              </w:rPr>
              <w:t>；</w:t>
            </w:r>
          </w:p>
          <w:p w14:paraId="4BC6B9DF">
            <w:pPr>
              <w:pStyle w:val="30"/>
              <w:bidi w:val="0"/>
              <w:jc w:val="both"/>
              <w:rPr>
                <w:rFonts w:hint="eastAsia" w:eastAsia="宋体"/>
                <w:color w:val="auto"/>
                <w:lang w:eastAsia="zh-CN"/>
              </w:rPr>
            </w:pPr>
            <w:r>
              <w:rPr>
                <w:rFonts w:hint="eastAsia"/>
                <w:color w:val="auto"/>
                <w:lang w:eastAsia="zh-CN"/>
              </w:rPr>
              <w:t>（</w:t>
            </w:r>
            <w:r>
              <w:rPr>
                <w:rFonts w:hint="default"/>
                <w:color w:val="auto"/>
              </w:rPr>
              <w:t>五</w:t>
            </w:r>
            <w:r>
              <w:rPr>
                <w:rFonts w:hint="eastAsia"/>
                <w:color w:val="auto"/>
                <w:lang w:eastAsia="zh-CN"/>
              </w:rPr>
              <w:t>）</w:t>
            </w:r>
            <w:r>
              <w:rPr>
                <w:rFonts w:hint="default"/>
                <w:color w:val="auto"/>
              </w:rPr>
              <w:t>使用危险化学品从事生产并且使用量达到规定数量的化工建设项目</w:t>
            </w:r>
            <w:r>
              <w:rPr>
                <w:rFonts w:hint="eastAsia"/>
                <w:color w:val="auto"/>
                <w:lang w:eastAsia="zh-CN"/>
              </w:rPr>
              <w:t>（</w:t>
            </w:r>
            <w:r>
              <w:rPr>
                <w:rFonts w:hint="default"/>
                <w:color w:val="auto"/>
              </w:rPr>
              <w:t>属于危险化学品生产的除外，下同</w:t>
            </w:r>
            <w:r>
              <w:rPr>
                <w:rFonts w:hint="eastAsia"/>
                <w:color w:val="auto"/>
                <w:lang w:eastAsia="zh-CN"/>
              </w:rPr>
              <w:t>）；</w:t>
            </w:r>
          </w:p>
          <w:p w14:paraId="3393A63B">
            <w:pPr>
              <w:pStyle w:val="30"/>
              <w:bidi w:val="0"/>
              <w:jc w:val="both"/>
              <w:rPr>
                <w:rFonts w:hint="default"/>
                <w:color w:val="auto"/>
              </w:rPr>
            </w:pPr>
            <w:r>
              <w:rPr>
                <w:rFonts w:hint="eastAsia"/>
                <w:color w:val="auto"/>
                <w:lang w:eastAsia="zh-CN"/>
              </w:rPr>
              <w:t>（</w:t>
            </w:r>
            <w:r>
              <w:rPr>
                <w:rFonts w:hint="default"/>
                <w:color w:val="auto"/>
              </w:rPr>
              <w:t>六</w:t>
            </w:r>
            <w:r>
              <w:rPr>
                <w:rFonts w:hint="eastAsia"/>
                <w:color w:val="auto"/>
                <w:lang w:eastAsia="zh-CN"/>
              </w:rPr>
              <w:t>）</w:t>
            </w:r>
            <w:r>
              <w:rPr>
                <w:rFonts w:hint="default"/>
                <w:color w:val="auto"/>
              </w:rPr>
              <w:t>法律、行政法规和国务院规定的其他建设项目。</w:t>
            </w:r>
          </w:p>
        </w:tc>
        <w:tc>
          <w:tcPr>
            <w:tcW w:w="1825" w:type="dxa"/>
            <w:noWrap w:val="0"/>
            <w:vAlign w:val="center"/>
          </w:tcPr>
          <w:p w14:paraId="2B209743">
            <w:pPr>
              <w:pStyle w:val="30"/>
              <w:bidi w:val="0"/>
              <w:rPr>
                <w:rFonts w:hint="default"/>
                <w:color w:val="auto"/>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r>
              <w:rPr>
                <w:rFonts w:hint="default"/>
                <w:color w:val="auto"/>
              </w:rPr>
              <w:t>第七条</w:t>
            </w:r>
          </w:p>
        </w:tc>
        <w:tc>
          <w:tcPr>
            <w:tcW w:w="2754" w:type="dxa"/>
            <w:noWrap w:val="0"/>
            <w:vAlign w:val="center"/>
          </w:tcPr>
          <w:p w14:paraId="0509AAF6">
            <w:pPr>
              <w:pStyle w:val="30"/>
              <w:bidi w:val="0"/>
              <w:rPr>
                <w:rFonts w:hint="default"/>
                <w:color w:val="auto"/>
              </w:rPr>
            </w:pPr>
            <w:r>
              <w:rPr>
                <w:rFonts w:hint="default"/>
                <w:color w:val="auto"/>
              </w:rPr>
              <w:t>该项目于202</w:t>
            </w:r>
            <w:r>
              <w:rPr>
                <w:rFonts w:hint="default"/>
                <w:color w:val="auto"/>
                <w:lang w:val="en-US" w:eastAsia="zh-CN"/>
              </w:rPr>
              <w:t>3</w:t>
            </w:r>
            <w:r>
              <w:rPr>
                <w:rFonts w:hint="default"/>
                <w:color w:val="auto"/>
              </w:rPr>
              <w:t>年</w:t>
            </w:r>
            <w:r>
              <w:rPr>
                <w:rFonts w:hint="default"/>
                <w:color w:val="auto"/>
                <w:lang w:val="en-US" w:eastAsia="zh-CN"/>
              </w:rPr>
              <w:t>12</w:t>
            </w:r>
            <w:r>
              <w:rPr>
                <w:rFonts w:hint="default"/>
                <w:color w:val="auto"/>
              </w:rPr>
              <w:t>月委托云南德成规划设计有限公司编制《</w:t>
            </w:r>
            <w:r>
              <w:rPr>
                <w:rFonts w:hint="eastAsia"/>
                <w:color w:val="auto"/>
                <w:lang w:eastAsia="zh-CN"/>
              </w:rPr>
              <w:t>武定发荣矿业有限责任公司猫街大炉箐繁茂采选厂技术改造项目</w:t>
            </w:r>
            <w:r>
              <w:rPr>
                <w:rFonts w:hint="default"/>
                <w:color w:val="auto"/>
              </w:rPr>
              <w:t>初步设计</w:t>
            </w:r>
            <w:r>
              <w:rPr>
                <w:rFonts w:hint="default"/>
                <w:color w:val="auto"/>
                <w:lang w:eastAsia="zh-CN"/>
              </w:rPr>
              <w:t>（</w:t>
            </w:r>
            <w:r>
              <w:rPr>
                <w:rFonts w:hint="default"/>
                <w:color w:val="auto"/>
              </w:rPr>
              <w:t>代可研</w:t>
            </w:r>
            <w:r>
              <w:rPr>
                <w:rFonts w:hint="eastAsia"/>
                <w:color w:val="auto"/>
                <w:lang w:eastAsia="zh-CN"/>
              </w:rPr>
              <w:t>）</w:t>
            </w:r>
            <w:r>
              <w:rPr>
                <w:rFonts w:hint="default"/>
                <w:color w:val="auto"/>
              </w:rPr>
              <w:t>及安全设施设计》，于202</w:t>
            </w:r>
            <w:r>
              <w:rPr>
                <w:rFonts w:hint="default"/>
                <w:color w:val="auto"/>
                <w:lang w:val="en-US" w:eastAsia="zh-CN"/>
              </w:rPr>
              <w:t>4</w:t>
            </w:r>
            <w:r>
              <w:rPr>
                <w:rFonts w:hint="default"/>
                <w:color w:val="auto"/>
              </w:rPr>
              <w:t>年</w:t>
            </w:r>
            <w:r>
              <w:rPr>
                <w:rFonts w:hint="eastAsia"/>
                <w:color w:val="auto"/>
                <w:lang w:val="en-US" w:eastAsia="zh-CN"/>
              </w:rPr>
              <w:t>2</w:t>
            </w:r>
            <w:r>
              <w:rPr>
                <w:rFonts w:hint="default"/>
                <w:color w:val="auto"/>
              </w:rPr>
              <w:t>月委托云南大成安全技术服务有限公司编制《</w:t>
            </w:r>
            <w:r>
              <w:rPr>
                <w:rFonts w:hint="eastAsia"/>
                <w:color w:val="auto"/>
                <w:lang w:eastAsia="zh-CN"/>
              </w:rPr>
              <w:t>武定发荣矿业有限责任公司猫街大炉箐繁茂采选厂技术改造项目</w:t>
            </w:r>
            <w:r>
              <w:rPr>
                <w:rFonts w:hint="default"/>
                <w:color w:val="auto"/>
              </w:rPr>
              <w:t>安全预评价报告》，安全设施设计于202</w:t>
            </w:r>
            <w:r>
              <w:rPr>
                <w:rFonts w:hint="default"/>
                <w:color w:val="auto"/>
                <w:lang w:val="en-US" w:eastAsia="zh-CN"/>
              </w:rPr>
              <w:t>4</w:t>
            </w:r>
            <w:r>
              <w:rPr>
                <w:rFonts w:hint="default"/>
                <w:color w:val="auto"/>
              </w:rPr>
              <w:t>年3月</w:t>
            </w:r>
            <w:r>
              <w:rPr>
                <w:rFonts w:hint="default"/>
                <w:color w:val="auto"/>
                <w:lang w:val="en-US" w:eastAsia="zh-CN"/>
              </w:rPr>
              <w:t>6</w:t>
            </w:r>
            <w:r>
              <w:rPr>
                <w:rFonts w:hint="default"/>
                <w:color w:val="auto"/>
              </w:rPr>
              <w:t>日</w:t>
            </w:r>
            <w:r>
              <w:rPr>
                <w:rFonts w:hint="default"/>
                <w:color w:val="auto"/>
                <w:lang w:val="en-US" w:eastAsia="zh-CN"/>
              </w:rPr>
              <w:t>组织专家评审，2024年5月28日</w:t>
            </w:r>
            <w:r>
              <w:rPr>
                <w:rFonts w:hint="default"/>
                <w:color w:val="auto"/>
              </w:rPr>
              <w:t>通过</w:t>
            </w:r>
            <w:r>
              <w:rPr>
                <w:rFonts w:hint="default"/>
                <w:color w:val="auto"/>
                <w:lang w:val="en-US" w:eastAsia="zh-CN"/>
              </w:rPr>
              <w:t>了</w:t>
            </w:r>
            <w:r>
              <w:rPr>
                <w:rFonts w:hint="default"/>
                <w:color w:val="auto"/>
              </w:rPr>
              <w:t>专家审查</w:t>
            </w:r>
            <w:r>
              <w:rPr>
                <w:rFonts w:hint="default"/>
                <w:color w:val="auto"/>
                <w:lang w:val="en-US" w:eastAsia="zh-CN"/>
              </w:rPr>
              <w:t>并出具了正式报告</w:t>
            </w:r>
            <w:r>
              <w:rPr>
                <w:rFonts w:hint="default"/>
                <w:color w:val="auto"/>
              </w:rPr>
              <w:t>。</w:t>
            </w:r>
          </w:p>
        </w:tc>
        <w:tc>
          <w:tcPr>
            <w:tcW w:w="716" w:type="dxa"/>
            <w:noWrap w:val="0"/>
            <w:vAlign w:val="center"/>
          </w:tcPr>
          <w:p w14:paraId="795F5153">
            <w:pPr>
              <w:pStyle w:val="30"/>
              <w:bidi w:val="0"/>
              <w:rPr>
                <w:rFonts w:hint="default"/>
                <w:color w:val="auto"/>
              </w:rPr>
            </w:pPr>
            <w:r>
              <w:rPr>
                <w:rFonts w:hint="default"/>
                <w:color w:val="auto"/>
              </w:rPr>
              <w:t>符合</w:t>
            </w:r>
          </w:p>
        </w:tc>
      </w:tr>
      <w:tr w14:paraId="3955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14:paraId="3684E47D">
            <w:pPr>
              <w:pStyle w:val="30"/>
              <w:bidi w:val="0"/>
              <w:rPr>
                <w:rFonts w:hint="default"/>
                <w:color w:val="auto"/>
              </w:rPr>
            </w:pPr>
            <w:r>
              <w:rPr>
                <w:rFonts w:hint="default"/>
                <w:color w:val="auto"/>
              </w:rPr>
              <w:t>2</w:t>
            </w:r>
          </w:p>
        </w:tc>
        <w:tc>
          <w:tcPr>
            <w:tcW w:w="3400" w:type="dxa"/>
            <w:noWrap w:val="0"/>
            <w:vAlign w:val="center"/>
          </w:tcPr>
          <w:p w14:paraId="416493E2">
            <w:pPr>
              <w:pStyle w:val="30"/>
              <w:bidi w:val="0"/>
              <w:jc w:val="both"/>
              <w:rPr>
                <w:rFonts w:hint="default"/>
                <w:color w:val="auto"/>
              </w:rPr>
            </w:pPr>
            <w:r>
              <w:rPr>
                <w:rFonts w:hint="default"/>
                <w:color w:val="auto"/>
              </w:rPr>
              <w:t>生产经营单位应当委托具有相应资质的安全评价机构，对其建设项目进行安全预评价，并编制安全预评价报告。</w:t>
            </w:r>
          </w:p>
        </w:tc>
        <w:tc>
          <w:tcPr>
            <w:tcW w:w="1825" w:type="dxa"/>
            <w:noWrap w:val="0"/>
            <w:vAlign w:val="center"/>
          </w:tcPr>
          <w:p w14:paraId="4C200FD2">
            <w:pPr>
              <w:pStyle w:val="30"/>
              <w:bidi w:val="0"/>
              <w:rPr>
                <w:rFonts w:hint="default"/>
                <w:color w:val="auto"/>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r>
              <w:rPr>
                <w:rFonts w:hint="default"/>
                <w:color w:val="auto"/>
              </w:rPr>
              <w:t>第</w:t>
            </w:r>
            <w:r>
              <w:rPr>
                <w:rFonts w:hint="eastAsia"/>
                <w:color w:val="auto"/>
                <w:lang w:val="en-US" w:eastAsia="zh-CN"/>
              </w:rPr>
              <w:t>八</w:t>
            </w:r>
            <w:r>
              <w:rPr>
                <w:rFonts w:hint="default"/>
                <w:color w:val="auto"/>
              </w:rPr>
              <w:t>条</w:t>
            </w:r>
          </w:p>
        </w:tc>
        <w:tc>
          <w:tcPr>
            <w:tcW w:w="2754" w:type="dxa"/>
            <w:noWrap w:val="0"/>
            <w:vAlign w:val="center"/>
          </w:tcPr>
          <w:p w14:paraId="621E70AB">
            <w:pPr>
              <w:pStyle w:val="30"/>
              <w:bidi w:val="0"/>
              <w:rPr>
                <w:rFonts w:hint="default"/>
                <w:color w:val="auto"/>
              </w:rPr>
            </w:pPr>
            <w:r>
              <w:rPr>
                <w:rFonts w:hint="default"/>
                <w:color w:val="auto"/>
              </w:rPr>
              <w:t>该项目于202</w:t>
            </w:r>
            <w:r>
              <w:rPr>
                <w:rFonts w:hint="default"/>
                <w:color w:val="auto"/>
                <w:lang w:val="en-US" w:eastAsia="zh-CN"/>
              </w:rPr>
              <w:t>4</w:t>
            </w:r>
            <w:r>
              <w:rPr>
                <w:rFonts w:hint="default"/>
                <w:color w:val="auto"/>
              </w:rPr>
              <w:t>年</w:t>
            </w:r>
            <w:r>
              <w:rPr>
                <w:rFonts w:hint="eastAsia"/>
                <w:color w:val="auto"/>
                <w:lang w:val="en-US" w:eastAsia="zh-CN"/>
              </w:rPr>
              <w:t>2</w:t>
            </w:r>
            <w:r>
              <w:rPr>
                <w:rFonts w:hint="default"/>
                <w:color w:val="auto"/>
              </w:rPr>
              <w:t>月委托云南大成安全技术服务有限公司编制了《</w:t>
            </w:r>
            <w:r>
              <w:rPr>
                <w:rFonts w:hint="eastAsia"/>
                <w:color w:val="auto"/>
                <w:lang w:eastAsia="zh-CN"/>
              </w:rPr>
              <w:t>武定发荣矿业有限责任公司猫街大炉箐繁茂采选厂技术改造项目</w:t>
            </w:r>
            <w:r>
              <w:rPr>
                <w:rFonts w:hint="default"/>
                <w:color w:val="auto"/>
              </w:rPr>
              <w:t>安全预评价报告》。</w:t>
            </w:r>
          </w:p>
        </w:tc>
        <w:tc>
          <w:tcPr>
            <w:tcW w:w="716" w:type="dxa"/>
            <w:noWrap w:val="0"/>
            <w:vAlign w:val="center"/>
          </w:tcPr>
          <w:p w14:paraId="762520D3">
            <w:pPr>
              <w:pStyle w:val="30"/>
              <w:bidi w:val="0"/>
              <w:rPr>
                <w:rFonts w:hint="default"/>
                <w:color w:val="auto"/>
              </w:rPr>
            </w:pPr>
            <w:r>
              <w:rPr>
                <w:rFonts w:hint="default"/>
                <w:color w:val="auto"/>
              </w:rPr>
              <w:t>符合</w:t>
            </w:r>
          </w:p>
        </w:tc>
      </w:tr>
      <w:tr w14:paraId="5547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14:paraId="3CA8488C">
            <w:pPr>
              <w:pStyle w:val="30"/>
              <w:bidi w:val="0"/>
              <w:rPr>
                <w:rFonts w:hint="default"/>
                <w:color w:val="auto"/>
              </w:rPr>
            </w:pPr>
            <w:r>
              <w:rPr>
                <w:rFonts w:hint="default"/>
                <w:color w:val="auto"/>
              </w:rPr>
              <w:t>3</w:t>
            </w:r>
          </w:p>
        </w:tc>
        <w:tc>
          <w:tcPr>
            <w:tcW w:w="3400" w:type="dxa"/>
            <w:noWrap w:val="0"/>
            <w:vAlign w:val="center"/>
          </w:tcPr>
          <w:p w14:paraId="2F3EA2C2">
            <w:pPr>
              <w:pStyle w:val="30"/>
              <w:bidi w:val="0"/>
              <w:jc w:val="both"/>
              <w:rPr>
                <w:rFonts w:hint="default"/>
                <w:color w:val="auto"/>
              </w:rPr>
            </w:pPr>
            <w:r>
              <w:rPr>
                <w:rFonts w:hint="default"/>
                <w:color w:val="auto"/>
              </w:rPr>
              <w:t>生产经营单位在建设项目初步设计时，应当委托有相应资质的设计单位对建设项目安全设施</w:t>
            </w:r>
            <w:r>
              <w:rPr>
                <w:rFonts w:hint="eastAsia"/>
                <w:color w:val="auto"/>
                <w:lang w:val="en-US" w:eastAsia="zh-CN"/>
              </w:rPr>
              <w:t>同时</w:t>
            </w:r>
            <w:r>
              <w:rPr>
                <w:rFonts w:hint="default"/>
                <w:color w:val="auto"/>
              </w:rPr>
              <w:t>进行设计，编制安全</w:t>
            </w:r>
            <w:r>
              <w:rPr>
                <w:rFonts w:hint="eastAsia"/>
                <w:color w:val="auto"/>
                <w:lang w:val="en-US" w:eastAsia="zh-CN"/>
              </w:rPr>
              <w:t>设施设计</w:t>
            </w:r>
            <w:r>
              <w:rPr>
                <w:rFonts w:hint="default"/>
                <w:color w:val="auto"/>
              </w:rPr>
              <w:t>。</w:t>
            </w:r>
          </w:p>
        </w:tc>
        <w:tc>
          <w:tcPr>
            <w:tcW w:w="1825" w:type="dxa"/>
            <w:noWrap w:val="0"/>
            <w:vAlign w:val="center"/>
          </w:tcPr>
          <w:p w14:paraId="61DA4952">
            <w:pPr>
              <w:pStyle w:val="30"/>
              <w:bidi w:val="0"/>
              <w:rPr>
                <w:rFonts w:hint="eastAsia"/>
                <w:color w:val="auto"/>
                <w:lang w:eastAsia="zh-CN"/>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p>
          <w:p w14:paraId="2023AC41">
            <w:pPr>
              <w:pStyle w:val="30"/>
              <w:bidi w:val="0"/>
              <w:rPr>
                <w:rFonts w:hint="default"/>
                <w:color w:val="auto"/>
              </w:rPr>
            </w:pPr>
            <w:r>
              <w:rPr>
                <w:rFonts w:hint="default"/>
                <w:color w:val="auto"/>
              </w:rPr>
              <w:t>第</w:t>
            </w:r>
            <w:r>
              <w:rPr>
                <w:rFonts w:hint="eastAsia"/>
                <w:color w:val="auto"/>
                <w:lang w:val="en-US" w:eastAsia="zh-CN"/>
              </w:rPr>
              <w:t>十</w:t>
            </w:r>
            <w:r>
              <w:rPr>
                <w:rFonts w:hint="default"/>
                <w:color w:val="auto"/>
              </w:rPr>
              <w:t>条</w:t>
            </w:r>
          </w:p>
        </w:tc>
        <w:tc>
          <w:tcPr>
            <w:tcW w:w="2754" w:type="dxa"/>
            <w:noWrap w:val="0"/>
            <w:vAlign w:val="center"/>
          </w:tcPr>
          <w:p w14:paraId="1F933E0A">
            <w:pPr>
              <w:pStyle w:val="30"/>
              <w:bidi w:val="0"/>
              <w:rPr>
                <w:rFonts w:hint="default"/>
                <w:color w:val="auto"/>
              </w:rPr>
            </w:pPr>
            <w:r>
              <w:rPr>
                <w:rFonts w:hint="default"/>
                <w:color w:val="auto"/>
              </w:rPr>
              <w:t>该项目于202</w:t>
            </w:r>
            <w:r>
              <w:rPr>
                <w:rFonts w:hint="default"/>
                <w:color w:val="auto"/>
                <w:lang w:val="en-US" w:eastAsia="zh-CN"/>
              </w:rPr>
              <w:t>3</w:t>
            </w:r>
            <w:r>
              <w:rPr>
                <w:rFonts w:hint="default"/>
                <w:color w:val="auto"/>
              </w:rPr>
              <w:t>年1</w:t>
            </w:r>
            <w:r>
              <w:rPr>
                <w:rFonts w:hint="default"/>
                <w:color w:val="auto"/>
                <w:lang w:val="en-US" w:eastAsia="zh-CN"/>
              </w:rPr>
              <w:t>2</w:t>
            </w:r>
            <w:r>
              <w:rPr>
                <w:rFonts w:hint="default"/>
                <w:color w:val="auto"/>
              </w:rPr>
              <w:t>月委托云南德成规划设计有限公司编制《</w:t>
            </w:r>
            <w:r>
              <w:rPr>
                <w:rFonts w:hint="eastAsia"/>
                <w:color w:val="auto"/>
                <w:lang w:eastAsia="zh-CN"/>
              </w:rPr>
              <w:t>武定发荣矿业有限责任公司猫街大炉箐繁茂采选厂技术改造项目</w:t>
            </w:r>
            <w:r>
              <w:rPr>
                <w:rFonts w:hint="default"/>
                <w:color w:val="auto"/>
              </w:rPr>
              <w:t>初步设计</w:t>
            </w:r>
            <w:r>
              <w:rPr>
                <w:rFonts w:hint="default"/>
                <w:color w:val="auto"/>
                <w:lang w:eastAsia="zh-CN"/>
              </w:rPr>
              <w:t>（</w:t>
            </w:r>
            <w:r>
              <w:rPr>
                <w:rFonts w:hint="default"/>
                <w:color w:val="auto"/>
              </w:rPr>
              <w:t>代可研</w:t>
            </w:r>
            <w:r>
              <w:rPr>
                <w:rFonts w:hint="eastAsia"/>
                <w:color w:val="auto"/>
                <w:lang w:eastAsia="zh-CN"/>
              </w:rPr>
              <w:t>）</w:t>
            </w:r>
            <w:r>
              <w:rPr>
                <w:rFonts w:hint="default"/>
                <w:color w:val="auto"/>
              </w:rPr>
              <w:t>及安全设施设计》，</w:t>
            </w:r>
            <w:r>
              <w:rPr>
                <w:rFonts w:hint="default"/>
                <w:color w:val="auto"/>
                <w:lang w:val="en-US" w:eastAsia="zh-CN"/>
              </w:rPr>
              <w:t>2024年5月28日</w:t>
            </w:r>
            <w:r>
              <w:rPr>
                <w:rFonts w:hint="default"/>
                <w:color w:val="auto"/>
              </w:rPr>
              <w:t>通过</w:t>
            </w:r>
            <w:r>
              <w:rPr>
                <w:rFonts w:hint="default"/>
                <w:color w:val="auto"/>
                <w:lang w:val="en-US" w:eastAsia="zh-CN"/>
              </w:rPr>
              <w:t>了</w:t>
            </w:r>
            <w:r>
              <w:rPr>
                <w:rFonts w:hint="default"/>
                <w:color w:val="auto"/>
              </w:rPr>
              <w:t>专家审查</w:t>
            </w:r>
            <w:r>
              <w:rPr>
                <w:rFonts w:hint="default"/>
                <w:color w:val="auto"/>
                <w:lang w:val="en-US" w:eastAsia="zh-CN"/>
              </w:rPr>
              <w:t>并出具了正式报告</w:t>
            </w:r>
            <w:r>
              <w:rPr>
                <w:rFonts w:hint="default"/>
                <w:color w:val="auto"/>
              </w:rPr>
              <w:t>。</w:t>
            </w:r>
          </w:p>
        </w:tc>
        <w:tc>
          <w:tcPr>
            <w:tcW w:w="716" w:type="dxa"/>
            <w:noWrap w:val="0"/>
            <w:vAlign w:val="center"/>
          </w:tcPr>
          <w:p w14:paraId="11E038D8">
            <w:pPr>
              <w:pStyle w:val="30"/>
              <w:bidi w:val="0"/>
              <w:rPr>
                <w:rFonts w:hint="default"/>
                <w:color w:val="auto"/>
              </w:rPr>
            </w:pPr>
            <w:r>
              <w:rPr>
                <w:rFonts w:hint="default"/>
                <w:color w:val="auto"/>
              </w:rPr>
              <w:t>符合</w:t>
            </w:r>
          </w:p>
        </w:tc>
      </w:tr>
      <w:tr w14:paraId="7135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14:paraId="58C49865">
            <w:pPr>
              <w:pStyle w:val="30"/>
              <w:bidi w:val="0"/>
              <w:rPr>
                <w:rFonts w:hint="default"/>
                <w:color w:val="auto"/>
              </w:rPr>
            </w:pPr>
            <w:r>
              <w:rPr>
                <w:rFonts w:hint="default"/>
                <w:color w:val="auto"/>
              </w:rPr>
              <w:t>4</w:t>
            </w:r>
          </w:p>
        </w:tc>
        <w:tc>
          <w:tcPr>
            <w:tcW w:w="3400" w:type="dxa"/>
            <w:noWrap w:val="0"/>
            <w:vAlign w:val="center"/>
          </w:tcPr>
          <w:p w14:paraId="3A21C078">
            <w:pPr>
              <w:pStyle w:val="30"/>
              <w:bidi w:val="0"/>
              <w:jc w:val="both"/>
              <w:rPr>
                <w:rFonts w:hint="default"/>
                <w:color w:val="auto"/>
              </w:rPr>
            </w:pPr>
            <w:r>
              <w:rPr>
                <w:rFonts w:hint="default"/>
                <w:color w:val="auto"/>
              </w:rPr>
              <w:t>本办法第七条第</w:t>
            </w:r>
            <w:r>
              <w:rPr>
                <w:rFonts w:hint="default"/>
                <w:color w:val="auto"/>
                <w:lang w:eastAsia="zh-CN"/>
              </w:rPr>
              <w:t>（</w:t>
            </w:r>
            <w:r>
              <w:rPr>
                <w:rFonts w:hint="default"/>
                <w:color w:val="auto"/>
              </w:rPr>
              <w:t>一</w:t>
            </w:r>
            <w:r>
              <w:rPr>
                <w:rFonts w:hint="eastAsia"/>
                <w:color w:val="auto"/>
                <w:lang w:eastAsia="zh-CN"/>
              </w:rPr>
              <w:t>）</w:t>
            </w:r>
            <w:r>
              <w:rPr>
                <w:rFonts w:hint="default"/>
                <w:color w:val="auto"/>
              </w:rPr>
              <w:t>项、第</w:t>
            </w:r>
            <w:r>
              <w:rPr>
                <w:rFonts w:hint="default"/>
                <w:color w:val="auto"/>
                <w:lang w:eastAsia="zh-CN"/>
              </w:rPr>
              <w:t>（</w:t>
            </w:r>
            <w:r>
              <w:rPr>
                <w:rFonts w:hint="default"/>
                <w:color w:val="auto"/>
              </w:rPr>
              <w:t>二</w:t>
            </w:r>
            <w:r>
              <w:rPr>
                <w:rFonts w:hint="eastAsia"/>
                <w:color w:val="auto"/>
                <w:lang w:eastAsia="zh-CN"/>
              </w:rPr>
              <w:t>）</w:t>
            </w:r>
            <w:r>
              <w:rPr>
                <w:rFonts w:hint="default"/>
                <w:color w:val="auto"/>
              </w:rPr>
              <w:t>项、第</w:t>
            </w:r>
            <w:r>
              <w:rPr>
                <w:rFonts w:hint="default"/>
                <w:color w:val="auto"/>
                <w:lang w:eastAsia="zh-CN"/>
              </w:rPr>
              <w:t>（</w:t>
            </w:r>
            <w:r>
              <w:rPr>
                <w:rFonts w:hint="default"/>
                <w:color w:val="auto"/>
              </w:rPr>
              <w:t>三</w:t>
            </w:r>
            <w:r>
              <w:rPr>
                <w:rFonts w:hint="eastAsia"/>
                <w:color w:val="auto"/>
                <w:lang w:eastAsia="zh-CN"/>
              </w:rPr>
              <w:t>）</w:t>
            </w:r>
            <w:r>
              <w:rPr>
                <w:rFonts w:hint="default"/>
                <w:color w:val="auto"/>
              </w:rPr>
              <w:t>项</w:t>
            </w:r>
            <w:r>
              <w:rPr>
                <w:rFonts w:hint="eastAsia"/>
                <w:color w:val="auto"/>
                <w:lang w:eastAsia="zh-CN"/>
              </w:rPr>
              <w:t>、第（三）项</w:t>
            </w:r>
            <w:r>
              <w:rPr>
                <w:rFonts w:hint="default"/>
                <w:color w:val="auto"/>
              </w:rPr>
              <w:t>规定的建设项目安全设施设计完成后，生产经营单位应当按照本办法第五条的规定向安全生产监督管理部门提出审查申请，并提交下列文件资料：</w:t>
            </w:r>
          </w:p>
          <w:p w14:paraId="67E82138">
            <w:pPr>
              <w:pStyle w:val="30"/>
              <w:bidi w:val="0"/>
              <w:jc w:val="both"/>
              <w:rPr>
                <w:rFonts w:hint="default"/>
                <w:color w:val="auto"/>
              </w:rPr>
            </w:pPr>
            <w:r>
              <w:rPr>
                <w:rFonts w:hint="default"/>
                <w:color w:val="auto"/>
                <w:lang w:eastAsia="zh-CN"/>
              </w:rPr>
              <w:t>（</w:t>
            </w:r>
            <w:r>
              <w:rPr>
                <w:rFonts w:hint="default"/>
                <w:color w:val="auto"/>
              </w:rPr>
              <w:t>一</w:t>
            </w:r>
            <w:r>
              <w:rPr>
                <w:rFonts w:hint="eastAsia"/>
                <w:color w:val="auto"/>
                <w:lang w:eastAsia="zh-CN"/>
              </w:rPr>
              <w:t>）</w:t>
            </w:r>
            <w:r>
              <w:rPr>
                <w:rFonts w:hint="default"/>
                <w:color w:val="auto"/>
              </w:rPr>
              <w:t>建设项目审批、核准或者备案的文件；</w:t>
            </w:r>
          </w:p>
          <w:p w14:paraId="776E488C">
            <w:pPr>
              <w:pStyle w:val="30"/>
              <w:bidi w:val="0"/>
              <w:jc w:val="both"/>
              <w:rPr>
                <w:rFonts w:hint="default"/>
                <w:color w:val="auto"/>
              </w:rPr>
            </w:pPr>
            <w:r>
              <w:rPr>
                <w:rFonts w:hint="default"/>
                <w:color w:val="auto"/>
                <w:lang w:eastAsia="zh-CN"/>
              </w:rPr>
              <w:t>（</w:t>
            </w:r>
            <w:r>
              <w:rPr>
                <w:rFonts w:hint="default"/>
                <w:color w:val="auto"/>
              </w:rPr>
              <w:t>二</w:t>
            </w:r>
            <w:r>
              <w:rPr>
                <w:rFonts w:hint="eastAsia"/>
                <w:color w:val="auto"/>
                <w:lang w:eastAsia="zh-CN"/>
              </w:rPr>
              <w:t>）</w:t>
            </w:r>
            <w:r>
              <w:rPr>
                <w:rFonts w:hint="default"/>
                <w:color w:val="auto"/>
              </w:rPr>
              <w:t>建设项目安全设施设计审查申请；</w:t>
            </w:r>
          </w:p>
          <w:p w14:paraId="3964BC73">
            <w:pPr>
              <w:pStyle w:val="30"/>
              <w:bidi w:val="0"/>
              <w:jc w:val="both"/>
              <w:rPr>
                <w:rFonts w:hint="default"/>
                <w:color w:val="auto"/>
              </w:rPr>
            </w:pPr>
            <w:r>
              <w:rPr>
                <w:rFonts w:hint="default"/>
                <w:color w:val="auto"/>
                <w:lang w:eastAsia="zh-CN"/>
              </w:rPr>
              <w:t>（</w:t>
            </w:r>
            <w:r>
              <w:rPr>
                <w:rFonts w:hint="default"/>
                <w:color w:val="auto"/>
              </w:rPr>
              <w:t>三</w:t>
            </w:r>
            <w:r>
              <w:rPr>
                <w:rFonts w:hint="eastAsia"/>
                <w:color w:val="auto"/>
                <w:lang w:eastAsia="zh-CN"/>
              </w:rPr>
              <w:t>）</w:t>
            </w:r>
            <w:r>
              <w:rPr>
                <w:rFonts w:hint="default"/>
                <w:color w:val="auto"/>
              </w:rPr>
              <w:t>设计单位的设计资质证明文件；</w:t>
            </w:r>
          </w:p>
          <w:p w14:paraId="6DEBC241">
            <w:pPr>
              <w:pStyle w:val="30"/>
              <w:bidi w:val="0"/>
              <w:jc w:val="both"/>
              <w:rPr>
                <w:rFonts w:hint="default"/>
                <w:color w:val="auto"/>
              </w:rPr>
            </w:pPr>
            <w:r>
              <w:rPr>
                <w:rFonts w:hint="default"/>
                <w:color w:val="auto"/>
                <w:lang w:eastAsia="zh-CN"/>
              </w:rPr>
              <w:t>（</w:t>
            </w:r>
            <w:r>
              <w:rPr>
                <w:rFonts w:hint="default"/>
                <w:color w:val="auto"/>
              </w:rPr>
              <w:t>四</w:t>
            </w:r>
            <w:r>
              <w:rPr>
                <w:rFonts w:hint="eastAsia"/>
                <w:color w:val="auto"/>
                <w:lang w:eastAsia="zh-CN"/>
              </w:rPr>
              <w:t>）</w:t>
            </w:r>
            <w:r>
              <w:rPr>
                <w:rFonts w:hint="default"/>
                <w:color w:val="auto"/>
              </w:rPr>
              <w:t>建设项目</w:t>
            </w:r>
            <w:r>
              <w:rPr>
                <w:rFonts w:hint="eastAsia"/>
                <w:color w:val="auto"/>
                <w:lang w:val="en-US" w:eastAsia="zh-CN"/>
              </w:rPr>
              <w:t>安全设施设计</w:t>
            </w:r>
            <w:r>
              <w:rPr>
                <w:rFonts w:hint="default"/>
                <w:color w:val="auto"/>
              </w:rPr>
              <w:t>；</w:t>
            </w:r>
          </w:p>
          <w:p w14:paraId="14A1C8D0">
            <w:pPr>
              <w:pStyle w:val="30"/>
              <w:bidi w:val="0"/>
              <w:jc w:val="both"/>
              <w:rPr>
                <w:rFonts w:hint="default"/>
                <w:color w:val="auto"/>
              </w:rPr>
            </w:pPr>
            <w:r>
              <w:rPr>
                <w:rFonts w:hint="default"/>
                <w:color w:val="auto"/>
                <w:lang w:eastAsia="zh-CN"/>
              </w:rPr>
              <w:t>（</w:t>
            </w:r>
            <w:r>
              <w:rPr>
                <w:rFonts w:hint="default"/>
                <w:color w:val="auto"/>
              </w:rPr>
              <w:t>五</w:t>
            </w:r>
            <w:r>
              <w:rPr>
                <w:rFonts w:hint="eastAsia"/>
                <w:color w:val="auto"/>
                <w:lang w:eastAsia="zh-CN"/>
              </w:rPr>
              <w:t>）</w:t>
            </w:r>
            <w:r>
              <w:rPr>
                <w:rFonts w:hint="default"/>
                <w:color w:val="auto"/>
              </w:rPr>
              <w:t>建设项目安全预评价报告及相关文件资料；</w:t>
            </w:r>
          </w:p>
          <w:p w14:paraId="79ECED44">
            <w:pPr>
              <w:pStyle w:val="30"/>
              <w:bidi w:val="0"/>
              <w:jc w:val="both"/>
              <w:rPr>
                <w:rFonts w:hint="default"/>
                <w:color w:val="auto"/>
              </w:rPr>
            </w:pPr>
            <w:r>
              <w:rPr>
                <w:rFonts w:hint="default"/>
                <w:color w:val="auto"/>
                <w:lang w:eastAsia="zh-CN"/>
              </w:rPr>
              <w:t>（</w:t>
            </w:r>
            <w:r>
              <w:rPr>
                <w:rFonts w:hint="default"/>
                <w:color w:val="auto"/>
              </w:rPr>
              <w:t>六</w:t>
            </w:r>
            <w:r>
              <w:rPr>
                <w:rFonts w:hint="eastAsia"/>
                <w:color w:val="auto"/>
                <w:lang w:eastAsia="zh-CN"/>
              </w:rPr>
              <w:t>）</w:t>
            </w:r>
            <w:r>
              <w:rPr>
                <w:rFonts w:hint="default"/>
                <w:color w:val="auto"/>
              </w:rPr>
              <w:t>法律、行政法规、规章规定的其他文件资料。</w:t>
            </w:r>
          </w:p>
        </w:tc>
        <w:tc>
          <w:tcPr>
            <w:tcW w:w="1825" w:type="dxa"/>
            <w:noWrap w:val="0"/>
            <w:vAlign w:val="center"/>
          </w:tcPr>
          <w:p w14:paraId="7919F01F">
            <w:pPr>
              <w:pStyle w:val="30"/>
              <w:bidi w:val="0"/>
              <w:rPr>
                <w:rFonts w:hint="eastAsia"/>
                <w:color w:val="auto"/>
                <w:lang w:eastAsia="zh-CN"/>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p>
          <w:p w14:paraId="60D43C3C">
            <w:pPr>
              <w:pStyle w:val="30"/>
              <w:bidi w:val="0"/>
              <w:rPr>
                <w:rFonts w:hint="default"/>
                <w:color w:val="auto"/>
              </w:rPr>
            </w:pPr>
            <w:r>
              <w:rPr>
                <w:rFonts w:hint="default"/>
                <w:color w:val="auto"/>
              </w:rPr>
              <w:t>第</w:t>
            </w:r>
            <w:r>
              <w:rPr>
                <w:rFonts w:hint="eastAsia"/>
                <w:color w:val="auto"/>
                <w:lang w:val="en-US" w:eastAsia="zh-CN"/>
              </w:rPr>
              <w:t>十二</w:t>
            </w:r>
            <w:r>
              <w:rPr>
                <w:rFonts w:hint="default"/>
                <w:color w:val="auto"/>
              </w:rPr>
              <w:t>条</w:t>
            </w:r>
          </w:p>
        </w:tc>
        <w:tc>
          <w:tcPr>
            <w:tcW w:w="2754" w:type="dxa"/>
            <w:noWrap w:val="0"/>
            <w:vAlign w:val="center"/>
          </w:tcPr>
          <w:p w14:paraId="30BFE708">
            <w:pPr>
              <w:pStyle w:val="30"/>
              <w:bidi w:val="0"/>
              <w:rPr>
                <w:rFonts w:hint="default"/>
                <w:color w:val="auto"/>
              </w:rPr>
            </w:pPr>
            <w:r>
              <w:rPr>
                <w:rFonts w:hint="default"/>
                <w:color w:val="auto"/>
              </w:rPr>
              <w:t>该项目安全设施设计已通过了武定县应急局专家审查会审查。</w:t>
            </w:r>
          </w:p>
        </w:tc>
        <w:tc>
          <w:tcPr>
            <w:tcW w:w="716" w:type="dxa"/>
            <w:noWrap w:val="0"/>
            <w:vAlign w:val="center"/>
          </w:tcPr>
          <w:p w14:paraId="73E0ED6A">
            <w:pPr>
              <w:pStyle w:val="30"/>
              <w:bidi w:val="0"/>
              <w:rPr>
                <w:rFonts w:hint="default"/>
                <w:color w:val="auto"/>
              </w:rPr>
            </w:pPr>
            <w:r>
              <w:rPr>
                <w:rFonts w:hint="default"/>
                <w:color w:val="auto"/>
              </w:rPr>
              <w:t>符合</w:t>
            </w:r>
          </w:p>
        </w:tc>
      </w:tr>
      <w:tr w14:paraId="0184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14:paraId="50275EA5">
            <w:pPr>
              <w:pStyle w:val="30"/>
              <w:bidi w:val="0"/>
              <w:rPr>
                <w:rFonts w:hint="default"/>
                <w:color w:val="auto"/>
              </w:rPr>
            </w:pPr>
            <w:r>
              <w:rPr>
                <w:rFonts w:hint="default"/>
                <w:color w:val="auto"/>
              </w:rPr>
              <w:t>5</w:t>
            </w:r>
          </w:p>
        </w:tc>
        <w:tc>
          <w:tcPr>
            <w:tcW w:w="3400" w:type="dxa"/>
            <w:noWrap w:val="0"/>
            <w:vAlign w:val="center"/>
          </w:tcPr>
          <w:p w14:paraId="675C71C2">
            <w:pPr>
              <w:pStyle w:val="30"/>
              <w:bidi w:val="0"/>
              <w:jc w:val="both"/>
              <w:rPr>
                <w:rFonts w:hint="default"/>
                <w:color w:val="auto"/>
              </w:rPr>
            </w:pPr>
            <w:r>
              <w:rPr>
                <w:rFonts w:hint="default"/>
                <w:color w:val="auto"/>
              </w:rPr>
              <w:t>建设项目安全设施的施工应当由取得相应资质的施工单位进行，并与建设项目主体工程同时施工。</w:t>
            </w:r>
          </w:p>
        </w:tc>
        <w:tc>
          <w:tcPr>
            <w:tcW w:w="1825" w:type="dxa"/>
            <w:noWrap w:val="0"/>
            <w:vAlign w:val="center"/>
          </w:tcPr>
          <w:p w14:paraId="6E955820">
            <w:pPr>
              <w:pStyle w:val="30"/>
              <w:bidi w:val="0"/>
              <w:rPr>
                <w:rFonts w:hint="eastAsia"/>
                <w:color w:val="auto"/>
                <w:lang w:eastAsia="zh-CN"/>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p>
          <w:p w14:paraId="649E5F7D">
            <w:pPr>
              <w:pStyle w:val="30"/>
              <w:bidi w:val="0"/>
              <w:rPr>
                <w:rFonts w:hint="default"/>
                <w:color w:val="auto"/>
              </w:rPr>
            </w:pPr>
            <w:r>
              <w:rPr>
                <w:rFonts w:hint="default"/>
                <w:color w:val="auto"/>
              </w:rPr>
              <w:t>第</w:t>
            </w:r>
            <w:r>
              <w:rPr>
                <w:rFonts w:hint="eastAsia"/>
                <w:color w:val="auto"/>
                <w:lang w:val="en-US" w:eastAsia="zh-CN"/>
              </w:rPr>
              <w:t>十七</w:t>
            </w:r>
            <w:r>
              <w:rPr>
                <w:rFonts w:hint="default"/>
                <w:color w:val="auto"/>
              </w:rPr>
              <w:t>条</w:t>
            </w:r>
          </w:p>
        </w:tc>
        <w:tc>
          <w:tcPr>
            <w:tcW w:w="2754" w:type="dxa"/>
            <w:noWrap w:val="0"/>
            <w:vAlign w:val="center"/>
          </w:tcPr>
          <w:p w14:paraId="4DC1D1A4">
            <w:pPr>
              <w:pStyle w:val="30"/>
              <w:bidi w:val="0"/>
              <w:rPr>
                <w:rFonts w:hint="default"/>
                <w:color w:val="auto"/>
              </w:rPr>
            </w:pPr>
            <w:r>
              <w:rPr>
                <w:rFonts w:hint="default"/>
                <w:color w:val="auto"/>
              </w:rPr>
              <w:t>该项目建设单位为</w:t>
            </w:r>
            <w:r>
              <w:rPr>
                <w:rFonts w:hint="eastAsia"/>
                <w:color w:val="auto"/>
                <w:lang w:eastAsia="zh-CN"/>
              </w:rPr>
              <w:t>武定发荣矿业有限责任公司</w:t>
            </w:r>
            <w:r>
              <w:rPr>
                <w:rFonts w:hint="default"/>
                <w:color w:val="auto"/>
              </w:rPr>
              <w:t>；施工单位为云南麦扬工程技术有限公司，监理单位为成都交大工程建设集团有限公司，工程于202</w:t>
            </w:r>
            <w:r>
              <w:rPr>
                <w:rFonts w:hint="default"/>
                <w:color w:val="auto"/>
                <w:lang w:val="en-US" w:eastAsia="zh-CN"/>
              </w:rPr>
              <w:t>4</w:t>
            </w:r>
            <w:r>
              <w:rPr>
                <w:rFonts w:hint="default"/>
                <w:color w:val="auto"/>
              </w:rPr>
              <w:t>年</w:t>
            </w:r>
            <w:r>
              <w:rPr>
                <w:rFonts w:hint="eastAsia"/>
                <w:color w:val="auto"/>
                <w:lang w:val="en-US" w:eastAsia="zh-CN"/>
              </w:rPr>
              <w:t>06</w:t>
            </w:r>
            <w:r>
              <w:rPr>
                <w:rFonts w:hint="default"/>
                <w:color w:val="auto"/>
              </w:rPr>
              <w:t>月</w:t>
            </w:r>
            <w:r>
              <w:rPr>
                <w:rFonts w:hint="eastAsia"/>
                <w:color w:val="auto"/>
                <w:lang w:val="en-US" w:eastAsia="zh-CN"/>
              </w:rPr>
              <w:t>26</w:t>
            </w:r>
            <w:r>
              <w:rPr>
                <w:rFonts w:hint="default"/>
                <w:color w:val="auto"/>
              </w:rPr>
              <w:t>日正式开工，于2</w:t>
            </w:r>
            <w:r>
              <w:rPr>
                <w:rFonts w:hint="default"/>
                <w:color w:val="auto"/>
                <w:lang w:val="en-US" w:eastAsia="zh-CN"/>
              </w:rPr>
              <w:t>024</w:t>
            </w:r>
            <w:r>
              <w:rPr>
                <w:rFonts w:hint="default"/>
                <w:color w:val="auto"/>
              </w:rPr>
              <w:t>年</w:t>
            </w:r>
            <w:r>
              <w:rPr>
                <w:rFonts w:hint="default"/>
                <w:color w:val="auto"/>
                <w:lang w:val="en-US" w:eastAsia="zh-CN"/>
              </w:rPr>
              <w:t>8</w:t>
            </w:r>
            <w:r>
              <w:rPr>
                <w:rFonts w:hint="default"/>
                <w:color w:val="auto"/>
              </w:rPr>
              <w:t>月1</w:t>
            </w:r>
            <w:r>
              <w:rPr>
                <w:rFonts w:hint="eastAsia"/>
                <w:color w:val="auto"/>
                <w:lang w:val="en-US" w:eastAsia="zh-CN"/>
              </w:rPr>
              <w:t>7</w:t>
            </w:r>
            <w:r>
              <w:rPr>
                <w:rFonts w:hint="default"/>
                <w:color w:val="auto"/>
              </w:rPr>
              <w:t>日完工。依据施工总结报告及监理总结报告，项目施工质量良好。</w:t>
            </w:r>
          </w:p>
        </w:tc>
        <w:tc>
          <w:tcPr>
            <w:tcW w:w="716" w:type="dxa"/>
            <w:noWrap w:val="0"/>
            <w:vAlign w:val="center"/>
          </w:tcPr>
          <w:p w14:paraId="75B76962">
            <w:pPr>
              <w:pStyle w:val="30"/>
              <w:bidi w:val="0"/>
              <w:rPr>
                <w:rFonts w:hint="default"/>
                <w:color w:val="auto"/>
              </w:rPr>
            </w:pPr>
            <w:r>
              <w:rPr>
                <w:rFonts w:hint="default"/>
                <w:color w:val="auto"/>
              </w:rPr>
              <w:t>符合</w:t>
            </w:r>
          </w:p>
        </w:tc>
      </w:tr>
      <w:tr w14:paraId="7446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14:paraId="6BEEBF31">
            <w:pPr>
              <w:pStyle w:val="30"/>
              <w:bidi w:val="0"/>
              <w:rPr>
                <w:rFonts w:hint="default"/>
                <w:color w:val="auto"/>
              </w:rPr>
            </w:pPr>
            <w:r>
              <w:rPr>
                <w:rFonts w:hint="default"/>
                <w:color w:val="auto"/>
              </w:rPr>
              <w:t>6</w:t>
            </w:r>
          </w:p>
        </w:tc>
        <w:tc>
          <w:tcPr>
            <w:tcW w:w="3400" w:type="dxa"/>
            <w:noWrap w:val="0"/>
            <w:vAlign w:val="center"/>
          </w:tcPr>
          <w:p w14:paraId="67DDE601">
            <w:pPr>
              <w:pStyle w:val="30"/>
              <w:bidi w:val="0"/>
              <w:jc w:val="both"/>
              <w:rPr>
                <w:rFonts w:hint="default"/>
                <w:color w:val="auto"/>
              </w:rPr>
            </w:pPr>
            <w:r>
              <w:rPr>
                <w:rFonts w:hint="eastAsia"/>
                <w:color w:val="auto"/>
                <w:lang w:val="en-US" w:eastAsia="zh-CN"/>
              </w:rPr>
              <w:t>本办法第七条规定的</w:t>
            </w:r>
            <w:r>
              <w:rPr>
                <w:rFonts w:hint="default"/>
                <w:color w:val="auto"/>
              </w:rPr>
              <w:t>建设项目安全设施竣工或者试运行完成后，生产经营单位应当委托具有相应资质的安全评价机构对安全设施进行验收评价，并编制建设项目安全验收评价报告。</w:t>
            </w:r>
          </w:p>
        </w:tc>
        <w:tc>
          <w:tcPr>
            <w:tcW w:w="1825" w:type="dxa"/>
            <w:noWrap w:val="0"/>
            <w:vAlign w:val="center"/>
          </w:tcPr>
          <w:p w14:paraId="10AAFFB4">
            <w:pPr>
              <w:pStyle w:val="30"/>
              <w:bidi w:val="0"/>
              <w:rPr>
                <w:rFonts w:hint="eastAsia"/>
                <w:color w:val="auto"/>
                <w:lang w:eastAsia="zh-CN"/>
              </w:rPr>
            </w:pPr>
            <w:r>
              <w:rPr>
                <w:rFonts w:hint="default"/>
                <w:color w:val="auto"/>
              </w:rPr>
              <w:t>《建设项目安全设施</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监督管理办法》</w:t>
            </w:r>
            <w:r>
              <w:rPr>
                <w:rFonts w:hint="default"/>
                <w:color w:val="auto"/>
                <w:lang w:eastAsia="zh-CN"/>
              </w:rPr>
              <w:t>（</w:t>
            </w:r>
            <w:r>
              <w:rPr>
                <w:rFonts w:hint="default"/>
                <w:color w:val="auto"/>
                <w:lang w:val="en-US" w:eastAsia="zh-CN"/>
              </w:rPr>
              <w:t>原</w:t>
            </w:r>
            <w:r>
              <w:rPr>
                <w:rFonts w:hint="default"/>
                <w:color w:val="auto"/>
              </w:rPr>
              <w:t>国家安全生产监督管理总局令第36号，77号令修订</w:t>
            </w:r>
            <w:r>
              <w:rPr>
                <w:rFonts w:hint="eastAsia"/>
                <w:color w:val="auto"/>
                <w:lang w:eastAsia="zh-CN"/>
              </w:rPr>
              <w:t>）</w:t>
            </w:r>
          </w:p>
          <w:p w14:paraId="39165C5A">
            <w:pPr>
              <w:pStyle w:val="30"/>
              <w:bidi w:val="0"/>
              <w:rPr>
                <w:rFonts w:hint="default"/>
                <w:color w:val="auto"/>
              </w:rPr>
            </w:pPr>
            <w:r>
              <w:rPr>
                <w:rFonts w:hint="default"/>
                <w:color w:val="auto"/>
              </w:rPr>
              <w:t>第</w:t>
            </w:r>
            <w:r>
              <w:rPr>
                <w:rFonts w:hint="eastAsia"/>
                <w:color w:val="auto"/>
                <w:lang w:val="en-US" w:eastAsia="zh-CN"/>
              </w:rPr>
              <w:t>二十二</w:t>
            </w:r>
            <w:r>
              <w:rPr>
                <w:rFonts w:hint="default"/>
                <w:color w:val="auto"/>
              </w:rPr>
              <w:t>条</w:t>
            </w:r>
          </w:p>
        </w:tc>
        <w:tc>
          <w:tcPr>
            <w:tcW w:w="2754" w:type="dxa"/>
            <w:noWrap w:val="0"/>
            <w:vAlign w:val="center"/>
          </w:tcPr>
          <w:p w14:paraId="1114C69D">
            <w:pPr>
              <w:pStyle w:val="30"/>
              <w:bidi w:val="0"/>
              <w:rPr>
                <w:rFonts w:hint="default"/>
                <w:color w:val="auto"/>
              </w:rPr>
            </w:pPr>
            <w:r>
              <w:rPr>
                <w:rFonts w:hint="default"/>
                <w:color w:val="auto"/>
              </w:rPr>
              <w:t>该项目建设单委托辽宁</w:t>
            </w:r>
            <w:r>
              <w:rPr>
                <w:rFonts w:hint="default"/>
                <w:color w:val="auto"/>
                <w:lang w:val="en-US"/>
              </w:rPr>
              <w:t>诺诚安全科技</w:t>
            </w:r>
            <w:r>
              <w:rPr>
                <w:rFonts w:hint="default"/>
                <w:color w:val="auto"/>
              </w:rPr>
              <w:t>有限公司编制《</w:t>
            </w:r>
            <w:r>
              <w:rPr>
                <w:rFonts w:hint="eastAsia"/>
                <w:color w:val="auto"/>
                <w:lang w:eastAsia="zh-CN"/>
              </w:rPr>
              <w:t>武定发荣矿业有限责任公司猫街大炉箐繁茂采选厂技术改造项目</w:t>
            </w:r>
            <w:r>
              <w:rPr>
                <w:rFonts w:hint="default"/>
                <w:color w:val="auto"/>
                <w:lang w:val="en-US" w:eastAsia="zh-CN"/>
              </w:rPr>
              <w:t>安全</w:t>
            </w:r>
            <w:r>
              <w:rPr>
                <w:rFonts w:hint="default"/>
                <w:color w:val="auto"/>
              </w:rPr>
              <w:t>验收评价报告》。</w:t>
            </w:r>
          </w:p>
        </w:tc>
        <w:tc>
          <w:tcPr>
            <w:tcW w:w="716" w:type="dxa"/>
            <w:noWrap w:val="0"/>
            <w:vAlign w:val="center"/>
          </w:tcPr>
          <w:p w14:paraId="2F440F0F">
            <w:pPr>
              <w:pStyle w:val="30"/>
              <w:bidi w:val="0"/>
              <w:rPr>
                <w:rFonts w:hint="default"/>
                <w:color w:val="auto"/>
              </w:rPr>
            </w:pPr>
            <w:r>
              <w:rPr>
                <w:rFonts w:hint="default"/>
                <w:color w:val="auto"/>
              </w:rPr>
              <w:t>符合</w:t>
            </w:r>
          </w:p>
        </w:tc>
      </w:tr>
    </w:tbl>
    <w:p w14:paraId="2479E1E4">
      <w:pPr>
        <w:pStyle w:val="4"/>
        <w:bidi w:val="0"/>
        <w:rPr>
          <w:rFonts w:hint="eastAsia"/>
          <w:color w:val="auto"/>
        </w:rPr>
      </w:pPr>
      <w:bookmarkStart w:id="107" w:name="_Toc671"/>
      <w:r>
        <w:rPr>
          <w:rFonts w:hint="eastAsia"/>
          <w:color w:val="auto"/>
        </w:rPr>
        <w:t>5.1.2</w:t>
      </w:r>
      <w:r>
        <w:rPr>
          <w:rFonts w:hint="eastAsia"/>
          <w:color w:val="auto"/>
          <w:lang w:val="en-US" w:eastAsia="zh-CN"/>
        </w:rPr>
        <w:t xml:space="preserve"> </w:t>
      </w:r>
      <w:r>
        <w:rPr>
          <w:rFonts w:hint="eastAsia"/>
          <w:color w:val="auto"/>
        </w:rPr>
        <w:t>单元评价小结</w:t>
      </w:r>
      <w:bookmarkEnd w:id="107"/>
    </w:p>
    <w:p w14:paraId="17FBC143">
      <w:pPr>
        <w:bidi w:val="0"/>
        <w:rPr>
          <w:color w:val="auto"/>
        </w:rPr>
      </w:pPr>
      <w:r>
        <w:rPr>
          <w:rFonts w:hint="eastAsia"/>
          <w:color w:val="auto"/>
        </w:rPr>
        <w:t>该项目为技改项目，取得了投资备案证，该项目由有资质的单位完成了初步设计及安全设施设计、安全预评价，并由建设单位自行组织施工，完成了该项目的安全设施的施工建设，该项目的建设程序符合相关规范的要求。</w:t>
      </w:r>
    </w:p>
    <w:p w14:paraId="69D52FB4">
      <w:pPr>
        <w:pStyle w:val="3"/>
        <w:bidi w:val="0"/>
        <w:rPr>
          <w:rFonts w:hint="eastAsia"/>
          <w:color w:val="auto"/>
        </w:rPr>
      </w:pPr>
      <w:bookmarkStart w:id="108" w:name="_Toc2121"/>
      <w:r>
        <w:rPr>
          <w:rFonts w:hint="eastAsia"/>
          <w:color w:val="auto"/>
        </w:rPr>
        <w:t>5.2 厂址及总平面布置单元分析评价</w:t>
      </w:r>
      <w:bookmarkEnd w:id="108"/>
    </w:p>
    <w:p w14:paraId="304DD67B">
      <w:pPr>
        <w:pStyle w:val="4"/>
        <w:bidi w:val="0"/>
        <w:rPr>
          <w:rFonts w:hint="eastAsia"/>
          <w:color w:val="auto"/>
        </w:rPr>
      </w:pPr>
      <w:bookmarkStart w:id="109" w:name="_Toc27324"/>
      <w:r>
        <w:rPr>
          <w:rFonts w:hint="eastAsia"/>
          <w:color w:val="auto"/>
        </w:rPr>
        <w:t>5.2.1</w:t>
      </w:r>
      <w:r>
        <w:rPr>
          <w:rFonts w:hint="eastAsia"/>
          <w:color w:val="auto"/>
          <w:lang w:val="en-US" w:eastAsia="zh-CN"/>
        </w:rPr>
        <w:t xml:space="preserve"> </w:t>
      </w:r>
      <w:r>
        <w:rPr>
          <w:rFonts w:hint="eastAsia"/>
          <w:color w:val="auto"/>
        </w:rPr>
        <w:t>厂址及总平面布置安全检查表</w:t>
      </w:r>
      <w:bookmarkEnd w:id="109"/>
    </w:p>
    <w:p w14:paraId="786A4D0E">
      <w:pPr>
        <w:bidi w:val="0"/>
        <w:rPr>
          <w:rFonts w:hint="eastAsia"/>
          <w:color w:val="auto"/>
        </w:rPr>
      </w:pPr>
      <w:r>
        <w:rPr>
          <w:rFonts w:hint="eastAsia"/>
          <w:color w:val="auto"/>
        </w:rPr>
        <w:t>根据该项目的《安全设施设计》及《工业企业总平面设计规范》（GB 50187-2012）、《选矿安全规程》（GB/T 18152-2000）《工业企业厂内铁路、道路运输安全规程》（GB 4387-2008）等规范标准，对该项目厂址及总平面布置进行安全检查，其检查情况如下表所示：</w:t>
      </w:r>
    </w:p>
    <w:p w14:paraId="6B0166DF">
      <w:pPr>
        <w:pStyle w:val="29"/>
        <w:bidi w:val="0"/>
        <w:rPr>
          <w:color w:val="auto"/>
        </w:rPr>
      </w:pPr>
      <w:r>
        <w:rPr>
          <w:rFonts w:hint="eastAsia"/>
          <w:color w:val="auto"/>
        </w:rPr>
        <w:t>表5.2-1  厂址及总平面布置安全检查表</w:t>
      </w:r>
    </w:p>
    <w:tbl>
      <w:tblPr>
        <w:tblStyle w:val="20"/>
        <w:tblW w:w="0" w:type="auto"/>
        <w:jc w:val="center"/>
        <w:tblLayout w:type="fixed"/>
        <w:tblCellMar>
          <w:top w:w="0" w:type="dxa"/>
          <w:left w:w="108" w:type="dxa"/>
          <w:bottom w:w="0" w:type="dxa"/>
          <w:right w:w="108" w:type="dxa"/>
        </w:tblCellMar>
      </w:tblPr>
      <w:tblGrid>
        <w:gridCol w:w="719"/>
        <w:gridCol w:w="3134"/>
        <w:gridCol w:w="1862"/>
        <w:gridCol w:w="2918"/>
        <w:gridCol w:w="684"/>
      </w:tblGrid>
      <w:tr w14:paraId="317E0FED">
        <w:tblPrEx>
          <w:tblCellMar>
            <w:top w:w="0" w:type="dxa"/>
            <w:left w:w="108" w:type="dxa"/>
            <w:bottom w:w="0" w:type="dxa"/>
            <w:right w:w="108" w:type="dxa"/>
          </w:tblCellMar>
        </w:tblPrEx>
        <w:trPr>
          <w:tblHeade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7422DBC4">
            <w:pPr>
              <w:pStyle w:val="30"/>
              <w:bidi w:val="0"/>
              <w:rPr>
                <w:rFonts w:hint="default"/>
                <w:b/>
                <w:bCs/>
                <w:color w:val="auto"/>
              </w:rPr>
            </w:pPr>
            <w:r>
              <w:rPr>
                <w:rFonts w:hint="default"/>
                <w:b/>
                <w:bCs/>
                <w:color w:val="auto"/>
                <w:lang w:val="zh-CN"/>
              </w:rPr>
              <w:t>序号</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D6AD1DE">
            <w:pPr>
              <w:pStyle w:val="30"/>
              <w:bidi w:val="0"/>
              <w:jc w:val="center"/>
              <w:rPr>
                <w:rFonts w:hint="default"/>
                <w:b/>
                <w:bCs/>
                <w:color w:val="auto"/>
              </w:rPr>
            </w:pPr>
            <w:r>
              <w:rPr>
                <w:rFonts w:hint="default"/>
                <w:b/>
                <w:bCs/>
                <w:color w:val="auto"/>
                <w:lang w:val="zh-CN"/>
              </w:rPr>
              <w:t>检查内容</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11F9F3B">
            <w:pPr>
              <w:pStyle w:val="30"/>
              <w:bidi w:val="0"/>
              <w:rPr>
                <w:rFonts w:hint="default"/>
                <w:b/>
                <w:bCs/>
                <w:color w:val="auto"/>
              </w:rPr>
            </w:pPr>
            <w:r>
              <w:rPr>
                <w:rFonts w:hint="default"/>
                <w:b/>
                <w:bCs/>
                <w:color w:val="auto"/>
                <w:lang w:val="zh-CN"/>
              </w:rPr>
              <w:t>标准依据</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0CAF0C8D">
            <w:pPr>
              <w:pStyle w:val="30"/>
              <w:bidi w:val="0"/>
              <w:rPr>
                <w:rFonts w:hint="default"/>
                <w:b/>
                <w:bCs/>
                <w:color w:val="auto"/>
                <w:lang w:val="zh-CN"/>
              </w:rPr>
            </w:pPr>
            <w:r>
              <w:rPr>
                <w:rFonts w:hint="default"/>
                <w:b/>
                <w:bCs/>
                <w:color w:val="auto"/>
                <w:lang w:val="zh-CN"/>
              </w:rPr>
              <w:t>检查情况</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E26D4A0">
            <w:pPr>
              <w:pStyle w:val="30"/>
              <w:bidi w:val="0"/>
              <w:rPr>
                <w:rFonts w:hint="default"/>
                <w:b/>
                <w:bCs/>
                <w:color w:val="auto"/>
              </w:rPr>
            </w:pPr>
            <w:r>
              <w:rPr>
                <w:rFonts w:hint="default"/>
                <w:b/>
                <w:bCs/>
                <w:color w:val="auto"/>
              </w:rPr>
              <w:t>结果</w:t>
            </w:r>
          </w:p>
        </w:tc>
      </w:tr>
      <w:tr w14:paraId="34840A44">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3D7F0A5B">
            <w:pPr>
              <w:pStyle w:val="30"/>
              <w:bidi w:val="0"/>
              <w:rPr>
                <w:rFonts w:hint="default"/>
                <w:color w:val="auto"/>
              </w:rPr>
            </w:pPr>
            <w:r>
              <w:rPr>
                <w:rFonts w:hint="default"/>
                <w:color w:val="auto"/>
              </w:rPr>
              <w:t>1</w:t>
            </w:r>
          </w:p>
        </w:tc>
        <w:tc>
          <w:tcPr>
            <w:tcW w:w="8598" w:type="dxa"/>
            <w:gridSpan w:val="4"/>
            <w:tcBorders>
              <w:top w:val="single" w:color="auto" w:sz="6" w:space="0"/>
              <w:left w:val="single" w:color="auto" w:sz="6" w:space="0"/>
              <w:bottom w:val="single" w:color="auto" w:sz="6" w:space="0"/>
              <w:right w:val="single" w:color="auto" w:sz="6" w:space="0"/>
            </w:tcBorders>
            <w:noWrap w:val="0"/>
            <w:vAlign w:val="center"/>
          </w:tcPr>
          <w:p w14:paraId="221450A4">
            <w:pPr>
              <w:pStyle w:val="30"/>
              <w:bidi w:val="0"/>
              <w:jc w:val="center"/>
              <w:rPr>
                <w:rFonts w:hint="default"/>
                <w:color w:val="auto"/>
              </w:rPr>
            </w:pPr>
            <w:r>
              <w:rPr>
                <w:rFonts w:hint="default"/>
                <w:color w:val="auto"/>
                <w:lang w:val="zh-CN"/>
              </w:rPr>
              <w:t>厂址选择</w:t>
            </w:r>
          </w:p>
        </w:tc>
      </w:tr>
      <w:tr w14:paraId="79357F8A">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3C7F72E">
            <w:pPr>
              <w:pStyle w:val="30"/>
              <w:bidi w:val="0"/>
              <w:rPr>
                <w:rFonts w:hint="default"/>
                <w:color w:val="auto"/>
              </w:rPr>
            </w:pPr>
            <w:r>
              <w:rPr>
                <w:rFonts w:hint="default"/>
                <w:color w:val="auto"/>
              </w:rPr>
              <w:t>1.1</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7F7CB32C">
            <w:pPr>
              <w:pStyle w:val="30"/>
              <w:bidi w:val="0"/>
              <w:jc w:val="both"/>
              <w:rPr>
                <w:rFonts w:hint="default"/>
                <w:color w:val="auto"/>
                <w:lang w:eastAsia="zh-CN"/>
              </w:rPr>
            </w:pPr>
            <w:r>
              <w:rPr>
                <w:rFonts w:hint="default"/>
                <w:color w:val="auto"/>
                <w:lang w:val="zh-CN"/>
              </w:rPr>
              <w:t>项目位于云南省楚雄州武定县猫街镇仓房村委会，地理坐标为东经102°8′51″，北纬25°29′18.5″。场地北至武定县猫街镇7.5km，东至武定县30km</w:t>
            </w:r>
            <w:r>
              <w:rPr>
                <w:rFonts w:hint="default"/>
                <w:color w:val="auto"/>
                <w:lang w:eastAsia="zh-CN"/>
              </w:rPr>
              <w:t>。</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3DE13838">
            <w:pPr>
              <w:pStyle w:val="30"/>
              <w:bidi w:val="0"/>
              <w:rPr>
                <w:rFonts w:hint="default"/>
                <w:color w:val="auto"/>
                <w:lang w:val="zh-CN"/>
              </w:rPr>
            </w:pPr>
            <w:r>
              <w:rPr>
                <w:rFonts w:hint="default"/>
                <w:color w:val="auto"/>
                <w:lang w:val="zh-CN"/>
              </w:rPr>
              <w:t>《安全设施设计》</w:t>
            </w:r>
          </w:p>
          <w:p w14:paraId="2471D27E">
            <w:pPr>
              <w:pStyle w:val="30"/>
              <w:bidi w:val="0"/>
              <w:rPr>
                <w:rFonts w:hint="default"/>
                <w:color w:val="auto"/>
              </w:rPr>
            </w:pPr>
            <w:r>
              <w:rPr>
                <w:rFonts w:hint="default"/>
                <w:color w:val="auto"/>
                <w:lang w:val="zh-CN"/>
              </w:rPr>
              <w:t>第2.</w:t>
            </w:r>
            <w:r>
              <w:rPr>
                <w:rFonts w:hint="eastAsia"/>
                <w:color w:val="auto"/>
                <w:lang w:val="en-US" w:eastAsia="zh-CN"/>
              </w:rPr>
              <w:t>3</w:t>
            </w:r>
            <w:r>
              <w:rPr>
                <w:rFonts w:hint="default"/>
                <w:color w:val="auto"/>
              </w:rPr>
              <w:t>.</w:t>
            </w:r>
            <w:r>
              <w:rPr>
                <w:rFonts w:hint="eastAsia"/>
                <w:color w:val="auto"/>
                <w:lang w:val="en-US" w:eastAsia="zh-CN"/>
              </w:rPr>
              <w:t>1</w:t>
            </w:r>
            <w:r>
              <w:rPr>
                <w:rFonts w:hint="default"/>
                <w:color w:val="auto"/>
                <w:lang w:val="zh-CN"/>
              </w:rPr>
              <w:t>节</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2E3C7E3">
            <w:pPr>
              <w:pStyle w:val="30"/>
              <w:bidi w:val="0"/>
              <w:rPr>
                <w:rFonts w:hint="default"/>
                <w:color w:val="auto"/>
              </w:rPr>
            </w:pPr>
            <w:r>
              <w:rPr>
                <w:rFonts w:hint="default"/>
                <w:color w:val="auto"/>
                <w:lang w:val="zh-CN"/>
              </w:rPr>
              <w:t>建设项目位于武定县猫街镇仓房村委会。</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22646544">
            <w:pPr>
              <w:pStyle w:val="30"/>
              <w:bidi w:val="0"/>
              <w:rPr>
                <w:rFonts w:hint="default"/>
                <w:color w:val="auto"/>
              </w:rPr>
            </w:pPr>
            <w:r>
              <w:rPr>
                <w:rFonts w:hint="default"/>
                <w:color w:val="auto"/>
                <w:lang w:val="zh-CN"/>
              </w:rPr>
              <w:t>符合</w:t>
            </w:r>
          </w:p>
        </w:tc>
      </w:tr>
      <w:tr w14:paraId="759441E6">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1AF21D7D">
            <w:pPr>
              <w:pStyle w:val="30"/>
              <w:bidi w:val="0"/>
              <w:rPr>
                <w:rFonts w:hint="default"/>
                <w:color w:val="auto"/>
              </w:rPr>
            </w:pPr>
            <w:r>
              <w:rPr>
                <w:rFonts w:hint="default"/>
                <w:color w:val="auto"/>
              </w:rPr>
              <w:t>1.2</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A2ECE28">
            <w:pPr>
              <w:pStyle w:val="30"/>
              <w:bidi w:val="0"/>
              <w:jc w:val="both"/>
              <w:rPr>
                <w:rFonts w:hint="default"/>
                <w:color w:val="auto"/>
              </w:rPr>
            </w:pPr>
            <w:r>
              <w:rPr>
                <w:rFonts w:hint="default"/>
                <w:color w:val="auto"/>
                <w:lang w:val="zh-CN"/>
              </w:rPr>
              <w:t>厂址选择必须符合工业布局和城市规划的要求。</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4F28EC9F">
            <w:pPr>
              <w:pStyle w:val="30"/>
              <w:bidi w:val="0"/>
              <w:rPr>
                <w:rFonts w:hint="default"/>
                <w:color w:val="auto"/>
                <w:lang w:val="zh-CN"/>
              </w:rPr>
            </w:pPr>
            <w:r>
              <w:rPr>
                <w:rFonts w:hint="default"/>
                <w:color w:val="auto"/>
                <w:lang w:val="zh-CN"/>
              </w:rPr>
              <w:t>《工业企业总平面设计规范》</w:t>
            </w:r>
          </w:p>
          <w:p w14:paraId="3DF366CC">
            <w:pPr>
              <w:pStyle w:val="30"/>
              <w:bidi w:val="0"/>
              <w:rPr>
                <w:rFonts w:hint="default"/>
                <w:color w:val="auto"/>
                <w:lang w:val="zh-CN"/>
              </w:rPr>
            </w:pPr>
            <w:r>
              <w:rPr>
                <w:rFonts w:hint="default"/>
                <w:color w:val="auto"/>
                <w:lang w:val="zh-CN"/>
              </w:rPr>
              <w:t>（GB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671B37A8">
            <w:pPr>
              <w:pStyle w:val="30"/>
              <w:bidi w:val="0"/>
              <w:rPr>
                <w:rFonts w:hint="default"/>
                <w:color w:val="auto"/>
                <w:lang w:val="en-US" w:eastAsia="zh-CN"/>
              </w:rPr>
            </w:pPr>
            <w:r>
              <w:rPr>
                <w:rFonts w:hint="default"/>
                <w:color w:val="auto"/>
                <w:lang w:val="en-US" w:eastAsia="zh-CN"/>
              </w:rPr>
              <w:t>第</w:t>
            </w:r>
            <w:r>
              <w:rPr>
                <w:rFonts w:hint="default"/>
                <w:color w:val="auto"/>
                <w:lang w:val="zh-CN"/>
              </w:rPr>
              <w:t>3.0.1</w:t>
            </w:r>
            <w:r>
              <w:rPr>
                <w:rFonts w:hint="default"/>
                <w:color w:val="auto"/>
                <w:lang w:val="en-US" w:eastAsia="zh-CN"/>
              </w:rPr>
              <w:t>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1AAC38D6">
            <w:pPr>
              <w:pStyle w:val="30"/>
              <w:bidi w:val="0"/>
              <w:rPr>
                <w:rFonts w:hint="default"/>
                <w:color w:val="auto"/>
              </w:rPr>
            </w:pPr>
            <w:r>
              <w:rPr>
                <w:rFonts w:hint="default"/>
                <w:color w:val="auto"/>
              </w:rPr>
              <w:t>该项目取得了投资备案证。</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A8A4320">
            <w:pPr>
              <w:pStyle w:val="30"/>
              <w:bidi w:val="0"/>
              <w:rPr>
                <w:rFonts w:hint="default"/>
                <w:color w:val="auto"/>
              </w:rPr>
            </w:pPr>
            <w:r>
              <w:rPr>
                <w:rFonts w:hint="default"/>
                <w:color w:val="auto"/>
                <w:lang w:val="zh-CN"/>
              </w:rPr>
              <w:t>符合</w:t>
            </w:r>
          </w:p>
        </w:tc>
      </w:tr>
      <w:tr w14:paraId="12002F01">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267125EF">
            <w:pPr>
              <w:pStyle w:val="30"/>
              <w:bidi w:val="0"/>
              <w:rPr>
                <w:rFonts w:hint="default"/>
                <w:color w:val="auto"/>
              </w:rPr>
            </w:pPr>
            <w:r>
              <w:rPr>
                <w:rFonts w:hint="default"/>
                <w:color w:val="auto"/>
              </w:rPr>
              <w:t>1.3</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764509A5">
            <w:pPr>
              <w:pStyle w:val="30"/>
              <w:bidi w:val="0"/>
              <w:jc w:val="both"/>
              <w:rPr>
                <w:rFonts w:hint="default"/>
                <w:color w:val="auto"/>
              </w:rPr>
            </w:pPr>
            <w:r>
              <w:rPr>
                <w:rFonts w:hint="default"/>
                <w:color w:val="auto"/>
                <w:lang w:val="zh-CN"/>
              </w:rPr>
              <w:t>配套和服务工业企业的居住区、交通运输、动力公用设施、废料场及环境保护工程、施工基地等用地，应与厂区用地同时选择。</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52355DC">
            <w:pPr>
              <w:pStyle w:val="30"/>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6E9F0AD0">
            <w:pPr>
              <w:pStyle w:val="30"/>
              <w:bidi w:val="0"/>
              <w:rPr>
                <w:rFonts w:hint="default"/>
                <w:color w:val="auto"/>
              </w:rPr>
            </w:pPr>
            <w:r>
              <w:rPr>
                <w:rFonts w:hint="default"/>
                <w:color w:val="auto"/>
                <w:lang w:val="zh-CN"/>
              </w:rPr>
              <w:t>第3.0.2条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6FCC0186">
            <w:pPr>
              <w:pStyle w:val="30"/>
              <w:bidi w:val="0"/>
              <w:rPr>
                <w:rFonts w:hint="default"/>
                <w:color w:val="auto"/>
              </w:rPr>
            </w:pPr>
            <w:r>
              <w:rPr>
                <w:rFonts w:hint="default"/>
                <w:color w:val="auto"/>
                <w:lang w:val="zh-CN"/>
              </w:rPr>
              <w:t>厂址居住区、交通运输、动力公用设施完备。</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DA9288E">
            <w:pPr>
              <w:pStyle w:val="30"/>
              <w:bidi w:val="0"/>
              <w:rPr>
                <w:rFonts w:hint="default"/>
                <w:color w:val="auto"/>
              </w:rPr>
            </w:pPr>
            <w:r>
              <w:rPr>
                <w:rFonts w:hint="default"/>
                <w:color w:val="auto"/>
                <w:lang w:val="zh-CN"/>
              </w:rPr>
              <w:t>符合</w:t>
            </w:r>
          </w:p>
        </w:tc>
      </w:tr>
      <w:tr w14:paraId="137A8C6E">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3806BC73">
            <w:pPr>
              <w:pStyle w:val="30"/>
              <w:bidi w:val="0"/>
              <w:rPr>
                <w:rFonts w:hint="default"/>
                <w:color w:val="auto"/>
              </w:rPr>
            </w:pPr>
            <w:r>
              <w:rPr>
                <w:rFonts w:hint="default"/>
                <w:color w:val="auto"/>
              </w:rPr>
              <w:t>1.4</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7B3C6131">
            <w:pPr>
              <w:pStyle w:val="30"/>
              <w:bidi w:val="0"/>
              <w:jc w:val="both"/>
              <w:rPr>
                <w:rFonts w:hint="default"/>
                <w:color w:val="auto"/>
              </w:rPr>
            </w:pPr>
            <w:r>
              <w:rPr>
                <w:rFonts w:hint="default"/>
                <w:color w:val="auto"/>
                <w:lang w:val="zh-CN"/>
              </w:rPr>
              <w:t>厂址应具有满足生产、生活及发展所必需的水源和电源。水源和电源与厂址之间的管线连接应尽量短捷，且用水、用电量（特别</w:t>
            </w:r>
            <w:r>
              <w:rPr>
                <w:rFonts w:hint="eastAsia"/>
                <w:color w:val="auto"/>
                <w:lang w:val="zh-CN"/>
              </w:rPr>
              <w:t>）</w:t>
            </w:r>
            <w:r>
              <w:rPr>
                <w:rFonts w:hint="default"/>
                <w:color w:val="auto"/>
                <w:lang w:val="zh-CN"/>
              </w:rPr>
              <w:t>大的工业企业宜靠近水源及电源地。</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365AC1CC">
            <w:pPr>
              <w:pStyle w:val="30"/>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2F60F66A">
            <w:pPr>
              <w:pStyle w:val="30"/>
              <w:bidi w:val="0"/>
              <w:rPr>
                <w:rFonts w:hint="default"/>
                <w:color w:val="auto"/>
              </w:rPr>
            </w:pPr>
            <w:r>
              <w:rPr>
                <w:rFonts w:hint="default"/>
                <w:color w:val="auto"/>
                <w:lang w:val="zh-CN"/>
              </w:rPr>
              <w:t>第3.0.6条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55C6FD40">
            <w:pPr>
              <w:pStyle w:val="30"/>
              <w:bidi w:val="0"/>
              <w:rPr>
                <w:rFonts w:hint="eastAsia" w:eastAsia="宋体"/>
                <w:color w:val="auto"/>
                <w:lang w:eastAsia="zh-CN"/>
              </w:rPr>
            </w:pPr>
            <w:r>
              <w:rPr>
                <w:rFonts w:hint="default"/>
                <w:color w:val="auto"/>
                <w:lang w:val="zh-CN"/>
              </w:rPr>
              <w:t>水源、电源供应有保障</w:t>
            </w:r>
            <w:r>
              <w:rPr>
                <w:rFonts w:hint="eastAsia"/>
                <w:color w:val="auto"/>
                <w:lang w:eastAsia="zh-CN"/>
              </w:rPr>
              <w:t>。</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C8535AD">
            <w:pPr>
              <w:pStyle w:val="30"/>
              <w:bidi w:val="0"/>
              <w:rPr>
                <w:rFonts w:hint="default"/>
                <w:color w:val="auto"/>
              </w:rPr>
            </w:pPr>
            <w:r>
              <w:rPr>
                <w:rFonts w:hint="default"/>
                <w:color w:val="auto"/>
                <w:lang w:val="zh-CN"/>
              </w:rPr>
              <w:t>符合</w:t>
            </w:r>
          </w:p>
        </w:tc>
      </w:tr>
      <w:tr w14:paraId="50B2C286">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280FA658">
            <w:pPr>
              <w:pStyle w:val="30"/>
              <w:bidi w:val="0"/>
              <w:rPr>
                <w:rFonts w:hint="default"/>
                <w:color w:val="auto"/>
              </w:rPr>
            </w:pPr>
            <w:r>
              <w:rPr>
                <w:rFonts w:hint="default"/>
                <w:color w:val="auto"/>
              </w:rPr>
              <w:t>1.5</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04E0FB3D">
            <w:pPr>
              <w:pStyle w:val="30"/>
              <w:bidi w:val="0"/>
              <w:jc w:val="both"/>
              <w:rPr>
                <w:rFonts w:hint="default"/>
                <w:color w:val="auto"/>
              </w:rPr>
            </w:pPr>
            <w:r>
              <w:rPr>
                <w:rFonts w:hint="default"/>
                <w:color w:val="auto"/>
                <w:lang w:val="zh-CN"/>
              </w:rPr>
              <w:t>厂址应具有满足建设工程需要的工程地质条件和水文地质条件。</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6F03419B">
            <w:pPr>
              <w:pStyle w:val="30"/>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3326ACEE">
            <w:pPr>
              <w:pStyle w:val="30"/>
              <w:bidi w:val="0"/>
              <w:rPr>
                <w:rFonts w:hint="default"/>
                <w:color w:val="auto"/>
              </w:rPr>
            </w:pPr>
            <w:r>
              <w:rPr>
                <w:rFonts w:hint="default"/>
                <w:color w:val="auto"/>
                <w:lang w:val="zh-CN"/>
              </w:rPr>
              <w:t>第3.0.8条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3DA34D1">
            <w:pPr>
              <w:pStyle w:val="30"/>
              <w:bidi w:val="0"/>
              <w:rPr>
                <w:rFonts w:hint="default"/>
                <w:color w:val="auto"/>
              </w:rPr>
            </w:pPr>
            <w:r>
              <w:rPr>
                <w:rFonts w:hint="default"/>
                <w:color w:val="auto"/>
                <w:lang w:val="zh-CN"/>
              </w:rPr>
              <w:t>工程地质、水文地质符合要求</w:t>
            </w:r>
            <w:r>
              <w:rPr>
                <w:rFonts w:hint="default"/>
                <w:color w:val="auto"/>
              </w:rPr>
              <w:t>.</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69D59A8">
            <w:pPr>
              <w:pStyle w:val="30"/>
              <w:bidi w:val="0"/>
              <w:rPr>
                <w:rFonts w:hint="default"/>
                <w:color w:val="auto"/>
              </w:rPr>
            </w:pPr>
            <w:r>
              <w:rPr>
                <w:rFonts w:hint="default"/>
                <w:color w:val="auto"/>
                <w:lang w:val="zh-CN"/>
              </w:rPr>
              <w:t>符合</w:t>
            </w:r>
          </w:p>
        </w:tc>
      </w:tr>
      <w:tr w14:paraId="1ACAB98F">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03DB1AFB">
            <w:pPr>
              <w:pStyle w:val="30"/>
              <w:bidi w:val="0"/>
              <w:rPr>
                <w:rFonts w:hint="default"/>
                <w:color w:val="auto"/>
              </w:rPr>
            </w:pPr>
            <w:r>
              <w:rPr>
                <w:rFonts w:hint="default"/>
                <w:color w:val="auto"/>
              </w:rPr>
              <w:t>1.6</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25C6898">
            <w:pPr>
              <w:pStyle w:val="30"/>
              <w:bidi w:val="0"/>
              <w:jc w:val="both"/>
              <w:rPr>
                <w:rFonts w:hint="default"/>
                <w:color w:val="auto"/>
                <w:lang w:val="zh-CN"/>
              </w:rPr>
            </w:pPr>
            <w:r>
              <w:rPr>
                <w:rFonts w:hint="default"/>
                <w:color w:val="auto"/>
                <w:lang w:val="zh-CN"/>
              </w:rPr>
              <w:t>选择厂址，宜避开岩溶、流砂、淤泥、湿陷性黄土、断层、塌方、泥石流、滑坡等不良地质地段；否则，应采取可靠的安全措施。</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0DE1BA5D">
            <w:pPr>
              <w:pStyle w:val="30"/>
              <w:bidi w:val="0"/>
              <w:rPr>
                <w:rFonts w:hint="default"/>
                <w:color w:val="auto"/>
              </w:rPr>
            </w:pPr>
            <w:r>
              <w:rPr>
                <w:rFonts w:hint="default"/>
                <w:color w:val="auto"/>
              </w:rPr>
              <w:t>《选矿安全规程》</w:t>
            </w:r>
          </w:p>
          <w:p w14:paraId="030FA62C">
            <w:pPr>
              <w:pStyle w:val="30"/>
              <w:bidi w:val="0"/>
              <w:rPr>
                <w:rFonts w:hint="eastAsia"/>
                <w:color w:val="auto"/>
                <w:lang w:eastAsia="zh-CN"/>
              </w:rPr>
            </w:pPr>
            <w:r>
              <w:rPr>
                <w:rFonts w:hint="eastAsia"/>
                <w:color w:val="auto"/>
                <w:lang w:eastAsia="zh-CN"/>
              </w:rPr>
              <w:t>（GB/T 18152-2000）</w:t>
            </w:r>
          </w:p>
          <w:p w14:paraId="11EBFB12">
            <w:pPr>
              <w:pStyle w:val="30"/>
              <w:bidi w:val="0"/>
              <w:rPr>
                <w:rFonts w:hint="default"/>
                <w:color w:val="auto"/>
              </w:rPr>
            </w:pPr>
            <w:r>
              <w:rPr>
                <w:rFonts w:hint="default"/>
                <w:color w:val="auto"/>
              </w:rPr>
              <w:t>5.1.2</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66AAC411">
            <w:pPr>
              <w:pStyle w:val="30"/>
              <w:bidi w:val="0"/>
              <w:rPr>
                <w:rFonts w:hint="default"/>
                <w:color w:val="auto"/>
              </w:rPr>
            </w:pPr>
            <w:r>
              <w:rPr>
                <w:rFonts w:hint="default"/>
                <w:color w:val="auto"/>
              </w:rPr>
              <w:t>依据安全设施设计报告和现场勘察，该项目所在地无不良地质地段。</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08559D21">
            <w:pPr>
              <w:pStyle w:val="30"/>
              <w:bidi w:val="0"/>
              <w:rPr>
                <w:rFonts w:hint="default"/>
                <w:color w:val="auto"/>
              </w:rPr>
            </w:pPr>
            <w:r>
              <w:rPr>
                <w:rFonts w:hint="default"/>
                <w:color w:val="auto"/>
                <w:lang w:val="zh-CN"/>
              </w:rPr>
              <w:t>符合</w:t>
            </w:r>
          </w:p>
        </w:tc>
      </w:tr>
      <w:tr w14:paraId="52BBBFF0">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0B57D00F">
            <w:pPr>
              <w:pStyle w:val="30"/>
              <w:bidi w:val="0"/>
              <w:rPr>
                <w:rFonts w:hint="default"/>
                <w:color w:val="auto"/>
              </w:rPr>
            </w:pPr>
            <w:r>
              <w:rPr>
                <w:rFonts w:hint="default"/>
                <w:color w:val="auto"/>
              </w:rPr>
              <w:t>1.7</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4966520">
            <w:pPr>
              <w:pStyle w:val="30"/>
              <w:bidi w:val="0"/>
              <w:jc w:val="both"/>
              <w:rPr>
                <w:rFonts w:hint="default"/>
                <w:color w:val="auto"/>
              </w:rPr>
            </w:pPr>
            <w:r>
              <w:rPr>
                <w:rFonts w:hint="default"/>
                <w:color w:val="auto"/>
                <w:lang w:val="zh-CN"/>
              </w:rPr>
              <w:t>厂址不应选择在地下采空区塌落界限和露天爆破危险区以内，也不应选择在炸药加工厂、爆破器材库及油库最小安全距离范围内。</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7D0130C2">
            <w:pPr>
              <w:pStyle w:val="30"/>
              <w:bidi w:val="0"/>
              <w:rPr>
                <w:rFonts w:hint="default"/>
                <w:color w:val="auto"/>
              </w:rPr>
            </w:pPr>
            <w:r>
              <w:rPr>
                <w:rFonts w:hint="default"/>
                <w:color w:val="auto"/>
              </w:rPr>
              <w:t>《选矿安全规程》</w:t>
            </w:r>
          </w:p>
          <w:p w14:paraId="7BEDCED3">
            <w:pPr>
              <w:pStyle w:val="30"/>
              <w:bidi w:val="0"/>
              <w:rPr>
                <w:rFonts w:hint="eastAsia"/>
                <w:color w:val="auto"/>
                <w:lang w:eastAsia="zh-CN"/>
              </w:rPr>
            </w:pPr>
            <w:r>
              <w:rPr>
                <w:rFonts w:hint="eastAsia"/>
                <w:color w:val="auto"/>
                <w:lang w:eastAsia="zh-CN"/>
              </w:rPr>
              <w:t>（GB/T 18152-2000）</w:t>
            </w:r>
          </w:p>
          <w:p w14:paraId="520BC7D4">
            <w:pPr>
              <w:pStyle w:val="30"/>
              <w:bidi w:val="0"/>
              <w:rPr>
                <w:rFonts w:hint="default"/>
                <w:color w:val="auto"/>
              </w:rPr>
            </w:pPr>
            <w:r>
              <w:rPr>
                <w:rFonts w:hint="default"/>
                <w:color w:val="auto"/>
              </w:rPr>
              <w:t>5.1.3</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58E243D4">
            <w:pPr>
              <w:pStyle w:val="30"/>
              <w:bidi w:val="0"/>
              <w:rPr>
                <w:rFonts w:hint="default"/>
                <w:color w:val="auto"/>
              </w:rPr>
            </w:pPr>
            <w:r>
              <w:rPr>
                <w:rFonts w:hint="default"/>
                <w:color w:val="auto"/>
              </w:rPr>
              <w:t>厂址未在</w:t>
            </w:r>
            <w:r>
              <w:rPr>
                <w:rFonts w:hint="default"/>
                <w:color w:val="auto"/>
                <w:lang w:val="zh-CN"/>
              </w:rPr>
              <w:t>地下采空区塌落界限和露天爆破危险区以内，周边也无炸药加工厂、爆破器材库及油库。</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6A0FF55">
            <w:pPr>
              <w:pStyle w:val="30"/>
              <w:bidi w:val="0"/>
              <w:rPr>
                <w:rFonts w:hint="default"/>
                <w:color w:val="auto"/>
              </w:rPr>
            </w:pPr>
            <w:r>
              <w:rPr>
                <w:rFonts w:hint="default"/>
                <w:color w:val="auto"/>
                <w:lang w:val="zh-CN"/>
              </w:rPr>
              <w:t>符合</w:t>
            </w:r>
          </w:p>
        </w:tc>
      </w:tr>
      <w:tr w14:paraId="62A38858">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75488732">
            <w:pPr>
              <w:pStyle w:val="30"/>
              <w:bidi w:val="0"/>
              <w:rPr>
                <w:rFonts w:hint="default"/>
                <w:color w:val="auto"/>
                <w:lang w:val="en-US" w:eastAsia="zh-CN"/>
              </w:rPr>
            </w:pPr>
            <w:r>
              <w:rPr>
                <w:rFonts w:hint="default"/>
                <w:color w:val="auto"/>
                <w:lang w:val="en-US" w:eastAsia="zh-CN"/>
              </w:rPr>
              <w:t>1.8</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FD0A5D1">
            <w:pPr>
              <w:pStyle w:val="30"/>
              <w:bidi w:val="0"/>
              <w:jc w:val="both"/>
              <w:rPr>
                <w:rFonts w:hint="default"/>
                <w:color w:val="auto"/>
                <w:lang w:val="zh-CN"/>
              </w:rPr>
            </w:pPr>
            <w:r>
              <w:rPr>
                <w:rFonts w:hint="default"/>
                <w:color w:val="auto"/>
                <w:lang w:val="zh-CN"/>
              </w:rPr>
              <w:t>厂址应避免选在地震断层带和基本烈度高于7度的地区；否则应按国家有关抗震规定进行设防。</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46D486B7">
            <w:pPr>
              <w:pStyle w:val="30"/>
              <w:bidi w:val="0"/>
              <w:rPr>
                <w:rFonts w:hint="default"/>
                <w:color w:val="auto"/>
              </w:rPr>
            </w:pPr>
            <w:r>
              <w:rPr>
                <w:rFonts w:hint="default"/>
                <w:color w:val="auto"/>
              </w:rPr>
              <w:t>《选矿安全规程》</w:t>
            </w:r>
          </w:p>
          <w:p w14:paraId="12DC3D5A">
            <w:pPr>
              <w:pStyle w:val="30"/>
              <w:bidi w:val="0"/>
              <w:rPr>
                <w:rFonts w:hint="default"/>
                <w:color w:val="auto"/>
              </w:rPr>
            </w:pPr>
            <w:r>
              <w:rPr>
                <w:rFonts w:hint="eastAsia"/>
                <w:color w:val="auto"/>
                <w:lang w:eastAsia="zh-CN"/>
              </w:rPr>
              <w:t>（GB/T 18152-2000）</w:t>
            </w:r>
            <w:r>
              <w:rPr>
                <w:rFonts w:hint="default"/>
                <w:color w:val="auto"/>
              </w:rPr>
              <w:t>5.1.4</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3B06C287">
            <w:pPr>
              <w:pStyle w:val="30"/>
              <w:bidi w:val="0"/>
              <w:rPr>
                <w:rFonts w:hint="default"/>
                <w:color w:val="auto"/>
              </w:rPr>
            </w:pPr>
            <w:r>
              <w:rPr>
                <w:rFonts w:hint="default"/>
                <w:color w:val="auto"/>
              </w:rPr>
              <w:t>厂区所在地区为7度设防地区，安全设施设计中有抗震设计内容。</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67670BB">
            <w:pPr>
              <w:pStyle w:val="30"/>
              <w:bidi w:val="0"/>
              <w:rPr>
                <w:rFonts w:hint="default"/>
                <w:color w:val="auto"/>
              </w:rPr>
            </w:pPr>
            <w:r>
              <w:rPr>
                <w:rFonts w:hint="default"/>
                <w:color w:val="auto"/>
                <w:lang w:val="zh-CN"/>
              </w:rPr>
              <w:t>符合</w:t>
            </w:r>
          </w:p>
        </w:tc>
      </w:tr>
      <w:tr w14:paraId="1AB99FD2">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4E1E329B">
            <w:pPr>
              <w:pStyle w:val="30"/>
              <w:bidi w:val="0"/>
              <w:rPr>
                <w:rFonts w:hint="default"/>
                <w:color w:val="auto"/>
                <w:lang w:val="en-US" w:eastAsia="zh-CN"/>
              </w:rPr>
            </w:pPr>
            <w:r>
              <w:rPr>
                <w:rFonts w:hint="default"/>
                <w:color w:val="auto"/>
                <w:lang w:val="en-US" w:eastAsia="zh-CN"/>
              </w:rPr>
              <w:t>1.9</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11777C58">
            <w:pPr>
              <w:pStyle w:val="30"/>
              <w:bidi w:val="0"/>
              <w:jc w:val="both"/>
              <w:rPr>
                <w:rFonts w:hint="default"/>
                <w:color w:val="auto"/>
                <w:lang w:val="zh-CN"/>
              </w:rPr>
            </w:pPr>
            <w:r>
              <w:rPr>
                <w:rFonts w:hint="default"/>
                <w:color w:val="auto"/>
                <w:lang w:val="zh-CN"/>
              </w:rPr>
              <w:t>厂址应避免洪水淹设。场地的设计标高，应高出当地计算水位0.5m以上。</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77CC89FB">
            <w:pPr>
              <w:pStyle w:val="30"/>
              <w:bidi w:val="0"/>
              <w:rPr>
                <w:rFonts w:hint="default"/>
                <w:color w:val="auto"/>
              </w:rPr>
            </w:pPr>
            <w:r>
              <w:rPr>
                <w:rFonts w:hint="default"/>
                <w:color w:val="auto"/>
              </w:rPr>
              <w:t>《选矿安全规程》</w:t>
            </w:r>
            <w:r>
              <w:rPr>
                <w:rFonts w:hint="eastAsia"/>
                <w:color w:val="auto"/>
                <w:lang w:eastAsia="zh-CN"/>
              </w:rPr>
              <w:t>（GB/T 18152-2000）</w:t>
            </w:r>
            <w:r>
              <w:rPr>
                <w:rFonts w:hint="default"/>
                <w:color w:val="auto"/>
              </w:rPr>
              <w:t>5.1.5</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1E9F27BC">
            <w:pPr>
              <w:pStyle w:val="30"/>
              <w:bidi w:val="0"/>
              <w:rPr>
                <w:rFonts w:hint="default"/>
                <w:color w:val="auto"/>
              </w:rPr>
            </w:pPr>
            <w:r>
              <w:rPr>
                <w:rFonts w:hint="default"/>
                <w:color w:val="auto"/>
              </w:rPr>
              <w:t>该项目不在洪水淹没区。</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F626B81">
            <w:pPr>
              <w:pStyle w:val="30"/>
              <w:bidi w:val="0"/>
              <w:rPr>
                <w:rFonts w:hint="default"/>
                <w:color w:val="auto"/>
              </w:rPr>
            </w:pPr>
            <w:r>
              <w:rPr>
                <w:rFonts w:hint="default"/>
                <w:color w:val="auto"/>
                <w:lang w:val="zh-CN"/>
              </w:rPr>
              <w:t>符合</w:t>
            </w:r>
          </w:p>
        </w:tc>
      </w:tr>
      <w:tr w14:paraId="1AB95465">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0C085C5">
            <w:pPr>
              <w:pStyle w:val="30"/>
              <w:bidi w:val="0"/>
              <w:rPr>
                <w:rFonts w:hint="default"/>
                <w:color w:val="auto"/>
              </w:rPr>
            </w:pPr>
            <w:r>
              <w:rPr>
                <w:rFonts w:hint="default"/>
                <w:color w:val="auto"/>
              </w:rPr>
              <w:t>2</w:t>
            </w:r>
          </w:p>
        </w:tc>
        <w:tc>
          <w:tcPr>
            <w:tcW w:w="8598" w:type="dxa"/>
            <w:gridSpan w:val="4"/>
            <w:tcBorders>
              <w:top w:val="single" w:color="auto" w:sz="6" w:space="0"/>
              <w:left w:val="single" w:color="auto" w:sz="6" w:space="0"/>
              <w:bottom w:val="single" w:color="auto" w:sz="6" w:space="0"/>
              <w:right w:val="single" w:color="auto" w:sz="6" w:space="0"/>
            </w:tcBorders>
            <w:noWrap w:val="0"/>
            <w:vAlign w:val="center"/>
          </w:tcPr>
          <w:p w14:paraId="060810D2">
            <w:pPr>
              <w:pStyle w:val="30"/>
              <w:bidi w:val="0"/>
              <w:jc w:val="center"/>
              <w:rPr>
                <w:rFonts w:hint="default"/>
                <w:color w:val="auto"/>
              </w:rPr>
            </w:pPr>
            <w:r>
              <w:rPr>
                <w:rFonts w:hint="default"/>
                <w:color w:val="auto"/>
                <w:lang w:val="zh-CN"/>
              </w:rPr>
              <w:t>总平面布置</w:t>
            </w:r>
          </w:p>
        </w:tc>
      </w:tr>
      <w:tr w14:paraId="6A4A49DF">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711F7A33">
            <w:pPr>
              <w:pStyle w:val="30"/>
              <w:bidi w:val="0"/>
              <w:rPr>
                <w:rFonts w:hint="default"/>
                <w:color w:val="auto"/>
              </w:rPr>
            </w:pPr>
            <w:r>
              <w:rPr>
                <w:rFonts w:hint="default"/>
                <w:color w:val="auto"/>
              </w:rPr>
              <w:t>2.1</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7E49877">
            <w:pPr>
              <w:pStyle w:val="30"/>
              <w:bidi w:val="0"/>
              <w:jc w:val="both"/>
              <w:rPr>
                <w:rFonts w:hint="default"/>
                <w:color w:val="auto"/>
              </w:rPr>
            </w:pPr>
            <w:r>
              <w:rPr>
                <w:rFonts w:hint="default"/>
                <w:color w:val="auto"/>
              </w:rPr>
              <w:t>该项目按车间可分为原矿堆场、选矿车间、脱水车间、尾矿堆场等。</w:t>
            </w:r>
          </w:p>
          <w:p w14:paraId="4350443E">
            <w:pPr>
              <w:pStyle w:val="30"/>
              <w:bidi w:val="0"/>
              <w:jc w:val="both"/>
              <w:rPr>
                <w:rFonts w:hint="default"/>
                <w:color w:val="auto"/>
                <w:lang w:val="zh-CN"/>
              </w:rPr>
            </w:pPr>
            <w:r>
              <w:rPr>
                <w:rFonts w:hint="default"/>
                <w:color w:val="auto"/>
              </w:rPr>
              <w:t>根据工艺流程，按物料主流流向，依序进行设备布置。</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1CF739A9">
            <w:pPr>
              <w:pStyle w:val="30"/>
              <w:bidi w:val="0"/>
              <w:rPr>
                <w:rFonts w:hint="default"/>
                <w:color w:val="auto"/>
                <w:lang w:val="zh-CN"/>
              </w:rPr>
            </w:pPr>
            <w:r>
              <w:rPr>
                <w:rFonts w:hint="default"/>
                <w:color w:val="auto"/>
                <w:lang w:val="zh-CN"/>
              </w:rPr>
              <w:t>《</w:t>
            </w:r>
            <w:r>
              <w:rPr>
                <w:rFonts w:hint="default"/>
                <w:color w:val="auto"/>
              </w:rPr>
              <w:t>安全设施</w:t>
            </w:r>
            <w:r>
              <w:rPr>
                <w:rFonts w:hint="default"/>
                <w:color w:val="auto"/>
                <w:lang w:val="zh-CN"/>
              </w:rPr>
              <w:t>设计》</w:t>
            </w:r>
          </w:p>
          <w:p w14:paraId="5B5B219E">
            <w:pPr>
              <w:pStyle w:val="30"/>
              <w:bidi w:val="0"/>
              <w:rPr>
                <w:rFonts w:hint="default"/>
                <w:color w:val="auto"/>
                <w:lang w:val="zh-CN"/>
              </w:rPr>
            </w:pPr>
            <w:r>
              <w:rPr>
                <w:rFonts w:hint="default"/>
                <w:color w:val="auto"/>
                <w:lang w:val="zh-CN"/>
              </w:rPr>
              <w:t>第</w:t>
            </w:r>
            <w:r>
              <w:rPr>
                <w:rFonts w:hint="default"/>
                <w:color w:val="auto"/>
              </w:rPr>
              <w:t>2.</w:t>
            </w:r>
            <w:r>
              <w:rPr>
                <w:rFonts w:hint="default"/>
                <w:color w:val="auto"/>
                <w:lang w:val="en-US" w:eastAsia="zh-CN"/>
              </w:rPr>
              <w:t>6.8</w:t>
            </w:r>
            <w:r>
              <w:rPr>
                <w:rFonts w:hint="default"/>
                <w:color w:val="auto"/>
                <w:lang w:val="zh-CN"/>
              </w:rPr>
              <w:t>节</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50394C40">
            <w:pPr>
              <w:pStyle w:val="30"/>
              <w:bidi w:val="0"/>
              <w:rPr>
                <w:rFonts w:hint="default"/>
                <w:color w:val="auto"/>
                <w:lang w:val="zh-CN"/>
              </w:rPr>
            </w:pPr>
            <w:r>
              <w:rPr>
                <w:rFonts w:hint="default"/>
                <w:color w:val="auto"/>
                <w:lang w:val="zh-CN"/>
              </w:rPr>
              <w:t>项目选矿生产及办公区总占地面积5400m</w:t>
            </w:r>
            <w:r>
              <w:rPr>
                <w:rFonts w:hint="default"/>
                <w:color w:val="auto"/>
                <w:vertAlign w:val="superscript"/>
                <w:lang w:val="zh-CN"/>
              </w:rPr>
              <w:t>2</w:t>
            </w:r>
            <w:r>
              <w:rPr>
                <w:rFonts w:hint="default"/>
                <w:color w:val="auto"/>
                <w:lang w:val="zh-CN"/>
              </w:rPr>
              <w:t>（8.1亩），根据铁矿选矿厂的生产性质和在企业现有内部的布局要求，根据厂区规划地形和现有场地条件。原场地分为二个大区，选矿生产区和办公生活区，生产人流与办公人流互不干涉。项目充分利用公司原有场地改造建设，生产区在原有场地内进行建设，不新增用地，仅在选矿生产区和办公生活区进行建设，原选矿生产区整体呈不规则矩形。</w:t>
            </w:r>
          </w:p>
          <w:p w14:paraId="5D603AC3">
            <w:pPr>
              <w:pStyle w:val="30"/>
              <w:bidi w:val="0"/>
              <w:rPr>
                <w:rFonts w:hint="default"/>
                <w:color w:val="auto"/>
                <w:lang w:val="zh-CN"/>
              </w:rPr>
            </w:pPr>
            <w:r>
              <w:rPr>
                <w:rFonts w:hint="default"/>
                <w:color w:val="auto"/>
                <w:lang w:val="zh-CN"/>
              </w:rPr>
              <w:t>选矿生产区：位于场地中心位置，由东至西依次为回收池、原矿堆场、破碎系统、选矿车间及脱水车间。</w:t>
            </w:r>
          </w:p>
          <w:p w14:paraId="23919BD1">
            <w:pPr>
              <w:pStyle w:val="30"/>
              <w:bidi w:val="0"/>
              <w:rPr>
                <w:rFonts w:hint="default"/>
                <w:color w:val="auto"/>
                <w:lang w:val="zh-CN"/>
              </w:rPr>
            </w:pPr>
            <w:r>
              <w:rPr>
                <w:rFonts w:hint="default"/>
                <w:color w:val="auto"/>
                <w:lang w:val="zh-CN"/>
              </w:rPr>
              <w:t>办公生活区：位于选矿区东北侧，包括1栋综合办公室。</w:t>
            </w:r>
          </w:p>
          <w:p w14:paraId="59D022BB">
            <w:pPr>
              <w:pStyle w:val="30"/>
              <w:bidi w:val="0"/>
              <w:rPr>
                <w:rFonts w:hint="default"/>
                <w:color w:val="auto"/>
                <w:lang w:val="zh-CN"/>
              </w:rPr>
            </w:pPr>
            <w:r>
              <w:rPr>
                <w:rFonts w:hint="default"/>
                <w:color w:val="auto"/>
                <w:lang w:val="zh-CN"/>
              </w:rPr>
              <w:t>厂区入口设置在东、西侧，原料、产品进去快捷方便的到达并离开，可以提高生产的效率。道路硬化区主要布置在主厂房四周；绿化区布置区项目占地四周。</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6B4FE2E0">
            <w:pPr>
              <w:pStyle w:val="30"/>
              <w:bidi w:val="0"/>
              <w:rPr>
                <w:rFonts w:hint="default"/>
                <w:color w:val="auto"/>
                <w:lang w:val="zh-CN"/>
              </w:rPr>
            </w:pPr>
            <w:r>
              <w:rPr>
                <w:rFonts w:hint="default"/>
                <w:color w:val="auto"/>
                <w:lang w:val="zh-CN"/>
              </w:rPr>
              <w:t>符合</w:t>
            </w:r>
          </w:p>
        </w:tc>
      </w:tr>
      <w:tr w14:paraId="3479AEEB">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5899C065">
            <w:pPr>
              <w:pStyle w:val="30"/>
              <w:bidi w:val="0"/>
              <w:rPr>
                <w:rFonts w:hint="default"/>
                <w:color w:val="auto"/>
              </w:rPr>
            </w:pPr>
            <w:r>
              <w:rPr>
                <w:rFonts w:hint="default"/>
                <w:color w:val="auto"/>
              </w:rPr>
              <w:t>2.2</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47775026">
            <w:pPr>
              <w:pStyle w:val="30"/>
              <w:bidi w:val="0"/>
              <w:jc w:val="both"/>
              <w:rPr>
                <w:rFonts w:hint="default"/>
                <w:color w:val="auto"/>
                <w:lang w:val="zh-CN"/>
              </w:rPr>
            </w:pPr>
            <w:r>
              <w:rPr>
                <w:rFonts w:hint="default"/>
                <w:color w:val="auto"/>
                <w:lang w:val="zh-CN"/>
              </w:rPr>
              <w:t>总变电站位置的选择，应符合下列要求：1 应靠近厂区边缘、且输电线路进出方便的地段；2 不得受粉尘、水雾、腐蚀性气体等污染源的影响，并应位于散发粉尘、腐蚀性气体污染源全年最小频率风向的下风侧和散发水雾场所冬季盛行风向的上风侧；3 不得布置在有强烈振动设施的场地附近；4 应有运输变压器的道路；5 宜布置在地势较高地段。</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314F94A2">
            <w:pPr>
              <w:pStyle w:val="30"/>
              <w:bidi w:val="0"/>
              <w:rPr>
                <w:rFonts w:hint="default"/>
                <w:color w:val="auto"/>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r>
              <w:rPr>
                <w:rFonts w:hint="default"/>
                <w:color w:val="auto"/>
                <w:lang w:val="zh-CN"/>
              </w:rPr>
              <w:t>4.4.5</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42A6F4AB">
            <w:pPr>
              <w:pStyle w:val="30"/>
              <w:bidi w:val="0"/>
              <w:rPr>
                <w:rFonts w:hint="default"/>
                <w:color w:val="auto"/>
              </w:rPr>
            </w:pPr>
            <w:r>
              <w:rPr>
                <w:rFonts w:hint="default"/>
                <w:color w:val="auto"/>
                <w:lang w:val="zh-CN"/>
              </w:rPr>
              <w:t>总变电室设置于厂区边缘，不受粉尘、水雾、腐蚀性气体等影响。</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35434D6D">
            <w:pPr>
              <w:pStyle w:val="30"/>
              <w:bidi w:val="0"/>
              <w:rPr>
                <w:rFonts w:hint="default"/>
                <w:color w:val="auto"/>
              </w:rPr>
            </w:pPr>
            <w:r>
              <w:rPr>
                <w:rFonts w:hint="default"/>
                <w:color w:val="auto"/>
                <w:lang w:val="zh-CN"/>
              </w:rPr>
              <w:t>符合</w:t>
            </w:r>
          </w:p>
        </w:tc>
      </w:tr>
      <w:tr w14:paraId="657BDB9A">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16405182">
            <w:pPr>
              <w:pStyle w:val="30"/>
              <w:bidi w:val="0"/>
              <w:rPr>
                <w:rFonts w:hint="default"/>
                <w:color w:val="auto"/>
              </w:rPr>
            </w:pPr>
            <w:r>
              <w:rPr>
                <w:rFonts w:hint="default"/>
                <w:color w:val="auto"/>
              </w:rPr>
              <w:t>2.3</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3F3CEE2C">
            <w:pPr>
              <w:pStyle w:val="30"/>
              <w:bidi w:val="0"/>
              <w:jc w:val="both"/>
              <w:rPr>
                <w:rFonts w:hint="default"/>
                <w:color w:val="auto"/>
                <w:lang w:val="zh-CN"/>
              </w:rPr>
            </w:pPr>
            <w:r>
              <w:rPr>
                <w:rFonts w:hint="default"/>
                <w:color w:val="auto"/>
                <w:lang w:val="zh-CN"/>
              </w:rPr>
              <w:t>总平面布置应节约集约用地，提高土地利用率。布置时并应符合下列要求：1、在符合生产流程、操作要求和使用功能的前提下，建筑物、构筑物等设施，应采用联合、集中、多层布置；2、应按企业规模和功能分区，合理地确定通道宽度；3、厂区功能分区及建筑物、构筑物的外形宜规整；4、功能分区内各项设施的布置，应紧凑、合理。</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76CEDAC1">
            <w:pPr>
              <w:pStyle w:val="30"/>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66D82AB5">
            <w:pPr>
              <w:pStyle w:val="30"/>
              <w:bidi w:val="0"/>
              <w:rPr>
                <w:rFonts w:hint="default"/>
                <w:color w:val="auto"/>
                <w:lang w:val="zh-CN"/>
              </w:rPr>
            </w:pPr>
            <w:r>
              <w:rPr>
                <w:rFonts w:hint="default"/>
                <w:color w:val="auto"/>
                <w:lang w:val="zh-CN"/>
              </w:rPr>
              <w:t>第5.1.2条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00945046">
            <w:pPr>
              <w:pStyle w:val="30"/>
              <w:bidi w:val="0"/>
              <w:rPr>
                <w:rFonts w:hint="default"/>
                <w:color w:val="auto"/>
                <w:lang w:val="zh-CN"/>
              </w:rPr>
            </w:pPr>
            <w:r>
              <w:rPr>
                <w:rFonts w:hint="default"/>
                <w:color w:val="auto"/>
                <w:lang w:val="zh-CN"/>
              </w:rPr>
              <w:t>根据功能区进行划分。</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200A20A1">
            <w:pPr>
              <w:pStyle w:val="30"/>
              <w:bidi w:val="0"/>
              <w:rPr>
                <w:rFonts w:hint="default"/>
                <w:color w:val="auto"/>
                <w:lang w:val="zh-CN"/>
              </w:rPr>
            </w:pPr>
            <w:r>
              <w:rPr>
                <w:rFonts w:hint="default"/>
                <w:color w:val="auto"/>
                <w:lang w:val="zh-CN"/>
              </w:rPr>
              <w:t>符合</w:t>
            </w:r>
          </w:p>
        </w:tc>
      </w:tr>
      <w:tr w14:paraId="0D1311B3">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FDD548F">
            <w:pPr>
              <w:pStyle w:val="30"/>
              <w:bidi w:val="0"/>
              <w:rPr>
                <w:rFonts w:hint="default"/>
                <w:color w:val="auto"/>
              </w:rPr>
            </w:pPr>
            <w:r>
              <w:rPr>
                <w:rFonts w:hint="default"/>
                <w:color w:val="auto"/>
              </w:rPr>
              <w:t>2.4</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6D3D27A">
            <w:pPr>
              <w:pStyle w:val="30"/>
              <w:bidi w:val="0"/>
              <w:jc w:val="both"/>
              <w:rPr>
                <w:rFonts w:hint="default"/>
                <w:color w:val="auto"/>
                <w:lang w:val="zh-CN"/>
              </w:rPr>
            </w:pPr>
            <w:r>
              <w:rPr>
                <w:rFonts w:hint="default"/>
                <w:color w:val="auto"/>
                <w:lang w:val="zh-CN"/>
              </w:rPr>
              <w:t>厂区的通道宽度，应符合下列要求：1、应符合通道两侧建筑物、构筑物及露天设施对防火、安全与卫生间距的要求；2、应符合铁路、道路与带式输送机通廊等工业运输线路的布置要求；3、应符合各种工程管线的布置要求；4、应符合绿化布置的要求；5、应符合施工、安装与检修的要求；6、应符合竖向设计的要求；7、应符合预留发展用地的要求。</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75985034">
            <w:pPr>
              <w:pStyle w:val="30"/>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28B1DB55">
            <w:pPr>
              <w:pStyle w:val="30"/>
              <w:bidi w:val="0"/>
              <w:rPr>
                <w:rFonts w:hint="default"/>
                <w:color w:val="auto"/>
              </w:rPr>
            </w:pPr>
            <w:r>
              <w:rPr>
                <w:rFonts w:hint="default"/>
                <w:color w:val="auto"/>
                <w:lang w:val="zh-CN"/>
              </w:rPr>
              <w:t>第5.1.4条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3561BF52">
            <w:pPr>
              <w:pStyle w:val="30"/>
              <w:bidi w:val="0"/>
              <w:rPr>
                <w:rFonts w:hint="default"/>
                <w:color w:val="auto"/>
              </w:rPr>
            </w:pPr>
            <w:r>
              <w:rPr>
                <w:rFonts w:hint="default"/>
                <w:color w:val="auto"/>
                <w:lang w:val="zh-CN"/>
              </w:rPr>
              <w:t>项目各生产车间运输、检修及消防道路通过运输主干道连接至各生产车间，通过车间引道连接。</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347C69CB">
            <w:pPr>
              <w:pStyle w:val="30"/>
              <w:bidi w:val="0"/>
              <w:rPr>
                <w:rFonts w:hint="default"/>
                <w:color w:val="auto"/>
              </w:rPr>
            </w:pPr>
            <w:r>
              <w:rPr>
                <w:rFonts w:hint="default"/>
                <w:color w:val="auto"/>
                <w:lang w:val="zh-CN"/>
              </w:rPr>
              <w:t>符合</w:t>
            </w:r>
          </w:p>
        </w:tc>
      </w:tr>
      <w:tr w14:paraId="1C46A91E">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3C0F9C1F">
            <w:pPr>
              <w:pStyle w:val="30"/>
              <w:bidi w:val="0"/>
              <w:rPr>
                <w:rFonts w:hint="default"/>
                <w:color w:val="auto"/>
              </w:rPr>
            </w:pPr>
            <w:r>
              <w:rPr>
                <w:rFonts w:hint="default"/>
                <w:color w:val="auto"/>
              </w:rPr>
              <w:t>2.5</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4E9D7291">
            <w:pPr>
              <w:pStyle w:val="30"/>
              <w:bidi w:val="0"/>
              <w:jc w:val="both"/>
              <w:rPr>
                <w:rFonts w:hint="default"/>
                <w:color w:val="auto"/>
                <w:lang w:val="zh-CN"/>
              </w:rPr>
            </w:pPr>
            <w:r>
              <w:rPr>
                <w:rFonts w:hint="default"/>
                <w:color w:val="auto"/>
                <w:lang w:val="zh-CN"/>
              </w:rPr>
              <w:t>总平面布置，应合理地组织货流和人流，并应符合下列要求：1、运输线路的布置，应保证物流顺畅、径路短捷、不折返；2、应避免运输繁忙的铁路与道路平面交叉；3、应使人、货分流，应避免运输繁忙的货流与人流交叉；4、应避免进出厂的主要货流与企业外部交通干线的平面交叉。</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EF869FE">
            <w:pPr>
              <w:pStyle w:val="30"/>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500DA361">
            <w:pPr>
              <w:pStyle w:val="30"/>
              <w:bidi w:val="0"/>
              <w:rPr>
                <w:rFonts w:hint="default"/>
                <w:color w:val="auto"/>
                <w:lang w:val="zh-CN"/>
              </w:rPr>
            </w:pPr>
            <w:r>
              <w:rPr>
                <w:rFonts w:hint="default"/>
                <w:color w:val="auto"/>
                <w:lang w:val="zh-CN"/>
              </w:rPr>
              <w:t>第5.1.8条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3BB13869">
            <w:pPr>
              <w:pStyle w:val="30"/>
              <w:bidi w:val="0"/>
              <w:rPr>
                <w:rFonts w:hint="default"/>
                <w:color w:val="auto"/>
                <w:lang w:val="zh-CN"/>
              </w:rPr>
            </w:pPr>
            <w:r>
              <w:rPr>
                <w:rFonts w:hint="default"/>
                <w:color w:val="auto"/>
                <w:lang w:val="zh-CN"/>
              </w:rPr>
              <w:t>人流与物流分开，明确精矿、生产辅料运输和原矿运输方案。</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FE4A6E8">
            <w:pPr>
              <w:pStyle w:val="30"/>
              <w:bidi w:val="0"/>
              <w:rPr>
                <w:rFonts w:hint="default"/>
                <w:color w:val="auto"/>
                <w:lang w:val="zh-CN"/>
              </w:rPr>
            </w:pPr>
            <w:r>
              <w:rPr>
                <w:rFonts w:hint="default"/>
                <w:color w:val="auto"/>
                <w:lang w:val="zh-CN"/>
              </w:rPr>
              <w:t>符合</w:t>
            </w:r>
          </w:p>
        </w:tc>
      </w:tr>
      <w:tr w14:paraId="7B81193A">
        <w:tblPrEx>
          <w:tblCellMar>
            <w:top w:w="0" w:type="dxa"/>
            <w:left w:w="108" w:type="dxa"/>
            <w:bottom w:w="0" w:type="dxa"/>
            <w:right w:w="108" w:type="dxa"/>
          </w:tblCellMar>
        </w:tblPrEx>
        <w:trPr>
          <w:trHeight w:val="360" w:hRule="atLeast"/>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F399B88">
            <w:pPr>
              <w:pStyle w:val="30"/>
              <w:bidi w:val="0"/>
              <w:rPr>
                <w:rFonts w:hint="default"/>
                <w:color w:val="auto"/>
              </w:rPr>
            </w:pPr>
            <w:r>
              <w:rPr>
                <w:rFonts w:hint="default"/>
                <w:color w:val="auto"/>
              </w:rPr>
              <w:t>2.6</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1C6F2747">
            <w:pPr>
              <w:pStyle w:val="30"/>
              <w:bidi w:val="0"/>
              <w:jc w:val="both"/>
              <w:rPr>
                <w:rFonts w:hint="default"/>
                <w:color w:val="auto"/>
                <w:lang w:val="zh-CN"/>
              </w:rPr>
            </w:pPr>
            <w:r>
              <w:rPr>
                <w:rFonts w:hint="default"/>
                <w:color w:val="auto"/>
                <w:lang w:val="zh-CN"/>
              </w:rPr>
              <w:t>总平面布置应使建筑群体的平面布置与空间景观相协调，并应结合城镇规划及厂区绿化，提高环境质量，创造良好的生产条件和整洁友好的工作环境。</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7E3F9A00">
            <w:pPr>
              <w:pStyle w:val="30"/>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779AE014">
            <w:pPr>
              <w:pStyle w:val="30"/>
              <w:bidi w:val="0"/>
              <w:rPr>
                <w:rFonts w:hint="default"/>
                <w:color w:val="auto"/>
                <w:lang w:val="zh-CN"/>
              </w:rPr>
            </w:pPr>
            <w:r>
              <w:rPr>
                <w:rFonts w:hint="default"/>
                <w:color w:val="auto"/>
                <w:lang w:val="zh-CN"/>
              </w:rPr>
              <w:t>第5.1.9条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13895958">
            <w:pPr>
              <w:pStyle w:val="30"/>
              <w:bidi w:val="0"/>
              <w:rPr>
                <w:rFonts w:hint="default"/>
                <w:color w:val="auto"/>
                <w:lang w:val="zh-CN"/>
              </w:rPr>
            </w:pPr>
            <w:r>
              <w:rPr>
                <w:rFonts w:hint="default"/>
                <w:color w:val="auto"/>
                <w:lang w:val="zh-CN"/>
              </w:rPr>
              <w:t>项目在选矿厂范围内进行一定的环境绿化。</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05DEC7BF">
            <w:pPr>
              <w:pStyle w:val="30"/>
              <w:bidi w:val="0"/>
              <w:rPr>
                <w:rFonts w:hint="default"/>
                <w:color w:val="auto"/>
                <w:lang w:val="zh-CN"/>
              </w:rPr>
            </w:pPr>
            <w:r>
              <w:rPr>
                <w:rFonts w:hint="default"/>
                <w:color w:val="auto"/>
                <w:lang w:val="zh-CN"/>
              </w:rPr>
              <w:t>符合</w:t>
            </w:r>
          </w:p>
        </w:tc>
      </w:tr>
      <w:tr w14:paraId="3CA542B8">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07D5CCC9">
            <w:pPr>
              <w:pStyle w:val="30"/>
              <w:bidi w:val="0"/>
              <w:rPr>
                <w:rFonts w:hint="default"/>
                <w:color w:val="auto"/>
              </w:rPr>
            </w:pPr>
            <w:r>
              <w:rPr>
                <w:rFonts w:hint="default"/>
                <w:color w:val="auto"/>
              </w:rPr>
              <w:t>2.7</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37A7F521">
            <w:pPr>
              <w:pStyle w:val="30"/>
              <w:bidi w:val="0"/>
              <w:jc w:val="both"/>
              <w:rPr>
                <w:rFonts w:hint="default"/>
                <w:color w:val="auto"/>
                <w:lang w:val="zh-CN"/>
              </w:rPr>
            </w:pPr>
            <w:r>
              <w:rPr>
                <w:rFonts w:hint="default"/>
                <w:color w:val="auto"/>
                <w:lang w:val="zh-CN"/>
              </w:rPr>
              <w:t>工业企业的建筑物、构筑物之间及其与铁路、道路之间的防火间距，以及消防通道的设置，应执行现行国家《建筑设计防火规范》GB</w:t>
            </w:r>
            <w:r>
              <w:rPr>
                <w:rFonts w:hint="default"/>
                <w:color w:val="auto"/>
                <w:lang w:val="en-US" w:eastAsia="zh-CN"/>
              </w:rPr>
              <w:t xml:space="preserve"> </w:t>
            </w:r>
            <w:r>
              <w:rPr>
                <w:rFonts w:hint="default"/>
                <w:color w:val="auto"/>
                <w:lang w:val="zh-CN"/>
              </w:rPr>
              <w:t>50016等有关的规定</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4DE34FF5">
            <w:pPr>
              <w:pStyle w:val="30"/>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17280739">
            <w:pPr>
              <w:pStyle w:val="30"/>
              <w:bidi w:val="0"/>
              <w:rPr>
                <w:rFonts w:hint="default"/>
                <w:color w:val="auto"/>
                <w:lang w:val="zh-CN"/>
              </w:rPr>
            </w:pPr>
            <w:r>
              <w:rPr>
                <w:rFonts w:hint="default"/>
                <w:color w:val="auto"/>
                <w:lang w:val="zh-CN"/>
              </w:rPr>
              <w:t>第5.1.10条</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1F7854DB">
            <w:pPr>
              <w:pStyle w:val="30"/>
              <w:bidi w:val="0"/>
              <w:rPr>
                <w:rFonts w:hint="default"/>
                <w:color w:val="auto"/>
                <w:lang w:val="zh-CN"/>
              </w:rPr>
            </w:pPr>
            <w:r>
              <w:rPr>
                <w:rFonts w:hint="default"/>
                <w:color w:val="auto"/>
                <w:lang w:val="zh-CN"/>
              </w:rPr>
              <w:t>厂区</w:t>
            </w:r>
            <w:r>
              <w:rPr>
                <w:rFonts w:hint="default"/>
                <w:color w:val="auto"/>
                <w:lang w:val="en-US" w:eastAsia="zh-CN"/>
              </w:rPr>
              <w:t>南</w:t>
            </w:r>
            <w:r>
              <w:rPr>
                <w:rFonts w:hint="default"/>
                <w:color w:val="auto"/>
                <w:lang w:val="zh-CN"/>
              </w:rPr>
              <w:t>侧现有</w:t>
            </w:r>
            <w:r>
              <w:rPr>
                <w:rFonts w:hint="default"/>
                <w:color w:val="auto"/>
                <w:lang w:val="en-US" w:eastAsia="zh-CN"/>
              </w:rPr>
              <w:t>6</w:t>
            </w:r>
            <w:r>
              <w:rPr>
                <w:rFonts w:hint="default"/>
                <w:color w:val="auto"/>
                <w:lang w:val="zh-CN"/>
              </w:rPr>
              <w:t>.00m宽的对外通道与厂外公路相接，能够满足消防车出入需要，内部道路宽度不小于4m。</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3DA27F2">
            <w:pPr>
              <w:pStyle w:val="30"/>
              <w:bidi w:val="0"/>
              <w:rPr>
                <w:rFonts w:hint="default"/>
                <w:color w:val="auto"/>
                <w:lang w:val="zh-CN"/>
              </w:rPr>
            </w:pPr>
            <w:r>
              <w:rPr>
                <w:rFonts w:hint="default"/>
                <w:color w:val="auto"/>
                <w:lang w:val="zh-CN"/>
              </w:rPr>
              <w:t>符合</w:t>
            </w:r>
          </w:p>
        </w:tc>
      </w:tr>
      <w:tr w14:paraId="09D215AB">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869F0B7">
            <w:pPr>
              <w:pStyle w:val="30"/>
              <w:bidi w:val="0"/>
              <w:rPr>
                <w:rFonts w:hint="default"/>
                <w:color w:val="auto"/>
              </w:rPr>
            </w:pPr>
            <w:r>
              <w:rPr>
                <w:rFonts w:hint="default"/>
                <w:color w:val="auto"/>
              </w:rPr>
              <w:t>2.8</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3F19A3C3">
            <w:pPr>
              <w:pStyle w:val="30"/>
              <w:bidi w:val="0"/>
              <w:jc w:val="both"/>
              <w:rPr>
                <w:rFonts w:hint="default"/>
                <w:color w:val="auto"/>
                <w:lang w:val="zh-CN"/>
              </w:rPr>
            </w:pPr>
            <w:r>
              <w:rPr>
                <w:rFonts w:hint="default"/>
                <w:color w:val="auto"/>
                <w:lang w:val="zh-CN"/>
              </w:rPr>
              <w:t>大型建筑物、构筑物，重型设备和生产装置等，应布置在土质均匀、地基承载力较大的地段；对较大、较深的地下建筑物、构筑物，宜布置在地下水位较低的填方地段。</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6D651B97">
            <w:pPr>
              <w:pStyle w:val="30"/>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p>
          <w:p w14:paraId="4F5270FE">
            <w:pPr>
              <w:pStyle w:val="30"/>
              <w:bidi w:val="0"/>
              <w:rPr>
                <w:rFonts w:hint="default"/>
                <w:color w:val="auto"/>
                <w:lang w:val="zh-CN"/>
              </w:rPr>
            </w:pPr>
            <w:r>
              <w:rPr>
                <w:rFonts w:hint="default"/>
                <w:color w:val="auto"/>
                <w:lang w:val="zh-CN"/>
              </w:rPr>
              <w:t>5.2.1</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659231D0">
            <w:pPr>
              <w:pStyle w:val="30"/>
              <w:bidi w:val="0"/>
              <w:rPr>
                <w:rFonts w:hint="default"/>
                <w:color w:val="auto"/>
                <w:lang w:val="zh-CN"/>
              </w:rPr>
            </w:pPr>
            <w:r>
              <w:rPr>
                <w:rFonts w:hint="default"/>
                <w:color w:val="auto"/>
                <w:lang w:val="zh-CN"/>
              </w:rPr>
              <w:t>该项目厂区地质良好，大型设备和生产装置布置在土质均匀、地基承载力较大的地段。</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06EC0610">
            <w:pPr>
              <w:pStyle w:val="30"/>
              <w:bidi w:val="0"/>
              <w:rPr>
                <w:rFonts w:hint="default"/>
                <w:color w:val="auto"/>
                <w:lang w:val="zh-CN"/>
              </w:rPr>
            </w:pPr>
            <w:r>
              <w:rPr>
                <w:rFonts w:hint="default"/>
                <w:color w:val="auto"/>
                <w:lang w:val="zh-CN"/>
              </w:rPr>
              <w:t>符合</w:t>
            </w:r>
          </w:p>
        </w:tc>
      </w:tr>
      <w:tr w14:paraId="2DAFCE0A">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0D411A2D">
            <w:pPr>
              <w:pStyle w:val="30"/>
              <w:bidi w:val="0"/>
              <w:rPr>
                <w:rFonts w:hint="default"/>
                <w:color w:val="auto"/>
              </w:rPr>
            </w:pPr>
            <w:r>
              <w:rPr>
                <w:rFonts w:hint="default"/>
                <w:color w:val="auto"/>
              </w:rPr>
              <w:t>2.9</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5D4A2D3">
            <w:pPr>
              <w:pStyle w:val="30"/>
              <w:bidi w:val="0"/>
              <w:jc w:val="both"/>
              <w:rPr>
                <w:rFonts w:hint="default"/>
                <w:color w:val="auto"/>
                <w:lang w:val="zh-CN"/>
              </w:rPr>
            </w:pPr>
            <w:r>
              <w:rPr>
                <w:rFonts w:hint="default"/>
                <w:color w:val="auto"/>
                <w:lang w:val="zh-CN"/>
              </w:rPr>
              <w:t>仓库与堆场，应根据贮存物料的性质、货流出入方向、供应对象、贮存面积、运输方式等因素，按不同类别相对集中布置，并为运输、装卸、管理创造有利条件，且应符合国家现行的防火、防爆、安全、卫生等工程设计标准的有关规定。</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734E5FEE">
            <w:pPr>
              <w:pStyle w:val="30"/>
              <w:bidi w:val="0"/>
              <w:rPr>
                <w:rFonts w:hint="default"/>
                <w:color w:val="auto"/>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r>
              <w:rPr>
                <w:rFonts w:hint="default"/>
                <w:color w:val="auto"/>
                <w:lang w:val="zh-CN"/>
              </w:rPr>
              <w:t>5.6.1</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55465D3E">
            <w:pPr>
              <w:pStyle w:val="30"/>
              <w:bidi w:val="0"/>
              <w:rPr>
                <w:rFonts w:hint="default"/>
                <w:color w:val="auto"/>
                <w:lang w:val="zh-CN"/>
              </w:rPr>
            </w:pPr>
            <w:r>
              <w:rPr>
                <w:rFonts w:hint="default"/>
                <w:color w:val="auto"/>
                <w:lang w:val="zh-CN"/>
              </w:rPr>
              <w:t>原矿堆场设置在</w:t>
            </w:r>
            <w:r>
              <w:rPr>
                <w:rFonts w:hint="default"/>
                <w:color w:val="auto"/>
                <w:lang w:val="en-US" w:eastAsia="zh-CN"/>
              </w:rPr>
              <w:t>磨矿车间旁</w:t>
            </w:r>
            <w:r>
              <w:rPr>
                <w:rFonts w:hint="default"/>
                <w:color w:val="auto"/>
                <w:lang w:val="zh-CN"/>
              </w:rPr>
              <w:t>，设置有单独的运输通道。</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CDDDAF4">
            <w:pPr>
              <w:pStyle w:val="30"/>
              <w:bidi w:val="0"/>
              <w:rPr>
                <w:rFonts w:hint="default"/>
                <w:color w:val="auto"/>
                <w:lang w:val="zh-CN"/>
              </w:rPr>
            </w:pPr>
            <w:r>
              <w:rPr>
                <w:rFonts w:hint="default"/>
                <w:color w:val="auto"/>
                <w:lang w:val="zh-CN"/>
              </w:rPr>
              <w:t>符合</w:t>
            </w:r>
          </w:p>
        </w:tc>
      </w:tr>
      <w:tr w14:paraId="0B867A84">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70E108C2">
            <w:pPr>
              <w:pStyle w:val="30"/>
              <w:bidi w:val="0"/>
              <w:rPr>
                <w:rFonts w:hint="default"/>
                <w:color w:val="auto"/>
              </w:rPr>
            </w:pPr>
            <w:r>
              <w:rPr>
                <w:rFonts w:hint="default"/>
                <w:color w:val="auto"/>
              </w:rPr>
              <w:t>2.10</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905DA82">
            <w:pPr>
              <w:pStyle w:val="30"/>
              <w:bidi w:val="0"/>
              <w:jc w:val="both"/>
              <w:rPr>
                <w:rFonts w:hint="default"/>
                <w:color w:val="auto"/>
                <w:lang w:val="zh-CN"/>
              </w:rPr>
            </w:pPr>
            <w:r>
              <w:rPr>
                <w:rFonts w:hint="default"/>
                <w:color w:val="auto"/>
                <w:lang w:val="zh-CN"/>
              </w:rPr>
              <w:t>行政办公及生活服务设施的布置，应位于厂区全年最小频率风向的下风侧，并应符合下列要求：</w:t>
            </w:r>
          </w:p>
          <w:p w14:paraId="7AD265AA">
            <w:pPr>
              <w:pStyle w:val="30"/>
              <w:bidi w:val="0"/>
              <w:jc w:val="both"/>
              <w:rPr>
                <w:rFonts w:hint="default"/>
                <w:color w:val="auto"/>
                <w:lang w:val="zh-CN"/>
              </w:rPr>
            </w:pPr>
            <w:r>
              <w:rPr>
                <w:rFonts w:hint="default"/>
                <w:color w:val="auto"/>
                <w:lang w:val="zh-CN"/>
              </w:rPr>
              <w:t>1 应布置在便于行政办公、环境洁净、靠近主要人流出入口、与城镇和居住区联系方便的位置；</w:t>
            </w:r>
          </w:p>
          <w:p w14:paraId="32E81668">
            <w:pPr>
              <w:pStyle w:val="30"/>
              <w:bidi w:val="0"/>
              <w:jc w:val="both"/>
              <w:rPr>
                <w:rFonts w:hint="default"/>
                <w:color w:val="auto"/>
                <w:lang w:val="zh-CN"/>
              </w:rPr>
            </w:pPr>
            <w:r>
              <w:rPr>
                <w:rFonts w:hint="default"/>
                <w:color w:val="auto"/>
                <w:lang w:val="zh-CN"/>
              </w:rPr>
              <w:t>2 行政办公及生活服务设施的用地面积，不得超过工业项目总用地面积的7%。</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10EA3B20">
            <w:pPr>
              <w:pStyle w:val="30"/>
              <w:bidi w:val="0"/>
              <w:rPr>
                <w:rFonts w:hint="default"/>
                <w:color w:val="auto"/>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r>
              <w:rPr>
                <w:rFonts w:hint="default"/>
                <w:color w:val="auto"/>
                <w:lang w:val="zh-CN"/>
              </w:rPr>
              <w:t>5.7.1</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D07EBFA">
            <w:pPr>
              <w:pStyle w:val="30"/>
              <w:bidi w:val="0"/>
              <w:rPr>
                <w:rFonts w:hint="default"/>
                <w:color w:val="auto"/>
                <w:lang w:val="zh-CN"/>
              </w:rPr>
            </w:pPr>
            <w:r>
              <w:rPr>
                <w:rFonts w:hint="default"/>
                <w:color w:val="auto"/>
                <w:lang w:val="zh-CN"/>
              </w:rPr>
              <w:t>当地主导风向为西南风，办公生活区位于厂区中心位置</w:t>
            </w:r>
            <w:r>
              <w:rPr>
                <w:rFonts w:hint="eastAsia"/>
                <w:color w:val="auto"/>
                <w:lang w:val="en-US" w:eastAsia="zh-CN"/>
              </w:rPr>
              <w:t>东</w:t>
            </w:r>
            <w:r>
              <w:rPr>
                <w:rFonts w:hint="default"/>
                <w:color w:val="auto"/>
                <w:lang w:val="en-US" w:eastAsia="zh-CN"/>
              </w:rPr>
              <w:t>北</w:t>
            </w:r>
            <w:r>
              <w:rPr>
                <w:rFonts w:hint="default"/>
                <w:color w:val="auto"/>
                <w:lang w:val="zh-CN"/>
              </w:rPr>
              <w:t>侧。</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269EAEC5">
            <w:pPr>
              <w:pStyle w:val="30"/>
              <w:bidi w:val="0"/>
              <w:rPr>
                <w:rFonts w:hint="default"/>
                <w:color w:val="auto"/>
                <w:lang w:val="zh-CN"/>
              </w:rPr>
            </w:pPr>
            <w:r>
              <w:rPr>
                <w:rFonts w:hint="default"/>
                <w:color w:val="auto"/>
                <w:lang w:val="zh-CN"/>
              </w:rPr>
              <w:t>符合</w:t>
            </w:r>
          </w:p>
        </w:tc>
      </w:tr>
      <w:tr w14:paraId="24EB152A">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339F2C0F">
            <w:pPr>
              <w:pStyle w:val="30"/>
              <w:bidi w:val="0"/>
              <w:rPr>
                <w:rFonts w:hint="default"/>
                <w:color w:val="auto"/>
              </w:rPr>
            </w:pPr>
            <w:r>
              <w:rPr>
                <w:rFonts w:hint="default"/>
                <w:color w:val="auto"/>
              </w:rPr>
              <w:t>2.11</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003BCAE">
            <w:pPr>
              <w:pStyle w:val="30"/>
              <w:bidi w:val="0"/>
              <w:jc w:val="both"/>
              <w:rPr>
                <w:rFonts w:hint="default"/>
                <w:color w:val="auto"/>
                <w:lang w:val="zh-CN"/>
              </w:rPr>
            </w:pPr>
            <w:r>
              <w:rPr>
                <w:rFonts w:hint="default"/>
                <w:color w:val="auto"/>
                <w:lang w:val="zh-CN"/>
              </w:rPr>
              <w:t>确定建构筑物位置时，遵守下列规定：1荷载较大的建构筑物（破碎间、磨矿间、精矿仓</w:t>
            </w:r>
            <w:r>
              <w:rPr>
                <w:rFonts w:hint="eastAsia"/>
                <w:color w:val="auto"/>
                <w:lang w:val="zh-CN"/>
              </w:rPr>
              <w:t>）</w:t>
            </w:r>
            <w:r>
              <w:rPr>
                <w:rFonts w:hint="default"/>
                <w:color w:val="auto"/>
                <w:lang w:val="zh-CN"/>
              </w:rPr>
              <w:t>，布置在地质条件较好的地段</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35F1AD29">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739E7FEC">
            <w:pPr>
              <w:pStyle w:val="30"/>
              <w:bidi w:val="0"/>
              <w:rPr>
                <w:rFonts w:hint="default"/>
                <w:color w:val="auto"/>
                <w:lang w:val="zh-CN"/>
              </w:rPr>
            </w:pPr>
            <w:r>
              <w:rPr>
                <w:rFonts w:hint="default"/>
                <w:color w:val="auto"/>
                <w:lang w:val="zh-CN"/>
              </w:rPr>
              <w:t>5.2.1</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28361A0F">
            <w:pPr>
              <w:pStyle w:val="30"/>
              <w:bidi w:val="0"/>
              <w:rPr>
                <w:rFonts w:hint="default"/>
                <w:color w:val="auto"/>
                <w:lang w:val="zh-CN"/>
              </w:rPr>
            </w:pPr>
            <w:r>
              <w:rPr>
                <w:rFonts w:hint="default"/>
                <w:color w:val="auto"/>
                <w:lang w:val="zh-CN"/>
              </w:rPr>
              <w:t>生产区分为5个平台，回水池位于最高平台2165.00m平台，原料堆场位于第二平台2158.50m、破碎工序位于第三平台2150.50m平台、选矿车间位于第四平台2147.60m、尾矿脱水平台位于第五平台2130.50m平台。办公生活区位2137.70m平台。</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9E083EA">
            <w:pPr>
              <w:pStyle w:val="30"/>
              <w:bidi w:val="0"/>
              <w:rPr>
                <w:rFonts w:hint="default"/>
                <w:color w:val="auto"/>
                <w:lang w:val="zh-CN"/>
              </w:rPr>
            </w:pPr>
            <w:r>
              <w:rPr>
                <w:rFonts w:hint="default"/>
                <w:color w:val="auto"/>
                <w:lang w:val="zh-CN"/>
              </w:rPr>
              <w:t>符合</w:t>
            </w:r>
          </w:p>
        </w:tc>
      </w:tr>
      <w:tr w14:paraId="6317C816">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51294A8A">
            <w:pPr>
              <w:pStyle w:val="30"/>
              <w:bidi w:val="0"/>
              <w:rPr>
                <w:rFonts w:hint="default"/>
                <w:color w:val="auto"/>
              </w:rPr>
            </w:pPr>
            <w:r>
              <w:rPr>
                <w:rFonts w:hint="default"/>
                <w:color w:val="auto"/>
              </w:rPr>
              <w:t>2.12</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4058F454">
            <w:pPr>
              <w:pStyle w:val="30"/>
              <w:bidi w:val="0"/>
              <w:jc w:val="both"/>
              <w:rPr>
                <w:rFonts w:hint="default"/>
                <w:color w:val="auto"/>
                <w:lang w:val="zh-CN"/>
              </w:rPr>
            </w:pPr>
            <w:r>
              <w:rPr>
                <w:rFonts w:hint="default"/>
                <w:color w:val="auto"/>
                <w:lang w:val="zh-CN"/>
              </w:rPr>
              <w:t>建构筑物之间的防火间距和消防车道的布置，应符合GBJ</w:t>
            </w:r>
            <w:r>
              <w:rPr>
                <w:rFonts w:hint="default"/>
                <w:color w:val="auto"/>
                <w:lang w:val="en-US" w:eastAsia="zh-CN"/>
              </w:rPr>
              <w:t xml:space="preserve"> </w:t>
            </w:r>
            <w:r>
              <w:rPr>
                <w:rFonts w:hint="default"/>
                <w:color w:val="auto"/>
                <w:lang w:val="zh-CN"/>
              </w:rPr>
              <w:t>16的有关规定。</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3BD9EF8">
            <w:pPr>
              <w:pStyle w:val="30"/>
              <w:bidi w:val="0"/>
              <w:rPr>
                <w:rFonts w:hint="default"/>
                <w:color w:val="auto"/>
              </w:rPr>
            </w:pPr>
            <w:r>
              <w:rPr>
                <w:rFonts w:hint="default"/>
                <w:color w:val="auto"/>
                <w:lang w:val="zh-CN"/>
              </w:rPr>
              <w:t>《选矿安全规程》</w:t>
            </w:r>
            <w:r>
              <w:rPr>
                <w:rFonts w:hint="eastAsia"/>
                <w:color w:val="auto"/>
                <w:lang w:val="zh-CN"/>
              </w:rPr>
              <w:t>（GB/T 18152-2000）</w:t>
            </w:r>
            <w:r>
              <w:rPr>
                <w:rFonts w:hint="default"/>
                <w:color w:val="auto"/>
                <w:lang w:val="zh-CN"/>
              </w:rPr>
              <w:t>5.2.2</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5554AD2">
            <w:pPr>
              <w:pStyle w:val="30"/>
              <w:bidi w:val="0"/>
              <w:rPr>
                <w:rFonts w:hint="default"/>
                <w:color w:val="auto"/>
                <w:lang w:val="zh-CN"/>
              </w:rPr>
            </w:pPr>
            <w:r>
              <w:rPr>
                <w:rFonts w:hint="default"/>
                <w:color w:val="auto"/>
                <w:lang w:val="zh-CN"/>
              </w:rPr>
              <w:t>场地内各段运输道路宽度均不小于4.0m</w:t>
            </w:r>
            <w:r>
              <w:rPr>
                <w:rFonts w:hint="eastAsia"/>
                <w:color w:val="auto"/>
                <w:lang w:val="zh-CN"/>
              </w:rPr>
              <w:t>。</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69C45DFF">
            <w:pPr>
              <w:pStyle w:val="30"/>
              <w:bidi w:val="0"/>
              <w:rPr>
                <w:rFonts w:hint="default"/>
                <w:color w:val="auto"/>
                <w:lang w:val="zh-CN"/>
              </w:rPr>
            </w:pPr>
            <w:r>
              <w:rPr>
                <w:rFonts w:hint="default"/>
                <w:color w:val="auto"/>
                <w:lang w:val="zh-CN"/>
              </w:rPr>
              <w:t>符合</w:t>
            </w:r>
          </w:p>
        </w:tc>
      </w:tr>
      <w:tr w14:paraId="77385BCA">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16F5B33C">
            <w:pPr>
              <w:pStyle w:val="30"/>
              <w:bidi w:val="0"/>
              <w:rPr>
                <w:rFonts w:hint="default"/>
                <w:color w:val="auto"/>
              </w:rPr>
            </w:pPr>
            <w:r>
              <w:rPr>
                <w:rFonts w:hint="default"/>
                <w:color w:val="auto"/>
              </w:rPr>
              <w:t>2.13</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5D20FF3E">
            <w:pPr>
              <w:pStyle w:val="30"/>
              <w:bidi w:val="0"/>
              <w:jc w:val="both"/>
              <w:rPr>
                <w:rFonts w:hint="default"/>
                <w:color w:val="auto"/>
                <w:lang w:val="zh-CN"/>
              </w:rPr>
            </w:pPr>
            <w:r>
              <w:rPr>
                <w:rFonts w:hint="default"/>
                <w:color w:val="auto"/>
                <w:lang w:val="zh-CN"/>
              </w:rPr>
              <w:t>应设置通达厂房、仓库和可燃原料堆场的消防通道（也可利用交通运输</w:t>
            </w:r>
            <w:r>
              <w:rPr>
                <w:rFonts w:hint="eastAsia"/>
                <w:color w:val="auto"/>
                <w:lang w:val="zh-CN"/>
              </w:rPr>
              <w:t>）</w:t>
            </w:r>
            <w:r>
              <w:rPr>
                <w:rFonts w:hint="default"/>
                <w:color w:val="auto"/>
                <w:lang w:val="zh-CN"/>
              </w:rPr>
              <w:t>，其宽度应不小于3.5m。尽头式消防车道，应设回车道或不小于12m×12m的回车场。</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1BFC6454">
            <w:pPr>
              <w:pStyle w:val="30"/>
              <w:bidi w:val="0"/>
              <w:rPr>
                <w:rFonts w:hint="default"/>
                <w:color w:val="auto"/>
              </w:rPr>
            </w:pPr>
            <w:r>
              <w:rPr>
                <w:rFonts w:hint="default"/>
                <w:color w:val="auto"/>
                <w:lang w:val="zh-CN"/>
              </w:rPr>
              <w:t>《选矿安全规程》</w:t>
            </w:r>
            <w:r>
              <w:rPr>
                <w:rFonts w:hint="eastAsia"/>
                <w:color w:val="auto"/>
                <w:lang w:val="zh-CN"/>
              </w:rPr>
              <w:t>（GB/T 18152-2000）</w:t>
            </w:r>
            <w:r>
              <w:rPr>
                <w:rFonts w:hint="default"/>
                <w:color w:val="auto"/>
                <w:lang w:val="zh-CN"/>
              </w:rPr>
              <w:t>5.2.3</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B784D63">
            <w:pPr>
              <w:pStyle w:val="30"/>
              <w:bidi w:val="0"/>
              <w:rPr>
                <w:rFonts w:hint="default"/>
                <w:color w:val="auto"/>
                <w:lang w:val="zh-CN"/>
              </w:rPr>
            </w:pPr>
            <w:r>
              <w:rPr>
                <w:rFonts w:hint="default"/>
                <w:color w:val="auto"/>
                <w:lang w:val="zh-CN"/>
              </w:rPr>
              <w:t>场地内各段运输道路宽度均不小于4.0m</w:t>
            </w:r>
            <w:r>
              <w:rPr>
                <w:rFonts w:hint="eastAsia"/>
                <w:color w:val="auto"/>
                <w:lang w:val="zh-CN"/>
              </w:rPr>
              <w:t>。</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0F723C82">
            <w:pPr>
              <w:pStyle w:val="30"/>
              <w:bidi w:val="0"/>
              <w:rPr>
                <w:rFonts w:hint="default"/>
                <w:color w:val="auto"/>
                <w:lang w:val="zh-CN"/>
              </w:rPr>
            </w:pPr>
            <w:r>
              <w:rPr>
                <w:rFonts w:hint="default"/>
                <w:color w:val="auto"/>
                <w:lang w:val="zh-CN"/>
              </w:rPr>
              <w:t>符合</w:t>
            </w:r>
          </w:p>
        </w:tc>
      </w:tr>
      <w:tr w14:paraId="222C33F0">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206CEB81">
            <w:pPr>
              <w:pStyle w:val="30"/>
              <w:bidi w:val="0"/>
              <w:rPr>
                <w:rFonts w:hint="default"/>
                <w:color w:val="auto"/>
              </w:rPr>
            </w:pPr>
            <w:r>
              <w:rPr>
                <w:rFonts w:hint="default"/>
                <w:color w:val="auto"/>
              </w:rPr>
              <w:t>2.14</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7197386D">
            <w:pPr>
              <w:pStyle w:val="30"/>
              <w:bidi w:val="0"/>
              <w:jc w:val="both"/>
              <w:rPr>
                <w:rFonts w:hint="default"/>
                <w:color w:val="auto"/>
                <w:lang w:val="zh-CN"/>
              </w:rPr>
            </w:pPr>
            <w:r>
              <w:rPr>
                <w:rFonts w:hint="default"/>
                <w:color w:val="auto"/>
                <w:lang w:val="zh-CN"/>
              </w:rPr>
              <w:t>厂区铁路、道路的布置，应符合GB</w:t>
            </w:r>
            <w:r>
              <w:rPr>
                <w:rFonts w:hint="default"/>
                <w:color w:val="auto"/>
                <w:lang w:val="en-US" w:eastAsia="zh-CN"/>
              </w:rPr>
              <w:t xml:space="preserve"> </w:t>
            </w:r>
            <w:r>
              <w:rPr>
                <w:rFonts w:hint="default"/>
                <w:color w:val="auto"/>
                <w:lang w:val="zh-CN"/>
              </w:rPr>
              <w:t>4837、GB</w:t>
            </w:r>
            <w:r>
              <w:rPr>
                <w:rFonts w:hint="default"/>
                <w:color w:val="auto"/>
                <w:lang w:val="en-US" w:eastAsia="zh-CN"/>
              </w:rPr>
              <w:t xml:space="preserve"> </w:t>
            </w:r>
            <w:r>
              <w:rPr>
                <w:rFonts w:hint="default"/>
                <w:color w:val="auto"/>
                <w:lang w:val="zh-CN"/>
              </w:rPr>
              <w:t>146.1、GB</w:t>
            </w:r>
            <w:r>
              <w:rPr>
                <w:rFonts w:hint="default"/>
                <w:color w:val="auto"/>
                <w:lang w:val="en-US" w:eastAsia="zh-CN"/>
              </w:rPr>
              <w:t xml:space="preserve"> </w:t>
            </w:r>
            <w:r>
              <w:rPr>
                <w:rFonts w:hint="default"/>
                <w:color w:val="auto"/>
                <w:lang w:val="zh-CN"/>
              </w:rPr>
              <w:t>146.2、GBJ</w:t>
            </w:r>
            <w:r>
              <w:rPr>
                <w:rFonts w:hint="default"/>
                <w:color w:val="auto"/>
                <w:lang w:val="en-US" w:eastAsia="zh-CN"/>
              </w:rPr>
              <w:t xml:space="preserve"> </w:t>
            </w:r>
            <w:r>
              <w:rPr>
                <w:rFonts w:hint="default"/>
                <w:color w:val="auto"/>
                <w:lang w:val="zh-CN"/>
              </w:rPr>
              <w:t>12和GBJ</w:t>
            </w:r>
            <w:r>
              <w:rPr>
                <w:rFonts w:hint="default"/>
                <w:color w:val="auto"/>
                <w:lang w:val="en-US" w:eastAsia="zh-CN"/>
              </w:rPr>
              <w:t xml:space="preserve"> </w:t>
            </w:r>
            <w:r>
              <w:rPr>
                <w:rFonts w:hint="default"/>
                <w:color w:val="auto"/>
                <w:lang w:val="zh-CN"/>
              </w:rPr>
              <w:t>22的有关规定。</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420A69DF">
            <w:pPr>
              <w:pStyle w:val="30"/>
              <w:bidi w:val="0"/>
              <w:rPr>
                <w:rFonts w:hint="default"/>
                <w:color w:val="auto"/>
              </w:rPr>
            </w:pPr>
            <w:r>
              <w:rPr>
                <w:rFonts w:hint="default"/>
                <w:color w:val="auto"/>
                <w:lang w:val="zh-CN"/>
              </w:rPr>
              <w:t>《选矿安全规程》</w:t>
            </w:r>
            <w:r>
              <w:rPr>
                <w:rFonts w:hint="eastAsia"/>
                <w:color w:val="auto"/>
                <w:lang w:val="zh-CN"/>
              </w:rPr>
              <w:t>（GB/T 18152-2000）</w:t>
            </w:r>
            <w:r>
              <w:rPr>
                <w:rFonts w:hint="default"/>
                <w:color w:val="auto"/>
                <w:lang w:val="zh-CN"/>
              </w:rPr>
              <w:t>5.2.5</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76A978F2">
            <w:pPr>
              <w:pStyle w:val="30"/>
              <w:bidi w:val="0"/>
              <w:rPr>
                <w:rFonts w:hint="default"/>
                <w:color w:val="auto"/>
                <w:lang w:val="zh-CN"/>
              </w:rPr>
            </w:pPr>
            <w:r>
              <w:rPr>
                <w:rFonts w:hint="default"/>
                <w:color w:val="auto"/>
                <w:lang w:val="zh-CN"/>
              </w:rPr>
              <w:t>场地交通便利，道路布置符合要求。</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08D96560">
            <w:pPr>
              <w:pStyle w:val="30"/>
              <w:bidi w:val="0"/>
              <w:rPr>
                <w:rFonts w:hint="default"/>
                <w:color w:val="auto"/>
                <w:lang w:val="zh-CN"/>
              </w:rPr>
            </w:pPr>
            <w:r>
              <w:rPr>
                <w:rFonts w:hint="default"/>
                <w:color w:val="auto"/>
                <w:lang w:val="zh-CN"/>
              </w:rPr>
              <w:t>符合</w:t>
            </w:r>
          </w:p>
        </w:tc>
      </w:tr>
      <w:tr w14:paraId="49AD8A44">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66C7318B">
            <w:pPr>
              <w:pStyle w:val="30"/>
              <w:bidi w:val="0"/>
              <w:rPr>
                <w:rFonts w:hint="default"/>
                <w:color w:val="auto"/>
              </w:rPr>
            </w:pPr>
            <w:r>
              <w:rPr>
                <w:rFonts w:hint="default"/>
                <w:color w:val="auto"/>
              </w:rPr>
              <w:t>3</w:t>
            </w:r>
          </w:p>
        </w:tc>
        <w:tc>
          <w:tcPr>
            <w:tcW w:w="8598" w:type="dxa"/>
            <w:gridSpan w:val="4"/>
            <w:tcBorders>
              <w:top w:val="single" w:color="auto" w:sz="6" w:space="0"/>
              <w:left w:val="single" w:color="auto" w:sz="6" w:space="0"/>
              <w:bottom w:val="single" w:color="auto" w:sz="6" w:space="0"/>
              <w:right w:val="single" w:color="auto" w:sz="6" w:space="0"/>
            </w:tcBorders>
            <w:noWrap w:val="0"/>
            <w:vAlign w:val="center"/>
          </w:tcPr>
          <w:p w14:paraId="670BEEBD">
            <w:pPr>
              <w:pStyle w:val="30"/>
              <w:bidi w:val="0"/>
              <w:jc w:val="center"/>
              <w:rPr>
                <w:rFonts w:hint="default"/>
                <w:color w:val="auto"/>
              </w:rPr>
            </w:pPr>
            <w:r>
              <w:rPr>
                <w:rFonts w:hint="default"/>
                <w:color w:val="auto"/>
                <w:lang w:val="zh-CN"/>
              </w:rPr>
              <w:t>厂区道路</w:t>
            </w:r>
          </w:p>
        </w:tc>
      </w:tr>
      <w:tr w14:paraId="314D476F">
        <w:tblPrEx>
          <w:tblCellMar>
            <w:top w:w="0" w:type="dxa"/>
            <w:left w:w="108" w:type="dxa"/>
            <w:bottom w:w="0" w:type="dxa"/>
            <w:right w:w="108" w:type="dxa"/>
          </w:tblCellMar>
        </w:tblPrEx>
        <w:trPr>
          <w:trHeight w:val="1245" w:hRule="atLeast"/>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0F974CC1">
            <w:pPr>
              <w:pStyle w:val="30"/>
              <w:bidi w:val="0"/>
              <w:rPr>
                <w:rFonts w:hint="default"/>
                <w:color w:val="auto"/>
              </w:rPr>
            </w:pPr>
            <w:r>
              <w:rPr>
                <w:rFonts w:hint="default"/>
                <w:color w:val="auto"/>
              </w:rPr>
              <w:t>3.1</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118E5D55">
            <w:pPr>
              <w:pStyle w:val="30"/>
              <w:bidi w:val="0"/>
              <w:jc w:val="both"/>
              <w:rPr>
                <w:rFonts w:hint="default"/>
                <w:color w:val="auto"/>
                <w:lang w:val="zh-CN"/>
              </w:rPr>
            </w:pPr>
            <w:r>
              <w:rPr>
                <w:rFonts w:hint="default"/>
                <w:color w:val="auto"/>
                <w:lang w:val="zh-CN"/>
              </w:rPr>
              <w:t>选厂物料运输主要在原矿堆场、磨矿车间、重选车间、磁选车间、脱水车间之间。运输方式主要为管道运输和铲车运输。</w:t>
            </w:r>
          </w:p>
          <w:p w14:paraId="18BB6094">
            <w:pPr>
              <w:pStyle w:val="30"/>
              <w:bidi w:val="0"/>
              <w:jc w:val="both"/>
              <w:rPr>
                <w:rFonts w:hint="default"/>
                <w:color w:val="auto"/>
                <w:lang w:val="zh-CN"/>
              </w:rPr>
            </w:pPr>
            <w:r>
              <w:rPr>
                <w:rFonts w:hint="default"/>
                <w:color w:val="auto"/>
                <w:lang w:val="zh-CN"/>
              </w:rPr>
              <w:t>厂外物料运输为汽车运输方式。全厂大宗货物主要是运入原矿、运出精矿以及将尾矿运输至砖厂，其它辅料等运入量相对较小。按照运输量测算交通运输组织方式。全厂需要装载机3台。</w:t>
            </w:r>
          </w:p>
          <w:p w14:paraId="5CE88316">
            <w:pPr>
              <w:pStyle w:val="30"/>
              <w:bidi w:val="0"/>
              <w:jc w:val="both"/>
              <w:rPr>
                <w:rFonts w:hint="default"/>
                <w:color w:val="auto"/>
                <w:lang w:val="zh-CN"/>
              </w:rPr>
            </w:pPr>
            <w:r>
              <w:rPr>
                <w:rFonts w:hint="default"/>
                <w:color w:val="auto"/>
                <w:lang w:val="zh-CN"/>
              </w:rPr>
              <w:t>每年运出铁精矿32000t，铜精矿2200t，精矿由汽车运输对外出售，尾矿通过铲车运输至砖厂。</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53FFB990">
            <w:pPr>
              <w:pStyle w:val="30"/>
              <w:bidi w:val="0"/>
              <w:rPr>
                <w:rFonts w:hint="default"/>
                <w:color w:val="auto"/>
                <w:lang w:val="zh-CN"/>
              </w:rPr>
            </w:pPr>
            <w:r>
              <w:rPr>
                <w:rFonts w:hint="default"/>
                <w:color w:val="auto"/>
                <w:lang w:val="zh-CN"/>
              </w:rPr>
              <w:t>《初步设计》</w:t>
            </w:r>
          </w:p>
          <w:p w14:paraId="41971781">
            <w:pPr>
              <w:pStyle w:val="30"/>
              <w:bidi w:val="0"/>
              <w:rPr>
                <w:rFonts w:hint="default"/>
                <w:color w:val="auto"/>
                <w:lang w:val="zh-CN"/>
              </w:rPr>
            </w:pPr>
            <w:r>
              <w:rPr>
                <w:rFonts w:hint="default"/>
                <w:color w:val="auto"/>
                <w:lang w:val="zh-CN"/>
              </w:rPr>
              <w:t>第</w:t>
            </w:r>
            <w:r>
              <w:rPr>
                <w:rFonts w:hint="eastAsia"/>
                <w:color w:val="auto"/>
                <w:lang w:val="en-US" w:eastAsia="zh-CN"/>
              </w:rPr>
              <w:t>5.2</w:t>
            </w:r>
            <w:r>
              <w:rPr>
                <w:rFonts w:hint="default"/>
                <w:color w:val="auto"/>
                <w:lang w:val="zh-CN"/>
              </w:rPr>
              <w:t>节</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46A3227F">
            <w:pPr>
              <w:pStyle w:val="30"/>
              <w:bidi w:val="0"/>
              <w:rPr>
                <w:rFonts w:hint="default"/>
                <w:color w:val="auto"/>
                <w:lang w:val="en-US" w:eastAsia="zh-CN"/>
              </w:rPr>
            </w:pPr>
            <w:r>
              <w:rPr>
                <w:rFonts w:hint="default"/>
                <w:color w:val="auto"/>
              </w:rPr>
              <w:t>场内道路能够通行满足原矿运入、精矿及尾</w:t>
            </w:r>
            <w:r>
              <w:rPr>
                <w:rFonts w:hint="default"/>
                <w:color w:val="auto"/>
                <w:lang w:val="en-US" w:eastAsia="zh-CN"/>
              </w:rPr>
              <w:t>矿</w:t>
            </w:r>
            <w:r>
              <w:rPr>
                <w:rFonts w:hint="default"/>
                <w:color w:val="auto"/>
              </w:rPr>
              <w:t>运出的车辆，矿浆等采用管道运输</w:t>
            </w:r>
            <w:r>
              <w:rPr>
                <w:rFonts w:hint="eastAsia"/>
                <w:color w:val="auto"/>
                <w:lang w:val="en-US" w:eastAsia="zh-CN"/>
              </w:rPr>
              <w:t>和</w:t>
            </w:r>
            <w:r>
              <w:rPr>
                <w:rFonts w:hint="default"/>
                <w:color w:val="auto"/>
                <w:lang w:val="zh-CN"/>
              </w:rPr>
              <w:t>铲车运输</w:t>
            </w:r>
            <w:r>
              <w:rPr>
                <w:rFonts w:hint="default"/>
                <w:color w:val="auto"/>
                <w:lang w:eastAsia="zh-CN"/>
              </w:rPr>
              <w:t>，</w:t>
            </w:r>
            <w:r>
              <w:rPr>
                <w:rFonts w:hint="default"/>
                <w:color w:val="auto"/>
                <w:lang w:val="en-US" w:eastAsia="zh-CN"/>
              </w:rPr>
              <w:t>原矿</w:t>
            </w:r>
            <w:r>
              <w:rPr>
                <w:rFonts w:hint="eastAsia"/>
                <w:color w:val="auto"/>
                <w:lang w:val="en-US" w:eastAsia="zh-CN"/>
              </w:rPr>
              <w:t>、精矿</w:t>
            </w:r>
            <w:r>
              <w:rPr>
                <w:rFonts w:hint="default"/>
                <w:color w:val="auto"/>
                <w:lang w:val="en-US" w:eastAsia="zh-CN"/>
              </w:rPr>
              <w:t>及尾矿采用</w:t>
            </w:r>
            <w:r>
              <w:rPr>
                <w:rFonts w:hint="eastAsia"/>
                <w:color w:val="auto"/>
                <w:lang w:val="en-US" w:eastAsia="zh-CN"/>
              </w:rPr>
              <w:t>3</w:t>
            </w:r>
            <w:r>
              <w:rPr>
                <w:rFonts w:hint="default"/>
                <w:color w:val="auto"/>
                <w:lang w:val="en-US" w:eastAsia="zh-CN"/>
              </w:rPr>
              <w:t>台装载机运输。</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34203888">
            <w:pPr>
              <w:pStyle w:val="30"/>
              <w:bidi w:val="0"/>
              <w:rPr>
                <w:rFonts w:hint="default"/>
                <w:color w:val="auto"/>
              </w:rPr>
            </w:pPr>
            <w:r>
              <w:rPr>
                <w:rFonts w:hint="default"/>
                <w:color w:val="auto"/>
              </w:rPr>
              <w:t>符合</w:t>
            </w:r>
          </w:p>
        </w:tc>
      </w:tr>
      <w:tr w14:paraId="0AAE49F2">
        <w:tblPrEx>
          <w:tblCellMar>
            <w:top w:w="0" w:type="dxa"/>
            <w:left w:w="108" w:type="dxa"/>
            <w:bottom w:w="0" w:type="dxa"/>
            <w:right w:w="108" w:type="dxa"/>
          </w:tblCellMar>
        </w:tblPrEx>
        <w:trPr>
          <w:trHeight w:val="660" w:hRule="atLeast"/>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3611A556">
            <w:pPr>
              <w:pStyle w:val="30"/>
              <w:bidi w:val="0"/>
              <w:rPr>
                <w:rFonts w:hint="default"/>
                <w:color w:val="auto"/>
              </w:rPr>
            </w:pPr>
            <w:r>
              <w:rPr>
                <w:rFonts w:hint="default"/>
                <w:color w:val="auto"/>
              </w:rPr>
              <w:t>3.2</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2DFFA55">
            <w:pPr>
              <w:pStyle w:val="30"/>
              <w:bidi w:val="0"/>
              <w:jc w:val="both"/>
              <w:rPr>
                <w:rFonts w:hint="default"/>
                <w:color w:val="auto"/>
                <w:lang w:val="zh-CN"/>
              </w:rPr>
            </w:pPr>
            <w:r>
              <w:rPr>
                <w:rFonts w:hint="default"/>
                <w:color w:val="auto"/>
                <w:lang w:val="zh-CN"/>
              </w:rPr>
              <w:t>厂外道路已形成，为原有简易道路，宽度4~6m，路面为土石路面。厂内通过主要道路联系各个车间，进入生产区的道路路面宽度5m。道路路面结构为面层C25混凝土25cm，垫层35cm。为保护路面，厂区主干道设置立路牙，道路采用单面横坡，横坡坡度为1.5%。厂内与厂外道路的连接道路采用泥结碎石路面，路宽6m。厂内道路坡度控制在10%以内。</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4C89DA6C">
            <w:pPr>
              <w:pStyle w:val="30"/>
              <w:bidi w:val="0"/>
              <w:rPr>
                <w:rFonts w:hint="default"/>
                <w:color w:val="auto"/>
                <w:lang w:val="zh-CN"/>
              </w:rPr>
            </w:pPr>
            <w:r>
              <w:rPr>
                <w:rFonts w:hint="default"/>
                <w:color w:val="auto"/>
                <w:lang w:val="zh-CN"/>
              </w:rPr>
              <w:t>《初步设计》</w:t>
            </w:r>
          </w:p>
          <w:p w14:paraId="2269CB9D">
            <w:pPr>
              <w:pStyle w:val="30"/>
              <w:bidi w:val="0"/>
              <w:rPr>
                <w:rFonts w:hint="default"/>
                <w:color w:val="auto"/>
                <w:lang w:val="zh-CN"/>
              </w:rPr>
            </w:pPr>
            <w:r>
              <w:rPr>
                <w:rFonts w:hint="default"/>
                <w:color w:val="auto"/>
                <w:lang w:val="zh-CN"/>
              </w:rPr>
              <w:t>第</w:t>
            </w:r>
            <w:r>
              <w:rPr>
                <w:rFonts w:hint="default"/>
                <w:color w:val="auto"/>
                <w:lang w:val="en-US" w:eastAsia="zh-CN"/>
              </w:rPr>
              <w:t>5.3</w:t>
            </w:r>
            <w:r>
              <w:rPr>
                <w:rFonts w:hint="default"/>
                <w:color w:val="auto"/>
                <w:lang w:val="zh-CN"/>
              </w:rPr>
              <w:t>节</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4C2A58EF">
            <w:pPr>
              <w:pStyle w:val="30"/>
              <w:bidi w:val="0"/>
              <w:rPr>
                <w:rFonts w:hint="default"/>
                <w:color w:val="auto"/>
                <w:lang w:val="zh-CN" w:eastAsia="zh-CN"/>
              </w:rPr>
            </w:pPr>
            <w:r>
              <w:rPr>
                <w:rFonts w:hint="default"/>
                <w:color w:val="auto"/>
                <w:lang w:val="zh-CN"/>
              </w:rPr>
              <w:t>厂区</w:t>
            </w:r>
            <w:r>
              <w:rPr>
                <w:rFonts w:hint="default"/>
                <w:color w:val="auto"/>
                <w:lang w:val="en-US" w:eastAsia="zh-CN"/>
              </w:rPr>
              <w:t>道路已形成，</w:t>
            </w:r>
            <w:r>
              <w:rPr>
                <w:rFonts w:hint="default"/>
                <w:color w:val="auto"/>
                <w:lang w:val="zh-CN"/>
              </w:rPr>
              <w:t>宽度</w:t>
            </w:r>
            <w:r>
              <w:rPr>
                <w:rFonts w:hint="default"/>
                <w:color w:val="auto"/>
                <w:lang w:val="en-US" w:eastAsia="zh-CN"/>
              </w:rPr>
              <w:t>4-6</w:t>
            </w:r>
            <w:r>
              <w:rPr>
                <w:rFonts w:hint="default"/>
                <w:color w:val="auto"/>
                <w:lang w:val="zh-CN"/>
              </w:rPr>
              <w:t>m，路面为土石路面。厂内通过主要道路联系各个车间，进入生产区的道路路面宽度5m</w:t>
            </w:r>
            <w:r>
              <w:rPr>
                <w:rFonts w:hint="eastAsia"/>
                <w:color w:val="auto"/>
                <w:lang w:val="zh-CN"/>
              </w:rPr>
              <w:t>。</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40603542">
            <w:pPr>
              <w:pStyle w:val="30"/>
              <w:bidi w:val="0"/>
              <w:rPr>
                <w:rFonts w:hint="default"/>
                <w:color w:val="auto"/>
              </w:rPr>
            </w:pPr>
            <w:r>
              <w:rPr>
                <w:rFonts w:hint="default"/>
                <w:color w:val="auto"/>
              </w:rPr>
              <w:t>符合</w:t>
            </w:r>
          </w:p>
        </w:tc>
      </w:tr>
      <w:tr w14:paraId="35BA782E">
        <w:tblPrEx>
          <w:tblCellMar>
            <w:top w:w="0" w:type="dxa"/>
            <w:left w:w="108" w:type="dxa"/>
            <w:bottom w:w="0" w:type="dxa"/>
            <w:right w:w="108" w:type="dxa"/>
          </w:tblCellMar>
        </w:tblPrEx>
        <w:trPr>
          <w:trHeight w:val="3407" w:hRule="atLeast"/>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72247B80">
            <w:pPr>
              <w:pStyle w:val="30"/>
              <w:bidi w:val="0"/>
              <w:rPr>
                <w:rFonts w:hint="default"/>
                <w:color w:val="auto"/>
              </w:rPr>
            </w:pPr>
            <w:r>
              <w:rPr>
                <w:rFonts w:hint="default"/>
                <w:color w:val="auto"/>
              </w:rPr>
              <w:t>3.3</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019AE2E">
            <w:pPr>
              <w:pStyle w:val="30"/>
              <w:bidi w:val="0"/>
              <w:jc w:val="both"/>
              <w:rPr>
                <w:rFonts w:hint="default"/>
                <w:color w:val="auto"/>
              </w:rPr>
            </w:pPr>
            <w:r>
              <w:rPr>
                <w:rFonts w:hint="default"/>
                <w:color w:val="auto"/>
              </w:rPr>
              <w:t>厂区道路运输严格执行《工业企业厂内铁路、道路运输安全规程》GB4387道路运输的要求。厂内道路在弯道的横净距和交叉口的视距三角形范围内，无妨碍驾驶员视线的障碍物。</w:t>
            </w:r>
          </w:p>
          <w:p w14:paraId="3C2FCC86">
            <w:pPr>
              <w:pStyle w:val="30"/>
              <w:bidi w:val="0"/>
              <w:jc w:val="both"/>
              <w:rPr>
                <w:rFonts w:hint="default"/>
                <w:color w:val="auto"/>
              </w:rPr>
            </w:pPr>
            <w:r>
              <w:rPr>
                <w:rFonts w:hint="default"/>
                <w:color w:val="auto"/>
              </w:rPr>
              <w:t>厂区内和车间行驶，应遵循规定的道路，不得从传动带、工程脚手架和低垂的电线下通过。</w:t>
            </w:r>
          </w:p>
          <w:p w14:paraId="653BEA1D">
            <w:pPr>
              <w:pStyle w:val="30"/>
              <w:bidi w:val="0"/>
              <w:jc w:val="both"/>
              <w:rPr>
                <w:rFonts w:hint="default"/>
                <w:color w:val="auto"/>
              </w:rPr>
            </w:pPr>
            <w:r>
              <w:rPr>
                <w:rFonts w:hint="default"/>
                <w:color w:val="auto"/>
              </w:rPr>
              <w:t>机动车在无限速标志的厂内道路行驶时，不得超过20km/h。恶劣天气能见度在5m以内或能见度在10m以内，道路最大纵坡在6%以上时，应停止行驶。车辆必须经过车辆管理机关检验合格，领取号牌和行驶证，方准行驶。号牌和行驶证不准转借、涂改或伪造。</w:t>
            </w:r>
          </w:p>
          <w:p w14:paraId="362EA0AB">
            <w:pPr>
              <w:pStyle w:val="30"/>
              <w:bidi w:val="0"/>
              <w:jc w:val="both"/>
              <w:rPr>
                <w:rFonts w:hint="default"/>
                <w:color w:val="auto"/>
                <w:lang w:val="zh-CN"/>
              </w:rPr>
            </w:pPr>
            <w:r>
              <w:rPr>
                <w:rFonts w:hint="default"/>
                <w:color w:val="auto"/>
              </w:rPr>
              <w:t>机动车的制动器、转向器、喇叭、灯光、雨刷好后视镜必须保持齐全有效，行驶途中，如制动器、转向器、喇叭、灯光发生故障，应停止运行，并在醒目处设置“注意危险”标志后进行修复。</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149C3BE">
            <w:pPr>
              <w:pStyle w:val="30"/>
              <w:bidi w:val="0"/>
              <w:rPr>
                <w:rFonts w:hint="default"/>
                <w:color w:val="auto"/>
              </w:rPr>
            </w:pPr>
            <w:r>
              <w:rPr>
                <w:rFonts w:hint="default"/>
                <w:color w:val="auto"/>
              </w:rPr>
              <w:t>《安全设施设计》</w:t>
            </w:r>
          </w:p>
          <w:p w14:paraId="0A4ED104">
            <w:pPr>
              <w:pStyle w:val="30"/>
              <w:bidi w:val="0"/>
              <w:rPr>
                <w:rFonts w:hint="default"/>
                <w:color w:val="auto"/>
              </w:rPr>
            </w:pPr>
            <w:r>
              <w:rPr>
                <w:rFonts w:hint="default"/>
                <w:color w:val="auto"/>
              </w:rPr>
              <w:t>第5.9.5节</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0156EDBB">
            <w:pPr>
              <w:pStyle w:val="30"/>
              <w:bidi w:val="0"/>
              <w:rPr>
                <w:rFonts w:hint="default"/>
                <w:color w:val="auto"/>
              </w:rPr>
            </w:pPr>
            <w:r>
              <w:rPr>
                <w:rFonts w:hint="default"/>
                <w:color w:val="auto"/>
              </w:rPr>
              <w:t>厂区内道路均限速。安全管理制度中已明确机动车恶劣天气禁止行驶。</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5BEEF570">
            <w:pPr>
              <w:pStyle w:val="30"/>
              <w:bidi w:val="0"/>
              <w:rPr>
                <w:rFonts w:hint="default"/>
                <w:color w:val="auto"/>
              </w:rPr>
            </w:pPr>
            <w:r>
              <w:rPr>
                <w:rFonts w:hint="default"/>
                <w:color w:val="auto"/>
              </w:rPr>
              <w:t>符合</w:t>
            </w:r>
          </w:p>
        </w:tc>
      </w:tr>
      <w:tr w14:paraId="2527DB0E">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43C47030">
            <w:pPr>
              <w:pStyle w:val="30"/>
              <w:bidi w:val="0"/>
              <w:rPr>
                <w:rFonts w:hint="default"/>
                <w:color w:val="auto"/>
              </w:rPr>
            </w:pPr>
            <w:r>
              <w:rPr>
                <w:rFonts w:hint="default"/>
                <w:color w:val="auto"/>
              </w:rPr>
              <w:t>3.4</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687B08C1">
            <w:pPr>
              <w:pStyle w:val="30"/>
              <w:bidi w:val="0"/>
              <w:jc w:val="both"/>
              <w:rPr>
                <w:rFonts w:hint="default"/>
                <w:color w:val="auto"/>
              </w:rPr>
            </w:pPr>
            <w:r>
              <w:rPr>
                <w:rFonts w:hint="default"/>
                <w:color w:val="auto"/>
                <w:lang w:val="zh-CN"/>
              </w:rPr>
              <w:t>运输线路的布置应满足生产要求，物流顺畅，线路短捷，人流、物流组织合理。</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0757D42E">
            <w:pPr>
              <w:pStyle w:val="30"/>
              <w:bidi w:val="0"/>
              <w:rPr>
                <w:rFonts w:hint="default"/>
                <w:color w:val="auto"/>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r>
              <w:rPr>
                <w:rFonts w:hint="default"/>
                <w:color w:val="auto"/>
              </w:rPr>
              <w:t>6.1.1</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35F28700">
            <w:pPr>
              <w:pStyle w:val="30"/>
              <w:bidi w:val="0"/>
              <w:rPr>
                <w:rFonts w:hint="default"/>
                <w:color w:val="auto"/>
              </w:rPr>
            </w:pPr>
            <w:r>
              <w:rPr>
                <w:rFonts w:hint="default"/>
                <w:color w:val="auto"/>
                <w:lang w:val="zh-CN"/>
              </w:rPr>
              <w:t>该项目布局紧凑，物流及人流通道风别设置。</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76B189A">
            <w:pPr>
              <w:pStyle w:val="30"/>
              <w:bidi w:val="0"/>
              <w:rPr>
                <w:rFonts w:hint="default"/>
                <w:color w:val="auto"/>
              </w:rPr>
            </w:pPr>
            <w:r>
              <w:rPr>
                <w:rFonts w:hint="default"/>
                <w:color w:val="auto"/>
                <w:lang w:val="zh-CN"/>
              </w:rPr>
              <w:t>符合</w:t>
            </w:r>
          </w:p>
        </w:tc>
      </w:tr>
      <w:tr w14:paraId="759D85DD">
        <w:tblPrEx>
          <w:tblCellMar>
            <w:top w:w="0" w:type="dxa"/>
            <w:left w:w="108" w:type="dxa"/>
            <w:bottom w:w="0" w:type="dxa"/>
            <w:right w:w="108" w:type="dxa"/>
          </w:tblCellMar>
        </w:tblPrEx>
        <w:trPr>
          <w:trHeight w:val="1020" w:hRule="atLeast"/>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0873A6D4">
            <w:pPr>
              <w:pStyle w:val="30"/>
              <w:bidi w:val="0"/>
              <w:rPr>
                <w:rFonts w:hint="default"/>
                <w:color w:val="auto"/>
              </w:rPr>
            </w:pPr>
            <w:r>
              <w:rPr>
                <w:rFonts w:hint="default"/>
                <w:color w:val="auto"/>
              </w:rPr>
              <w:t>3.5</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5E4FBF3D">
            <w:pPr>
              <w:pStyle w:val="30"/>
              <w:bidi w:val="0"/>
              <w:jc w:val="both"/>
              <w:rPr>
                <w:rFonts w:hint="default"/>
                <w:color w:val="auto"/>
                <w:lang w:val="zh-CN"/>
              </w:rPr>
            </w:pPr>
            <w:r>
              <w:rPr>
                <w:rFonts w:hint="default"/>
                <w:color w:val="auto"/>
                <w:lang w:val="zh-CN"/>
              </w:rPr>
              <w:t>尽头式道路应设置回车场，回车场的大小应根据汽车最小转弯半径和道路路面宽度确定。</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60ED208D">
            <w:pPr>
              <w:pStyle w:val="30"/>
              <w:bidi w:val="0"/>
              <w:rPr>
                <w:rFonts w:hint="default"/>
                <w:color w:val="auto"/>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r>
              <w:rPr>
                <w:rFonts w:hint="default"/>
                <w:color w:val="auto"/>
              </w:rPr>
              <w:t>6.4.9</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37DE4959">
            <w:pPr>
              <w:pStyle w:val="30"/>
              <w:bidi w:val="0"/>
              <w:rPr>
                <w:rFonts w:hint="default"/>
                <w:color w:val="auto"/>
              </w:rPr>
            </w:pPr>
            <w:r>
              <w:rPr>
                <w:rFonts w:hint="default"/>
                <w:color w:val="auto"/>
              </w:rPr>
              <w:t>该项目主要道路宽敞，</w:t>
            </w:r>
            <w:r>
              <w:rPr>
                <w:rFonts w:hint="default"/>
                <w:color w:val="auto"/>
                <w:lang w:val="zh-CN"/>
              </w:rPr>
              <w:t>尽头式道路设置有回车场</w:t>
            </w:r>
            <w:r>
              <w:rPr>
                <w:rFonts w:hint="default"/>
                <w:color w:val="auto"/>
              </w:rPr>
              <w:t>。</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6DD479C7">
            <w:pPr>
              <w:pStyle w:val="30"/>
              <w:bidi w:val="0"/>
              <w:rPr>
                <w:rFonts w:hint="default"/>
                <w:color w:val="auto"/>
              </w:rPr>
            </w:pPr>
            <w:r>
              <w:rPr>
                <w:rFonts w:hint="default"/>
                <w:color w:val="auto"/>
              </w:rPr>
              <w:t>符合</w:t>
            </w:r>
          </w:p>
        </w:tc>
      </w:tr>
      <w:tr w14:paraId="1C5B5BE1">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3CCD8299">
            <w:pPr>
              <w:pStyle w:val="30"/>
              <w:bidi w:val="0"/>
              <w:rPr>
                <w:rFonts w:hint="default"/>
                <w:color w:val="auto"/>
              </w:rPr>
            </w:pPr>
            <w:r>
              <w:rPr>
                <w:rFonts w:hint="default"/>
                <w:color w:val="auto"/>
              </w:rPr>
              <w:t>3.6</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25EF4A75">
            <w:pPr>
              <w:pStyle w:val="30"/>
              <w:bidi w:val="0"/>
              <w:jc w:val="both"/>
              <w:rPr>
                <w:rFonts w:hint="default"/>
                <w:color w:val="auto"/>
                <w:lang w:val="zh-CN"/>
              </w:rPr>
            </w:pPr>
            <w:r>
              <w:rPr>
                <w:rFonts w:hint="default"/>
                <w:color w:val="auto"/>
                <w:lang w:val="zh-CN"/>
              </w:rPr>
              <w:t>人行道的布置，应符合下列要求：</w:t>
            </w:r>
          </w:p>
          <w:p w14:paraId="344AA580">
            <w:pPr>
              <w:pStyle w:val="30"/>
              <w:bidi w:val="0"/>
              <w:jc w:val="both"/>
              <w:rPr>
                <w:rFonts w:hint="default"/>
                <w:color w:val="auto"/>
                <w:lang w:val="zh-CN"/>
              </w:rPr>
            </w:pPr>
            <w:r>
              <w:rPr>
                <w:rFonts w:hint="default"/>
                <w:color w:val="auto"/>
                <w:lang w:val="zh-CN"/>
              </w:rPr>
              <w:t>1．人行道的宽度，不宜小于1.0m；沿主干道布置时，不宜小于1.5m。人行道的宽度超过1.5m时，宜按0.5m倍数递增；</w:t>
            </w:r>
          </w:p>
          <w:p w14:paraId="69CB2A1F">
            <w:pPr>
              <w:pStyle w:val="30"/>
              <w:bidi w:val="0"/>
              <w:jc w:val="both"/>
              <w:rPr>
                <w:rFonts w:hint="default"/>
                <w:color w:val="auto"/>
                <w:lang w:val="zh-CN"/>
              </w:rPr>
            </w:pPr>
            <w:r>
              <w:rPr>
                <w:rFonts w:hint="default"/>
                <w:color w:val="auto"/>
                <w:lang w:val="zh-CN"/>
              </w:rPr>
              <w:t>2．人行道边缘至建筑物外墙的净距，当屋面有组织排水时，不宜小于1.0m；当屋面无组织排水时，不宜小于1.5m；</w:t>
            </w:r>
          </w:p>
          <w:p w14:paraId="557A2B56">
            <w:pPr>
              <w:pStyle w:val="30"/>
              <w:bidi w:val="0"/>
              <w:jc w:val="both"/>
              <w:rPr>
                <w:rFonts w:hint="default"/>
                <w:color w:val="auto"/>
                <w:lang w:val="zh-CN"/>
              </w:rPr>
            </w:pPr>
            <w:r>
              <w:rPr>
                <w:rFonts w:hint="default"/>
                <w:color w:val="auto"/>
                <w:lang w:val="zh-CN"/>
              </w:rPr>
              <w:t>3．当人行道的边缘至准轨铁路中心线的距离小于3.75m时，其靠近铁路线路侧应设置防护栏杆。</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234CB50E">
            <w:pPr>
              <w:pStyle w:val="30"/>
              <w:bidi w:val="0"/>
              <w:rPr>
                <w:rFonts w:hint="default"/>
                <w:color w:val="auto"/>
                <w:lang w:val="zh-CN"/>
              </w:rPr>
            </w:pPr>
            <w:r>
              <w:rPr>
                <w:rFonts w:hint="default"/>
                <w:color w:val="auto"/>
                <w:lang w:val="zh-CN"/>
              </w:rPr>
              <w:t>《工业企业总平面设计规范》（GB</w:t>
            </w:r>
            <w:r>
              <w:rPr>
                <w:rFonts w:hint="default"/>
                <w:color w:val="auto"/>
                <w:lang w:val="en-US" w:eastAsia="zh-CN"/>
              </w:rPr>
              <w:t xml:space="preserve"> </w:t>
            </w:r>
            <w:r>
              <w:rPr>
                <w:rFonts w:hint="default"/>
                <w:color w:val="auto"/>
                <w:lang w:val="zh-CN"/>
              </w:rPr>
              <w:t>50187-2012</w:t>
            </w:r>
            <w:r>
              <w:rPr>
                <w:rFonts w:hint="eastAsia"/>
                <w:color w:val="auto"/>
                <w:lang w:val="zh-CN"/>
              </w:rPr>
              <w:t>）</w:t>
            </w:r>
            <w:r>
              <w:rPr>
                <w:rFonts w:hint="default"/>
                <w:color w:val="auto"/>
              </w:rPr>
              <w:t>6.4.12</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45CB24FD">
            <w:pPr>
              <w:pStyle w:val="30"/>
              <w:bidi w:val="0"/>
              <w:rPr>
                <w:rFonts w:hint="default"/>
                <w:color w:val="auto"/>
              </w:rPr>
            </w:pPr>
            <w:r>
              <w:rPr>
                <w:rFonts w:hint="default"/>
                <w:color w:val="auto"/>
              </w:rPr>
              <w:t>该项目人行通道沿主干道布置，其宽度满足要求。</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3BBA6D88">
            <w:pPr>
              <w:pStyle w:val="30"/>
              <w:bidi w:val="0"/>
              <w:rPr>
                <w:rFonts w:hint="default"/>
                <w:color w:val="auto"/>
              </w:rPr>
            </w:pPr>
            <w:r>
              <w:rPr>
                <w:rFonts w:hint="default"/>
                <w:color w:val="auto"/>
              </w:rPr>
              <w:t>符合</w:t>
            </w:r>
          </w:p>
        </w:tc>
      </w:tr>
      <w:tr w14:paraId="426FF9FF">
        <w:tblPrEx>
          <w:tblCellMar>
            <w:top w:w="0" w:type="dxa"/>
            <w:left w:w="108" w:type="dxa"/>
            <w:bottom w:w="0" w:type="dxa"/>
            <w:right w:w="108" w:type="dxa"/>
          </w:tblCellMar>
        </w:tblPrEx>
        <w:trPr>
          <w:jc w:val="center"/>
        </w:trPr>
        <w:tc>
          <w:tcPr>
            <w:tcW w:w="719" w:type="dxa"/>
            <w:tcBorders>
              <w:top w:val="single" w:color="auto" w:sz="6" w:space="0"/>
              <w:left w:val="single" w:color="auto" w:sz="6" w:space="0"/>
              <w:bottom w:val="single" w:color="auto" w:sz="6" w:space="0"/>
              <w:right w:val="single" w:color="auto" w:sz="6" w:space="0"/>
            </w:tcBorders>
            <w:noWrap w:val="0"/>
            <w:vAlign w:val="center"/>
          </w:tcPr>
          <w:p w14:paraId="44EDF125">
            <w:pPr>
              <w:pStyle w:val="30"/>
              <w:bidi w:val="0"/>
              <w:rPr>
                <w:rFonts w:hint="default"/>
                <w:color w:val="auto"/>
              </w:rPr>
            </w:pPr>
            <w:r>
              <w:rPr>
                <w:rFonts w:hint="default"/>
                <w:color w:val="auto"/>
              </w:rPr>
              <w:t>3.7</w:t>
            </w:r>
          </w:p>
        </w:tc>
        <w:tc>
          <w:tcPr>
            <w:tcW w:w="3134" w:type="dxa"/>
            <w:tcBorders>
              <w:top w:val="single" w:color="auto" w:sz="6" w:space="0"/>
              <w:left w:val="single" w:color="auto" w:sz="6" w:space="0"/>
              <w:bottom w:val="single" w:color="auto" w:sz="6" w:space="0"/>
              <w:right w:val="single" w:color="auto" w:sz="6" w:space="0"/>
            </w:tcBorders>
            <w:noWrap w:val="0"/>
            <w:vAlign w:val="center"/>
          </w:tcPr>
          <w:p w14:paraId="53ACE05B">
            <w:pPr>
              <w:pStyle w:val="30"/>
              <w:bidi w:val="0"/>
              <w:jc w:val="both"/>
              <w:rPr>
                <w:rFonts w:hint="default"/>
                <w:color w:val="auto"/>
              </w:rPr>
            </w:pPr>
            <w:r>
              <w:rPr>
                <w:rFonts w:hint="default"/>
                <w:color w:val="auto"/>
                <w:lang w:val="zh-CN"/>
              </w:rPr>
              <w:t>路面平整、路基稳固、边坡整齐、排水良好。</w:t>
            </w:r>
          </w:p>
        </w:tc>
        <w:tc>
          <w:tcPr>
            <w:tcW w:w="1862" w:type="dxa"/>
            <w:tcBorders>
              <w:top w:val="single" w:color="auto" w:sz="6" w:space="0"/>
              <w:left w:val="single" w:color="auto" w:sz="6" w:space="0"/>
              <w:bottom w:val="single" w:color="auto" w:sz="6" w:space="0"/>
              <w:right w:val="single" w:color="auto" w:sz="6" w:space="0"/>
            </w:tcBorders>
            <w:noWrap w:val="0"/>
            <w:vAlign w:val="center"/>
          </w:tcPr>
          <w:p w14:paraId="04D315F4">
            <w:pPr>
              <w:pStyle w:val="30"/>
              <w:bidi w:val="0"/>
              <w:rPr>
                <w:rFonts w:hint="default"/>
                <w:color w:val="auto"/>
              </w:rPr>
            </w:pPr>
            <w:r>
              <w:rPr>
                <w:rFonts w:hint="default"/>
                <w:color w:val="auto"/>
                <w:lang w:val="zh-CN"/>
              </w:rPr>
              <w:t>《工业企业厂内铁路、道路运输安全规程》（GB 4387-2008</w:t>
            </w:r>
            <w:r>
              <w:rPr>
                <w:rFonts w:hint="eastAsia"/>
                <w:color w:val="auto"/>
                <w:lang w:val="zh-CN"/>
              </w:rPr>
              <w:t>）</w:t>
            </w:r>
            <w:r>
              <w:rPr>
                <w:rFonts w:hint="default"/>
                <w:color w:val="auto"/>
                <w:lang w:val="zh-CN"/>
              </w:rPr>
              <w:t>5.1.1</w:t>
            </w:r>
          </w:p>
        </w:tc>
        <w:tc>
          <w:tcPr>
            <w:tcW w:w="2918" w:type="dxa"/>
            <w:tcBorders>
              <w:top w:val="single" w:color="auto" w:sz="6" w:space="0"/>
              <w:left w:val="single" w:color="auto" w:sz="6" w:space="0"/>
              <w:bottom w:val="single" w:color="auto" w:sz="6" w:space="0"/>
              <w:right w:val="single" w:color="auto" w:sz="6" w:space="0"/>
            </w:tcBorders>
            <w:noWrap w:val="0"/>
            <w:vAlign w:val="center"/>
          </w:tcPr>
          <w:p w14:paraId="6A5689F3">
            <w:pPr>
              <w:pStyle w:val="30"/>
              <w:bidi w:val="0"/>
              <w:rPr>
                <w:rFonts w:hint="default"/>
                <w:color w:val="auto"/>
              </w:rPr>
            </w:pPr>
            <w:r>
              <w:rPr>
                <w:rFonts w:hint="default"/>
                <w:color w:val="auto"/>
                <w:lang w:val="zh-CN"/>
              </w:rPr>
              <w:t>道路</w:t>
            </w:r>
            <w:r>
              <w:rPr>
                <w:rFonts w:hint="default"/>
                <w:color w:val="auto"/>
              </w:rPr>
              <w:t>内</w:t>
            </w:r>
            <w:r>
              <w:rPr>
                <w:rFonts w:hint="default"/>
                <w:color w:val="auto"/>
                <w:lang w:val="zh-CN"/>
              </w:rPr>
              <w:t>侧设置有排水沟，能满足要求。</w:t>
            </w:r>
          </w:p>
        </w:tc>
        <w:tc>
          <w:tcPr>
            <w:tcW w:w="684" w:type="dxa"/>
            <w:tcBorders>
              <w:top w:val="single" w:color="auto" w:sz="6" w:space="0"/>
              <w:left w:val="single" w:color="auto" w:sz="6" w:space="0"/>
              <w:bottom w:val="single" w:color="auto" w:sz="6" w:space="0"/>
              <w:right w:val="single" w:color="auto" w:sz="6" w:space="0"/>
            </w:tcBorders>
            <w:noWrap w:val="0"/>
            <w:vAlign w:val="center"/>
          </w:tcPr>
          <w:p w14:paraId="75E6B09D">
            <w:pPr>
              <w:pStyle w:val="30"/>
              <w:bidi w:val="0"/>
              <w:rPr>
                <w:rFonts w:hint="default"/>
                <w:color w:val="auto"/>
              </w:rPr>
            </w:pPr>
            <w:r>
              <w:rPr>
                <w:rFonts w:hint="default"/>
                <w:color w:val="auto"/>
                <w:lang w:val="zh-CN"/>
              </w:rPr>
              <w:t>符合</w:t>
            </w:r>
          </w:p>
        </w:tc>
      </w:tr>
    </w:tbl>
    <w:p w14:paraId="4B5B7250">
      <w:pPr>
        <w:pStyle w:val="4"/>
        <w:bidi w:val="0"/>
        <w:rPr>
          <w:rFonts w:hint="eastAsia"/>
          <w:color w:val="auto"/>
        </w:rPr>
      </w:pPr>
      <w:bookmarkStart w:id="110" w:name="_Toc32579"/>
      <w:r>
        <w:rPr>
          <w:rFonts w:hint="eastAsia"/>
          <w:color w:val="auto"/>
        </w:rPr>
        <w:t>5.2.2 单元评价小结</w:t>
      </w:r>
      <w:bookmarkEnd w:id="110"/>
    </w:p>
    <w:p w14:paraId="5B48FCEF">
      <w:pPr>
        <w:bidi w:val="0"/>
        <w:rPr>
          <w:rFonts w:hint="eastAsia"/>
          <w:color w:val="auto"/>
        </w:rPr>
      </w:pPr>
      <w:r>
        <w:rPr>
          <w:rFonts w:hint="eastAsia"/>
          <w:color w:val="auto"/>
        </w:rPr>
        <w:t>该项目位于云南省楚雄州武定县猫街镇仓房村委会，选址符合当地规划；项目的总平面布置按工艺流程而建，总平面布置合理，功能设置分区划分明确，符合《工业企业总平面设计规范》（GB 50187-2012）及《选矿安全规程》（GB/T 18152-2000）、《安全设施设计》等相关规范及文件的要求，具备安全验收条件。</w:t>
      </w:r>
    </w:p>
    <w:p w14:paraId="5CBEB319">
      <w:pPr>
        <w:pStyle w:val="3"/>
        <w:bidi w:val="0"/>
        <w:rPr>
          <w:rFonts w:hint="eastAsia"/>
          <w:color w:val="auto"/>
        </w:rPr>
      </w:pPr>
      <w:bookmarkStart w:id="111" w:name="_Toc2938"/>
      <w:r>
        <w:rPr>
          <w:rFonts w:hint="eastAsia"/>
          <w:color w:val="auto"/>
        </w:rPr>
        <w:t>5.3 生产工艺及设备单元分析评价</w:t>
      </w:r>
      <w:bookmarkEnd w:id="111"/>
    </w:p>
    <w:p w14:paraId="7CD8FD9F">
      <w:pPr>
        <w:pStyle w:val="4"/>
        <w:bidi w:val="0"/>
        <w:rPr>
          <w:rFonts w:hint="eastAsia"/>
          <w:color w:val="auto"/>
        </w:rPr>
      </w:pPr>
      <w:bookmarkStart w:id="112" w:name="_Toc20764"/>
      <w:r>
        <w:rPr>
          <w:rFonts w:hint="eastAsia"/>
          <w:color w:val="auto"/>
        </w:rPr>
        <w:t>5.3.1</w:t>
      </w:r>
      <w:r>
        <w:rPr>
          <w:rFonts w:hint="eastAsia"/>
          <w:color w:val="auto"/>
          <w:lang w:val="en-US" w:eastAsia="zh-CN"/>
        </w:rPr>
        <w:t xml:space="preserve"> </w:t>
      </w:r>
      <w:r>
        <w:rPr>
          <w:rFonts w:hint="eastAsia"/>
          <w:color w:val="auto"/>
        </w:rPr>
        <w:t>生产工艺及设备安全检查表</w:t>
      </w:r>
      <w:bookmarkEnd w:id="112"/>
    </w:p>
    <w:p w14:paraId="2550BEC6">
      <w:pPr>
        <w:bidi w:val="0"/>
        <w:rPr>
          <w:rFonts w:hint="eastAsia"/>
          <w:color w:val="auto"/>
        </w:rPr>
      </w:pPr>
      <w:r>
        <w:rPr>
          <w:rFonts w:hint="eastAsia"/>
          <w:color w:val="auto"/>
        </w:rPr>
        <w:t>根据该项目的《安全设施设计》及《选矿安全规程》（GB/T 18152-2000）相关要求对该项目进行安全检查，其检查情况如下表所示：</w:t>
      </w:r>
    </w:p>
    <w:p w14:paraId="69839402">
      <w:pPr>
        <w:pStyle w:val="29"/>
        <w:bidi w:val="0"/>
        <w:rPr>
          <w:color w:val="auto"/>
        </w:rPr>
      </w:pPr>
      <w:r>
        <w:rPr>
          <w:rFonts w:hint="eastAsia"/>
          <w:color w:val="auto"/>
        </w:rPr>
        <w:t>表5.3-1  生产工艺、生产设备及特种设备安全检查表</w:t>
      </w:r>
    </w:p>
    <w:tbl>
      <w:tblPr>
        <w:tblStyle w:val="20"/>
        <w:tblW w:w="9403" w:type="dxa"/>
        <w:jc w:val="center"/>
        <w:tblLayout w:type="fixed"/>
        <w:tblCellMar>
          <w:top w:w="0" w:type="dxa"/>
          <w:left w:w="108" w:type="dxa"/>
          <w:bottom w:w="0" w:type="dxa"/>
          <w:right w:w="108" w:type="dxa"/>
        </w:tblCellMar>
      </w:tblPr>
      <w:tblGrid>
        <w:gridCol w:w="721"/>
        <w:gridCol w:w="4750"/>
        <w:gridCol w:w="1362"/>
        <w:gridCol w:w="1725"/>
        <w:gridCol w:w="845"/>
      </w:tblGrid>
      <w:tr w14:paraId="2797AF2D">
        <w:tblPrEx>
          <w:tblCellMar>
            <w:top w:w="0" w:type="dxa"/>
            <w:left w:w="108" w:type="dxa"/>
            <w:bottom w:w="0" w:type="dxa"/>
            <w:right w:w="108" w:type="dxa"/>
          </w:tblCellMar>
        </w:tblPrEx>
        <w:trPr>
          <w:tblHeade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3C9CAEE0">
            <w:pPr>
              <w:pStyle w:val="30"/>
              <w:bidi w:val="0"/>
              <w:rPr>
                <w:rFonts w:hint="default"/>
                <w:b/>
                <w:bCs/>
                <w:color w:val="auto"/>
              </w:rPr>
            </w:pPr>
            <w:r>
              <w:rPr>
                <w:rFonts w:hint="default"/>
                <w:b/>
                <w:bCs/>
                <w:color w:val="auto"/>
                <w:lang w:val="zh-CN"/>
              </w:rPr>
              <w:t>序号</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2240D7B8">
            <w:pPr>
              <w:pStyle w:val="30"/>
              <w:bidi w:val="0"/>
              <w:jc w:val="center"/>
              <w:rPr>
                <w:rFonts w:hint="default"/>
                <w:b/>
                <w:bCs/>
                <w:color w:val="auto"/>
              </w:rPr>
            </w:pPr>
            <w:r>
              <w:rPr>
                <w:rFonts w:hint="default"/>
                <w:b/>
                <w:bCs/>
                <w:color w:val="auto"/>
                <w:lang w:val="zh-CN"/>
              </w:rPr>
              <w:t>检查内容</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51AFA14B">
            <w:pPr>
              <w:pStyle w:val="30"/>
              <w:bidi w:val="0"/>
              <w:rPr>
                <w:rFonts w:hint="default"/>
                <w:b/>
                <w:bCs/>
                <w:color w:val="auto"/>
              </w:rPr>
            </w:pPr>
            <w:r>
              <w:rPr>
                <w:rFonts w:hint="default"/>
                <w:b/>
                <w:bCs/>
                <w:color w:val="auto"/>
                <w:lang w:val="zh-CN"/>
              </w:rPr>
              <w:t>检查依据</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1EF87B9F">
            <w:pPr>
              <w:pStyle w:val="30"/>
              <w:bidi w:val="0"/>
              <w:rPr>
                <w:rFonts w:hint="default"/>
                <w:b/>
                <w:bCs/>
                <w:color w:val="auto"/>
                <w:lang w:val="zh-CN"/>
              </w:rPr>
            </w:pPr>
            <w:r>
              <w:rPr>
                <w:rFonts w:hint="default"/>
                <w:b/>
                <w:bCs/>
                <w:color w:val="auto"/>
                <w:lang w:val="zh-CN"/>
              </w:rPr>
              <w:t>检查情况</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02CEE31C">
            <w:pPr>
              <w:pStyle w:val="30"/>
              <w:bidi w:val="0"/>
              <w:rPr>
                <w:rFonts w:hint="default"/>
                <w:b/>
                <w:bCs/>
                <w:color w:val="auto"/>
              </w:rPr>
            </w:pPr>
            <w:r>
              <w:rPr>
                <w:rFonts w:hint="default"/>
                <w:b/>
                <w:bCs/>
                <w:color w:val="auto"/>
                <w:lang w:val="zh-CN"/>
              </w:rPr>
              <w:t>结果</w:t>
            </w:r>
          </w:p>
        </w:tc>
      </w:tr>
      <w:tr w14:paraId="5D774CBD">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183C1BE">
            <w:pPr>
              <w:pStyle w:val="30"/>
              <w:bidi w:val="0"/>
              <w:rPr>
                <w:rFonts w:hint="default"/>
                <w:color w:val="auto"/>
                <w:lang w:val="en-US" w:eastAsia="zh-CN"/>
              </w:rPr>
            </w:pPr>
            <w:r>
              <w:rPr>
                <w:rFonts w:hint="default"/>
                <w:color w:val="auto"/>
                <w:lang w:val="en-US" w:eastAsia="zh-CN"/>
              </w:rPr>
              <w:t>1</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0CE3CC8B">
            <w:pPr>
              <w:pStyle w:val="30"/>
              <w:bidi w:val="0"/>
              <w:jc w:val="center"/>
              <w:rPr>
                <w:rFonts w:hint="default"/>
                <w:color w:val="auto"/>
                <w:lang w:val="zh-CN"/>
              </w:rPr>
            </w:pPr>
            <w:r>
              <w:rPr>
                <w:rFonts w:hint="default"/>
                <w:color w:val="auto"/>
                <w:lang w:val="zh-CN"/>
              </w:rPr>
              <w:t>原料储存及配料输送安全措施</w:t>
            </w:r>
          </w:p>
        </w:tc>
      </w:tr>
      <w:tr w14:paraId="28FEC5E7">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36B7EA0C">
            <w:pPr>
              <w:pStyle w:val="30"/>
              <w:bidi w:val="0"/>
              <w:rPr>
                <w:rFonts w:hint="default"/>
                <w:color w:val="auto"/>
                <w:lang w:val="en-US" w:eastAsia="zh-CN"/>
              </w:rPr>
            </w:pPr>
            <w:r>
              <w:rPr>
                <w:rFonts w:hint="default"/>
                <w:color w:val="auto"/>
                <w:lang w:val="en-US" w:eastAsia="zh-CN"/>
              </w:rPr>
              <w:t>1.1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467A1B7F">
            <w:pPr>
              <w:pStyle w:val="30"/>
              <w:bidi w:val="0"/>
              <w:jc w:val="both"/>
              <w:rPr>
                <w:rFonts w:hint="default"/>
                <w:color w:val="auto"/>
                <w:lang w:val="zh-CN"/>
              </w:rPr>
            </w:pPr>
            <w:r>
              <w:rPr>
                <w:rFonts w:hint="default"/>
                <w:color w:val="auto"/>
                <w:lang w:val="zh-CN"/>
              </w:rPr>
              <w:t>（1）原矿堆场应根据运输车辆的要求设置足够的回车坪，配料系统在下料斗上方设置车档（车档高度按轮胎直径的1/3设置），采用装载机上料。物料给料设备采用全封闭设备，设备传动部分采用防护罩隔离，原料定期喷水保持湿润，防止粉尘。</w:t>
            </w:r>
          </w:p>
          <w:p w14:paraId="4776E40A">
            <w:pPr>
              <w:pStyle w:val="30"/>
              <w:bidi w:val="0"/>
              <w:jc w:val="both"/>
              <w:rPr>
                <w:rFonts w:hint="default"/>
                <w:color w:val="auto"/>
                <w:lang w:val="zh-CN"/>
              </w:rPr>
            </w:pPr>
            <w:r>
              <w:rPr>
                <w:rFonts w:hint="default"/>
                <w:color w:val="auto"/>
                <w:lang w:val="zh-CN"/>
              </w:rPr>
              <w:t>（2）砂石输送车辆采用密闭输送，洗车水作为洒水和配料使用。</w:t>
            </w:r>
          </w:p>
          <w:p w14:paraId="0A1C0CD2">
            <w:pPr>
              <w:pStyle w:val="30"/>
              <w:bidi w:val="0"/>
              <w:jc w:val="both"/>
              <w:rPr>
                <w:rFonts w:hint="default"/>
                <w:color w:val="auto"/>
                <w:lang w:val="zh-CN"/>
              </w:rPr>
            </w:pPr>
            <w:r>
              <w:rPr>
                <w:rFonts w:hint="default"/>
                <w:color w:val="auto"/>
                <w:lang w:val="zh-CN"/>
              </w:rPr>
              <w:t>（3）在料仓口设置格栅，防止大块料进入料仓，同时也防止人员意外掉入给料机机料仓。</w:t>
            </w:r>
          </w:p>
          <w:p w14:paraId="58769FDC">
            <w:pPr>
              <w:pStyle w:val="30"/>
              <w:bidi w:val="0"/>
              <w:jc w:val="both"/>
              <w:rPr>
                <w:rFonts w:hint="default"/>
                <w:color w:val="auto"/>
                <w:lang w:val="zh-CN"/>
              </w:rPr>
            </w:pPr>
            <w:r>
              <w:rPr>
                <w:rFonts w:hint="default"/>
                <w:color w:val="auto"/>
                <w:lang w:val="zh-CN"/>
              </w:rPr>
              <w:t>（4）固定格筛受矿槽的周围（给矿侧或翻车侧除外），设栏杆。</w:t>
            </w:r>
          </w:p>
          <w:p w14:paraId="03D07E08">
            <w:pPr>
              <w:pStyle w:val="30"/>
              <w:bidi w:val="0"/>
              <w:jc w:val="both"/>
              <w:rPr>
                <w:rFonts w:hint="default"/>
                <w:color w:val="auto"/>
                <w:lang w:val="zh-CN"/>
              </w:rPr>
            </w:pPr>
            <w:r>
              <w:rPr>
                <w:rFonts w:hint="default"/>
                <w:color w:val="auto"/>
                <w:lang w:val="zh-CN"/>
              </w:rPr>
              <w:t>（5）选用的机电设备应为正规厂家生产的合格产品。必须具有完备的检验手续（产品合格证、检验证），并应符合国家现行的安全技术标准的要求；</w:t>
            </w:r>
          </w:p>
          <w:p w14:paraId="36F46737">
            <w:pPr>
              <w:pStyle w:val="30"/>
              <w:bidi w:val="0"/>
              <w:jc w:val="both"/>
              <w:rPr>
                <w:rFonts w:hint="default"/>
                <w:color w:val="auto"/>
                <w:lang w:val="zh-CN"/>
              </w:rPr>
            </w:pPr>
            <w:r>
              <w:rPr>
                <w:rFonts w:hint="default"/>
                <w:color w:val="auto"/>
                <w:lang w:val="zh-CN"/>
              </w:rPr>
              <w:t>（6）原料储存及配料输送：</w:t>
            </w:r>
          </w:p>
          <w:p w14:paraId="6BE5D4EA">
            <w:pPr>
              <w:pStyle w:val="30"/>
              <w:bidi w:val="0"/>
              <w:jc w:val="both"/>
              <w:rPr>
                <w:rFonts w:hint="default"/>
                <w:color w:val="auto"/>
                <w:lang w:val="zh-CN"/>
              </w:rPr>
            </w:pPr>
            <w:r>
              <w:rPr>
                <w:rFonts w:hint="default"/>
                <w:color w:val="auto"/>
                <w:lang w:val="zh-CN"/>
              </w:rPr>
              <w:t>1）原料运输过程中，车辆不超载、不超速，按国家道路规定运输物料，物料进入厂区后，按照厂区指定物料通道运输，并在厂区安全人员的指挥下卸料及出厂。</w:t>
            </w:r>
          </w:p>
          <w:p w14:paraId="476FD972">
            <w:pPr>
              <w:pStyle w:val="30"/>
              <w:bidi w:val="0"/>
              <w:jc w:val="both"/>
              <w:rPr>
                <w:rFonts w:hint="default"/>
                <w:color w:val="auto"/>
                <w:lang w:val="zh-CN"/>
              </w:rPr>
            </w:pPr>
            <w:r>
              <w:rPr>
                <w:rFonts w:hint="default"/>
                <w:color w:val="auto"/>
                <w:lang w:val="zh-CN"/>
              </w:rPr>
              <w:t>2）禁止车辆违章行驶，并要求安全员对车辆的行驶进行严格监管。</w:t>
            </w:r>
          </w:p>
          <w:p w14:paraId="3B227A7A">
            <w:pPr>
              <w:pStyle w:val="30"/>
              <w:bidi w:val="0"/>
              <w:jc w:val="both"/>
              <w:rPr>
                <w:rFonts w:hint="default"/>
                <w:color w:val="auto"/>
                <w:lang w:val="zh-CN"/>
              </w:rPr>
            </w:pPr>
            <w:r>
              <w:rPr>
                <w:rFonts w:hint="default"/>
                <w:color w:val="auto"/>
                <w:lang w:val="zh-CN"/>
              </w:rPr>
              <w:t>（7）带式输送机安全措施</w:t>
            </w:r>
          </w:p>
          <w:p w14:paraId="2E6FB96E">
            <w:pPr>
              <w:pStyle w:val="30"/>
              <w:bidi w:val="0"/>
              <w:jc w:val="both"/>
              <w:rPr>
                <w:rFonts w:hint="default"/>
                <w:color w:val="auto"/>
                <w:lang w:val="zh-CN"/>
              </w:rPr>
            </w:pPr>
            <w:r>
              <w:rPr>
                <w:rFonts w:hint="default"/>
                <w:color w:val="auto"/>
                <w:lang w:val="zh-CN"/>
              </w:rPr>
              <w:t>1）所有胶带输送机均安装1组手动复位拉绳开关或急停开关，拉绳开关要设置到轮首；靠近带头尾部处设置一对跑偏开关，在输送机中间位置可每隔15-20m设一对。项目皮带输送机为一次破碎输送皮带、二次破碎后输送皮带，涉及4条皮带输送机。</w:t>
            </w:r>
          </w:p>
          <w:p w14:paraId="609EC17D">
            <w:pPr>
              <w:pStyle w:val="30"/>
              <w:bidi w:val="0"/>
              <w:jc w:val="both"/>
              <w:rPr>
                <w:rFonts w:hint="default"/>
                <w:color w:val="auto"/>
                <w:lang w:val="zh-CN"/>
              </w:rPr>
            </w:pPr>
            <w:r>
              <w:rPr>
                <w:rFonts w:hint="default"/>
                <w:color w:val="auto"/>
                <w:lang w:val="zh-CN"/>
              </w:rPr>
              <w:t>2）每10组槽形上托辊装设一组自动上纠偏装置，每5组下托辊装设一组自动下纠偏装置，倒料槽下不装设自动纠偏装置。</w:t>
            </w:r>
          </w:p>
          <w:p w14:paraId="1F72A7D1">
            <w:pPr>
              <w:pStyle w:val="30"/>
              <w:bidi w:val="0"/>
              <w:jc w:val="both"/>
              <w:rPr>
                <w:rFonts w:hint="default"/>
                <w:color w:val="auto"/>
                <w:lang w:val="zh-CN"/>
              </w:rPr>
            </w:pPr>
            <w:r>
              <w:rPr>
                <w:rFonts w:hint="default"/>
                <w:color w:val="auto"/>
                <w:lang w:val="zh-CN"/>
              </w:rPr>
              <w:t>3）输送机滚筒设置一道头部清扫器，尾部和螺旋拉紧装置处均设空段清扫器。</w:t>
            </w:r>
          </w:p>
          <w:p w14:paraId="6735CD58">
            <w:pPr>
              <w:pStyle w:val="30"/>
              <w:bidi w:val="0"/>
              <w:jc w:val="both"/>
              <w:rPr>
                <w:rFonts w:hint="default"/>
                <w:color w:val="auto"/>
                <w:lang w:val="zh-CN"/>
              </w:rPr>
            </w:pPr>
            <w:r>
              <w:rPr>
                <w:rFonts w:hint="default"/>
                <w:color w:val="auto"/>
                <w:lang w:val="zh-CN"/>
              </w:rPr>
              <w:t>4）皮带机头、尾部滚筒设置防护罩，通廊墙壁与皮带之间的的距离，经常行人侧不小于1.0m，另一侧不小于0.6m。</w:t>
            </w:r>
          </w:p>
          <w:p w14:paraId="2EC0103A">
            <w:pPr>
              <w:pStyle w:val="30"/>
              <w:bidi w:val="0"/>
              <w:jc w:val="both"/>
              <w:rPr>
                <w:rFonts w:hint="default"/>
                <w:color w:val="auto"/>
                <w:lang w:val="zh-CN"/>
              </w:rPr>
            </w:pPr>
            <w:r>
              <w:rPr>
                <w:rFonts w:hint="default"/>
                <w:color w:val="auto"/>
                <w:lang w:val="zh-CN"/>
              </w:rPr>
              <w:t>5）根据带式输送机通廊设计要求，皮带长度超过100m且其下部通行的净高小于1900mm时，应设置跨梯，超长输送机每70m设一座跨梯，本项目没有上述条件要求的带式输送机。</w:t>
            </w:r>
          </w:p>
          <w:p w14:paraId="663FB5AF">
            <w:pPr>
              <w:pStyle w:val="30"/>
              <w:bidi w:val="0"/>
              <w:jc w:val="both"/>
              <w:rPr>
                <w:rFonts w:hint="default"/>
                <w:color w:val="auto"/>
                <w:lang w:val="zh-CN"/>
              </w:rPr>
            </w:pPr>
            <w:r>
              <w:rPr>
                <w:rFonts w:hint="default"/>
                <w:color w:val="auto"/>
                <w:lang w:val="zh-CN"/>
              </w:rPr>
              <w:t>6）根据选矿安全规程要求，带式输送机通廊人行道的坡度大于6°时，应设防滑措施。本项目皮带廊坡度为12—20°，设踏步。该项目需要在一次破碎到二次破碎之间的皮带廊设置防滑设施。</w:t>
            </w:r>
          </w:p>
          <w:p w14:paraId="5DD9228D">
            <w:pPr>
              <w:pStyle w:val="30"/>
              <w:bidi w:val="0"/>
              <w:jc w:val="both"/>
              <w:rPr>
                <w:rFonts w:hint="default"/>
                <w:color w:val="auto"/>
                <w:lang w:val="zh-CN"/>
              </w:rPr>
            </w:pPr>
            <w:r>
              <w:rPr>
                <w:rFonts w:hint="default"/>
                <w:color w:val="auto"/>
                <w:lang w:val="zh-CN"/>
              </w:rPr>
              <w:t>7）皮带机头、尾部滚筒设置防护罩，此外，所有外露的旋转、移动部件均设置了防护罩、防护栅，具体包括尾部滚筒、滚筒侧板遮拦。</w:t>
            </w:r>
          </w:p>
          <w:p w14:paraId="29722A0D">
            <w:pPr>
              <w:pStyle w:val="30"/>
              <w:bidi w:val="0"/>
              <w:jc w:val="both"/>
              <w:rPr>
                <w:rFonts w:hint="default"/>
                <w:color w:val="auto"/>
                <w:lang w:val="zh-CN"/>
              </w:rPr>
            </w:pPr>
            <w:r>
              <w:rPr>
                <w:rFonts w:hint="default"/>
                <w:color w:val="auto"/>
                <w:lang w:val="zh-CN"/>
              </w:rPr>
              <w:t>8）带式输送机操作人员须经过安全技术培训，持证上岗。</w:t>
            </w:r>
          </w:p>
          <w:p w14:paraId="1A80783C">
            <w:pPr>
              <w:pStyle w:val="30"/>
              <w:bidi w:val="0"/>
              <w:jc w:val="both"/>
              <w:rPr>
                <w:rFonts w:hint="default"/>
                <w:color w:val="auto"/>
                <w:lang w:val="zh-CN"/>
              </w:rPr>
            </w:pPr>
            <w:r>
              <w:rPr>
                <w:rFonts w:hint="default"/>
                <w:color w:val="auto"/>
                <w:lang w:val="zh-CN"/>
              </w:rPr>
              <w:t>9）带式输送机具有相应的防撕裂、防跑偏、打滑等的措施，皮带均采取安全连锁和故障报警装置。</w:t>
            </w:r>
          </w:p>
          <w:p w14:paraId="4D7F6F63">
            <w:pPr>
              <w:pStyle w:val="30"/>
              <w:bidi w:val="0"/>
              <w:jc w:val="both"/>
              <w:rPr>
                <w:rFonts w:hint="default"/>
                <w:color w:val="auto"/>
                <w:lang w:val="zh-CN"/>
              </w:rPr>
            </w:pPr>
            <w:r>
              <w:rPr>
                <w:rFonts w:hint="default"/>
                <w:color w:val="auto"/>
                <w:lang w:val="zh-CN"/>
              </w:rPr>
              <w:t>10）带式输送机运行遵守下列规定：人员不应乘坐、跨越、钻爬带式输送机；带式输送机不应运送规定物料以外的其他物料；不应从运行中的带式输送机上用手捡矿石；输送带、传动轮和改向轮上的杂物，应及时停车清除；不应在运行的输送带下清矿；运行中的带式输送机不应进行检修、打扫和注油，不应用手摸托辊、首尾轮等转动部件。</w:t>
            </w:r>
          </w:p>
          <w:p w14:paraId="1A6A537A">
            <w:pPr>
              <w:pStyle w:val="30"/>
              <w:bidi w:val="0"/>
              <w:jc w:val="both"/>
              <w:rPr>
                <w:rFonts w:hint="default"/>
                <w:color w:val="auto"/>
                <w:lang w:val="zh-CN"/>
              </w:rPr>
            </w:pPr>
            <w:r>
              <w:rPr>
                <w:rFonts w:hint="default"/>
                <w:color w:val="auto"/>
                <w:lang w:val="zh-CN"/>
              </w:rPr>
              <w:t>11）更换栏板、清扫器和托辊，应停车、切断电源后进行，并应有专人监护。</w:t>
            </w:r>
          </w:p>
          <w:p w14:paraId="5EA4EB78">
            <w:pPr>
              <w:pStyle w:val="30"/>
              <w:bidi w:val="0"/>
              <w:jc w:val="both"/>
              <w:rPr>
                <w:rFonts w:hint="default"/>
                <w:color w:val="auto"/>
                <w:lang w:val="zh-CN"/>
              </w:rPr>
            </w:pPr>
            <w:r>
              <w:rPr>
                <w:rFonts w:hint="default"/>
                <w:color w:val="auto"/>
                <w:lang w:val="zh-CN"/>
              </w:rPr>
              <w:t>12）带式输送机不能启动或打滑时，不应用脚蹬踩、用手推拉或压杆子等办法处理。</w:t>
            </w:r>
          </w:p>
          <w:p w14:paraId="214662AD">
            <w:pPr>
              <w:pStyle w:val="30"/>
              <w:bidi w:val="0"/>
              <w:jc w:val="both"/>
              <w:rPr>
                <w:rFonts w:hint="default"/>
                <w:color w:val="auto"/>
                <w:lang w:val="zh-CN"/>
              </w:rPr>
            </w:pPr>
            <w:r>
              <w:rPr>
                <w:rFonts w:hint="default"/>
                <w:color w:val="auto"/>
                <w:lang w:val="zh-CN"/>
              </w:rPr>
              <w:t>（7）矿仓（原矿仓、粉矿仓）安全措施</w:t>
            </w:r>
          </w:p>
          <w:p w14:paraId="49797BF2">
            <w:pPr>
              <w:pStyle w:val="30"/>
              <w:bidi w:val="0"/>
              <w:jc w:val="both"/>
              <w:rPr>
                <w:rFonts w:hint="default"/>
                <w:color w:val="auto"/>
                <w:lang w:val="zh-CN"/>
              </w:rPr>
            </w:pPr>
            <w:r>
              <w:rPr>
                <w:rFonts w:hint="default"/>
                <w:color w:val="auto"/>
                <w:lang w:val="zh-CN"/>
              </w:rPr>
              <w:t>1）矿仓口周围应设围挡或防护栏杆，料仓设置15*15mm格筛，防止大块物料卡料；</w:t>
            </w:r>
          </w:p>
          <w:p w14:paraId="06D0E854">
            <w:pPr>
              <w:pStyle w:val="30"/>
              <w:bidi w:val="0"/>
              <w:jc w:val="both"/>
              <w:rPr>
                <w:rFonts w:hint="default"/>
                <w:color w:val="auto"/>
                <w:lang w:val="zh-CN"/>
              </w:rPr>
            </w:pPr>
            <w:r>
              <w:rPr>
                <w:rFonts w:hint="default"/>
                <w:color w:val="auto"/>
                <w:lang w:val="zh-CN"/>
              </w:rPr>
              <w:t>2）卸车平台受料口应设牢固的安全限位车挡，车挡高度不小于车轮轮胎直径的2/5；</w:t>
            </w:r>
          </w:p>
          <w:p w14:paraId="05931C65">
            <w:pPr>
              <w:pStyle w:val="30"/>
              <w:bidi w:val="0"/>
              <w:jc w:val="both"/>
              <w:rPr>
                <w:rFonts w:hint="default"/>
                <w:color w:val="auto"/>
                <w:lang w:val="zh-CN"/>
              </w:rPr>
            </w:pPr>
            <w:r>
              <w:rPr>
                <w:rFonts w:hint="default"/>
                <w:color w:val="auto"/>
                <w:lang w:val="zh-CN"/>
              </w:rPr>
              <w:t>3）破碎机受料槽和缓冲仓排料口设视频监视；</w:t>
            </w:r>
          </w:p>
          <w:p w14:paraId="32C32628">
            <w:pPr>
              <w:pStyle w:val="30"/>
              <w:bidi w:val="0"/>
              <w:jc w:val="both"/>
              <w:rPr>
                <w:rFonts w:hint="default"/>
                <w:color w:val="auto"/>
              </w:rPr>
            </w:pPr>
            <w:r>
              <w:rPr>
                <w:rFonts w:hint="default"/>
                <w:color w:val="auto"/>
                <w:lang w:val="zh-CN"/>
              </w:rPr>
              <w:t>4）矿仓口卸料时应采取喷雾降尘措施。</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7D2C127F">
            <w:pPr>
              <w:pStyle w:val="30"/>
              <w:bidi w:val="0"/>
              <w:rPr>
                <w:rFonts w:hint="default"/>
                <w:color w:val="auto"/>
                <w:lang w:val="zh-CN" w:eastAsia="zh-CN"/>
              </w:rPr>
            </w:pPr>
            <w:r>
              <w:rPr>
                <w:rFonts w:hint="default"/>
                <w:color w:val="auto"/>
                <w:lang w:val="zh-CN" w:eastAsia="zh-CN"/>
              </w:rPr>
              <w:t>《安全设施设计》</w:t>
            </w:r>
          </w:p>
          <w:p w14:paraId="66F8AF31">
            <w:pPr>
              <w:pStyle w:val="30"/>
              <w:bidi w:val="0"/>
              <w:rPr>
                <w:rFonts w:hint="default"/>
                <w:color w:val="auto"/>
                <w:lang w:val="en-US" w:eastAsia="zh-CN"/>
              </w:rPr>
            </w:pPr>
            <w:r>
              <w:rPr>
                <w:rFonts w:hint="default"/>
                <w:color w:val="auto"/>
                <w:lang w:val="zh-CN" w:eastAsia="zh-CN"/>
              </w:rPr>
              <w:t>第5</w:t>
            </w:r>
            <w:r>
              <w:rPr>
                <w:rFonts w:hint="default"/>
                <w:color w:val="auto"/>
                <w:lang w:val="en-US" w:eastAsia="zh-CN"/>
              </w:rPr>
              <w:t>.2</w:t>
            </w:r>
            <w:r>
              <w:rPr>
                <w:rFonts w:hint="default"/>
                <w:color w:val="auto"/>
                <w:lang w:val="zh-CN" w:eastAsia="zh-CN"/>
              </w:rPr>
              <w:t>.2.</w:t>
            </w:r>
            <w:r>
              <w:rPr>
                <w:rFonts w:hint="default"/>
                <w:color w:val="auto"/>
                <w:lang w:val="en-US" w:eastAsia="zh-CN"/>
              </w:rPr>
              <w:t>1</w:t>
            </w:r>
            <w:r>
              <w:rPr>
                <w:rFonts w:hint="default"/>
                <w:color w:val="auto"/>
                <w:lang w:val="zh-CN" w:eastAsia="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0C64B586">
            <w:pPr>
              <w:pStyle w:val="30"/>
              <w:bidi w:val="0"/>
              <w:rPr>
                <w:rFonts w:hint="default"/>
                <w:color w:val="auto"/>
                <w:lang w:val="en-US" w:eastAsia="zh-CN"/>
              </w:rPr>
            </w:pPr>
            <w:r>
              <w:rPr>
                <w:rFonts w:hint="default"/>
                <w:color w:val="auto"/>
                <w:lang w:val="en-US" w:eastAsia="zh-CN"/>
              </w:rPr>
              <w:t>原矿堆场设有足够的回车坪，采用装载机上料；料仓口设置了</w:t>
            </w:r>
            <w:r>
              <w:rPr>
                <w:rFonts w:hint="eastAsia"/>
                <w:color w:val="auto"/>
                <w:lang w:val="en-US" w:eastAsia="zh-CN"/>
              </w:rPr>
              <w:t>车挡和</w:t>
            </w:r>
            <w:r>
              <w:rPr>
                <w:rFonts w:hint="default"/>
                <w:color w:val="auto"/>
                <w:lang w:val="en-US" w:eastAsia="zh-CN"/>
              </w:rPr>
              <w:t>格栅；</w:t>
            </w:r>
            <w:r>
              <w:rPr>
                <w:rFonts w:hint="default"/>
                <w:color w:val="auto"/>
                <w:lang w:val="zh-CN"/>
              </w:rPr>
              <w:t>固定格筛受矿槽的周围</w:t>
            </w:r>
            <w:r>
              <w:rPr>
                <w:rFonts w:hint="default"/>
                <w:color w:val="auto"/>
                <w:lang w:val="en-US" w:eastAsia="zh-CN"/>
              </w:rPr>
              <w:t>设有栏杆；</w:t>
            </w:r>
            <w:r>
              <w:rPr>
                <w:rFonts w:hint="default"/>
                <w:color w:val="auto"/>
                <w:lang w:val="zh-CN"/>
              </w:rPr>
              <w:t>选用的机电设备</w:t>
            </w:r>
            <w:r>
              <w:rPr>
                <w:rFonts w:hint="default"/>
                <w:color w:val="auto"/>
                <w:lang w:val="en-US" w:eastAsia="zh-CN"/>
              </w:rPr>
              <w:t>为合格产品；原料运输中车辆按操作规程运输；带式输送机安装了急停开关，</w:t>
            </w:r>
            <w:r>
              <w:rPr>
                <w:rFonts w:hint="default"/>
                <w:color w:val="auto"/>
                <w:lang w:val="zh-CN"/>
              </w:rPr>
              <w:t>皮带机头、尾部滚筒设置</w:t>
            </w:r>
            <w:r>
              <w:rPr>
                <w:rFonts w:hint="default"/>
                <w:color w:val="auto"/>
                <w:lang w:val="en-US" w:eastAsia="zh-CN"/>
              </w:rPr>
              <w:t>有</w:t>
            </w:r>
            <w:r>
              <w:rPr>
                <w:rFonts w:hint="default"/>
                <w:color w:val="auto"/>
                <w:lang w:val="zh-CN"/>
              </w:rPr>
              <w:t>防护罩</w:t>
            </w:r>
            <w:r>
              <w:rPr>
                <w:rFonts w:hint="default"/>
                <w:color w:val="auto"/>
                <w:lang w:val="zh-CN" w:eastAsia="zh-CN"/>
              </w:rPr>
              <w:t>。</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109EA9BB">
            <w:pPr>
              <w:pStyle w:val="30"/>
              <w:bidi w:val="0"/>
              <w:rPr>
                <w:rFonts w:hint="default"/>
                <w:color w:val="auto"/>
                <w:lang w:val="en-US" w:eastAsia="zh-CN"/>
              </w:rPr>
            </w:pPr>
            <w:r>
              <w:rPr>
                <w:rFonts w:hint="default"/>
                <w:color w:val="auto"/>
                <w:lang w:val="en-US" w:eastAsia="zh-CN"/>
              </w:rPr>
              <w:t>符合</w:t>
            </w:r>
          </w:p>
        </w:tc>
      </w:tr>
      <w:tr w14:paraId="36882537">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75A90205">
            <w:pPr>
              <w:pStyle w:val="30"/>
              <w:bidi w:val="0"/>
              <w:rPr>
                <w:rFonts w:hint="default"/>
                <w:color w:val="auto"/>
                <w:lang w:eastAsia="zh-CN"/>
              </w:rPr>
            </w:pPr>
            <w:r>
              <w:rPr>
                <w:rFonts w:hint="default"/>
                <w:color w:val="auto"/>
                <w:lang w:val="en-US" w:eastAsia="zh-CN"/>
              </w:rPr>
              <w:t>2</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3D3AC55E">
            <w:pPr>
              <w:pStyle w:val="30"/>
              <w:bidi w:val="0"/>
              <w:jc w:val="center"/>
              <w:rPr>
                <w:rFonts w:hint="default"/>
                <w:color w:val="auto"/>
              </w:rPr>
            </w:pPr>
            <w:r>
              <w:rPr>
                <w:rFonts w:hint="default"/>
                <w:color w:val="auto"/>
              </w:rPr>
              <w:t>破碎、磨矿</w:t>
            </w:r>
            <w:r>
              <w:rPr>
                <w:rFonts w:hint="default"/>
                <w:color w:val="auto"/>
                <w:lang w:val="zh-CN"/>
              </w:rPr>
              <w:t>工艺及安全防范措施</w:t>
            </w:r>
          </w:p>
        </w:tc>
      </w:tr>
      <w:tr w14:paraId="361EEFF2">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1D44A64D">
            <w:pPr>
              <w:pStyle w:val="30"/>
              <w:bidi w:val="0"/>
              <w:rPr>
                <w:rFonts w:hint="default"/>
                <w:color w:val="auto"/>
                <w:lang w:val="en-US" w:eastAsia="zh-CN"/>
              </w:rPr>
            </w:pPr>
            <w:r>
              <w:rPr>
                <w:rFonts w:hint="default"/>
                <w:color w:val="auto"/>
                <w:lang w:val="en-US" w:eastAsia="zh-CN"/>
              </w:rPr>
              <w:t>2.1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674811BD">
            <w:pPr>
              <w:pStyle w:val="30"/>
              <w:bidi w:val="0"/>
              <w:jc w:val="both"/>
              <w:rPr>
                <w:rFonts w:hint="default"/>
                <w:color w:val="auto"/>
                <w:lang w:val="zh-CN"/>
              </w:rPr>
            </w:pPr>
            <w:r>
              <w:rPr>
                <w:rFonts w:hint="default"/>
                <w:color w:val="auto"/>
                <w:lang w:val="zh-CN"/>
              </w:rPr>
              <w:t>破碎、磨矿工序主要设备包括槽式给料机、颚式破碎机球磨机、泵。</w:t>
            </w:r>
          </w:p>
          <w:p w14:paraId="4073911D">
            <w:pPr>
              <w:pStyle w:val="30"/>
              <w:bidi w:val="0"/>
              <w:jc w:val="both"/>
              <w:rPr>
                <w:rFonts w:hint="default"/>
                <w:color w:val="auto"/>
                <w:lang w:val="zh-CN"/>
              </w:rPr>
            </w:pPr>
            <w:r>
              <w:rPr>
                <w:rFonts w:hint="default"/>
                <w:color w:val="auto"/>
                <w:lang w:val="zh-CN"/>
              </w:rPr>
              <w:t>（1）颚式破碎机安全措施</w:t>
            </w:r>
          </w:p>
          <w:p w14:paraId="52AD90BD">
            <w:pPr>
              <w:pStyle w:val="30"/>
              <w:bidi w:val="0"/>
              <w:jc w:val="both"/>
              <w:rPr>
                <w:rFonts w:hint="default"/>
                <w:color w:val="auto"/>
                <w:lang w:val="zh-CN"/>
              </w:rPr>
            </w:pPr>
            <w:r>
              <w:rPr>
                <w:rFonts w:hint="default"/>
                <w:color w:val="auto"/>
                <w:lang w:val="zh-CN"/>
              </w:rPr>
              <w:t>当颚式破碎机、料仓发生堵塞需要清理时，必须先通知生产主管和操作员，并完成设备维护和清理作业许可程序。确认设备断电，切断控制柜电源，并按下急停开关，挂上维修警示牌。</w:t>
            </w:r>
          </w:p>
          <w:p w14:paraId="0F0CDED3">
            <w:pPr>
              <w:pStyle w:val="30"/>
              <w:bidi w:val="0"/>
              <w:jc w:val="both"/>
              <w:rPr>
                <w:rFonts w:hint="default"/>
                <w:color w:val="auto"/>
                <w:lang w:val="zh-CN"/>
              </w:rPr>
            </w:pPr>
            <w:r>
              <w:rPr>
                <w:rFonts w:hint="default"/>
                <w:color w:val="auto"/>
                <w:lang w:val="zh-CN"/>
              </w:rPr>
              <w:t>（2）球磨机安全措施如下：</w:t>
            </w:r>
          </w:p>
          <w:p w14:paraId="22AB3709">
            <w:pPr>
              <w:pStyle w:val="30"/>
              <w:bidi w:val="0"/>
              <w:jc w:val="both"/>
              <w:rPr>
                <w:rFonts w:hint="default"/>
                <w:color w:val="auto"/>
                <w:lang w:val="zh-CN"/>
              </w:rPr>
            </w:pPr>
            <w:r>
              <w:rPr>
                <w:rFonts w:hint="default"/>
                <w:color w:val="auto"/>
                <w:lang w:val="zh-CN"/>
              </w:rPr>
              <w:t>1）筒体两边应设置防护栏杆，防护栏杆防护范围应包括给料器等传动部位，上、下磨机操作平台时要站稳扶牢，穿好劳动保护用品。</w:t>
            </w:r>
          </w:p>
          <w:p w14:paraId="72DCFB77">
            <w:pPr>
              <w:pStyle w:val="30"/>
              <w:bidi w:val="0"/>
              <w:jc w:val="both"/>
              <w:rPr>
                <w:rFonts w:hint="default"/>
                <w:color w:val="auto"/>
                <w:lang w:val="zh-CN"/>
              </w:rPr>
            </w:pPr>
            <w:r>
              <w:rPr>
                <w:rFonts w:hint="default"/>
                <w:color w:val="auto"/>
                <w:lang w:val="zh-CN"/>
              </w:rPr>
              <w:t>2）平台四周及孔洞周围，应砌筑不低于100mm的挡水围台；地沟应设间隙不大于20mm的铁篦盖板。</w:t>
            </w:r>
          </w:p>
          <w:p w14:paraId="69ECA4CB">
            <w:pPr>
              <w:pStyle w:val="30"/>
              <w:bidi w:val="0"/>
              <w:jc w:val="both"/>
              <w:rPr>
                <w:rFonts w:hint="default"/>
                <w:color w:val="auto"/>
                <w:lang w:val="zh-CN"/>
              </w:rPr>
            </w:pPr>
            <w:r>
              <w:rPr>
                <w:rFonts w:hint="default"/>
                <w:color w:val="auto"/>
                <w:lang w:val="zh-CN"/>
              </w:rPr>
              <w:t>3）磨机运转时，人员不应在运转筒体两侧和下部逗留或工作；并应经常观察人孔门是否严密，严防磨矿介质飞出伤人。封闭磨机人孔门时，应确认磨机内无人，方可封闭。</w:t>
            </w:r>
          </w:p>
          <w:p w14:paraId="1B3EAC57">
            <w:pPr>
              <w:pStyle w:val="30"/>
              <w:bidi w:val="0"/>
              <w:jc w:val="both"/>
              <w:rPr>
                <w:rFonts w:hint="default"/>
                <w:color w:val="auto"/>
                <w:lang w:val="zh-CN"/>
              </w:rPr>
            </w:pPr>
            <w:r>
              <w:rPr>
                <w:rFonts w:hint="default"/>
                <w:color w:val="auto"/>
                <w:lang w:val="zh-CN"/>
              </w:rPr>
              <w:t>4）磨机检修时，严禁用大锤砸衬板，确需砸衬板时，检查大锤安装是否完好、牢固，要做好防护措施，穿戴好“专用防护服”以防铁屑或衬板伤人。磨机倒钢球时，任何人不得靠近，防止钢球蹦出伤人。</w:t>
            </w:r>
          </w:p>
          <w:p w14:paraId="512C0E7F">
            <w:pPr>
              <w:pStyle w:val="30"/>
              <w:bidi w:val="0"/>
              <w:jc w:val="both"/>
              <w:rPr>
                <w:rFonts w:hint="default"/>
                <w:color w:val="auto"/>
                <w:lang w:val="zh-CN"/>
              </w:rPr>
            </w:pPr>
            <w:r>
              <w:rPr>
                <w:rFonts w:hint="default"/>
                <w:color w:val="auto"/>
                <w:lang w:val="zh-CN"/>
              </w:rPr>
              <w:t>5）进入磨机内检查时，必须要有2人以上配合，一人进磨，一人负责监护；在磨机或设备内接临时灯，应使用36V安全电压，电线无裸露才能使用。检修期间，慢转磨需同现场负责人取得联系，确认磨内无人后方可慢转。</w:t>
            </w:r>
          </w:p>
          <w:p w14:paraId="377BFEC3">
            <w:pPr>
              <w:pStyle w:val="30"/>
              <w:bidi w:val="0"/>
              <w:jc w:val="both"/>
              <w:rPr>
                <w:rFonts w:hint="default"/>
                <w:color w:val="auto"/>
                <w:lang w:val="zh-CN"/>
              </w:rPr>
            </w:pPr>
            <w:r>
              <w:rPr>
                <w:rFonts w:hint="default"/>
                <w:color w:val="auto"/>
                <w:lang w:val="zh-CN"/>
              </w:rPr>
              <w:t>6）检修、更换磨机衬板时，应事先固定筒体，并确认机体内无脱落物，通风换气充分，温度适宜，方可进入。起重设备的钩头不应进入机体内。关磨门或人孔门时需要系好安全绳，确认内部无人后方可进行；重新开磨前，必须确认磨内磨上无人，无障碍物时方可进行。</w:t>
            </w:r>
          </w:p>
          <w:p w14:paraId="29E8FA13">
            <w:pPr>
              <w:pStyle w:val="30"/>
              <w:bidi w:val="0"/>
              <w:jc w:val="both"/>
              <w:rPr>
                <w:rFonts w:hint="default"/>
                <w:color w:val="auto"/>
                <w:lang w:val="zh-CN"/>
              </w:rPr>
            </w:pPr>
            <w:r>
              <w:rPr>
                <w:rFonts w:hint="default"/>
                <w:color w:val="auto"/>
                <w:lang w:val="zh-CN"/>
              </w:rPr>
              <w:t>7）处理磨机漏浆或紧固筒体螺栓时，先固定筒体。若磨机严重偏心，应首先消除偏心，然后进行处理。</w:t>
            </w:r>
          </w:p>
          <w:p w14:paraId="72FF896F">
            <w:pPr>
              <w:pStyle w:val="30"/>
              <w:bidi w:val="0"/>
              <w:jc w:val="both"/>
              <w:rPr>
                <w:rFonts w:hint="default"/>
                <w:color w:val="auto"/>
                <w:lang w:val="zh-CN"/>
              </w:rPr>
            </w:pPr>
            <w:r>
              <w:rPr>
                <w:rFonts w:hint="default"/>
                <w:color w:val="auto"/>
                <w:lang w:val="zh-CN"/>
              </w:rPr>
              <w:t>8）磨机“胀肚”时，应立即停止给料，按“前水闭，后水加，提高分级浓度降返砂”的原则处理。</w:t>
            </w:r>
          </w:p>
          <w:p w14:paraId="0BA031ED">
            <w:pPr>
              <w:pStyle w:val="30"/>
              <w:bidi w:val="0"/>
              <w:jc w:val="both"/>
              <w:rPr>
                <w:rFonts w:hint="default"/>
                <w:color w:val="auto"/>
                <w:lang w:val="zh-CN"/>
              </w:rPr>
            </w:pPr>
            <w:r>
              <w:rPr>
                <w:rFonts w:hint="default"/>
                <w:color w:val="auto"/>
                <w:lang w:val="zh-CN"/>
              </w:rPr>
              <w:t>9）用专门的钢斗给磨机加球时，斗内钢球面应低于钢斗上沿，不应用布袋吊运钢球。</w:t>
            </w:r>
          </w:p>
          <w:p w14:paraId="0A9AB0F5">
            <w:pPr>
              <w:pStyle w:val="30"/>
              <w:bidi w:val="0"/>
              <w:jc w:val="both"/>
              <w:rPr>
                <w:rFonts w:hint="default"/>
                <w:color w:val="auto"/>
                <w:lang w:val="zh-CN"/>
              </w:rPr>
            </w:pPr>
            <w:r>
              <w:rPr>
                <w:rFonts w:hint="default"/>
                <w:color w:val="auto"/>
                <w:lang w:val="zh-CN"/>
              </w:rPr>
              <w:t>10）厂内管道尽量埋地敷设，其余管道采用适当防冻措施。停产时应将管道排空，以防管道堵塞。</w:t>
            </w:r>
          </w:p>
          <w:p w14:paraId="079855B1">
            <w:pPr>
              <w:pStyle w:val="30"/>
              <w:bidi w:val="0"/>
              <w:jc w:val="both"/>
              <w:rPr>
                <w:rFonts w:hint="default"/>
                <w:color w:val="auto"/>
                <w:lang w:val="zh-CN"/>
              </w:rPr>
            </w:pPr>
            <w:r>
              <w:rPr>
                <w:rFonts w:hint="default"/>
                <w:color w:val="auto"/>
                <w:lang w:val="zh-CN"/>
              </w:rPr>
              <w:t>11）平台及楼梯采用花纹钢板防滑。</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67AE3917">
            <w:pPr>
              <w:pStyle w:val="30"/>
              <w:bidi w:val="0"/>
              <w:rPr>
                <w:rFonts w:hint="default"/>
                <w:color w:val="auto"/>
                <w:lang w:val="zh-CN"/>
              </w:rPr>
            </w:pPr>
            <w:r>
              <w:rPr>
                <w:rFonts w:hint="default"/>
                <w:color w:val="auto"/>
                <w:lang w:val="zh-CN"/>
              </w:rPr>
              <w:t>《安全设施设计》</w:t>
            </w:r>
          </w:p>
          <w:p w14:paraId="52430567">
            <w:pPr>
              <w:pStyle w:val="30"/>
              <w:bidi w:val="0"/>
              <w:rPr>
                <w:rFonts w:hint="default"/>
                <w:color w:val="auto"/>
                <w:lang w:val="zh-CN"/>
              </w:rPr>
            </w:pPr>
            <w:r>
              <w:rPr>
                <w:rFonts w:hint="default"/>
                <w:color w:val="auto"/>
                <w:lang w:val="zh-CN"/>
              </w:rPr>
              <w:t>第5</w:t>
            </w:r>
            <w:r>
              <w:rPr>
                <w:rFonts w:hint="default"/>
                <w:color w:val="auto"/>
                <w:lang w:val="en-US" w:eastAsia="zh-CN"/>
              </w:rPr>
              <w:t>.2</w:t>
            </w:r>
            <w:r>
              <w:rPr>
                <w:rFonts w:hint="default"/>
                <w:color w:val="auto"/>
                <w:lang w:val="zh-CN"/>
              </w:rPr>
              <w:t>.2.2节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714431D4">
            <w:pPr>
              <w:pStyle w:val="30"/>
              <w:bidi w:val="0"/>
              <w:rPr>
                <w:rFonts w:hint="default"/>
                <w:color w:val="auto"/>
                <w:lang w:val="en-US" w:eastAsia="zh-CN"/>
              </w:rPr>
            </w:pPr>
            <w:r>
              <w:rPr>
                <w:rFonts w:hint="default"/>
                <w:color w:val="auto"/>
                <w:lang w:val="zh-CN"/>
              </w:rPr>
              <w:t>（1</w:t>
            </w:r>
            <w:r>
              <w:rPr>
                <w:rFonts w:hint="eastAsia"/>
                <w:color w:val="auto"/>
                <w:lang w:val="zh-CN"/>
              </w:rPr>
              <w:t>）</w:t>
            </w:r>
            <w:r>
              <w:rPr>
                <w:rFonts w:hint="eastAsia"/>
                <w:color w:val="auto"/>
                <w:lang w:val="en-US" w:eastAsia="zh-CN"/>
              </w:rPr>
              <w:t>破碎、</w:t>
            </w:r>
            <w:r>
              <w:rPr>
                <w:rFonts w:hint="default"/>
                <w:color w:val="auto"/>
                <w:lang w:val="zh-CN"/>
              </w:rPr>
              <w:t>磨矿设备</w:t>
            </w:r>
            <w:r>
              <w:rPr>
                <w:rFonts w:hint="default"/>
                <w:color w:val="auto"/>
                <w:lang w:val="en-US" w:eastAsia="zh-CN"/>
              </w:rPr>
              <w:t>为利旧设备，</w:t>
            </w:r>
            <w:r>
              <w:rPr>
                <w:rFonts w:hint="default"/>
                <w:color w:val="auto"/>
                <w:lang w:val="zh-CN"/>
              </w:rPr>
              <w:t>已进行了安装生产，基础稳固，满足磨矿设备基础承载要求。（2</w:t>
            </w:r>
            <w:r>
              <w:rPr>
                <w:rFonts w:hint="eastAsia"/>
                <w:color w:val="auto"/>
                <w:lang w:val="zh-CN"/>
              </w:rPr>
              <w:t>）</w:t>
            </w:r>
            <w:r>
              <w:rPr>
                <w:rFonts w:hint="eastAsia"/>
                <w:color w:val="auto"/>
                <w:lang w:val="en-US" w:eastAsia="zh-CN"/>
              </w:rPr>
              <w:t>破碎机、</w:t>
            </w:r>
            <w:r>
              <w:rPr>
                <w:rFonts w:hint="default"/>
                <w:color w:val="auto"/>
                <w:lang w:val="zh-CN"/>
              </w:rPr>
              <w:t>球磨机等设备已进行了安装。球磨机采用钢筋混凝土独立结构，基础稳固，满足磨矿设备基础承载要求</w:t>
            </w:r>
            <w:r>
              <w:rPr>
                <w:rFonts w:hint="default"/>
                <w:color w:val="auto"/>
                <w:lang w:val="zh-CN" w:eastAsia="zh-CN"/>
              </w:rPr>
              <w:t>。</w:t>
            </w:r>
            <w:r>
              <w:rPr>
                <w:rFonts w:hint="default"/>
                <w:color w:val="auto"/>
                <w:lang w:val="zh-CN"/>
              </w:rPr>
              <w:t>根据选厂生产情况，设备生产能力及性能满足选厂生产要求，选矿技术指标达到选厂要求。</w:t>
            </w:r>
            <w:r>
              <w:rPr>
                <w:rFonts w:hint="eastAsia"/>
                <w:color w:val="auto"/>
                <w:lang w:val="en-US" w:eastAsia="zh-CN"/>
              </w:rPr>
              <w:t>现场勘查时球磨机旁未设置隔离栏，后经企业整改，球磨机旁设置了防护围栏，悬挂了警示标志。</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097F9A9">
            <w:pPr>
              <w:pStyle w:val="30"/>
              <w:bidi w:val="0"/>
              <w:rPr>
                <w:rFonts w:hint="default"/>
                <w:color w:val="auto"/>
                <w:lang w:val="zh-CN"/>
              </w:rPr>
            </w:pPr>
            <w:r>
              <w:rPr>
                <w:rFonts w:hint="default"/>
                <w:color w:val="auto"/>
                <w:lang w:val="zh-CN"/>
              </w:rPr>
              <w:t>符合</w:t>
            </w:r>
          </w:p>
        </w:tc>
      </w:tr>
      <w:tr w14:paraId="7A191E74">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2F01F9A4">
            <w:pPr>
              <w:pStyle w:val="30"/>
              <w:bidi w:val="0"/>
              <w:rPr>
                <w:rFonts w:hint="default"/>
                <w:color w:val="auto"/>
                <w:lang w:val="en-US" w:eastAsia="zh-CN"/>
              </w:rPr>
            </w:pPr>
            <w:r>
              <w:rPr>
                <w:rFonts w:hint="eastAsia"/>
                <w:color w:val="auto"/>
                <w:lang w:val="en-US" w:eastAsia="zh-CN"/>
              </w:rPr>
              <w:t>2.2</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483D1859">
            <w:pPr>
              <w:pStyle w:val="30"/>
              <w:bidi w:val="0"/>
              <w:jc w:val="both"/>
              <w:rPr>
                <w:rFonts w:hint="default"/>
                <w:color w:val="auto"/>
                <w:lang w:val="zh-CN"/>
              </w:rPr>
            </w:pPr>
            <w:r>
              <w:rPr>
                <w:rFonts w:hint="default"/>
                <w:color w:val="auto"/>
                <w:lang w:val="zh-CN"/>
              </w:rPr>
              <w:t>固定格筛和粗破碎机受矿槽的周围</w:t>
            </w:r>
            <w:r>
              <w:rPr>
                <w:rFonts w:hint="eastAsia"/>
                <w:color w:val="auto"/>
                <w:lang w:val="zh-CN"/>
              </w:rPr>
              <w:t>（</w:t>
            </w:r>
            <w:r>
              <w:rPr>
                <w:rFonts w:hint="default"/>
                <w:color w:val="auto"/>
                <w:lang w:val="zh-CN"/>
              </w:rPr>
              <w:t>给矿侧或翻车侧除外</w:t>
            </w:r>
            <w:r>
              <w:rPr>
                <w:rFonts w:hint="eastAsia"/>
                <w:color w:val="auto"/>
                <w:lang w:val="zh-CN"/>
              </w:rPr>
              <w:t>），</w:t>
            </w:r>
            <w:r>
              <w:rPr>
                <w:rFonts w:hint="default"/>
                <w:color w:val="auto"/>
                <w:lang w:val="zh-CN"/>
              </w:rPr>
              <w:t>以及螺旋分级机的槽体靠近磨矿机的排矿端</w:t>
            </w:r>
            <w:r>
              <w:rPr>
                <w:rFonts w:hint="eastAsia"/>
                <w:color w:val="auto"/>
                <w:lang w:val="zh-CN"/>
              </w:rPr>
              <w:t>，</w:t>
            </w:r>
            <w:r>
              <w:rPr>
                <w:rFonts w:hint="default"/>
                <w:color w:val="auto"/>
                <w:lang w:val="zh-CN"/>
              </w:rPr>
              <w:t>均应设栏杆。</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0A915C1F">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01465874">
            <w:pPr>
              <w:pStyle w:val="30"/>
              <w:bidi w:val="0"/>
              <w:rPr>
                <w:rFonts w:hint="default" w:eastAsia="宋体"/>
                <w:color w:val="auto"/>
                <w:lang w:val="en-US" w:eastAsia="zh-CN"/>
              </w:rPr>
            </w:pPr>
            <w:r>
              <w:rPr>
                <w:rFonts w:hint="eastAsia"/>
                <w:color w:val="auto"/>
                <w:lang w:val="en-US" w:eastAsia="zh-CN"/>
              </w:rPr>
              <w:t>7.2.2</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5BB2C5E3">
            <w:pPr>
              <w:pStyle w:val="30"/>
              <w:bidi w:val="0"/>
              <w:rPr>
                <w:rFonts w:hint="default" w:eastAsia="宋体"/>
                <w:color w:val="auto"/>
                <w:lang w:val="en-US" w:eastAsia="zh-CN"/>
              </w:rPr>
            </w:pPr>
            <w:r>
              <w:rPr>
                <w:rFonts w:hint="default"/>
                <w:color w:val="auto"/>
                <w:lang w:val="zh-CN"/>
              </w:rPr>
              <w:t>企业制定了</w:t>
            </w:r>
            <w:r>
              <w:rPr>
                <w:rFonts w:hint="eastAsia"/>
                <w:color w:val="auto"/>
                <w:lang w:val="en-US" w:eastAsia="zh-CN"/>
              </w:rPr>
              <w:t>破碎机</w:t>
            </w:r>
            <w:r>
              <w:rPr>
                <w:rFonts w:hint="default"/>
                <w:color w:val="auto"/>
                <w:lang w:val="zh-CN"/>
              </w:rPr>
              <w:t>操作规程。</w:t>
            </w:r>
            <w:r>
              <w:rPr>
                <w:rFonts w:hint="eastAsia"/>
                <w:color w:val="auto"/>
                <w:lang w:val="en-US" w:eastAsia="zh-CN"/>
              </w:rPr>
              <w:t>入料口设置了格栅，周围设置了防护栏杆。</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41F9A969">
            <w:pPr>
              <w:pStyle w:val="30"/>
              <w:bidi w:val="0"/>
              <w:rPr>
                <w:rFonts w:hint="eastAsia" w:eastAsia="宋体"/>
                <w:color w:val="auto"/>
                <w:lang w:val="en-US" w:eastAsia="zh-CN"/>
              </w:rPr>
            </w:pPr>
            <w:r>
              <w:rPr>
                <w:rFonts w:hint="eastAsia"/>
                <w:color w:val="auto"/>
                <w:lang w:val="en-US" w:eastAsia="zh-CN"/>
              </w:rPr>
              <w:t>符合</w:t>
            </w:r>
          </w:p>
        </w:tc>
      </w:tr>
      <w:tr w14:paraId="236F3390">
        <w:tblPrEx>
          <w:tblCellMar>
            <w:top w:w="0" w:type="dxa"/>
            <w:left w:w="108" w:type="dxa"/>
            <w:bottom w:w="0" w:type="dxa"/>
            <w:right w:w="108" w:type="dxa"/>
          </w:tblCellMar>
        </w:tblPrEx>
        <w:trPr>
          <w:trHeight w:val="90"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E10ACBD">
            <w:pPr>
              <w:pStyle w:val="30"/>
              <w:bidi w:val="0"/>
              <w:rPr>
                <w:rFonts w:hint="default"/>
                <w:color w:val="auto"/>
                <w:lang w:val="en-US" w:eastAsia="zh-CN"/>
              </w:rPr>
            </w:pPr>
            <w:r>
              <w:rPr>
                <w:rFonts w:hint="default"/>
                <w:color w:val="auto"/>
                <w:lang w:val="en-US" w:eastAsia="zh-CN"/>
              </w:rPr>
              <w:t>2.</w:t>
            </w:r>
            <w:r>
              <w:rPr>
                <w:rFonts w:hint="eastAsia"/>
                <w:color w:val="auto"/>
                <w:lang w:val="en-US" w:eastAsia="zh-CN"/>
              </w:rPr>
              <w:t>3</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09505C91">
            <w:pPr>
              <w:pStyle w:val="30"/>
              <w:bidi w:val="0"/>
              <w:jc w:val="both"/>
              <w:rPr>
                <w:rFonts w:hint="default"/>
                <w:color w:val="auto"/>
              </w:rPr>
            </w:pPr>
            <w:r>
              <w:rPr>
                <w:rFonts w:hint="default"/>
                <w:color w:val="auto"/>
                <w:lang w:val="zh-CN"/>
              </w:rPr>
              <w:t>磨矿机两侧和轴瓦侧面，应有防护栏杆。磨矿机运转时，人员不应在运转筒体两侧和下部逗留或工作；并应经常观察人孔门是否严密，严防磨矿介质飞出伤人。封闭磨矿机人孔时，应确认磨矿机内无人，方可封闭。</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24269865">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19175441">
            <w:pPr>
              <w:pStyle w:val="30"/>
              <w:bidi w:val="0"/>
              <w:rPr>
                <w:rFonts w:hint="default"/>
                <w:color w:val="auto"/>
                <w:lang w:val="zh-CN"/>
              </w:rPr>
            </w:pPr>
            <w:r>
              <w:rPr>
                <w:rFonts w:hint="default"/>
                <w:color w:val="auto"/>
              </w:rPr>
              <w:t>7.3.1</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2546C48C">
            <w:pPr>
              <w:pStyle w:val="30"/>
              <w:bidi w:val="0"/>
              <w:rPr>
                <w:rFonts w:hint="default"/>
                <w:color w:val="auto"/>
                <w:lang w:val="zh-CN"/>
              </w:rPr>
            </w:pPr>
            <w:r>
              <w:rPr>
                <w:rFonts w:hint="default"/>
                <w:color w:val="auto"/>
                <w:lang w:val="zh-CN"/>
              </w:rPr>
              <w:t>企业制定了球磨机操作规程。</w:t>
            </w:r>
            <w:r>
              <w:rPr>
                <w:rFonts w:hint="eastAsia"/>
                <w:color w:val="auto"/>
                <w:lang w:val="en-US" w:eastAsia="zh-CN"/>
              </w:rPr>
              <w:t>现场勘查时球磨机旁未设置隔离栏，后经企业整改，球磨机旁设置了防护围栏，悬挂了警示标志。</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C7FAEAF">
            <w:pPr>
              <w:pStyle w:val="30"/>
              <w:bidi w:val="0"/>
              <w:rPr>
                <w:rFonts w:hint="default"/>
                <w:color w:val="auto"/>
                <w:lang w:val="zh-CN"/>
              </w:rPr>
            </w:pPr>
            <w:r>
              <w:rPr>
                <w:rFonts w:hint="default"/>
                <w:color w:val="auto"/>
                <w:lang w:val="zh-CN"/>
              </w:rPr>
              <w:t>符合</w:t>
            </w:r>
          </w:p>
        </w:tc>
      </w:tr>
      <w:tr w14:paraId="000B0F07">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039AA94D">
            <w:pPr>
              <w:pStyle w:val="30"/>
              <w:bidi w:val="0"/>
              <w:rPr>
                <w:rFonts w:hint="default"/>
                <w:color w:val="auto"/>
                <w:lang w:val="en-US" w:eastAsia="zh-CN"/>
              </w:rPr>
            </w:pPr>
            <w:r>
              <w:rPr>
                <w:rFonts w:hint="default"/>
                <w:color w:val="auto"/>
                <w:lang w:val="en-US" w:eastAsia="zh-CN"/>
              </w:rPr>
              <w:t>2.</w:t>
            </w:r>
            <w:r>
              <w:rPr>
                <w:rFonts w:hint="eastAsia"/>
                <w:color w:val="auto"/>
                <w:lang w:val="en-US" w:eastAsia="zh-CN"/>
              </w:rPr>
              <w:t>4</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311418F0">
            <w:pPr>
              <w:pStyle w:val="30"/>
              <w:bidi w:val="0"/>
              <w:jc w:val="both"/>
              <w:rPr>
                <w:rFonts w:hint="default"/>
                <w:color w:val="auto"/>
              </w:rPr>
            </w:pPr>
            <w:r>
              <w:rPr>
                <w:rFonts w:hint="default"/>
                <w:color w:val="auto"/>
                <w:lang w:val="zh-CN"/>
              </w:rPr>
              <w:t>检修、更换磨矿机衬板时，应事先固定滚筒，并确认机体内无脱落物，通风换气充分，温度适宜，方可进入。起重机的钩头不应进入机体内。</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5444AF10">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332F0FF9">
            <w:pPr>
              <w:pStyle w:val="30"/>
              <w:bidi w:val="0"/>
              <w:rPr>
                <w:rFonts w:hint="default"/>
                <w:color w:val="auto"/>
                <w:lang w:val="zh-CN"/>
              </w:rPr>
            </w:pPr>
            <w:r>
              <w:rPr>
                <w:rFonts w:hint="default"/>
                <w:color w:val="auto"/>
              </w:rPr>
              <w:t>7.3.2</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653DB2E5">
            <w:pPr>
              <w:pStyle w:val="30"/>
              <w:bidi w:val="0"/>
              <w:rPr>
                <w:rFonts w:hint="default"/>
                <w:color w:val="auto"/>
                <w:lang w:val="zh-CN"/>
              </w:rPr>
            </w:pPr>
            <w:r>
              <w:rPr>
                <w:rFonts w:hint="default"/>
                <w:color w:val="auto"/>
                <w:lang w:val="zh-CN"/>
              </w:rPr>
              <w:t>操作规程中已明确。</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2C8F2947">
            <w:pPr>
              <w:pStyle w:val="30"/>
              <w:bidi w:val="0"/>
              <w:rPr>
                <w:rFonts w:hint="default"/>
                <w:color w:val="auto"/>
                <w:lang w:val="zh-CN"/>
              </w:rPr>
            </w:pPr>
            <w:r>
              <w:rPr>
                <w:rFonts w:hint="default"/>
                <w:color w:val="auto"/>
                <w:lang w:val="zh-CN"/>
              </w:rPr>
              <w:t>符合</w:t>
            </w:r>
          </w:p>
        </w:tc>
      </w:tr>
      <w:tr w14:paraId="65F3835A">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AA4ABF1">
            <w:pPr>
              <w:pStyle w:val="30"/>
              <w:bidi w:val="0"/>
              <w:rPr>
                <w:rFonts w:hint="default"/>
                <w:color w:val="auto"/>
                <w:lang w:val="en-US" w:eastAsia="zh-CN"/>
              </w:rPr>
            </w:pPr>
            <w:r>
              <w:rPr>
                <w:rFonts w:hint="eastAsia"/>
                <w:color w:val="auto"/>
                <w:lang w:val="en-US" w:eastAsia="zh-CN"/>
              </w:rPr>
              <w:t>3</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1B13738E">
            <w:pPr>
              <w:pStyle w:val="30"/>
              <w:bidi w:val="0"/>
              <w:rPr>
                <w:rFonts w:hint="default"/>
                <w:color w:val="auto"/>
                <w:lang w:val="zh-CN"/>
              </w:rPr>
            </w:pPr>
            <w:r>
              <w:rPr>
                <w:rFonts w:hint="default"/>
                <w:color w:val="auto"/>
                <w:lang w:val="zh-CN"/>
              </w:rPr>
              <w:t>浮选工艺及安全防范措施</w:t>
            </w:r>
          </w:p>
        </w:tc>
      </w:tr>
      <w:tr w14:paraId="19179687">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1170C3D">
            <w:pPr>
              <w:pStyle w:val="30"/>
              <w:bidi w:val="0"/>
              <w:rPr>
                <w:rFonts w:hint="default"/>
                <w:color w:val="auto"/>
                <w:lang w:val="en-US" w:eastAsia="zh-CN"/>
              </w:rPr>
            </w:pPr>
            <w:r>
              <w:rPr>
                <w:rFonts w:hint="eastAsia"/>
                <w:color w:val="auto"/>
                <w:lang w:val="en-US" w:eastAsia="zh-CN"/>
              </w:rPr>
              <w:t>3.1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7FC449A1">
            <w:pPr>
              <w:pStyle w:val="30"/>
              <w:bidi w:val="0"/>
              <w:jc w:val="both"/>
              <w:rPr>
                <w:rFonts w:hint="default"/>
                <w:color w:val="auto"/>
                <w:lang w:val="zh-CN"/>
              </w:rPr>
            </w:pPr>
            <w:r>
              <w:rPr>
                <w:rFonts w:hint="default"/>
                <w:color w:val="auto"/>
                <w:lang w:val="zh-CN"/>
              </w:rPr>
              <w:t>（1）设置浮选平台，平台高于地面，便于排水，浮选工序防滑通道大于1500mm。</w:t>
            </w:r>
          </w:p>
          <w:p w14:paraId="599AE2FD">
            <w:pPr>
              <w:pStyle w:val="30"/>
              <w:bidi w:val="0"/>
              <w:jc w:val="both"/>
              <w:rPr>
                <w:rFonts w:hint="default"/>
                <w:color w:val="auto"/>
                <w:lang w:val="zh-CN"/>
              </w:rPr>
            </w:pPr>
            <w:r>
              <w:rPr>
                <w:rFonts w:hint="default"/>
                <w:color w:val="auto"/>
                <w:lang w:val="zh-CN"/>
              </w:rPr>
              <w:t>（2）浮选机加药点设置在侧面安全位置，操作台外沿设置安全栏杆，皮带轮设置防护罩，浮选机周边或开关流槽闸板等处夜间检查时保持的良好的照明，并在他人监护下进行。</w:t>
            </w:r>
          </w:p>
          <w:p w14:paraId="0567BF24">
            <w:pPr>
              <w:pStyle w:val="30"/>
              <w:bidi w:val="0"/>
              <w:jc w:val="both"/>
              <w:rPr>
                <w:rFonts w:hint="default"/>
                <w:color w:val="auto"/>
                <w:lang w:val="zh-CN"/>
              </w:rPr>
            </w:pPr>
            <w:r>
              <w:rPr>
                <w:rFonts w:hint="default"/>
                <w:color w:val="auto"/>
                <w:lang w:val="zh-CN"/>
              </w:rPr>
              <w:t>（3）开动浮选设备时，应确认机内无人、无障碍物。运行中的浮选槽，应防止掉入铁件等杂物或影响运转的其他障碍物。</w:t>
            </w:r>
          </w:p>
          <w:p w14:paraId="22E74BB9">
            <w:pPr>
              <w:pStyle w:val="30"/>
              <w:bidi w:val="0"/>
              <w:jc w:val="both"/>
              <w:rPr>
                <w:rFonts w:hint="default"/>
                <w:color w:val="auto"/>
                <w:lang w:val="zh-CN"/>
              </w:rPr>
            </w:pPr>
            <w:r>
              <w:rPr>
                <w:rFonts w:hint="default"/>
                <w:color w:val="auto"/>
                <w:lang w:val="zh-CN"/>
              </w:rPr>
              <w:t>（4）浮选机搅拌系统设置防护罩，更换浮选机的三角带，应停车进行。三角带松动时，不应用棍棒去压或用铁丝去钩三角带。</w:t>
            </w:r>
          </w:p>
          <w:p w14:paraId="585C1B50">
            <w:pPr>
              <w:pStyle w:val="30"/>
              <w:bidi w:val="0"/>
              <w:jc w:val="both"/>
              <w:rPr>
                <w:rFonts w:hint="default"/>
                <w:color w:val="auto"/>
                <w:lang w:val="zh-CN"/>
              </w:rPr>
            </w:pPr>
            <w:r>
              <w:rPr>
                <w:rFonts w:hint="default"/>
                <w:color w:val="auto"/>
                <w:lang w:val="zh-CN"/>
              </w:rPr>
              <w:t>（6）更换机械搅拌式浮选机的搅拌器，应用钢丝绳吊运，不应用三角带、磨绳吊运。</w:t>
            </w:r>
          </w:p>
          <w:p w14:paraId="4D4A921C">
            <w:pPr>
              <w:pStyle w:val="30"/>
              <w:bidi w:val="0"/>
              <w:jc w:val="both"/>
              <w:rPr>
                <w:rFonts w:hint="default"/>
                <w:color w:val="auto"/>
                <w:lang w:val="zh-CN"/>
              </w:rPr>
            </w:pPr>
            <w:r>
              <w:rPr>
                <w:rFonts w:hint="default"/>
                <w:color w:val="auto"/>
                <w:lang w:val="zh-CN"/>
              </w:rPr>
              <w:t>（7）不应跨在矿浆搅拌槽体上作业。溅堆到槽壁端面的矿泥，应经常用水冲洗干净。</w:t>
            </w:r>
          </w:p>
          <w:p w14:paraId="6955D4ED">
            <w:pPr>
              <w:pStyle w:val="30"/>
              <w:bidi w:val="0"/>
              <w:jc w:val="both"/>
              <w:rPr>
                <w:rFonts w:hint="default"/>
                <w:color w:val="auto"/>
                <w:lang w:val="zh-CN"/>
              </w:rPr>
            </w:pPr>
            <w:r>
              <w:rPr>
                <w:rFonts w:hint="default"/>
                <w:color w:val="auto"/>
                <w:lang w:val="zh-CN"/>
              </w:rPr>
              <w:t>（8）浮选机进浆管、回砂管、排矿管和闸阀等，应保持完好、畅通和灵活，发现堵塞、磨损应及时处理。</w:t>
            </w:r>
          </w:p>
          <w:p w14:paraId="71A284A5">
            <w:pPr>
              <w:pStyle w:val="30"/>
              <w:bidi w:val="0"/>
              <w:jc w:val="both"/>
              <w:rPr>
                <w:rFonts w:hint="default"/>
                <w:color w:val="auto"/>
                <w:lang w:val="zh-CN"/>
              </w:rPr>
            </w:pPr>
            <w:r>
              <w:rPr>
                <w:rFonts w:hint="default"/>
                <w:color w:val="auto"/>
                <w:lang w:val="zh-CN"/>
              </w:rPr>
              <w:t>（9）浮选机槽体因磨损漏矿浆或搅拌器发生故障必须停车检修时，应将槽内矿浆放空，并用水冲洗干净。</w:t>
            </w:r>
          </w:p>
          <w:p w14:paraId="518D4C2B">
            <w:pPr>
              <w:pStyle w:val="30"/>
              <w:bidi w:val="0"/>
              <w:jc w:val="both"/>
              <w:rPr>
                <w:rFonts w:hint="default"/>
                <w:color w:val="auto"/>
                <w:lang w:val="zh-CN"/>
              </w:rPr>
            </w:pPr>
            <w:r>
              <w:rPr>
                <w:rFonts w:hint="default"/>
                <w:color w:val="auto"/>
                <w:lang w:val="zh-CN"/>
              </w:rPr>
              <w:t>（10）浮选机突然停电跳闸时，应立即切断电源开关，同时通知球磨停止给矿。</w:t>
            </w:r>
          </w:p>
          <w:p w14:paraId="421E1256">
            <w:pPr>
              <w:pStyle w:val="30"/>
              <w:bidi w:val="0"/>
              <w:jc w:val="both"/>
              <w:rPr>
                <w:rFonts w:hint="default"/>
                <w:color w:val="auto"/>
                <w:lang w:val="zh-CN"/>
              </w:rPr>
            </w:pPr>
            <w:r>
              <w:rPr>
                <w:rFonts w:hint="default"/>
                <w:color w:val="auto"/>
                <w:lang w:val="zh-CN"/>
              </w:rPr>
              <w:t>（11）使用杯式给药机调整给药量，应停机进行。</w:t>
            </w:r>
          </w:p>
          <w:p w14:paraId="5D2CB88B">
            <w:pPr>
              <w:pStyle w:val="30"/>
              <w:bidi w:val="0"/>
              <w:jc w:val="both"/>
              <w:rPr>
                <w:rFonts w:hint="default"/>
                <w:color w:val="auto"/>
                <w:lang w:val="zh-CN"/>
              </w:rPr>
            </w:pPr>
            <w:r>
              <w:rPr>
                <w:rFonts w:hint="default"/>
                <w:color w:val="auto"/>
                <w:lang w:val="zh-CN"/>
              </w:rPr>
              <w:t>（12）药剂房的洗眼器、灭火器等安全设施内容。</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3B7533BE">
            <w:pPr>
              <w:pStyle w:val="30"/>
              <w:bidi w:val="0"/>
              <w:rPr>
                <w:rFonts w:hint="default" w:eastAsia="宋体"/>
                <w:color w:val="auto"/>
                <w:lang w:val="en-US" w:eastAsia="zh-CN"/>
              </w:rPr>
            </w:pPr>
            <w:r>
              <w:rPr>
                <w:rFonts w:hint="eastAsia"/>
                <w:color w:val="auto"/>
                <w:lang w:eastAsia="zh-CN"/>
              </w:rPr>
              <w:t>《安全设施设计》</w:t>
            </w:r>
            <w:r>
              <w:rPr>
                <w:rFonts w:hint="eastAsia"/>
                <w:color w:val="auto"/>
                <w:lang w:val="en-US" w:eastAsia="zh-CN"/>
              </w:rPr>
              <w:t>5.2.2.3</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29DF2208">
            <w:pPr>
              <w:pStyle w:val="30"/>
              <w:bidi w:val="0"/>
              <w:rPr>
                <w:rFonts w:hint="default"/>
                <w:color w:val="auto"/>
                <w:lang w:val="zh-CN"/>
              </w:rPr>
            </w:pPr>
            <w:r>
              <w:rPr>
                <w:rFonts w:hint="default"/>
                <w:color w:val="auto"/>
                <w:lang w:val="zh-CN"/>
              </w:rPr>
              <w:t>浮选机加药点设置在侧面安全位置，操作台外沿设置安全栏杆，皮带轮设置防护罩</w:t>
            </w:r>
            <w:r>
              <w:rPr>
                <w:rFonts w:hint="eastAsia"/>
                <w:color w:val="auto"/>
                <w:lang w:val="zh-CN"/>
              </w:rPr>
              <w:t>。</w:t>
            </w:r>
            <w:r>
              <w:rPr>
                <w:rFonts w:hint="default"/>
                <w:color w:val="auto"/>
                <w:lang w:val="zh-CN"/>
              </w:rPr>
              <w:t>现场勘查时浮选机搅拌系统</w:t>
            </w:r>
            <w:r>
              <w:rPr>
                <w:rFonts w:hint="eastAsia"/>
                <w:color w:val="auto"/>
                <w:lang w:val="en-US" w:eastAsia="zh-CN"/>
              </w:rPr>
              <w:t>未</w:t>
            </w:r>
            <w:r>
              <w:rPr>
                <w:rFonts w:hint="default"/>
                <w:color w:val="auto"/>
                <w:lang w:val="zh-CN"/>
              </w:rPr>
              <w:t>设置防护罩</w:t>
            </w:r>
            <w:r>
              <w:rPr>
                <w:rFonts w:hint="eastAsia"/>
                <w:color w:val="auto"/>
                <w:lang w:val="zh-CN"/>
              </w:rPr>
              <w:t>，</w:t>
            </w:r>
            <w:r>
              <w:rPr>
                <w:rFonts w:hint="eastAsia"/>
                <w:color w:val="auto"/>
                <w:lang w:val="en-US" w:eastAsia="zh-CN"/>
              </w:rPr>
              <w:t>未设置</w:t>
            </w:r>
            <w:r>
              <w:rPr>
                <w:rFonts w:hint="eastAsia"/>
                <w:color w:val="auto"/>
                <w:lang w:val="zh-CN"/>
              </w:rPr>
              <w:t>洗眼器，</w:t>
            </w:r>
            <w:r>
              <w:rPr>
                <w:rFonts w:hint="default"/>
                <w:color w:val="auto"/>
                <w:lang w:val="zh-CN"/>
              </w:rPr>
              <w:t>后经企业整改，浮选机搅拌系统设置防护罩</w:t>
            </w:r>
            <w:r>
              <w:rPr>
                <w:rFonts w:hint="eastAsia"/>
                <w:color w:val="auto"/>
                <w:lang w:val="zh-CN"/>
              </w:rPr>
              <w:t>，</w:t>
            </w:r>
            <w:r>
              <w:rPr>
                <w:rFonts w:hint="eastAsia"/>
                <w:color w:val="auto"/>
                <w:lang w:val="en-US" w:eastAsia="zh-CN"/>
              </w:rPr>
              <w:t>设置了洗眼器</w:t>
            </w:r>
            <w:r>
              <w:rPr>
                <w:rFonts w:hint="default"/>
                <w:color w:val="auto"/>
                <w:lang w:val="zh-CN"/>
              </w:rPr>
              <w:t>，悬挂了警示标志。</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49D075EC">
            <w:pPr>
              <w:pStyle w:val="30"/>
              <w:bidi w:val="0"/>
              <w:rPr>
                <w:rFonts w:hint="eastAsia" w:eastAsia="宋体"/>
                <w:color w:val="auto"/>
                <w:lang w:val="en-US" w:eastAsia="zh-CN"/>
              </w:rPr>
            </w:pPr>
            <w:r>
              <w:rPr>
                <w:rFonts w:hint="eastAsia"/>
                <w:color w:val="auto"/>
                <w:lang w:val="en-US" w:eastAsia="zh-CN"/>
              </w:rPr>
              <w:t>符合</w:t>
            </w:r>
          </w:p>
        </w:tc>
      </w:tr>
      <w:tr w14:paraId="742655BB">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535FA8F4">
            <w:pPr>
              <w:pStyle w:val="30"/>
              <w:bidi w:val="0"/>
              <w:rPr>
                <w:rFonts w:hint="default"/>
                <w:color w:val="auto"/>
                <w:lang w:eastAsia="zh-CN"/>
              </w:rPr>
            </w:pPr>
            <w:r>
              <w:rPr>
                <w:rFonts w:hint="eastAsia"/>
                <w:color w:val="auto"/>
                <w:lang w:val="en-US" w:eastAsia="zh-CN"/>
              </w:rPr>
              <w:t>4</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03CCD955">
            <w:pPr>
              <w:pStyle w:val="30"/>
              <w:bidi w:val="0"/>
              <w:jc w:val="center"/>
              <w:rPr>
                <w:rFonts w:hint="default"/>
                <w:color w:val="auto"/>
                <w:lang w:val="zh-CN"/>
              </w:rPr>
            </w:pPr>
            <w:r>
              <w:rPr>
                <w:rFonts w:hint="default"/>
                <w:color w:val="auto"/>
              </w:rPr>
              <w:t>选矿车间</w:t>
            </w:r>
            <w:r>
              <w:rPr>
                <w:rFonts w:hint="default"/>
                <w:color w:val="auto"/>
                <w:lang w:val="zh-CN"/>
              </w:rPr>
              <w:t>工艺及安全防范措施</w:t>
            </w:r>
          </w:p>
        </w:tc>
      </w:tr>
      <w:tr w14:paraId="2A3671D5">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7AE475B3">
            <w:pPr>
              <w:pStyle w:val="30"/>
              <w:bidi w:val="0"/>
              <w:rPr>
                <w:rFonts w:hint="default"/>
                <w:color w:val="auto"/>
                <w:lang w:eastAsia="zh-CN"/>
              </w:rPr>
            </w:pPr>
            <w:r>
              <w:rPr>
                <w:rFonts w:hint="eastAsia"/>
                <w:color w:val="auto"/>
                <w:lang w:val="en-US" w:eastAsia="zh-CN"/>
              </w:rPr>
              <w:t>4</w:t>
            </w:r>
            <w:r>
              <w:rPr>
                <w:rFonts w:hint="default"/>
                <w:color w:val="auto"/>
              </w:rPr>
              <w:t>.</w:t>
            </w:r>
            <w:r>
              <w:rPr>
                <w:rFonts w:hint="default"/>
                <w:color w:val="auto"/>
                <w:lang w:val="en-US" w:eastAsia="zh-CN"/>
              </w:rPr>
              <w:t>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2BAD72D6">
            <w:pPr>
              <w:pStyle w:val="30"/>
              <w:bidi w:val="0"/>
              <w:jc w:val="both"/>
              <w:rPr>
                <w:rFonts w:hint="default"/>
                <w:color w:val="auto"/>
              </w:rPr>
            </w:pPr>
            <w:r>
              <w:rPr>
                <w:rFonts w:hint="default"/>
                <w:color w:val="auto"/>
                <w:lang w:val="zh-CN"/>
              </w:rPr>
              <w:t>处理分级设备的返砂槽堵塞时，不应攀登在分级机、直线振动筛或其他设备上进行。</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4D7014FC">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5F0E9088">
            <w:pPr>
              <w:pStyle w:val="30"/>
              <w:bidi w:val="0"/>
              <w:rPr>
                <w:rFonts w:hint="default"/>
                <w:color w:val="auto"/>
                <w:lang w:val="zh-CN"/>
              </w:rPr>
            </w:pPr>
            <w:r>
              <w:rPr>
                <w:rFonts w:hint="default"/>
                <w:color w:val="auto"/>
              </w:rPr>
              <w:t>7.3.9</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55906EA3">
            <w:pPr>
              <w:pStyle w:val="30"/>
              <w:bidi w:val="0"/>
              <w:rPr>
                <w:rFonts w:hint="default"/>
                <w:color w:val="auto"/>
              </w:rPr>
            </w:pPr>
            <w:r>
              <w:rPr>
                <w:rFonts w:hint="default"/>
                <w:color w:val="auto"/>
                <w:lang w:val="zh-CN"/>
              </w:rPr>
              <w:t>操作规程中已明确。</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59EE9F29">
            <w:pPr>
              <w:pStyle w:val="30"/>
              <w:bidi w:val="0"/>
              <w:rPr>
                <w:rFonts w:hint="default"/>
                <w:color w:val="auto"/>
              </w:rPr>
            </w:pPr>
            <w:r>
              <w:rPr>
                <w:rFonts w:hint="default"/>
                <w:color w:val="auto"/>
                <w:lang w:val="zh-CN"/>
              </w:rPr>
              <w:t>符合</w:t>
            </w:r>
          </w:p>
        </w:tc>
      </w:tr>
      <w:tr w14:paraId="1E106630">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2D31E933">
            <w:pPr>
              <w:pStyle w:val="30"/>
              <w:bidi w:val="0"/>
              <w:rPr>
                <w:rFonts w:hint="default"/>
                <w:color w:val="auto"/>
                <w:lang w:eastAsia="zh-CN"/>
              </w:rPr>
            </w:pPr>
            <w:r>
              <w:rPr>
                <w:rFonts w:hint="eastAsia"/>
                <w:color w:val="auto"/>
                <w:lang w:val="en-US" w:eastAsia="zh-CN"/>
              </w:rPr>
              <w:t>4</w:t>
            </w:r>
            <w:r>
              <w:rPr>
                <w:rFonts w:hint="default"/>
                <w:color w:val="auto"/>
              </w:rPr>
              <w:t>.</w:t>
            </w:r>
            <w:r>
              <w:rPr>
                <w:rFonts w:hint="default"/>
                <w:color w:val="auto"/>
                <w:lang w:val="en-US" w:eastAsia="zh-CN"/>
              </w:rPr>
              <w:t>2</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0DF29D91">
            <w:pPr>
              <w:pStyle w:val="30"/>
              <w:bidi w:val="0"/>
              <w:jc w:val="both"/>
              <w:rPr>
                <w:rFonts w:hint="default"/>
                <w:color w:val="auto"/>
              </w:rPr>
            </w:pPr>
            <w:r>
              <w:rPr>
                <w:rFonts w:hint="default"/>
                <w:color w:val="auto"/>
                <w:lang w:val="zh-CN"/>
              </w:rPr>
              <w:t>清除分级设备溢流除渣篦上的木屑等废渣时，不应站在除渣篦子上进行。</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0EF7FCBA">
            <w:pPr>
              <w:pStyle w:val="30"/>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rPr>
              <w:t>7.3.10</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2DCF7C54">
            <w:pPr>
              <w:pStyle w:val="30"/>
              <w:bidi w:val="0"/>
              <w:rPr>
                <w:rFonts w:hint="default"/>
                <w:color w:val="auto"/>
              </w:rPr>
            </w:pPr>
            <w:r>
              <w:rPr>
                <w:rFonts w:hint="default"/>
                <w:color w:val="auto"/>
                <w:lang w:val="zh-CN"/>
              </w:rPr>
              <w:t>操作规程中已明确。</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5415E903">
            <w:pPr>
              <w:pStyle w:val="30"/>
              <w:bidi w:val="0"/>
              <w:rPr>
                <w:rFonts w:hint="default"/>
                <w:color w:val="auto"/>
              </w:rPr>
            </w:pPr>
            <w:r>
              <w:rPr>
                <w:rFonts w:hint="default"/>
                <w:color w:val="auto"/>
                <w:lang w:val="zh-CN"/>
              </w:rPr>
              <w:t>符合</w:t>
            </w:r>
          </w:p>
        </w:tc>
      </w:tr>
      <w:tr w14:paraId="71F1EA6C">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7E20C4D8">
            <w:pPr>
              <w:pStyle w:val="30"/>
              <w:bidi w:val="0"/>
              <w:rPr>
                <w:rFonts w:hint="default"/>
                <w:color w:val="auto"/>
                <w:lang w:eastAsia="zh-CN"/>
              </w:rPr>
            </w:pPr>
            <w:r>
              <w:rPr>
                <w:rFonts w:hint="eastAsia"/>
                <w:color w:val="auto"/>
                <w:lang w:val="en-US" w:eastAsia="zh-CN"/>
              </w:rPr>
              <w:t>4</w:t>
            </w:r>
            <w:r>
              <w:rPr>
                <w:rFonts w:hint="default"/>
                <w:color w:val="auto"/>
              </w:rPr>
              <w:t>.</w:t>
            </w:r>
            <w:r>
              <w:rPr>
                <w:rFonts w:hint="default"/>
                <w:color w:val="auto"/>
                <w:lang w:val="en-US" w:eastAsia="zh-CN"/>
              </w:rPr>
              <w:t>3</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1692BA5D">
            <w:pPr>
              <w:pStyle w:val="30"/>
              <w:bidi w:val="0"/>
              <w:jc w:val="both"/>
              <w:rPr>
                <w:rFonts w:hint="default"/>
                <w:color w:val="auto"/>
              </w:rPr>
            </w:pPr>
            <w:r>
              <w:rPr>
                <w:rFonts w:hint="default"/>
                <w:color w:val="auto"/>
                <w:lang w:val="zh-CN"/>
              </w:rPr>
              <w:t>车间楼板、地面应有一定的坡度，并在楼板上设地漏，地面设排水沟。</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627D077D">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38E3D18D">
            <w:pPr>
              <w:pStyle w:val="30"/>
              <w:bidi w:val="0"/>
              <w:rPr>
                <w:rFonts w:hint="default"/>
                <w:color w:val="auto"/>
                <w:lang w:val="zh-CN"/>
              </w:rPr>
            </w:pPr>
            <w:r>
              <w:rPr>
                <w:rFonts w:hint="default"/>
                <w:color w:val="auto"/>
              </w:rPr>
              <w:t>6.1</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18C3E12A">
            <w:pPr>
              <w:pStyle w:val="30"/>
              <w:bidi w:val="0"/>
              <w:rPr>
                <w:rFonts w:hint="default"/>
                <w:color w:val="auto"/>
              </w:rPr>
            </w:pPr>
            <w:r>
              <w:rPr>
                <w:rFonts w:hint="default"/>
                <w:color w:val="auto"/>
                <w:lang w:val="zh-CN"/>
              </w:rPr>
              <w:t>选厂生产车间有一定的坡度，地面设置有排水沟。</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15A7558">
            <w:pPr>
              <w:pStyle w:val="30"/>
              <w:bidi w:val="0"/>
              <w:rPr>
                <w:rFonts w:hint="default"/>
                <w:color w:val="auto"/>
              </w:rPr>
            </w:pPr>
            <w:r>
              <w:rPr>
                <w:rFonts w:hint="default"/>
                <w:color w:val="auto"/>
                <w:lang w:val="zh-CN"/>
              </w:rPr>
              <w:t>符合</w:t>
            </w:r>
          </w:p>
        </w:tc>
      </w:tr>
      <w:tr w14:paraId="4B920216">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5C6359D9">
            <w:pPr>
              <w:pStyle w:val="30"/>
              <w:bidi w:val="0"/>
              <w:rPr>
                <w:rFonts w:hint="default"/>
                <w:color w:val="auto"/>
                <w:lang w:eastAsia="zh-CN"/>
              </w:rPr>
            </w:pPr>
            <w:r>
              <w:rPr>
                <w:rFonts w:hint="eastAsia"/>
                <w:color w:val="auto"/>
                <w:lang w:val="en-US" w:eastAsia="zh-CN"/>
              </w:rPr>
              <w:t>4</w:t>
            </w:r>
            <w:r>
              <w:rPr>
                <w:rFonts w:hint="default"/>
                <w:color w:val="auto"/>
              </w:rPr>
              <w:t>.</w:t>
            </w:r>
            <w:r>
              <w:rPr>
                <w:rFonts w:hint="default"/>
                <w:color w:val="auto"/>
                <w:lang w:val="en-US" w:eastAsia="zh-CN"/>
              </w:rPr>
              <w:t>4</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50E36C76">
            <w:pPr>
              <w:pStyle w:val="30"/>
              <w:bidi w:val="0"/>
              <w:jc w:val="both"/>
              <w:rPr>
                <w:rFonts w:hint="default"/>
                <w:color w:val="auto"/>
              </w:rPr>
            </w:pPr>
            <w:r>
              <w:rPr>
                <w:rFonts w:hint="default"/>
                <w:color w:val="auto"/>
                <w:lang w:val="zh-CN"/>
              </w:rPr>
              <w:t>平台四周及孔洞周围，应砌筑不低于</w:t>
            </w:r>
            <w:r>
              <w:rPr>
                <w:rFonts w:hint="default"/>
                <w:color w:val="auto"/>
              </w:rPr>
              <w:t>100mm</w:t>
            </w:r>
            <w:r>
              <w:rPr>
                <w:rFonts w:hint="default"/>
                <w:color w:val="auto"/>
                <w:lang w:val="zh-CN"/>
              </w:rPr>
              <w:t>的挡水围台，地沟应加间隙不大于</w:t>
            </w:r>
            <w:r>
              <w:rPr>
                <w:rFonts w:hint="default"/>
                <w:color w:val="auto"/>
              </w:rPr>
              <w:t>20mm</w:t>
            </w:r>
            <w:r>
              <w:rPr>
                <w:rFonts w:hint="default"/>
                <w:color w:val="auto"/>
                <w:lang w:val="zh-CN"/>
              </w:rPr>
              <w:t>的铁篦盖板。</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3AF0C4FE">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79DCCCDA">
            <w:pPr>
              <w:pStyle w:val="30"/>
              <w:bidi w:val="0"/>
              <w:rPr>
                <w:rFonts w:hint="default"/>
                <w:color w:val="auto"/>
              </w:rPr>
            </w:pPr>
            <w:r>
              <w:rPr>
                <w:rFonts w:hint="default"/>
                <w:color w:val="auto"/>
              </w:rPr>
              <w:t>6.3</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2B103200">
            <w:pPr>
              <w:pStyle w:val="30"/>
              <w:bidi w:val="0"/>
              <w:rPr>
                <w:rFonts w:hint="default"/>
                <w:color w:val="auto"/>
              </w:rPr>
            </w:pPr>
            <w:r>
              <w:rPr>
                <w:rFonts w:hint="default"/>
                <w:color w:val="auto"/>
                <w:lang w:val="zh-CN"/>
              </w:rPr>
              <w:t>操作平台及孔洞周围设置有挡水台，地沟有盖板。</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227807D4">
            <w:pPr>
              <w:pStyle w:val="30"/>
              <w:bidi w:val="0"/>
              <w:rPr>
                <w:rFonts w:hint="default"/>
                <w:color w:val="auto"/>
              </w:rPr>
            </w:pPr>
            <w:r>
              <w:rPr>
                <w:rFonts w:hint="default"/>
                <w:color w:val="auto"/>
                <w:lang w:val="zh-CN"/>
              </w:rPr>
              <w:t>符合</w:t>
            </w:r>
          </w:p>
        </w:tc>
      </w:tr>
      <w:tr w14:paraId="3154DD2B">
        <w:tblPrEx>
          <w:tblCellMar>
            <w:top w:w="0" w:type="dxa"/>
            <w:left w:w="108" w:type="dxa"/>
            <w:bottom w:w="0" w:type="dxa"/>
            <w:right w:w="108" w:type="dxa"/>
          </w:tblCellMar>
        </w:tblPrEx>
        <w:trPr>
          <w:trHeight w:val="864"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00DD4777">
            <w:pPr>
              <w:pStyle w:val="30"/>
              <w:bidi w:val="0"/>
              <w:rPr>
                <w:rFonts w:hint="default"/>
                <w:color w:val="auto"/>
                <w:lang w:eastAsia="zh-CN"/>
              </w:rPr>
            </w:pPr>
            <w:r>
              <w:rPr>
                <w:rFonts w:hint="eastAsia"/>
                <w:color w:val="auto"/>
                <w:lang w:val="en-US" w:eastAsia="zh-CN"/>
              </w:rPr>
              <w:t>4</w:t>
            </w:r>
            <w:r>
              <w:rPr>
                <w:rFonts w:hint="default"/>
                <w:color w:val="auto"/>
              </w:rPr>
              <w:t>.</w:t>
            </w:r>
            <w:r>
              <w:rPr>
                <w:rFonts w:hint="default"/>
                <w:color w:val="auto"/>
                <w:lang w:val="en-US" w:eastAsia="zh-CN"/>
              </w:rPr>
              <w:t>5</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3AAD60EC">
            <w:pPr>
              <w:pStyle w:val="30"/>
              <w:bidi w:val="0"/>
              <w:jc w:val="both"/>
              <w:rPr>
                <w:rFonts w:hint="default"/>
                <w:color w:val="auto"/>
              </w:rPr>
            </w:pPr>
            <w:r>
              <w:rPr>
                <w:rFonts w:hint="default"/>
                <w:color w:val="auto"/>
                <w:lang w:val="zh-CN"/>
              </w:rPr>
              <w:t>长度超过</w:t>
            </w:r>
            <w:r>
              <w:rPr>
                <w:rFonts w:hint="default"/>
                <w:color w:val="auto"/>
              </w:rPr>
              <w:t>60m</w:t>
            </w:r>
            <w:r>
              <w:rPr>
                <w:rFonts w:hint="default"/>
                <w:color w:val="auto"/>
                <w:lang w:val="zh-CN"/>
              </w:rPr>
              <w:t>的厂房，应设两个主要楼梯。主要通道的楼梯倾角，应不大于</w:t>
            </w:r>
            <w:r>
              <w:rPr>
                <w:rFonts w:hint="default"/>
                <w:color w:val="auto"/>
              </w:rPr>
              <w:t>45°</w:t>
            </w:r>
            <w:r>
              <w:rPr>
                <w:rFonts w:hint="default"/>
                <w:color w:val="auto"/>
                <w:lang w:val="zh-CN"/>
              </w:rPr>
              <w:t>；行人不频繁的楼梯倾角可达</w:t>
            </w:r>
            <w:r>
              <w:rPr>
                <w:rFonts w:hint="default"/>
                <w:color w:val="auto"/>
              </w:rPr>
              <w:t>60°</w:t>
            </w:r>
            <w:r>
              <w:rPr>
                <w:rFonts w:hint="default"/>
                <w:color w:val="auto"/>
                <w:lang w:val="zh-CN"/>
              </w:rPr>
              <w:t>。楼梯每个踏步上方的净空高度应不小于</w:t>
            </w:r>
            <w:r>
              <w:rPr>
                <w:rFonts w:hint="default"/>
                <w:color w:val="auto"/>
              </w:rPr>
              <w:t>2.2m。</w:t>
            </w:r>
            <w:r>
              <w:rPr>
                <w:rFonts w:hint="default"/>
                <w:color w:val="auto"/>
                <w:lang w:val="zh-CN"/>
              </w:rPr>
              <w:t>楼梯休息平台下的行人通道，净宽不应小于</w:t>
            </w:r>
            <w:r>
              <w:rPr>
                <w:rFonts w:hint="default"/>
                <w:color w:val="auto"/>
              </w:rPr>
              <w:t>2.0m。</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0304E59D">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4B03E0C7">
            <w:pPr>
              <w:pStyle w:val="30"/>
              <w:bidi w:val="0"/>
              <w:rPr>
                <w:rFonts w:hint="default"/>
                <w:color w:val="auto"/>
              </w:rPr>
            </w:pPr>
            <w:r>
              <w:rPr>
                <w:rFonts w:hint="default"/>
                <w:color w:val="auto"/>
              </w:rPr>
              <w:t>6.8</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5FBAEE7D">
            <w:pPr>
              <w:pStyle w:val="30"/>
              <w:bidi w:val="0"/>
              <w:rPr>
                <w:rFonts w:hint="default"/>
                <w:color w:val="auto"/>
              </w:rPr>
            </w:pPr>
            <w:r>
              <w:rPr>
                <w:rFonts w:hint="default"/>
                <w:color w:val="auto"/>
              </w:rPr>
              <w:t>该项目厂房长度不超过60m，设置有一个主要通行楼梯，楼梯满足设计要求。</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4EEE27CF">
            <w:pPr>
              <w:pStyle w:val="30"/>
              <w:bidi w:val="0"/>
              <w:rPr>
                <w:rFonts w:hint="default"/>
                <w:color w:val="auto"/>
              </w:rPr>
            </w:pPr>
            <w:r>
              <w:rPr>
                <w:rFonts w:hint="default"/>
                <w:color w:val="auto"/>
                <w:lang w:val="zh-CN"/>
              </w:rPr>
              <w:t>符合</w:t>
            </w:r>
          </w:p>
        </w:tc>
      </w:tr>
      <w:tr w14:paraId="473A73B0">
        <w:tblPrEx>
          <w:tblCellMar>
            <w:top w:w="0" w:type="dxa"/>
            <w:left w:w="108" w:type="dxa"/>
            <w:bottom w:w="0" w:type="dxa"/>
            <w:right w:w="108" w:type="dxa"/>
          </w:tblCellMar>
        </w:tblPrEx>
        <w:trPr>
          <w:trHeight w:val="126"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8E6C1B7">
            <w:pPr>
              <w:pStyle w:val="30"/>
              <w:bidi w:val="0"/>
              <w:rPr>
                <w:rFonts w:hint="default"/>
                <w:color w:val="auto"/>
                <w:lang w:eastAsia="zh-CN"/>
              </w:rPr>
            </w:pPr>
            <w:r>
              <w:rPr>
                <w:rFonts w:hint="eastAsia"/>
                <w:color w:val="auto"/>
                <w:lang w:val="en-US" w:eastAsia="zh-CN"/>
              </w:rPr>
              <w:t>4</w:t>
            </w:r>
            <w:r>
              <w:rPr>
                <w:rFonts w:hint="default"/>
                <w:color w:val="auto"/>
              </w:rPr>
              <w:t>.</w:t>
            </w:r>
            <w:r>
              <w:rPr>
                <w:rFonts w:hint="default"/>
                <w:color w:val="auto"/>
                <w:lang w:val="en-US" w:eastAsia="zh-CN"/>
              </w:rPr>
              <w:t>6</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7C8048A0">
            <w:pPr>
              <w:pStyle w:val="30"/>
              <w:bidi w:val="0"/>
              <w:jc w:val="both"/>
              <w:rPr>
                <w:rFonts w:hint="default"/>
                <w:color w:val="auto"/>
              </w:rPr>
            </w:pPr>
            <w:r>
              <w:rPr>
                <w:rFonts w:hint="default"/>
                <w:color w:val="auto"/>
                <w:lang w:val="zh-CN"/>
              </w:rPr>
              <w:t>厂房内主要操作通道宽度应不小于</w:t>
            </w:r>
            <w:r>
              <w:rPr>
                <w:rFonts w:hint="default"/>
                <w:color w:val="auto"/>
              </w:rPr>
              <w:t>1.5m</w:t>
            </w:r>
            <w:r>
              <w:rPr>
                <w:rFonts w:hint="default"/>
                <w:color w:val="auto"/>
                <w:lang w:val="zh-CN"/>
              </w:rPr>
              <w:t>，一般设备维护通道宽度应不小于</w:t>
            </w:r>
            <w:r>
              <w:rPr>
                <w:rFonts w:hint="default"/>
                <w:color w:val="auto"/>
              </w:rPr>
              <w:t>1.0m</w:t>
            </w:r>
            <w:r>
              <w:rPr>
                <w:rFonts w:hint="default"/>
                <w:color w:val="auto"/>
                <w:lang w:val="zh-CN"/>
              </w:rPr>
              <w:t>，通道净空高度应小于</w:t>
            </w:r>
            <w:r>
              <w:rPr>
                <w:rFonts w:hint="default"/>
                <w:color w:val="auto"/>
              </w:rPr>
              <w:t>2.0m</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13DCC4CE">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2A73BF4F">
            <w:pPr>
              <w:pStyle w:val="30"/>
              <w:bidi w:val="0"/>
              <w:rPr>
                <w:rFonts w:hint="default"/>
                <w:color w:val="auto"/>
              </w:rPr>
            </w:pPr>
            <w:r>
              <w:rPr>
                <w:rFonts w:hint="default"/>
                <w:color w:val="auto"/>
              </w:rPr>
              <w:t>6.9</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304C81E2">
            <w:pPr>
              <w:pStyle w:val="30"/>
              <w:bidi w:val="0"/>
              <w:rPr>
                <w:rFonts w:hint="default"/>
                <w:color w:val="auto"/>
              </w:rPr>
            </w:pPr>
            <w:r>
              <w:rPr>
                <w:rFonts w:hint="default"/>
                <w:color w:val="auto"/>
                <w:lang w:val="zh-CN"/>
              </w:rPr>
              <w:t>厂房内通道宽度均不小于1.5m。</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49C38162">
            <w:pPr>
              <w:pStyle w:val="30"/>
              <w:bidi w:val="0"/>
              <w:rPr>
                <w:rFonts w:hint="default"/>
                <w:color w:val="auto"/>
              </w:rPr>
            </w:pPr>
            <w:r>
              <w:rPr>
                <w:rFonts w:hint="default"/>
                <w:color w:val="auto"/>
              </w:rPr>
              <w:t>符合</w:t>
            </w:r>
          </w:p>
        </w:tc>
      </w:tr>
      <w:tr w14:paraId="72AADCCC">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0D1CC2F3">
            <w:pPr>
              <w:pStyle w:val="30"/>
              <w:bidi w:val="0"/>
              <w:rPr>
                <w:rFonts w:hint="default"/>
                <w:color w:val="auto"/>
                <w:lang w:eastAsia="zh-CN"/>
              </w:rPr>
            </w:pPr>
            <w:r>
              <w:rPr>
                <w:rFonts w:hint="eastAsia"/>
                <w:color w:val="auto"/>
                <w:lang w:val="en-US" w:eastAsia="zh-CN"/>
              </w:rPr>
              <w:t>4</w:t>
            </w:r>
            <w:r>
              <w:rPr>
                <w:rFonts w:hint="default"/>
                <w:color w:val="auto"/>
              </w:rPr>
              <w:t>.</w:t>
            </w:r>
            <w:r>
              <w:rPr>
                <w:rFonts w:hint="default"/>
                <w:color w:val="auto"/>
                <w:lang w:val="en-US" w:eastAsia="zh-CN"/>
              </w:rPr>
              <w:t>7</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75B2293C">
            <w:pPr>
              <w:pStyle w:val="30"/>
              <w:bidi w:val="0"/>
              <w:jc w:val="both"/>
              <w:rPr>
                <w:rFonts w:hint="default"/>
                <w:color w:val="auto"/>
              </w:rPr>
            </w:pPr>
            <w:r>
              <w:rPr>
                <w:rFonts w:hint="default"/>
                <w:color w:val="auto"/>
                <w:lang w:val="zh-CN"/>
              </w:rPr>
              <w:t>通道的坡度达到</w:t>
            </w:r>
            <w:r>
              <w:rPr>
                <w:rFonts w:hint="default"/>
                <w:color w:val="auto"/>
              </w:rPr>
              <w:t>6°～12°</w:t>
            </w:r>
            <w:r>
              <w:rPr>
                <w:rFonts w:hint="default"/>
                <w:color w:val="auto"/>
                <w:lang w:val="zh-CN"/>
              </w:rPr>
              <w:t>时，应加防滑条；坡度大于</w:t>
            </w:r>
            <w:r>
              <w:rPr>
                <w:rFonts w:hint="default"/>
                <w:color w:val="auto"/>
              </w:rPr>
              <w:t>12°</w:t>
            </w:r>
            <w:r>
              <w:rPr>
                <w:rFonts w:hint="default"/>
                <w:color w:val="auto"/>
                <w:lang w:val="zh-CN"/>
              </w:rPr>
              <w:t>时，应设踏步。经常有水、油脂等易滑物质的地坪，应采取防滑措施。</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136AA556">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217A8F66">
            <w:pPr>
              <w:pStyle w:val="30"/>
              <w:bidi w:val="0"/>
              <w:rPr>
                <w:rFonts w:hint="default"/>
                <w:color w:val="auto"/>
              </w:rPr>
            </w:pPr>
            <w:r>
              <w:rPr>
                <w:rFonts w:hint="default"/>
                <w:color w:val="auto"/>
              </w:rPr>
              <w:t>6.10</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2C0BC242">
            <w:pPr>
              <w:pStyle w:val="30"/>
              <w:bidi w:val="0"/>
              <w:rPr>
                <w:rFonts w:hint="default"/>
                <w:color w:val="auto"/>
              </w:rPr>
            </w:pPr>
            <w:r>
              <w:rPr>
                <w:rFonts w:hint="default"/>
                <w:color w:val="auto"/>
              </w:rPr>
              <w:t>该项目厂房通道设计严格执行选矿安全规程。</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21F46ED3">
            <w:pPr>
              <w:pStyle w:val="30"/>
              <w:bidi w:val="0"/>
              <w:rPr>
                <w:rFonts w:hint="default"/>
                <w:color w:val="auto"/>
              </w:rPr>
            </w:pPr>
            <w:r>
              <w:rPr>
                <w:rFonts w:hint="default"/>
                <w:color w:val="auto"/>
                <w:lang w:val="zh-CN"/>
              </w:rPr>
              <w:t>符合</w:t>
            </w:r>
          </w:p>
        </w:tc>
      </w:tr>
      <w:tr w14:paraId="7CE5969D">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23210876">
            <w:pPr>
              <w:pStyle w:val="30"/>
              <w:bidi w:val="0"/>
              <w:rPr>
                <w:rFonts w:hint="default"/>
                <w:color w:val="auto"/>
                <w:lang w:eastAsia="zh-CN"/>
              </w:rPr>
            </w:pPr>
            <w:r>
              <w:rPr>
                <w:rFonts w:hint="eastAsia"/>
                <w:color w:val="auto"/>
                <w:lang w:val="en-US" w:eastAsia="zh-CN"/>
              </w:rPr>
              <w:t>4</w:t>
            </w:r>
            <w:r>
              <w:rPr>
                <w:rFonts w:hint="default"/>
                <w:color w:val="auto"/>
              </w:rPr>
              <w:t>.</w:t>
            </w:r>
            <w:r>
              <w:rPr>
                <w:rFonts w:hint="default"/>
                <w:color w:val="auto"/>
                <w:lang w:val="en-US" w:eastAsia="zh-CN"/>
              </w:rPr>
              <w:t>8</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1983A99C">
            <w:pPr>
              <w:pStyle w:val="30"/>
              <w:bidi w:val="0"/>
              <w:jc w:val="both"/>
              <w:rPr>
                <w:rFonts w:hint="default"/>
                <w:color w:val="auto"/>
              </w:rPr>
            </w:pPr>
            <w:r>
              <w:rPr>
                <w:rFonts w:hint="default"/>
                <w:color w:val="auto"/>
              </w:rPr>
              <w:t>高度超过0.6m的平台，周围应设栏杆；平台上的孔洞应设栏杆或盖板；必要时，平台边缘应设安全防护板。</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43BCB813">
            <w:pPr>
              <w:pStyle w:val="30"/>
              <w:bidi w:val="0"/>
              <w:rPr>
                <w:rFonts w:hint="eastAsia"/>
                <w:color w:val="auto"/>
                <w:lang w:eastAsia="zh-CN"/>
              </w:rPr>
            </w:pPr>
            <w:r>
              <w:rPr>
                <w:rFonts w:hint="default"/>
                <w:color w:val="auto"/>
              </w:rPr>
              <w:t>《选矿安全规程》</w:t>
            </w:r>
            <w:r>
              <w:rPr>
                <w:rFonts w:hint="eastAsia"/>
                <w:color w:val="auto"/>
                <w:lang w:eastAsia="zh-CN"/>
              </w:rPr>
              <w:t>（GB/T 18152-2000）</w:t>
            </w:r>
          </w:p>
          <w:p w14:paraId="28B2C8B9">
            <w:pPr>
              <w:pStyle w:val="30"/>
              <w:bidi w:val="0"/>
              <w:rPr>
                <w:rFonts w:hint="default"/>
                <w:color w:val="auto"/>
              </w:rPr>
            </w:pPr>
            <w:r>
              <w:rPr>
                <w:rFonts w:hint="default"/>
                <w:color w:val="auto"/>
              </w:rPr>
              <w:t>6.11</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4E380CB6">
            <w:pPr>
              <w:pStyle w:val="30"/>
              <w:bidi w:val="0"/>
              <w:rPr>
                <w:rFonts w:hint="default"/>
                <w:color w:val="auto"/>
                <w:lang w:val="en-US" w:eastAsia="zh-CN"/>
              </w:rPr>
            </w:pPr>
            <w:r>
              <w:rPr>
                <w:rFonts w:hint="default"/>
                <w:color w:val="auto"/>
              </w:rPr>
              <w:t>超过0.6m的平台</w:t>
            </w:r>
            <w:r>
              <w:rPr>
                <w:rFonts w:hint="eastAsia"/>
                <w:color w:val="auto"/>
                <w:lang w:val="en-US" w:eastAsia="zh-CN"/>
              </w:rPr>
              <w:t>均设有栏杆，现场勘验时破碎车间部分平台和楼梯未设置防护栏</w:t>
            </w:r>
            <w:r>
              <w:rPr>
                <w:rFonts w:hint="eastAsia"/>
                <w:color w:val="auto"/>
                <w:lang w:eastAsia="zh-CN"/>
              </w:rPr>
              <w:t>，</w:t>
            </w:r>
            <w:r>
              <w:rPr>
                <w:rFonts w:hint="eastAsia"/>
                <w:color w:val="auto"/>
                <w:lang w:val="en-US" w:eastAsia="zh-CN"/>
              </w:rPr>
              <w:t>后经企业整改破碎车间部分平台和楼梯设置了防护栏。</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650B3B2">
            <w:pPr>
              <w:pStyle w:val="30"/>
              <w:bidi w:val="0"/>
              <w:rPr>
                <w:rFonts w:hint="default"/>
                <w:color w:val="auto"/>
              </w:rPr>
            </w:pPr>
            <w:r>
              <w:rPr>
                <w:rFonts w:hint="default"/>
                <w:color w:val="auto"/>
              </w:rPr>
              <w:t>符合</w:t>
            </w:r>
          </w:p>
        </w:tc>
      </w:tr>
      <w:tr w14:paraId="638FE650">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070C86A0">
            <w:pPr>
              <w:pStyle w:val="30"/>
              <w:bidi w:val="0"/>
              <w:rPr>
                <w:rFonts w:hint="default"/>
                <w:color w:val="auto"/>
                <w:lang w:eastAsia="zh-CN"/>
              </w:rPr>
            </w:pPr>
            <w:r>
              <w:rPr>
                <w:rFonts w:hint="eastAsia"/>
                <w:color w:val="auto"/>
                <w:lang w:val="en-US" w:eastAsia="zh-CN"/>
              </w:rPr>
              <w:t>4</w:t>
            </w:r>
            <w:r>
              <w:rPr>
                <w:rFonts w:hint="default"/>
                <w:color w:val="auto"/>
              </w:rPr>
              <w:t>.</w:t>
            </w:r>
            <w:r>
              <w:rPr>
                <w:rFonts w:hint="default"/>
                <w:color w:val="auto"/>
                <w:lang w:val="en-US" w:eastAsia="zh-CN"/>
              </w:rPr>
              <w:t>9</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0FDEFA28">
            <w:pPr>
              <w:pStyle w:val="30"/>
              <w:bidi w:val="0"/>
              <w:jc w:val="both"/>
              <w:rPr>
                <w:rFonts w:hint="default"/>
                <w:color w:val="auto"/>
              </w:rPr>
            </w:pPr>
            <w:r>
              <w:rPr>
                <w:rFonts w:hint="default"/>
                <w:color w:val="auto"/>
                <w:lang w:val="zh-CN"/>
              </w:rPr>
              <w:t>天桥、通道及走梯，宜用花纹钢板制作。直梯、斜梯、栏杆及平台的制作，应分别符合</w:t>
            </w:r>
            <w:r>
              <w:rPr>
                <w:rFonts w:hint="default"/>
                <w:color w:val="auto"/>
              </w:rPr>
              <w:t>GB 4053.1</w:t>
            </w:r>
            <w:r>
              <w:rPr>
                <w:rFonts w:hint="default"/>
                <w:color w:val="auto"/>
                <w:lang w:val="zh-CN"/>
              </w:rPr>
              <w:t>、</w:t>
            </w:r>
            <w:r>
              <w:rPr>
                <w:rFonts w:hint="default"/>
                <w:color w:val="auto"/>
              </w:rPr>
              <w:t>GB</w:t>
            </w:r>
            <w:r>
              <w:rPr>
                <w:rFonts w:hint="default"/>
                <w:color w:val="auto"/>
                <w:lang w:val="en-US" w:eastAsia="zh-CN"/>
              </w:rPr>
              <w:t xml:space="preserve"> </w:t>
            </w:r>
            <w:r>
              <w:rPr>
                <w:rFonts w:hint="default"/>
                <w:color w:val="auto"/>
              </w:rPr>
              <w:t>4053.2</w:t>
            </w:r>
            <w:r>
              <w:rPr>
                <w:rFonts w:hint="default"/>
                <w:color w:val="auto"/>
                <w:lang w:val="zh-CN"/>
              </w:rPr>
              <w:t>、</w:t>
            </w:r>
            <w:r>
              <w:rPr>
                <w:rFonts w:hint="default"/>
                <w:color w:val="auto"/>
              </w:rPr>
              <w:t>GB</w:t>
            </w:r>
            <w:r>
              <w:rPr>
                <w:rFonts w:hint="default"/>
                <w:color w:val="auto"/>
                <w:lang w:val="en-US" w:eastAsia="zh-CN"/>
              </w:rPr>
              <w:t xml:space="preserve"> </w:t>
            </w:r>
            <w:r>
              <w:rPr>
                <w:rFonts w:hint="default"/>
                <w:color w:val="auto"/>
              </w:rPr>
              <w:t>4053.3</w:t>
            </w:r>
            <w:r>
              <w:rPr>
                <w:rFonts w:hint="default"/>
                <w:color w:val="auto"/>
                <w:lang w:val="zh-CN"/>
              </w:rPr>
              <w:t>和</w:t>
            </w:r>
            <w:r>
              <w:rPr>
                <w:rFonts w:hint="default"/>
                <w:color w:val="auto"/>
              </w:rPr>
              <w:t>GB</w:t>
            </w:r>
            <w:r>
              <w:rPr>
                <w:rFonts w:hint="default"/>
                <w:color w:val="auto"/>
                <w:lang w:val="en-US" w:eastAsia="zh-CN"/>
              </w:rPr>
              <w:t xml:space="preserve"> </w:t>
            </w:r>
            <w:r>
              <w:rPr>
                <w:rFonts w:hint="default"/>
                <w:color w:val="auto"/>
              </w:rPr>
              <w:t>4053.4</w:t>
            </w:r>
            <w:r>
              <w:rPr>
                <w:rFonts w:hint="default"/>
                <w:color w:val="auto"/>
                <w:lang w:val="zh-CN"/>
              </w:rPr>
              <w:t>的要求。</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5E1FD21A">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3BE8ADE4">
            <w:pPr>
              <w:pStyle w:val="30"/>
              <w:bidi w:val="0"/>
              <w:rPr>
                <w:rFonts w:hint="default"/>
                <w:color w:val="auto"/>
              </w:rPr>
            </w:pPr>
            <w:r>
              <w:rPr>
                <w:rFonts w:hint="default"/>
                <w:color w:val="auto"/>
              </w:rPr>
              <w:t>6.12</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364DF7B2">
            <w:pPr>
              <w:pStyle w:val="30"/>
              <w:bidi w:val="0"/>
              <w:rPr>
                <w:rFonts w:hint="default"/>
                <w:color w:val="auto"/>
              </w:rPr>
            </w:pPr>
            <w:r>
              <w:rPr>
                <w:rFonts w:hint="default"/>
                <w:color w:val="auto"/>
                <w:lang w:val="zh-CN"/>
              </w:rPr>
              <w:t>通道及走梯为花纹钢板制作，直梯、斜梯、栏杆及平台满足要求。</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5A1C6A95">
            <w:pPr>
              <w:pStyle w:val="30"/>
              <w:bidi w:val="0"/>
              <w:rPr>
                <w:rFonts w:hint="default"/>
                <w:color w:val="auto"/>
              </w:rPr>
            </w:pPr>
            <w:r>
              <w:rPr>
                <w:rFonts w:hint="default"/>
                <w:color w:val="auto"/>
              </w:rPr>
              <w:t>符合</w:t>
            </w:r>
          </w:p>
        </w:tc>
      </w:tr>
      <w:tr w14:paraId="6E5150AE">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27F5F677">
            <w:pPr>
              <w:pStyle w:val="30"/>
              <w:bidi w:val="0"/>
              <w:rPr>
                <w:rFonts w:hint="default"/>
                <w:color w:val="auto"/>
                <w:lang w:eastAsia="zh-CN"/>
              </w:rPr>
            </w:pPr>
            <w:r>
              <w:rPr>
                <w:rFonts w:hint="eastAsia"/>
                <w:color w:val="auto"/>
                <w:lang w:val="en-US" w:eastAsia="zh-CN"/>
              </w:rPr>
              <w:t>4</w:t>
            </w:r>
            <w:r>
              <w:rPr>
                <w:rFonts w:hint="default"/>
                <w:color w:val="auto"/>
              </w:rPr>
              <w:t>.1</w:t>
            </w:r>
            <w:r>
              <w:rPr>
                <w:rFonts w:hint="default"/>
                <w:color w:val="auto"/>
                <w:lang w:val="en-US" w:eastAsia="zh-CN"/>
              </w:rPr>
              <w:t>0</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6C54E64F">
            <w:pPr>
              <w:pStyle w:val="30"/>
              <w:bidi w:val="0"/>
              <w:jc w:val="both"/>
              <w:rPr>
                <w:rFonts w:hint="default"/>
                <w:color w:val="auto"/>
              </w:rPr>
            </w:pPr>
            <w:r>
              <w:rPr>
                <w:rFonts w:hint="default"/>
                <w:color w:val="auto"/>
                <w:lang w:val="zh-CN"/>
              </w:rPr>
              <w:t>走梯、通道的出入口，不应设于铁路和车辆通行频繁的地段；否则，应设置防护装置，并悬挂醒目的警告标志。</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2A438494">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136606C7">
            <w:pPr>
              <w:pStyle w:val="30"/>
              <w:bidi w:val="0"/>
              <w:rPr>
                <w:rFonts w:hint="default"/>
                <w:color w:val="auto"/>
              </w:rPr>
            </w:pPr>
            <w:r>
              <w:rPr>
                <w:rFonts w:hint="default"/>
                <w:color w:val="auto"/>
              </w:rPr>
              <w:t>6.14</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6C583229">
            <w:pPr>
              <w:pStyle w:val="30"/>
              <w:bidi w:val="0"/>
              <w:rPr>
                <w:rFonts w:hint="default"/>
                <w:color w:val="auto"/>
              </w:rPr>
            </w:pPr>
            <w:r>
              <w:rPr>
                <w:rFonts w:hint="default"/>
                <w:color w:val="auto"/>
              </w:rPr>
              <w:t>走梯、通道的出入口未设置在车辆</w:t>
            </w:r>
            <w:r>
              <w:rPr>
                <w:rFonts w:hint="default"/>
                <w:color w:val="auto"/>
                <w:lang w:val="zh-CN"/>
              </w:rPr>
              <w:t>通行频繁的地段。</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3BF09E9">
            <w:pPr>
              <w:pStyle w:val="30"/>
              <w:bidi w:val="0"/>
              <w:rPr>
                <w:rFonts w:hint="default"/>
                <w:color w:val="auto"/>
              </w:rPr>
            </w:pPr>
            <w:r>
              <w:rPr>
                <w:rFonts w:hint="default"/>
                <w:color w:val="auto"/>
                <w:lang w:val="zh-CN"/>
              </w:rPr>
              <w:t>符合</w:t>
            </w:r>
          </w:p>
        </w:tc>
      </w:tr>
      <w:tr w14:paraId="686BDC68">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65338BBC">
            <w:pPr>
              <w:pStyle w:val="30"/>
              <w:bidi w:val="0"/>
              <w:rPr>
                <w:rFonts w:hint="default"/>
                <w:color w:val="auto"/>
                <w:lang w:eastAsia="zh-CN"/>
              </w:rPr>
            </w:pPr>
            <w:r>
              <w:rPr>
                <w:rFonts w:hint="eastAsia"/>
                <w:color w:val="auto"/>
                <w:lang w:val="en-US" w:eastAsia="zh-CN"/>
              </w:rPr>
              <w:t>4</w:t>
            </w:r>
            <w:r>
              <w:rPr>
                <w:rFonts w:hint="default"/>
                <w:color w:val="auto"/>
              </w:rPr>
              <w:t>.1</w:t>
            </w:r>
            <w:r>
              <w:rPr>
                <w:rFonts w:hint="default"/>
                <w:color w:val="auto"/>
                <w:lang w:val="en-US" w:eastAsia="zh-CN"/>
              </w:rPr>
              <w:t>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31997545">
            <w:pPr>
              <w:pStyle w:val="30"/>
              <w:bidi w:val="0"/>
              <w:jc w:val="both"/>
              <w:rPr>
                <w:rFonts w:hint="default"/>
                <w:color w:val="auto"/>
              </w:rPr>
            </w:pPr>
            <w:r>
              <w:rPr>
                <w:rFonts w:hint="default"/>
                <w:color w:val="auto"/>
                <w:lang w:val="zh-CN"/>
              </w:rPr>
              <w:t>道口和有物体碰撞、坠落危险的地点，均应设醒目的警告标志和防护设施。</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7E7464CD">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649C79BE">
            <w:pPr>
              <w:pStyle w:val="30"/>
              <w:bidi w:val="0"/>
              <w:rPr>
                <w:rFonts w:hint="default"/>
                <w:color w:val="auto"/>
              </w:rPr>
            </w:pPr>
            <w:r>
              <w:rPr>
                <w:rFonts w:hint="default"/>
                <w:color w:val="auto"/>
              </w:rPr>
              <w:t>6.15</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442B9EA4">
            <w:pPr>
              <w:pStyle w:val="30"/>
              <w:bidi w:val="0"/>
              <w:rPr>
                <w:rFonts w:hint="default"/>
                <w:color w:val="auto"/>
              </w:rPr>
            </w:pPr>
            <w:r>
              <w:rPr>
                <w:rFonts w:hint="default"/>
                <w:color w:val="auto"/>
              </w:rPr>
              <w:t>厂区内各危险部位均设置有相应的安全警示标志</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386F25F9">
            <w:pPr>
              <w:pStyle w:val="30"/>
              <w:bidi w:val="0"/>
              <w:rPr>
                <w:rFonts w:hint="default"/>
                <w:color w:val="auto"/>
              </w:rPr>
            </w:pPr>
            <w:r>
              <w:rPr>
                <w:rFonts w:hint="default"/>
                <w:color w:val="auto"/>
                <w:lang w:val="zh-CN"/>
              </w:rPr>
              <w:t>符合</w:t>
            </w:r>
          </w:p>
        </w:tc>
      </w:tr>
      <w:tr w14:paraId="340451EA">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6708C88B">
            <w:pPr>
              <w:pStyle w:val="30"/>
              <w:bidi w:val="0"/>
              <w:rPr>
                <w:rFonts w:hint="default"/>
                <w:color w:val="auto"/>
                <w:lang w:eastAsia="zh-CN"/>
              </w:rPr>
            </w:pPr>
            <w:r>
              <w:rPr>
                <w:rFonts w:hint="eastAsia"/>
                <w:color w:val="auto"/>
                <w:lang w:val="en-US" w:eastAsia="zh-CN"/>
              </w:rPr>
              <w:t>4</w:t>
            </w:r>
            <w:r>
              <w:rPr>
                <w:rFonts w:hint="default"/>
                <w:color w:val="auto"/>
              </w:rPr>
              <w:t>.1</w:t>
            </w:r>
            <w:r>
              <w:rPr>
                <w:rFonts w:hint="default"/>
                <w:color w:val="auto"/>
                <w:lang w:val="en-US" w:eastAsia="zh-CN"/>
              </w:rPr>
              <w:t>2</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5B824E26">
            <w:pPr>
              <w:pStyle w:val="30"/>
              <w:bidi w:val="0"/>
              <w:jc w:val="both"/>
              <w:rPr>
                <w:rFonts w:hint="default"/>
                <w:color w:val="auto"/>
              </w:rPr>
            </w:pPr>
            <w:r>
              <w:rPr>
                <w:rFonts w:hint="default"/>
                <w:color w:val="auto"/>
                <w:lang w:val="zh-CN"/>
              </w:rPr>
              <w:t>设备裸露的转动部分，应设防护罩或防护屏。防护罩、防护屏应分别符合</w:t>
            </w:r>
            <w:r>
              <w:rPr>
                <w:rFonts w:hint="default"/>
                <w:color w:val="auto"/>
              </w:rPr>
              <w:t>GB 8196</w:t>
            </w:r>
            <w:r>
              <w:rPr>
                <w:rFonts w:hint="default"/>
                <w:color w:val="auto"/>
                <w:lang w:val="zh-CN"/>
              </w:rPr>
              <w:t>、</w:t>
            </w:r>
            <w:r>
              <w:rPr>
                <w:rFonts w:hint="default"/>
                <w:color w:val="auto"/>
              </w:rPr>
              <w:t>GB</w:t>
            </w:r>
            <w:r>
              <w:rPr>
                <w:rFonts w:hint="default"/>
                <w:color w:val="auto"/>
                <w:lang w:val="en-US" w:eastAsia="zh-CN"/>
              </w:rPr>
              <w:t xml:space="preserve"> </w:t>
            </w:r>
            <w:r>
              <w:rPr>
                <w:rFonts w:hint="default"/>
                <w:color w:val="auto"/>
              </w:rPr>
              <w:t>8197</w:t>
            </w:r>
            <w:r>
              <w:rPr>
                <w:rFonts w:hint="default"/>
                <w:color w:val="auto"/>
                <w:lang w:val="zh-CN"/>
              </w:rPr>
              <w:t>的要求。</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29356E7F">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52D66F7B">
            <w:pPr>
              <w:pStyle w:val="30"/>
              <w:bidi w:val="0"/>
              <w:rPr>
                <w:rFonts w:hint="default"/>
                <w:color w:val="auto"/>
              </w:rPr>
            </w:pPr>
            <w:r>
              <w:rPr>
                <w:rFonts w:hint="default"/>
                <w:color w:val="auto"/>
              </w:rPr>
              <w:t>6.16</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366D5305">
            <w:pPr>
              <w:pStyle w:val="30"/>
              <w:bidi w:val="0"/>
              <w:rPr>
                <w:rFonts w:hint="default"/>
                <w:color w:val="auto"/>
              </w:rPr>
            </w:pPr>
            <w:r>
              <w:rPr>
                <w:rFonts w:hint="eastAsia"/>
                <w:color w:val="auto"/>
                <w:lang w:val="en-US" w:eastAsia="zh-CN"/>
              </w:rPr>
              <w:t>现场勘验时</w:t>
            </w:r>
            <w:r>
              <w:rPr>
                <w:rFonts w:hint="default"/>
                <w:color w:val="auto"/>
              </w:rPr>
              <w:t>皮带等转动部位防护罩不全</w:t>
            </w:r>
            <w:r>
              <w:rPr>
                <w:rFonts w:hint="eastAsia"/>
                <w:color w:val="auto"/>
                <w:lang w:eastAsia="zh-CN"/>
              </w:rPr>
              <w:t>，</w:t>
            </w:r>
            <w:r>
              <w:rPr>
                <w:rFonts w:hint="eastAsia"/>
                <w:color w:val="auto"/>
                <w:lang w:val="en-US" w:eastAsia="zh-CN"/>
              </w:rPr>
              <w:t>后经企业整改</w:t>
            </w:r>
            <w:r>
              <w:rPr>
                <w:rFonts w:hint="default"/>
                <w:color w:val="auto"/>
              </w:rPr>
              <w:t>皮带等转动部位</w:t>
            </w:r>
            <w:r>
              <w:rPr>
                <w:rFonts w:hint="eastAsia"/>
                <w:color w:val="auto"/>
                <w:lang w:val="en-US" w:eastAsia="zh-CN"/>
              </w:rPr>
              <w:t>均设置了</w:t>
            </w:r>
            <w:r>
              <w:rPr>
                <w:rFonts w:hint="default"/>
                <w:color w:val="auto"/>
              </w:rPr>
              <w:t>防护罩。</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21352134">
            <w:pPr>
              <w:pStyle w:val="30"/>
              <w:bidi w:val="0"/>
              <w:rPr>
                <w:rFonts w:hint="default"/>
                <w:color w:val="auto"/>
              </w:rPr>
            </w:pPr>
            <w:r>
              <w:rPr>
                <w:rFonts w:hint="default"/>
                <w:color w:val="auto"/>
                <w:lang w:val="zh-CN"/>
              </w:rPr>
              <w:t>符合</w:t>
            </w:r>
          </w:p>
        </w:tc>
      </w:tr>
      <w:tr w14:paraId="2BCDCB00">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7BA4C9EF">
            <w:pPr>
              <w:pStyle w:val="30"/>
              <w:bidi w:val="0"/>
              <w:rPr>
                <w:rFonts w:hint="default"/>
                <w:color w:val="auto"/>
                <w:lang w:eastAsia="zh-CN"/>
              </w:rPr>
            </w:pPr>
            <w:r>
              <w:rPr>
                <w:rFonts w:hint="eastAsia"/>
                <w:color w:val="auto"/>
                <w:lang w:val="en-US" w:eastAsia="zh-CN"/>
              </w:rPr>
              <w:t>4</w:t>
            </w:r>
            <w:r>
              <w:rPr>
                <w:rFonts w:hint="default"/>
                <w:color w:val="auto"/>
              </w:rPr>
              <w:t>.1</w:t>
            </w:r>
            <w:r>
              <w:rPr>
                <w:rFonts w:hint="default"/>
                <w:color w:val="auto"/>
                <w:lang w:val="en-US" w:eastAsia="zh-CN"/>
              </w:rPr>
              <w:t>3</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3BAF41ED">
            <w:pPr>
              <w:pStyle w:val="30"/>
              <w:bidi w:val="0"/>
              <w:jc w:val="both"/>
              <w:rPr>
                <w:rFonts w:hint="default"/>
                <w:color w:val="auto"/>
              </w:rPr>
            </w:pPr>
            <w:r>
              <w:rPr>
                <w:rFonts w:hint="default"/>
                <w:color w:val="auto"/>
                <w:lang w:val="zh-CN"/>
              </w:rPr>
              <w:t>高于</w:t>
            </w:r>
            <w:r>
              <w:rPr>
                <w:rFonts w:hint="default"/>
                <w:color w:val="auto"/>
              </w:rPr>
              <w:t>10m</w:t>
            </w:r>
            <w:r>
              <w:rPr>
                <w:rFonts w:hint="default"/>
                <w:color w:val="auto"/>
                <w:lang w:val="zh-CN"/>
              </w:rPr>
              <w:t>的建筑物，屋顶如有可燃材料，应在室外安设离地</w:t>
            </w:r>
            <w:r>
              <w:rPr>
                <w:rFonts w:hint="default"/>
                <w:color w:val="auto"/>
              </w:rPr>
              <w:t>3m</w:t>
            </w:r>
            <w:r>
              <w:rPr>
                <w:rFonts w:hint="default"/>
                <w:color w:val="auto"/>
                <w:lang w:val="zh-CN"/>
              </w:rPr>
              <w:t>宽度不小于</w:t>
            </w:r>
            <w:r>
              <w:rPr>
                <w:rFonts w:hint="default"/>
                <w:color w:val="auto"/>
              </w:rPr>
              <w:t>500mm</w:t>
            </w:r>
            <w:r>
              <w:rPr>
                <w:rFonts w:hint="default"/>
                <w:color w:val="auto"/>
                <w:lang w:val="zh-CN"/>
              </w:rPr>
              <w:t>的固定式消防钢直梯。</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4DBB5425">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0041BD8A">
            <w:pPr>
              <w:pStyle w:val="30"/>
              <w:bidi w:val="0"/>
              <w:rPr>
                <w:rFonts w:hint="default"/>
                <w:color w:val="auto"/>
              </w:rPr>
            </w:pPr>
            <w:r>
              <w:rPr>
                <w:rFonts w:hint="default"/>
                <w:color w:val="auto"/>
              </w:rPr>
              <w:t>6.16</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5B906F47">
            <w:pPr>
              <w:pStyle w:val="30"/>
              <w:bidi w:val="0"/>
              <w:rPr>
                <w:rFonts w:hint="default"/>
                <w:color w:val="auto"/>
              </w:rPr>
            </w:pPr>
            <w:r>
              <w:rPr>
                <w:rFonts w:hint="default"/>
                <w:color w:val="auto"/>
              </w:rPr>
              <w:t>建筑物均不高于10m。</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3B9F5D3">
            <w:pPr>
              <w:pStyle w:val="30"/>
              <w:bidi w:val="0"/>
              <w:rPr>
                <w:rFonts w:hint="default"/>
                <w:color w:val="auto"/>
              </w:rPr>
            </w:pPr>
            <w:r>
              <w:rPr>
                <w:rFonts w:hint="default"/>
                <w:color w:val="auto"/>
                <w:lang w:val="zh-CN"/>
              </w:rPr>
              <w:t>符合</w:t>
            </w:r>
          </w:p>
        </w:tc>
      </w:tr>
      <w:tr w14:paraId="0923530F">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B3DCDE2">
            <w:pPr>
              <w:pStyle w:val="30"/>
              <w:bidi w:val="0"/>
              <w:rPr>
                <w:rFonts w:hint="default"/>
                <w:color w:val="auto"/>
                <w:lang w:eastAsia="zh-CN"/>
              </w:rPr>
            </w:pPr>
            <w:r>
              <w:rPr>
                <w:rFonts w:hint="eastAsia"/>
                <w:color w:val="auto"/>
                <w:lang w:val="en-US" w:eastAsia="zh-CN"/>
              </w:rPr>
              <w:t>4</w:t>
            </w:r>
            <w:r>
              <w:rPr>
                <w:rFonts w:hint="default"/>
                <w:color w:val="auto"/>
              </w:rPr>
              <w:t>.1</w:t>
            </w:r>
            <w:r>
              <w:rPr>
                <w:rFonts w:hint="default"/>
                <w:color w:val="auto"/>
                <w:lang w:val="en-US" w:eastAsia="zh-CN"/>
              </w:rPr>
              <w:t>4</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20C9E71E">
            <w:pPr>
              <w:pStyle w:val="30"/>
              <w:bidi w:val="0"/>
              <w:jc w:val="both"/>
              <w:rPr>
                <w:rFonts w:hint="default"/>
                <w:color w:val="auto"/>
                <w:lang w:val="zh-CN"/>
              </w:rPr>
            </w:pPr>
            <w:r>
              <w:rPr>
                <w:rFonts w:hint="default"/>
                <w:color w:val="auto"/>
                <w:lang w:val="zh-CN"/>
              </w:rPr>
              <w:t>设备大、中修后，应经厂（车间</w:t>
            </w:r>
            <w:r>
              <w:rPr>
                <w:rFonts w:hint="eastAsia"/>
                <w:color w:val="auto"/>
                <w:lang w:val="zh-CN"/>
              </w:rPr>
              <w:t>）</w:t>
            </w:r>
            <w:r>
              <w:rPr>
                <w:rFonts w:hint="default"/>
                <w:color w:val="auto"/>
                <w:lang w:val="zh-CN"/>
              </w:rPr>
              <w:t>主管技术负责人、主管安全负责人和设备使用者验收，不合格应返修。</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226273E7">
            <w:pPr>
              <w:pStyle w:val="30"/>
              <w:bidi w:val="0"/>
              <w:rPr>
                <w:rFonts w:hint="default"/>
                <w:color w:val="auto"/>
                <w:lang w:val="zh-CN"/>
              </w:rPr>
            </w:pPr>
            <w:r>
              <w:rPr>
                <w:rFonts w:hint="default"/>
                <w:color w:val="auto"/>
                <w:lang w:val="zh-CN"/>
              </w:rPr>
              <w:t>《选矿安全规程》（</w:t>
            </w:r>
            <w:r>
              <w:rPr>
                <w:rFonts w:hint="default"/>
                <w:color w:val="auto"/>
              </w:rPr>
              <w:t>GB</w:t>
            </w:r>
            <w:r>
              <w:rPr>
                <w:rFonts w:hint="default"/>
                <w:color w:val="auto"/>
                <w:lang w:val="en-US" w:eastAsia="zh-CN"/>
              </w:rPr>
              <w:t xml:space="preserve"> </w:t>
            </w:r>
            <w:r>
              <w:rPr>
                <w:rFonts w:hint="default"/>
                <w:color w:val="auto"/>
              </w:rPr>
              <w:t>18152</w:t>
            </w:r>
            <w:r>
              <w:rPr>
                <w:rFonts w:hint="default"/>
                <w:color w:val="auto"/>
                <w:lang w:val="zh-CN"/>
              </w:rPr>
              <w:t>—</w:t>
            </w:r>
            <w:r>
              <w:rPr>
                <w:rFonts w:hint="default"/>
                <w:color w:val="auto"/>
              </w:rPr>
              <w:t>2000</w:t>
            </w:r>
            <w:r>
              <w:rPr>
                <w:rFonts w:hint="eastAsia"/>
                <w:color w:val="auto"/>
                <w:lang w:val="zh-CN"/>
              </w:rPr>
              <w:t>）</w:t>
            </w:r>
          </w:p>
          <w:p w14:paraId="0AE246DB">
            <w:pPr>
              <w:pStyle w:val="30"/>
              <w:bidi w:val="0"/>
              <w:rPr>
                <w:rFonts w:hint="default"/>
                <w:color w:val="auto"/>
                <w:lang w:val="zh-CN"/>
              </w:rPr>
            </w:pPr>
            <w:r>
              <w:rPr>
                <w:rFonts w:hint="default"/>
                <w:color w:val="auto"/>
              </w:rPr>
              <w:t>6.25</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2CE09106">
            <w:pPr>
              <w:pStyle w:val="30"/>
              <w:bidi w:val="0"/>
              <w:rPr>
                <w:rFonts w:hint="default"/>
                <w:color w:val="auto"/>
              </w:rPr>
            </w:pPr>
            <w:r>
              <w:rPr>
                <w:rFonts w:hint="default"/>
                <w:color w:val="auto"/>
                <w:lang w:val="zh-CN"/>
              </w:rPr>
              <w:t>该项目设置有检维修管理制度</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0E2C51CE">
            <w:pPr>
              <w:pStyle w:val="30"/>
              <w:bidi w:val="0"/>
              <w:rPr>
                <w:rFonts w:hint="default"/>
                <w:color w:val="auto"/>
                <w:lang w:val="zh-CN"/>
              </w:rPr>
            </w:pPr>
            <w:r>
              <w:rPr>
                <w:rFonts w:hint="default"/>
                <w:color w:val="auto"/>
                <w:lang w:val="zh-CN"/>
              </w:rPr>
              <w:t>符合</w:t>
            </w:r>
          </w:p>
        </w:tc>
      </w:tr>
      <w:tr w14:paraId="3322BCB2">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C06257C">
            <w:pPr>
              <w:pStyle w:val="30"/>
              <w:bidi w:val="0"/>
              <w:rPr>
                <w:rFonts w:hint="default"/>
                <w:color w:val="auto"/>
                <w:lang w:eastAsia="zh-CN"/>
              </w:rPr>
            </w:pPr>
            <w:r>
              <w:rPr>
                <w:rFonts w:hint="eastAsia"/>
                <w:color w:val="auto"/>
                <w:lang w:val="en-US" w:eastAsia="zh-CN"/>
              </w:rPr>
              <w:t>4</w:t>
            </w:r>
            <w:r>
              <w:rPr>
                <w:rFonts w:hint="default"/>
                <w:color w:val="auto"/>
              </w:rPr>
              <w:t>.1</w:t>
            </w:r>
            <w:r>
              <w:rPr>
                <w:rFonts w:hint="default"/>
                <w:color w:val="auto"/>
                <w:lang w:val="en-US" w:eastAsia="zh-CN"/>
              </w:rPr>
              <w:t>5</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483830F4">
            <w:pPr>
              <w:pStyle w:val="30"/>
              <w:bidi w:val="0"/>
              <w:jc w:val="both"/>
              <w:rPr>
                <w:rFonts w:hint="default"/>
                <w:color w:val="auto"/>
                <w:lang w:val="zh-CN"/>
              </w:rPr>
            </w:pPr>
            <w:r>
              <w:rPr>
                <w:rFonts w:hint="default"/>
                <w:color w:val="auto"/>
                <w:lang w:val="zh-CN"/>
              </w:rPr>
              <w:t>检修设备应事先切断电源，用操作牌换电源牌，在操作箱上挂好</w:t>
            </w:r>
            <w:r>
              <w:rPr>
                <w:rFonts w:hint="eastAsia"/>
                <w:color w:val="auto"/>
                <w:lang w:eastAsia="zh-CN"/>
              </w:rPr>
              <w:t>“</w:t>
            </w:r>
            <w:r>
              <w:rPr>
                <w:rFonts w:hint="default"/>
                <w:color w:val="auto"/>
                <w:lang w:val="zh-CN"/>
              </w:rPr>
              <w:t>禁止开动</w:t>
            </w:r>
            <w:r>
              <w:rPr>
                <w:rFonts w:hint="eastAsia"/>
                <w:color w:val="auto"/>
                <w:lang w:eastAsia="zh-CN"/>
              </w:rPr>
              <w:t>”</w:t>
            </w:r>
            <w:r>
              <w:rPr>
                <w:rFonts w:hint="default"/>
                <w:color w:val="auto"/>
                <w:lang w:val="zh-CN"/>
              </w:rPr>
              <w:t>标志牌，方可开始作业。</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3A8B3942">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60EBC092">
            <w:pPr>
              <w:pStyle w:val="30"/>
              <w:bidi w:val="0"/>
              <w:rPr>
                <w:rFonts w:hint="default"/>
                <w:color w:val="auto"/>
                <w:lang w:val="zh-CN"/>
              </w:rPr>
            </w:pPr>
            <w:r>
              <w:rPr>
                <w:rFonts w:hint="default"/>
                <w:color w:val="auto"/>
              </w:rPr>
              <w:t>6.26</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2D6587DF">
            <w:pPr>
              <w:pStyle w:val="30"/>
              <w:bidi w:val="0"/>
              <w:rPr>
                <w:rFonts w:hint="default"/>
                <w:color w:val="auto"/>
              </w:rPr>
            </w:pPr>
            <w:r>
              <w:rPr>
                <w:rFonts w:hint="default"/>
                <w:color w:val="auto"/>
              </w:rPr>
              <w:t>安全管理制度有规定，且现场配置有</w:t>
            </w:r>
            <w:r>
              <w:rPr>
                <w:rFonts w:hint="eastAsia"/>
                <w:color w:val="auto"/>
                <w:lang w:eastAsia="zh-CN"/>
              </w:rPr>
              <w:t>“</w:t>
            </w:r>
            <w:r>
              <w:rPr>
                <w:rFonts w:hint="default"/>
                <w:color w:val="auto"/>
                <w:lang w:val="zh-CN"/>
              </w:rPr>
              <w:t>禁止开动</w:t>
            </w:r>
            <w:r>
              <w:rPr>
                <w:rFonts w:hint="eastAsia"/>
                <w:color w:val="auto"/>
                <w:lang w:eastAsia="zh-CN"/>
              </w:rPr>
              <w:t>”</w:t>
            </w:r>
            <w:r>
              <w:rPr>
                <w:rFonts w:hint="default"/>
                <w:color w:val="auto"/>
              </w:rPr>
              <w:t>操作牌。</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DB6C2E9">
            <w:pPr>
              <w:pStyle w:val="30"/>
              <w:bidi w:val="0"/>
              <w:rPr>
                <w:rFonts w:hint="default"/>
                <w:color w:val="auto"/>
                <w:lang w:val="zh-CN"/>
              </w:rPr>
            </w:pPr>
            <w:r>
              <w:rPr>
                <w:rFonts w:hint="default"/>
                <w:color w:val="auto"/>
                <w:lang w:val="zh-CN"/>
              </w:rPr>
              <w:t>符合</w:t>
            </w:r>
          </w:p>
        </w:tc>
      </w:tr>
      <w:tr w14:paraId="20F8EE1E">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3D132C25">
            <w:pPr>
              <w:pStyle w:val="30"/>
              <w:bidi w:val="0"/>
              <w:rPr>
                <w:rFonts w:hint="default"/>
                <w:color w:val="auto"/>
                <w:lang w:eastAsia="zh-CN"/>
              </w:rPr>
            </w:pPr>
            <w:r>
              <w:rPr>
                <w:rFonts w:hint="eastAsia"/>
                <w:color w:val="auto"/>
                <w:lang w:val="en-US" w:eastAsia="zh-CN"/>
              </w:rPr>
              <w:t>4</w:t>
            </w:r>
            <w:r>
              <w:rPr>
                <w:rFonts w:hint="default"/>
                <w:color w:val="auto"/>
              </w:rPr>
              <w:t>.1</w:t>
            </w:r>
            <w:r>
              <w:rPr>
                <w:rFonts w:hint="default"/>
                <w:color w:val="auto"/>
                <w:lang w:val="en-US" w:eastAsia="zh-CN"/>
              </w:rPr>
              <w:t>6</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7901D4BB">
            <w:pPr>
              <w:pStyle w:val="30"/>
              <w:bidi w:val="0"/>
              <w:jc w:val="both"/>
              <w:rPr>
                <w:rFonts w:hint="default"/>
                <w:color w:val="auto"/>
                <w:lang w:val="zh-CN"/>
              </w:rPr>
            </w:pPr>
            <w:r>
              <w:rPr>
                <w:rFonts w:hint="default"/>
                <w:color w:val="auto"/>
                <w:lang w:val="zh-CN"/>
              </w:rPr>
              <w:t>遇到</w:t>
            </w:r>
            <w:r>
              <w:rPr>
                <w:rFonts w:hint="default"/>
                <w:color w:val="auto"/>
              </w:rPr>
              <w:t>6</w:t>
            </w:r>
            <w:r>
              <w:rPr>
                <w:rFonts w:hint="default"/>
                <w:color w:val="auto"/>
                <w:lang w:val="zh-CN"/>
              </w:rPr>
              <w:t>级以上大风时，不应进行露天高处作业。</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4847BF09">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4EC66891">
            <w:pPr>
              <w:pStyle w:val="30"/>
              <w:bidi w:val="0"/>
              <w:rPr>
                <w:rFonts w:hint="default"/>
                <w:color w:val="auto"/>
                <w:lang w:val="zh-CN"/>
              </w:rPr>
            </w:pPr>
            <w:r>
              <w:rPr>
                <w:rFonts w:hint="default"/>
                <w:color w:val="auto"/>
              </w:rPr>
              <w:t>6.31</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7A72C838">
            <w:pPr>
              <w:pStyle w:val="30"/>
              <w:bidi w:val="0"/>
              <w:rPr>
                <w:rFonts w:hint="default"/>
                <w:color w:val="auto"/>
              </w:rPr>
            </w:pPr>
            <w:r>
              <w:rPr>
                <w:rFonts w:hint="default"/>
                <w:color w:val="auto"/>
                <w:lang w:val="zh-CN"/>
              </w:rPr>
              <w:t>管理制度中规定出现6级大风不进行露天高处作业。</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EA57B32">
            <w:pPr>
              <w:pStyle w:val="30"/>
              <w:bidi w:val="0"/>
              <w:rPr>
                <w:rFonts w:hint="default"/>
                <w:color w:val="auto"/>
                <w:lang w:val="zh-CN"/>
              </w:rPr>
            </w:pPr>
            <w:r>
              <w:rPr>
                <w:rFonts w:hint="default"/>
                <w:color w:val="auto"/>
                <w:lang w:val="zh-CN"/>
              </w:rPr>
              <w:t>符合</w:t>
            </w:r>
          </w:p>
        </w:tc>
      </w:tr>
      <w:tr w14:paraId="26621F63">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7FDFB398">
            <w:pPr>
              <w:pStyle w:val="30"/>
              <w:bidi w:val="0"/>
              <w:rPr>
                <w:rFonts w:hint="default"/>
                <w:color w:val="auto"/>
                <w:lang w:eastAsia="zh-CN"/>
              </w:rPr>
            </w:pPr>
            <w:r>
              <w:rPr>
                <w:rFonts w:hint="eastAsia"/>
                <w:color w:val="auto"/>
                <w:lang w:val="en-US" w:eastAsia="zh-CN"/>
              </w:rPr>
              <w:t>4</w:t>
            </w:r>
            <w:r>
              <w:rPr>
                <w:rFonts w:hint="default"/>
                <w:color w:val="auto"/>
              </w:rPr>
              <w:t>.1</w:t>
            </w:r>
            <w:r>
              <w:rPr>
                <w:rFonts w:hint="default"/>
                <w:color w:val="auto"/>
                <w:lang w:val="en-US" w:eastAsia="zh-CN"/>
              </w:rPr>
              <w:t>7</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51225FA8">
            <w:pPr>
              <w:pStyle w:val="30"/>
              <w:bidi w:val="0"/>
              <w:jc w:val="both"/>
              <w:rPr>
                <w:rFonts w:hint="default"/>
                <w:color w:val="auto"/>
                <w:lang w:val="zh-CN"/>
              </w:rPr>
            </w:pPr>
            <w:r>
              <w:rPr>
                <w:rFonts w:hint="default"/>
                <w:color w:val="auto"/>
                <w:lang w:val="zh-CN"/>
              </w:rPr>
              <w:t>磁选安全措施：</w:t>
            </w:r>
          </w:p>
          <w:p w14:paraId="36318253">
            <w:pPr>
              <w:pStyle w:val="30"/>
              <w:bidi w:val="0"/>
              <w:jc w:val="both"/>
              <w:rPr>
                <w:rFonts w:hint="default"/>
                <w:color w:val="auto"/>
                <w:lang w:val="zh-CN"/>
              </w:rPr>
            </w:pPr>
            <w:r>
              <w:rPr>
                <w:rFonts w:hint="default"/>
                <w:color w:val="auto"/>
                <w:lang w:val="zh-CN"/>
              </w:rPr>
              <w:t>（1）磁选系统对策措施</w:t>
            </w:r>
          </w:p>
          <w:p w14:paraId="0AAA6F5B">
            <w:pPr>
              <w:pStyle w:val="30"/>
              <w:bidi w:val="0"/>
              <w:jc w:val="both"/>
              <w:rPr>
                <w:rFonts w:hint="default"/>
                <w:color w:val="auto"/>
                <w:lang w:val="zh-CN"/>
              </w:rPr>
            </w:pPr>
            <w:r>
              <w:rPr>
                <w:rFonts w:hint="default"/>
                <w:color w:val="auto"/>
                <w:lang w:val="zh-CN"/>
              </w:rPr>
              <w:t>1）磁选机运转前，应将一切可能被磁力吸引的杂物清除干净；铁棍、手锤等能被磁力吸引的物体，不应带到设备周围。</w:t>
            </w:r>
          </w:p>
          <w:p w14:paraId="68AA1067">
            <w:pPr>
              <w:pStyle w:val="30"/>
              <w:bidi w:val="0"/>
              <w:jc w:val="both"/>
              <w:rPr>
                <w:rFonts w:hint="default"/>
                <w:color w:val="auto"/>
                <w:lang w:val="zh-CN"/>
              </w:rPr>
            </w:pPr>
            <w:r>
              <w:rPr>
                <w:rFonts w:hint="default"/>
                <w:color w:val="auto"/>
                <w:lang w:val="zh-CN"/>
              </w:rPr>
              <w:t>2）磁选机开动时，应确认机内无障碍物，运行中机槽内应防止掉入杂物或影响运转的其它障碍物；</w:t>
            </w:r>
          </w:p>
          <w:p w14:paraId="2B365584">
            <w:pPr>
              <w:pStyle w:val="30"/>
              <w:bidi w:val="0"/>
              <w:jc w:val="both"/>
              <w:rPr>
                <w:rFonts w:hint="default"/>
                <w:color w:val="auto"/>
                <w:lang w:val="zh-CN"/>
              </w:rPr>
            </w:pPr>
            <w:r>
              <w:rPr>
                <w:rFonts w:hint="default"/>
                <w:color w:val="auto"/>
                <w:lang w:val="zh-CN"/>
              </w:rPr>
              <w:t>3）磁选机进浆管、回砂管、排矿管和闸阀应保持完好、畅通和灵活，发现堵塞、磨损时应及时清理和更换：</w:t>
            </w:r>
          </w:p>
          <w:p w14:paraId="6AD71EA4">
            <w:pPr>
              <w:pStyle w:val="30"/>
              <w:bidi w:val="0"/>
              <w:jc w:val="both"/>
              <w:rPr>
                <w:rFonts w:hint="default"/>
                <w:color w:val="auto"/>
                <w:lang w:val="zh-CN"/>
              </w:rPr>
            </w:pPr>
            <w:r>
              <w:rPr>
                <w:rFonts w:hint="default"/>
                <w:color w:val="auto"/>
                <w:lang w:val="zh-CN"/>
              </w:rPr>
              <w:t>4）磁选机突然停电跳闸时，应立即切断电源开关和停止球磨机给矿；</w:t>
            </w:r>
          </w:p>
          <w:p w14:paraId="4C4DF0EF">
            <w:pPr>
              <w:pStyle w:val="30"/>
              <w:bidi w:val="0"/>
              <w:jc w:val="both"/>
              <w:rPr>
                <w:rFonts w:hint="default"/>
                <w:color w:val="auto"/>
                <w:lang w:val="zh-CN"/>
              </w:rPr>
            </w:pPr>
            <w:r>
              <w:rPr>
                <w:rFonts w:hint="default"/>
                <w:color w:val="auto"/>
                <w:lang w:val="zh-CN"/>
              </w:rPr>
              <w:t>（2）开车前的准备</w:t>
            </w:r>
          </w:p>
          <w:p w14:paraId="419560F2">
            <w:pPr>
              <w:pStyle w:val="30"/>
              <w:bidi w:val="0"/>
              <w:jc w:val="both"/>
              <w:rPr>
                <w:rFonts w:hint="default"/>
                <w:color w:val="auto"/>
                <w:lang w:val="zh-CN"/>
              </w:rPr>
            </w:pPr>
            <w:r>
              <w:rPr>
                <w:rFonts w:hint="default"/>
                <w:color w:val="auto"/>
                <w:lang w:val="zh-CN"/>
              </w:rPr>
              <w:t>①检查给矿管、分料箱是否畅通，筒体上是否沾附磁性铁块及杂物；</w:t>
            </w:r>
          </w:p>
          <w:p w14:paraId="33984C0D">
            <w:pPr>
              <w:pStyle w:val="30"/>
              <w:bidi w:val="0"/>
              <w:jc w:val="both"/>
              <w:rPr>
                <w:rFonts w:hint="default"/>
                <w:color w:val="auto"/>
                <w:lang w:val="zh-CN"/>
              </w:rPr>
            </w:pPr>
            <w:r>
              <w:rPr>
                <w:rFonts w:hint="default"/>
                <w:color w:val="auto"/>
                <w:lang w:val="zh-CN"/>
              </w:rPr>
              <w:t>②检查磁偏角有无变化，滚筒表面有无破损现象；检查精矿管、尾矿管是否畅通，必要时可短时间加高压水冲洗；</w:t>
            </w:r>
          </w:p>
          <w:p w14:paraId="338D174E">
            <w:pPr>
              <w:pStyle w:val="30"/>
              <w:bidi w:val="0"/>
              <w:jc w:val="both"/>
              <w:rPr>
                <w:rFonts w:hint="default"/>
                <w:color w:val="auto"/>
                <w:lang w:val="zh-CN"/>
              </w:rPr>
            </w:pPr>
            <w:r>
              <w:rPr>
                <w:rFonts w:hint="default"/>
                <w:color w:val="auto"/>
                <w:lang w:val="zh-CN"/>
              </w:rPr>
              <w:t>③检查底流调节阀是否完整，调节是否灵活；</w:t>
            </w:r>
          </w:p>
          <w:p w14:paraId="6044EC3B">
            <w:pPr>
              <w:pStyle w:val="30"/>
              <w:bidi w:val="0"/>
              <w:jc w:val="both"/>
              <w:rPr>
                <w:rFonts w:hint="default"/>
                <w:color w:val="auto"/>
                <w:lang w:val="zh-CN"/>
              </w:rPr>
            </w:pPr>
            <w:r>
              <w:rPr>
                <w:rFonts w:hint="default"/>
                <w:color w:val="auto"/>
                <w:lang w:val="zh-CN"/>
              </w:rPr>
              <w:t>④检查电机，减速机是否稳定；安全罩是否安全有效；</w:t>
            </w:r>
          </w:p>
          <w:p w14:paraId="3B12B382">
            <w:pPr>
              <w:pStyle w:val="30"/>
              <w:bidi w:val="0"/>
              <w:jc w:val="both"/>
              <w:rPr>
                <w:rFonts w:hint="default"/>
                <w:color w:val="auto"/>
                <w:lang w:val="zh-CN"/>
              </w:rPr>
            </w:pPr>
            <w:r>
              <w:rPr>
                <w:rFonts w:hint="default"/>
                <w:color w:val="auto"/>
                <w:lang w:val="zh-CN"/>
              </w:rPr>
              <w:t>⑤定期清理滚筒槽下大块物料。</w:t>
            </w:r>
          </w:p>
          <w:p w14:paraId="486B3A7D">
            <w:pPr>
              <w:pStyle w:val="30"/>
              <w:bidi w:val="0"/>
              <w:jc w:val="both"/>
              <w:rPr>
                <w:rFonts w:hint="default"/>
                <w:color w:val="auto"/>
                <w:lang w:val="zh-CN"/>
              </w:rPr>
            </w:pPr>
            <w:r>
              <w:rPr>
                <w:rFonts w:hint="default"/>
                <w:color w:val="auto"/>
                <w:lang w:val="zh-CN"/>
              </w:rPr>
              <w:t>（3）开车</w:t>
            </w:r>
          </w:p>
          <w:p w14:paraId="58DE6ACE">
            <w:pPr>
              <w:pStyle w:val="30"/>
              <w:bidi w:val="0"/>
              <w:jc w:val="both"/>
              <w:rPr>
                <w:rFonts w:hint="default"/>
                <w:color w:val="auto"/>
                <w:lang w:val="zh-CN"/>
              </w:rPr>
            </w:pPr>
            <w:r>
              <w:rPr>
                <w:rFonts w:hint="default"/>
                <w:color w:val="auto"/>
                <w:lang w:val="zh-CN"/>
              </w:rPr>
              <w:t>①集控开车</w:t>
            </w:r>
          </w:p>
          <w:p w14:paraId="08197D37">
            <w:pPr>
              <w:pStyle w:val="30"/>
              <w:bidi w:val="0"/>
              <w:jc w:val="both"/>
              <w:rPr>
                <w:rFonts w:hint="default"/>
                <w:color w:val="auto"/>
                <w:lang w:val="zh-CN"/>
              </w:rPr>
            </w:pPr>
            <w:r>
              <w:rPr>
                <w:rFonts w:hint="default"/>
                <w:color w:val="auto"/>
                <w:lang w:val="zh-CN"/>
              </w:rPr>
              <w:t>在听到集控开车预备信号后，立即对所管辖设备进行一次完好性确认。若准许开车把转换开关置于集控位置。否则，立即按下禁止开车按钮，然后向当班领导汇报。</w:t>
            </w:r>
          </w:p>
          <w:p w14:paraId="014C8BE8">
            <w:pPr>
              <w:pStyle w:val="30"/>
              <w:bidi w:val="0"/>
              <w:jc w:val="both"/>
              <w:rPr>
                <w:rFonts w:hint="default"/>
                <w:color w:val="auto"/>
                <w:lang w:val="zh-CN"/>
              </w:rPr>
            </w:pPr>
            <w:r>
              <w:rPr>
                <w:rFonts w:hint="default"/>
                <w:color w:val="auto"/>
                <w:lang w:val="zh-CN"/>
              </w:rPr>
              <w:t>②就地开车</w:t>
            </w:r>
          </w:p>
          <w:p w14:paraId="36ACE75C">
            <w:pPr>
              <w:pStyle w:val="30"/>
              <w:bidi w:val="0"/>
              <w:jc w:val="both"/>
              <w:rPr>
                <w:rFonts w:hint="default"/>
                <w:color w:val="auto"/>
                <w:lang w:val="zh-CN"/>
              </w:rPr>
            </w:pPr>
            <w:r>
              <w:rPr>
                <w:rFonts w:hint="default"/>
                <w:color w:val="auto"/>
                <w:lang w:val="zh-CN"/>
              </w:rPr>
              <w:t>开车前需全面检查设备处于完好状态。</w:t>
            </w:r>
          </w:p>
          <w:p w14:paraId="4FAF5AF7">
            <w:pPr>
              <w:pStyle w:val="30"/>
              <w:bidi w:val="0"/>
              <w:jc w:val="both"/>
              <w:rPr>
                <w:rFonts w:hint="default"/>
                <w:color w:val="auto"/>
                <w:lang w:val="zh-CN"/>
              </w:rPr>
            </w:pPr>
            <w:r>
              <w:rPr>
                <w:rFonts w:hint="default"/>
                <w:color w:val="auto"/>
                <w:lang w:val="zh-CN"/>
              </w:rPr>
              <w:t>A、检查入料管、分配桶、入料箱、接收箱、冲水管是否畅通，阀门是否灵活好用。</w:t>
            </w:r>
          </w:p>
          <w:p w14:paraId="10AB4E3A">
            <w:pPr>
              <w:pStyle w:val="30"/>
              <w:bidi w:val="0"/>
              <w:jc w:val="both"/>
              <w:rPr>
                <w:rFonts w:hint="default"/>
                <w:color w:val="auto"/>
                <w:lang w:val="zh-CN"/>
              </w:rPr>
            </w:pPr>
            <w:r>
              <w:rPr>
                <w:rFonts w:hint="default"/>
                <w:color w:val="auto"/>
                <w:lang w:val="zh-CN"/>
              </w:rPr>
              <w:t>B、设备各部位是否正常，有无杂物掉入机槽内。</w:t>
            </w:r>
          </w:p>
          <w:p w14:paraId="65C091A0">
            <w:pPr>
              <w:pStyle w:val="30"/>
              <w:bidi w:val="0"/>
              <w:jc w:val="both"/>
              <w:rPr>
                <w:rFonts w:hint="default"/>
                <w:color w:val="auto"/>
                <w:lang w:val="zh-CN"/>
              </w:rPr>
            </w:pPr>
            <w:r>
              <w:rPr>
                <w:rFonts w:hint="default"/>
                <w:color w:val="auto"/>
                <w:lang w:val="zh-CN"/>
              </w:rPr>
              <w:t>C、用手盘动弹性联轴节旋转一周，确认无别动和卡磁现象</w:t>
            </w:r>
          </w:p>
          <w:p w14:paraId="4D1164AB">
            <w:pPr>
              <w:pStyle w:val="30"/>
              <w:bidi w:val="0"/>
              <w:jc w:val="both"/>
              <w:rPr>
                <w:rFonts w:hint="default"/>
                <w:color w:val="auto"/>
                <w:lang w:val="zh-CN"/>
              </w:rPr>
            </w:pPr>
            <w:r>
              <w:rPr>
                <w:rFonts w:hint="default"/>
                <w:color w:val="auto"/>
                <w:lang w:val="zh-CN"/>
              </w:rPr>
              <w:t>接到开车信号后，确认检查无误后启动设备。</w:t>
            </w:r>
          </w:p>
          <w:p w14:paraId="00A37382">
            <w:pPr>
              <w:pStyle w:val="30"/>
              <w:bidi w:val="0"/>
              <w:jc w:val="both"/>
              <w:rPr>
                <w:rFonts w:hint="default"/>
                <w:color w:val="auto"/>
                <w:lang w:val="zh-CN"/>
              </w:rPr>
            </w:pPr>
            <w:r>
              <w:rPr>
                <w:rFonts w:hint="default"/>
                <w:color w:val="auto"/>
                <w:lang w:val="zh-CN"/>
              </w:rPr>
              <w:t>（4）停车</w:t>
            </w:r>
          </w:p>
          <w:p w14:paraId="7BADE40B">
            <w:pPr>
              <w:pStyle w:val="30"/>
              <w:bidi w:val="0"/>
              <w:jc w:val="both"/>
              <w:rPr>
                <w:rFonts w:hint="default"/>
                <w:color w:val="auto"/>
                <w:lang w:val="zh-CN"/>
              </w:rPr>
            </w:pPr>
            <w:r>
              <w:rPr>
                <w:rFonts w:hint="default"/>
                <w:color w:val="auto"/>
                <w:lang w:val="zh-CN"/>
              </w:rPr>
              <w:t>①集控停车</w:t>
            </w:r>
          </w:p>
          <w:p w14:paraId="0CCC2C88">
            <w:pPr>
              <w:pStyle w:val="30"/>
              <w:bidi w:val="0"/>
              <w:jc w:val="both"/>
              <w:rPr>
                <w:rFonts w:hint="default"/>
                <w:color w:val="auto"/>
                <w:lang w:val="zh-CN"/>
              </w:rPr>
            </w:pPr>
            <w:r>
              <w:rPr>
                <w:rFonts w:hint="default"/>
                <w:color w:val="auto"/>
                <w:lang w:val="zh-CN"/>
              </w:rPr>
              <w:t>接到集控停车信号后，对设备进行一次全面巡视。确认设备上再无来料、设备停稳方可确认停车。</w:t>
            </w:r>
          </w:p>
          <w:p w14:paraId="2439A8AA">
            <w:pPr>
              <w:pStyle w:val="30"/>
              <w:bidi w:val="0"/>
              <w:jc w:val="both"/>
              <w:rPr>
                <w:rFonts w:hint="default"/>
                <w:color w:val="auto"/>
                <w:lang w:val="zh-CN"/>
              </w:rPr>
            </w:pPr>
            <w:r>
              <w:rPr>
                <w:rFonts w:hint="default"/>
                <w:color w:val="auto"/>
                <w:lang w:val="zh-CN"/>
              </w:rPr>
              <w:t>②就地停车</w:t>
            </w:r>
          </w:p>
          <w:p w14:paraId="557EE40D">
            <w:pPr>
              <w:pStyle w:val="30"/>
              <w:bidi w:val="0"/>
              <w:jc w:val="both"/>
              <w:rPr>
                <w:rFonts w:hint="default"/>
                <w:color w:val="auto"/>
                <w:lang w:val="zh-CN"/>
              </w:rPr>
            </w:pPr>
            <w:r>
              <w:rPr>
                <w:rFonts w:hint="default"/>
                <w:color w:val="auto"/>
                <w:lang w:val="zh-CN"/>
              </w:rPr>
              <w:t>接到停车信号后，待稀介质仓内物料处理完毕，磁选私选不出磁铁矿粉后，先停止给料，然后停车后检查入料管，槽体及底流管有无堵塞清理入料箱及尾矿箱积存的尾矿及其他杂物，为下次开车做好准备。</w:t>
            </w:r>
          </w:p>
          <w:p w14:paraId="6AE8FCC7">
            <w:pPr>
              <w:pStyle w:val="30"/>
              <w:bidi w:val="0"/>
              <w:jc w:val="both"/>
              <w:rPr>
                <w:rFonts w:hint="default"/>
                <w:color w:val="auto"/>
                <w:lang w:val="zh-CN"/>
              </w:rPr>
            </w:pPr>
            <w:r>
              <w:rPr>
                <w:rFonts w:hint="default"/>
                <w:color w:val="auto"/>
                <w:lang w:val="zh-CN"/>
              </w:rPr>
              <w:t>③紧急停车</w:t>
            </w:r>
          </w:p>
          <w:p w14:paraId="00EADD43">
            <w:pPr>
              <w:pStyle w:val="30"/>
              <w:bidi w:val="0"/>
              <w:jc w:val="both"/>
              <w:rPr>
                <w:rFonts w:hint="default"/>
                <w:color w:val="auto"/>
                <w:lang w:val="zh-CN"/>
              </w:rPr>
            </w:pPr>
            <w:r>
              <w:rPr>
                <w:rFonts w:hint="default"/>
                <w:color w:val="auto"/>
                <w:lang w:val="zh-CN"/>
              </w:rPr>
              <w:t>在发生事故，磁选机发生异常故障需立即停车检查，处理故障。</w:t>
            </w:r>
          </w:p>
          <w:p w14:paraId="065F91B8">
            <w:pPr>
              <w:pStyle w:val="30"/>
              <w:bidi w:val="0"/>
              <w:jc w:val="both"/>
              <w:rPr>
                <w:rFonts w:hint="default"/>
                <w:color w:val="auto"/>
                <w:lang w:val="zh-CN"/>
              </w:rPr>
            </w:pPr>
            <w:r>
              <w:rPr>
                <w:rFonts w:hint="default"/>
                <w:color w:val="auto"/>
                <w:lang w:val="zh-CN"/>
              </w:rPr>
              <w:t>（5）操作维护</w:t>
            </w:r>
          </w:p>
          <w:p w14:paraId="3094464E">
            <w:pPr>
              <w:pStyle w:val="30"/>
              <w:bidi w:val="0"/>
              <w:jc w:val="both"/>
              <w:rPr>
                <w:rFonts w:hint="default"/>
                <w:color w:val="auto"/>
                <w:lang w:val="zh-CN"/>
              </w:rPr>
            </w:pPr>
            <w:r>
              <w:rPr>
                <w:rFonts w:hint="default"/>
                <w:color w:val="auto"/>
                <w:lang w:val="zh-CN"/>
              </w:rPr>
              <w:t>运转中随时检查入料箱、滚筒与槽间有无杂物。检查磁选机内液面高度，需保持稳定，且有少量溢流。经常检查磁铁矿的回收效果，并加适量冲水。根据精矿、尾矿质量和排出情况，适当调整磁偏角和工作间隙，保证磁铁矿回收率定期通过采样检查磁选效果，要求正常磁选效率需达到99.5%，磁性物损失需小于0.5%。经常检查链条、链轮的磨损程度和润滑情况。</w:t>
            </w:r>
          </w:p>
          <w:p w14:paraId="172A221C">
            <w:pPr>
              <w:pStyle w:val="30"/>
              <w:bidi w:val="0"/>
              <w:jc w:val="both"/>
              <w:rPr>
                <w:rFonts w:hint="default"/>
                <w:color w:val="auto"/>
                <w:lang w:val="zh-CN"/>
              </w:rPr>
            </w:pPr>
            <w:r>
              <w:rPr>
                <w:rFonts w:hint="default"/>
                <w:color w:val="auto"/>
                <w:lang w:val="zh-CN"/>
              </w:rPr>
              <w:t>经常检查磁筒皮和耐磨层的磨损情况，一旦破损需立即更换，防止水进入筒内按时做好岗位记录。</w:t>
            </w:r>
          </w:p>
          <w:p w14:paraId="026491D7">
            <w:pPr>
              <w:pStyle w:val="30"/>
              <w:bidi w:val="0"/>
              <w:jc w:val="both"/>
              <w:rPr>
                <w:rFonts w:hint="default"/>
                <w:color w:val="auto"/>
                <w:lang w:val="zh-CN"/>
              </w:rPr>
            </w:pPr>
            <w:r>
              <w:rPr>
                <w:rFonts w:hint="default"/>
                <w:color w:val="auto"/>
                <w:lang w:val="zh-CN"/>
              </w:rPr>
              <w:t>由于洗选厂所用磁选机磁场强度最高为2000高斯，对人体几乎没有影响，只需按磁选机操作安全规程操作即可。</w:t>
            </w:r>
          </w:p>
          <w:p w14:paraId="04B8489C">
            <w:pPr>
              <w:pStyle w:val="30"/>
              <w:bidi w:val="0"/>
              <w:jc w:val="both"/>
              <w:rPr>
                <w:rFonts w:hint="default"/>
                <w:color w:val="auto"/>
                <w:lang w:val="zh-CN"/>
              </w:rPr>
            </w:pPr>
            <w:r>
              <w:rPr>
                <w:rFonts w:hint="default"/>
                <w:color w:val="auto"/>
                <w:lang w:val="zh-CN"/>
              </w:rPr>
              <w:t>（6）磁选机安全规程</w:t>
            </w:r>
          </w:p>
          <w:p w14:paraId="7FD0FB26">
            <w:pPr>
              <w:pStyle w:val="30"/>
              <w:bidi w:val="0"/>
              <w:jc w:val="both"/>
              <w:rPr>
                <w:rFonts w:hint="default"/>
                <w:color w:val="auto"/>
                <w:lang w:val="zh-CN"/>
              </w:rPr>
            </w:pPr>
            <w:r>
              <w:rPr>
                <w:rFonts w:hint="default"/>
                <w:color w:val="auto"/>
                <w:lang w:val="zh-CN"/>
              </w:rPr>
              <w:t>1）严禁带负荷启、停设备。</w:t>
            </w:r>
          </w:p>
          <w:p w14:paraId="09EE7615">
            <w:pPr>
              <w:pStyle w:val="30"/>
              <w:bidi w:val="0"/>
              <w:jc w:val="both"/>
              <w:rPr>
                <w:rFonts w:hint="default"/>
                <w:color w:val="auto"/>
                <w:lang w:val="zh-CN"/>
              </w:rPr>
            </w:pPr>
            <w:r>
              <w:rPr>
                <w:rFonts w:hint="default"/>
                <w:color w:val="auto"/>
                <w:lang w:val="zh-CN"/>
              </w:rPr>
              <w:t>2）严禁在设备运行期间检修和清理卫生。</w:t>
            </w:r>
          </w:p>
          <w:p w14:paraId="73E6BF2A">
            <w:pPr>
              <w:pStyle w:val="30"/>
              <w:bidi w:val="0"/>
              <w:jc w:val="both"/>
              <w:rPr>
                <w:rFonts w:hint="default"/>
                <w:color w:val="auto"/>
                <w:lang w:val="zh-CN"/>
              </w:rPr>
            </w:pPr>
            <w:r>
              <w:rPr>
                <w:rFonts w:hint="default"/>
                <w:color w:val="auto"/>
                <w:lang w:val="zh-CN"/>
              </w:rPr>
              <w:t>3）经常清理入料箱、精矿箱、尾矿箱中的积存物，不得用重锤打击设备各部，以防磁组破裂和内衬脱落。</w:t>
            </w:r>
          </w:p>
          <w:p w14:paraId="2F8DED00">
            <w:pPr>
              <w:pStyle w:val="30"/>
              <w:bidi w:val="0"/>
              <w:jc w:val="both"/>
              <w:rPr>
                <w:rFonts w:hint="default"/>
                <w:color w:val="auto"/>
                <w:lang w:val="zh-CN"/>
              </w:rPr>
            </w:pPr>
            <w:r>
              <w:rPr>
                <w:rFonts w:hint="default"/>
                <w:color w:val="auto"/>
                <w:lang w:val="zh-CN"/>
              </w:rPr>
              <w:t>4）经常检查滚筒部位，防止其它铁器或工具吸附在转筒上造成设备损坏。</w:t>
            </w:r>
          </w:p>
          <w:p w14:paraId="1B3D3C07">
            <w:pPr>
              <w:pStyle w:val="30"/>
              <w:bidi w:val="0"/>
              <w:jc w:val="both"/>
              <w:rPr>
                <w:rFonts w:hint="default"/>
                <w:color w:val="auto"/>
                <w:lang w:val="zh-CN"/>
              </w:rPr>
            </w:pPr>
            <w:r>
              <w:rPr>
                <w:rFonts w:hint="default"/>
                <w:color w:val="auto"/>
                <w:lang w:val="zh-CN"/>
              </w:rPr>
              <w:t>5）防止尖锐物体划伤滚筒表面。</w:t>
            </w:r>
          </w:p>
          <w:p w14:paraId="5711FACE">
            <w:pPr>
              <w:pStyle w:val="30"/>
              <w:bidi w:val="0"/>
              <w:jc w:val="both"/>
              <w:rPr>
                <w:rFonts w:hint="default"/>
                <w:color w:val="auto"/>
                <w:lang w:val="zh-CN"/>
              </w:rPr>
            </w:pPr>
            <w:r>
              <w:rPr>
                <w:rFonts w:hint="default"/>
                <w:color w:val="auto"/>
                <w:lang w:val="zh-CN"/>
              </w:rPr>
              <w:t>6）禁止任何人站（坐）在转筒上面或在转筒上放重物。检修作业时</w:t>
            </w:r>
            <w:r>
              <w:rPr>
                <w:rFonts w:hint="eastAsia"/>
                <w:color w:val="auto"/>
                <w:lang w:val="zh-CN"/>
              </w:rPr>
              <w:t>，</w:t>
            </w:r>
            <w:r>
              <w:rPr>
                <w:rFonts w:hint="default"/>
                <w:color w:val="auto"/>
                <w:lang w:val="zh-CN"/>
              </w:rPr>
              <w:t>不得使转筒单独受力或损伤转筒。</w:t>
            </w:r>
          </w:p>
          <w:p w14:paraId="648719DB">
            <w:pPr>
              <w:pStyle w:val="30"/>
              <w:bidi w:val="0"/>
              <w:jc w:val="both"/>
              <w:rPr>
                <w:rFonts w:hint="default"/>
                <w:color w:val="auto"/>
                <w:lang w:val="zh-CN"/>
              </w:rPr>
            </w:pPr>
            <w:r>
              <w:rPr>
                <w:rFonts w:hint="default"/>
                <w:color w:val="auto"/>
                <w:lang w:val="zh-CN"/>
              </w:rPr>
              <w:t>现状：破碎、磨矿、螺旋溜槽、浮选机、磁选机设备已进行了安装。根据近几年运行情况看，基础稳固，满足破碎、磨矿、浮选、磁选设备基础承载要求。</w:t>
            </w:r>
          </w:p>
          <w:p w14:paraId="4D7F65FA">
            <w:pPr>
              <w:pStyle w:val="30"/>
              <w:bidi w:val="0"/>
              <w:jc w:val="both"/>
              <w:rPr>
                <w:rFonts w:hint="default"/>
                <w:color w:val="auto"/>
                <w:lang w:val="zh-CN"/>
              </w:rPr>
            </w:pPr>
            <w:r>
              <w:rPr>
                <w:rFonts w:hint="default"/>
                <w:color w:val="auto"/>
                <w:lang w:val="zh-CN"/>
              </w:rPr>
              <w:t>（7）安全通道</w:t>
            </w:r>
          </w:p>
          <w:p w14:paraId="13A172D8">
            <w:pPr>
              <w:pStyle w:val="30"/>
              <w:bidi w:val="0"/>
              <w:jc w:val="both"/>
              <w:rPr>
                <w:rFonts w:hint="default"/>
                <w:color w:val="auto"/>
                <w:lang w:val="zh-CN"/>
              </w:rPr>
            </w:pPr>
            <w:r>
              <w:rPr>
                <w:rFonts w:hint="default"/>
                <w:color w:val="auto"/>
                <w:lang w:val="zh-CN"/>
              </w:rPr>
              <w:t>凡需要巡检到的地方及各胶带运输机均设置安全走道和防护栏杆，安全走道的宽度不小于1.5m；距下方相邻地板或地面0.6m及以上的平台、通道和工作面的所有敞口边缘设置防护栏杆。在平台、通道和工作面上可能使用工具、机器部件或物品的场合，所有敞口边缘设带踢脚板的防护栏杆，踢脚板不得低于100mm。</w:t>
            </w:r>
          </w:p>
          <w:p w14:paraId="06EA1E33">
            <w:pPr>
              <w:pStyle w:val="30"/>
              <w:bidi w:val="0"/>
              <w:jc w:val="both"/>
              <w:rPr>
                <w:rFonts w:hint="default"/>
                <w:color w:val="auto"/>
                <w:lang w:val="zh-CN"/>
              </w:rPr>
            </w:pPr>
            <w:r>
              <w:rPr>
                <w:rFonts w:hint="default"/>
                <w:color w:val="auto"/>
                <w:lang w:val="zh-CN"/>
              </w:rPr>
              <w:t>（8）对产尘作业点，应采取密闭除尘、喷雾洒水、湿式作业等防尘措施。</w:t>
            </w:r>
          </w:p>
          <w:p w14:paraId="03F398CB">
            <w:pPr>
              <w:pStyle w:val="30"/>
              <w:bidi w:val="0"/>
              <w:jc w:val="both"/>
              <w:rPr>
                <w:rFonts w:hint="default"/>
                <w:color w:val="auto"/>
                <w:lang w:val="zh-CN"/>
              </w:rPr>
            </w:pPr>
            <w:r>
              <w:rPr>
                <w:rFonts w:hint="default"/>
                <w:color w:val="auto"/>
                <w:lang w:val="zh-CN"/>
              </w:rPr>
              <w:t>（9）车间内平台及楼梯采用花纹钢板防滑。</w:t>
            </w:r>
          </w:p>
          <w:p w14:paraId="247176E7">
            <w:pPr>
              <w:pStyle w:val="30"/>
              <w:bidi w:val="0"/>
              <w:jc w:val="both"/>
              <w:rPr>
                <w:rFonts w:hint="default"/>
                <w:color w:val="auto"/>
                <w:lang w:val="zh-CN"/>
              </w:rPr>
            </w:pPr>
            <w:r>
              <w:rPr>
                <w:rFonts w:hint="default"/>
                <w:color w:val="auto"/>
                <w:lang w:val="zh-CN"/>
              </w:rPr>
              <w:t>（10）大于6°通廊设防滑措施，超过12°时应设踏步。</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4D646743">
            <w:pPr>
              <w:pStyle w:val="30"/>
              <w:bidi w:val="0"/>
              <w:rPr>
                <w:rFonts w:hint="default"/>
                <w:color w:val="auto"/>
                <w:lang w:val="zh-CN"/>
              </w:rPr>
            </w:pPr>
            <w:r>
              <w:rPr>
                <w:rFonts w:hint="default"/>
                <w:color w:val="auto"/>
                <w:lang w:val="zh-CN"/>
              </w:rPr>
              <w:t>《安全设施设计》</w:t>
            </w:r>
          </w:p>
          <w:p w14:paraId="008DB008">
            <w:pPr>
              <w:pStyle w:val="30"/>
              <w:bidi w:val="0"/>
              <w:rPr>
                <w:rFonts w:hint="default"/>
                <w:color w:val="auto"/>
                <w:lang w:val="zh-CN"/>
              </w:rPr>
            </w:pPr>
            <w:r>
              <w:rPr>
                <w:rFonts w:hint="default"/>
                <w:color w:val="auto"/>
                <w:lang w:val="zh-CN"/>
              </w:rPr>
              <w:t>第5</w:t>
            </w:r>
            <w:r>
              <w:rPr>
                <w:rFonts w:hint="default"/>
                <w:color w:val="auto"/>
                <w:lang w:val="en-US" w:eastAsia="zh-CN"/>
              </w:rPr>
              <w:t>.2</w:t>
            </w:r>
            <w:r>
              <w:rPr>
                <w:rFonts w:hint="default"/>
                <w:color w:val="auto"/>
                <w:lang w:val="zh-CN"/>
              </w:rPr>
              <w:t>.2.</w:t>
            </w:r>
            <w:r>
              <w:rPr>
                <w:rFonts w:hint="eastAsia"/>
                <w:color w:val="auto"/>
                <w:lang w:val="en-US" w:eastAsia="zh-CN"/>
              </w:rPr>
              <w:t>4</w:t>
            </w:r>
            <w:r>
              <w:rPr>
                <w:rFonts w:hint="default"/>
                <w:color w:val="auto"/>
                <w:lang w:val="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40C9963D">
            <w:pPr>
              <w:pStyle w:val="30"/>
              <w:bidi w:val="0"/>
              <w:rPr>
                <w:rFonts w:hint="default"/>
                <w:color w:val="auto"/>
                <w:lang w:val="zh-CN"/>
              </w:rPr>
            </w:pPr>
            <w:r>
              <w:rPr>
                <w:rFonts w:hint="default"/>
                <w:color w:val="auto"/>
                <w:lang w:val="zh-CN"/>
              </w:rPr>
              <w:t>磁选机</w:t>
            </w:r>
            <w:r>
              <w:rPr>
                <w:rFonts w:hint="default"/>
                <w:color w:val="auto"/>
                <w:lang w:val="en-US" w:eastAsia="zh-CN"/>
              </w:rPr>
              <w:t>为</w:t>
            </w:r>
            <w:r>
              <w:rPr>
                <w:rFonts w:hint="eastAsia"/>
                <w:color w:val="auto"/>
                <w:lang w:val="en-US" w:eastAsia="zh-CN"/>
              </w:rPr>
              <w:t>原有设备</w:t>
            </w:r>
            <w:r>
              <w:rPr>
                <w:rFonts w:hint="default"/>
                <w:color w:val="auto"/>
                <w:lang w:val="en-US" w:eastAsia="zh-CN"/>
              </w:rPr>
              <w:t>，</w:t>
            </w:r>
            <w:r>
              <w:rPr>
                <w:rFonts w:hint="default"/>
                <w:color w:val="auto"/>
                <w:lang w:val="zh-CN"/>
              </w:rPr>
              <w:t>磁选机设备已进行了安装并生产，采用钢筋混凝土独立结构，基础稳固，满足磁选设备安全生产要求。磁选机操作平台及栏杆已按规定要求进行安装完善。</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3FBFAF09">
            <w:pPr>
              <w:pStyle w:val="30"/>
              <w:bidi w:val="0"/>
              <w:rPr>
                <w:rFonts w:hint="default"/>
                <w:color w:val="auto"/>
                <w:lang w:val="zh-CN"/>
              </w:rPr>
            </w:pPr>
            <w:r>
              <w:rPr>
                <w:rFonts w:hint="default"/>
                <w:color w:val="auto"/>
                <w:lang w:val="zh-CN"/>
              </w:rPr>
              <w:t>符合</w:t>
            </w:r>
          </w:p>
        </w:tc>
      </w:tr>
      <w:tr w14:paraId="451260EE">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5411AA26">
            <w:pPr>
              <w:pStyle w:val="30"/>
              <w:bidi w:val="0"/>
              <w:rPr>
                <w:rFonts w:hint="default"/>
                <w:color w:val="auto"/>
                <w:lang w:eastAsia="zh-CN"/>
              </w:rPr>
            </w:pPr>
            <w:r>
              <w:rPr>
                <w:rFonts w:hint="eastAsia"/>
                <w:color w:val="auto"/>
                <w:lang w:val="en-US" w:eastAsia="zh-CN"/>
              </w:rPr>
              <w:t>5</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2B6A9C9E">
            <w:pPr>
              <w:pStyle w:val="30"/>
              <w:bidi w:val="0"/>
              <w:jc w:val="center"/>
              <w:rPr>
                <w:rFonts w:hint="default"/>
                <w:color w:val="auto"/>
                <w:lang w:val="zh-CN"/>
              </w:rPr>
            </w:pPr>
            <w:r>
              <w:rPr>
                <w:rFonts w:hint="default"/>
                <w:color w:val="auto"/>
                <w:lang w:val="en-US" w:eastAsia="zh-CN"/>
              </w:rPr>
              <w:t>脱水</w:t>
            </w:r>
            <w:r>
              <w:rPr>
                <w:rFonts w:hint="default"/>
                <w:color w:val="auto"/>
              </w:rPr>
              <w:t>车间</w:t>
            </w:r>
            <w:r>
              <w:rPr>
                <w:rFonts w:hint="default"/>
                <w:color w:val="auto"/>
                <w:lang w:val="zh-CN"/>
              </w:rPr>
              <w:t>工艺及安全防范措施</w:t>
            </w:r>
          </w:p>
        </w:tc>
      </w:tr>
      <w:tr w14:paraId="7BC25C0D">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3F8EF88F">
            <w:pPr>
              <w:pStyle w:val="30"/>
              <w:bidi w:val="0"/>
              <w:rPr>
                <w:rFonts w:hint="default"/>
                <w:color w:val="auto"/>
              </w:rPr>
            </w:pPr>
            <w:r>
              <w:rPr>
                <w:rFonts w:hint="eastAsia"/>
                <w:color w:val="auto"/>
                <w:lang w:val="en-US" w:eastAsia="zh-CN"/>
              </w:rPr>
              <w:t>5</w:t>
            </w:r>
            <w:r>
              <w:rPr>
                <w:rFonts w:hint="default"/>
                <w:color w:val="auto"/>
              </w:rPr>
              <w:t>.1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1785E4F7">
            <w:pPr>
              <w:pStyle w:val="30"/>
              <w:bidi w:val="0"/>
              <w:jc w:val="both"/>
              <w:rPr>
                <w:rFonts w:hint="default"/>
                <w:color w:val="auto"/>
                <w:lang w:val="en-US" w:eastAsia="zh-CN"/>
              </w:rPr>
            </w:pPr>
            <w:r>
              <w:rPr>
                <w:rFonts w:hint="default"/>
                <w:color w:val="auto"/>
                <w:lang w:val="en-US" w:eastAsia="zh-CN"/>
              </w:rPr>
              <w:t>该项目脱水设备设施有：沉淀池、压滤机。精矿、尾矿脱水系统的对策措施：</w:t>
            </w:r>
          </w:p>
          <w:p w14:paraId="598BD27C">
            <w:pPr>
              <w:pStyle w:val="30"/>
              <w:bidi w:val="0"/>
              <w:jc w:val="both"/>
              <w:rPr>
                <w:rFonts w:hint="default"/>
                <w:color w:val="auto"/>
                <w:lang w:val="en-US" w:eastAsia="zh-CN"/>
              </w:rPr>
            </w:pPr>
            <w:r>
              <w:rPr>
                <w:rFonts w:hint="default"/>
                <w:color w:val="auto"/>
                <w:lang w:val="en-US" w:eastAsia="zh-CN"/>
              </w:rPr>
              <w:t>（1）沉淀池安全措施：</w:t>
            </w:r>
          </w:p>
          <w:p w14:paraId="04B14F20">
            <w:pPr>
              <w:pStyle w:val="30"/>
              <w:bidi w:val="0"/>
              <w:jc w:val="both"/>
              <w:rPr>
                <w:rFonts w:hint="default"/>
                <w:color w:val="auto"/>
                <w:lang w:val="en-US" w:eastAsia="zh-CN"/>
              </w:rPr>
            </w:pPr>
            <w:r>
              <w:rPr>
                <w:rFonts w:hint="default"/>
                <w:color w:val="auto"/>
                <w:lang w:val="en-US" w:eastAsia="zh-CN"/>
              </w:rPr>
              <w:t>1）保持均匀给矿，管路应畅通。</w:t>
            </w:r>
          </w:p>
          <w:p w14:paraId="2B611082">
            <w:pPr>
              <w:pStyle w:val="30"/>
              <w:bidi w:val="0"/>
              <w:jc w:val="both"/>
              <w:rPr>
                <w:rFonts w:hint="default"/>
                <w:color w:val="auto"/>
                <w:lang w:val="en-US" w:eastAsia="zh-CN"/>
              </w:rPr>
            </w:pPr>
            <w:r>
              <w:rPr>
                <w:rFonts w:hint="default"/>
                <w:color w:val="auto"/>
                <w:lang w:val="en-US" w:eastAsia="zh-CN"/>
              </w:rPr>
              <w:t>2）操作平台设置洗手池、地面冲洗水管。</w:t>
            </w:r>
          </w:p>
          <w:p w14:paraId="5119317E">
            <w:pPr>
              <w:pStyle w:val="30"/>
              <w:bidi w:val="0"/>
              <w:jc w:val="both"/>
              <w:rPr>
                <w:rFonts w:hint="default"/>
                <w:color w:val="auto"/>
                <w:lang w:val="en-US" w:eastAsia="zh-CN"/>
              </w:rPr>
            </w:pPr>
            <w:r>
              <w:rPr>
                <w:rFonts w:hint="default"/>
                <w:color w:val="auto"/>
                <w:lang w:val="en-US" w:eastAsia="zh-CN"/>
              </w:rPr>
              <w:t>3）过滤机中心盘的走桥和上下楼梯，设置防护栏杆。</w:t>
            </w:r>
          </w:p>
          <w:p w14:paraId="6CF4C9C9">
            <w:pPr>
              <w:pStyle w:val="30"/>
              <w:bidi w:val="0"/>
              <w:jc w:val="both"/>
              <w:rPr>
                <w:rFonts w:hint="default"/>
                <w:color w:val="auto"/>
                <w:lang w:val="en-US" w:eastAsia="zh-CN"/>
              </w:rPr>
            </w:pPr>
            <w:r>
              <w:rPr>
                <w:rFonts w:hint="default"/>
                <w:color w:val="auto"/>
                <w:lang w:val="en-US" w:eastAsia="zh-CN"/>
              </w:rPr>
              <w:t>4）须浓缩而未经浓缩的尾矿浆，除非事故处理需要，尾矿溢流不得任意外排。</w:t>
            </w:r>
          </w:p>
          <w:p w14:paraId="48DE38EF">
            <w:pPr>
              <w:pStyle w:val="30"/>
              <w:bidi w:val="0"/>
              <w:jc w:val="both"/>
              <w:rPr>
                <w:rFonts w:hint="default"/>
                <w:color w:val="auto"/>
                <w:lang w:val="en-US" w:eastAsia="zh-CN"/>
              </w:rPr>
            </w:pPr>
            <w:r>
              <w:rPr>
                <w:rFonts w:hint="default"/>
                <w:color w:val="auto"/>
                <w:lang w:val="en-US" w:eastAsia="zh-CN"/>
              </w:rPr>
              <w:t>5）沉淀池的溢流槽外沿，设置安全栏杆，沉淀池周边或开关流槽闸板等处，夜间检查时保持的良好的照明，并在他人监护下进行</w:t>
            </w:r>
          </w:p>
          <w:p w14:paraId="7FCA0B5F">
            <w:pPr>
              <w:pStyle w:val="30"/>
              <w:bidi w:val="0"/>
              <w:jc w:val="both"/>
              <w:rPr>
                <w:rFonts w:hint="default"/>
                <w:color w:val="auto"/>
                <w:lang w:val="en-US" w:eastAsia="zh-CN"/>
              </w:rPr>
            </w:pPr>
            <w:r>
              <w:rPr>
                <w:rFonts w:hint="default"/>
                <w:color w:val="auto"/>
                <w:lang w:val="en-US" w:eastAsia="zh-CN"/>
              </w:rPr>
              <w:t>6）回水池周围需安装拦网；沉淀池周围需按规定安装防护栏杆，栏杆高度1m。</w:t>
            </w:r>
          </w:p>
          <w:p w14:paraId="3F85E849">
            <w:pPr>
              <w:pStyle w:val="30"/>
              <w:bidi w:val="0"/>
              <w:jc w:val="both"/>
              <w:rPr>
                <w:rFonts w:hint="default"/>
                <w:color w:val="auto"/>
                <w:lang w:val="en-US" w:eastAsia="zh-CN"/>
              </w:rPr>
            </w:pPr>
            <w:r>
              <w:rPr>
                <w:rFonts w:hint="default"/>
                <w:color w:val="auto"/>
                <w:lang w:val="en-US" w:eastAsia="zh-CN"/>
              </w:rPr>
              <w:t>7）加强员工安全教育培训，提高自我保护意识，加强警示教育和增强醒目警示标志，防止人员坠入内，造成淹溺事故的发生。</w:t>
            </w:r>
          </w:p>
          <w:p w14:paraId="26A4D172">
            <w:pPr>
              <w:pStyle w:val="30"/>
              <w:bidi w:val="0"/>
              <w:jc w:val="both"/>
              <w:rPr>
                <w:rFonts w:hint="default"/>
                <w:color w:val="auto"/>
                <w:lang w:val="en-US" w:eastAsia="zh-CN"/>
              </w:rPr>
            </w:pPr>
            <w:r>
              <w:rPr>
                <w:rFonts w:hint="default"/>
                <w:color w:val="auto"/>
                <w:lang w:val="en-US" w:eastAsia="zh-CN"/>
              </w:rPr>
              <w:t>（2）压滤机安全措施</w:t>
            </w:r>
          </w:p>
          <w:p w14:paraId="67539185">
            <w:pPr>
              <w:pStyle w:val="30"/>
              <w:bidi w:val="0"/>
              <w:jc w:val="both"/>
              <w:rPr>
                <w:rFonts w:hint="default"/>
                <w:color w:val="auto"/>
                <w:lang w:val="en-US" w:eastAsia="zh-CN"/>
              </w:rPr>
            </w:pPr>
            <w:r>
              <w:rPr>
                <w:rFonts w:hint="default"/>
                <w:color w:val="auto"/>
                <w:lang w:val="en-US" w:eastAsia="zh-CN"/>
              </w:rPr>
              <w:t>1）保持压滤机、浓密机均匀给矿，管路应畅通。</w:t>
            </w:r>
          </w:p>
          <w:p w14:paraId="37C8D318">
            <w:pPr>
              <w:pStyle w:val="30"/>
              <w:bidi w:val="0"/>
              <w:jc w:val="both"/>
              <w:rPr>
                <w:rFonts w:hint="default"/>
                <w:color w:val="auto"/>
                <w:lang w:val="en-US" w:eastAsia="zh-CN"/>
              </w:rPr>
            </w:pPr>
            <w:r>
              <w:rPr>
                <w:rFonts w:hint="default"/>
                <w:color w:val="auto"/>
                <w:lang w:val="en-US" w:eastAsia="zh-CN"/>
              </w:rPr>
              <w:t>2）过滤机操作平台设置洗手池、地面冲洗水管。</w:t>
            </w:r>
          </w:p>
          <w:p w14:paraId="5A764AF4">
            <w:pPr>
              <w:pStyle w:val="30"/>
              <w:bidi w:val="0"/>
              <w:jc w:val="both"/>
              <w:rPr>
                <w:rFonts w:hint="default"/>
                <w:color w:val="auto"/>
                <w:lang w:val="en-US" w:eastAsia="zh-CN"/>
              </w:rPr>
            </w:pPr>
            <w:r>
              <w:rPr>
                <w:rFonts w:hint="default"/>
                <w:color w:val="auto"/>
                <w:lang w:val="en-US" w:eastAsia="zh-CN"/>
              </w:rPr>
              <w:t>3）加强过滤机的日常维护保养，每年对液压缸进行拍片检验，抓好备品备件的验收管理工作，液压缸、活塞及受压零件不允许有裂纹、气孔等缺陷。定期对压力表进行校验，确保灵敏度，加强各部连接零件的紧固，防止液压系统油缸爆缸及断裂。并定期请有资质的质量监督检测机构进行检测，检测安全后方可继续使用。</w:t>
            </w:r>
          </w:p>
          <w:p w14:paraId="3D8E42CD">
            <w:pPr>
              <w:pStyle w:val="30"/>
              <w:bidi w:val="0"/>
              <w:jc w:val="both"/>
              <w:rPr>
                <w:rFonts w:hint="default"/>
                <w:color w:val="auto"/>
                <w:lang w:val="en-US" w:eastAsia="zh-CN"/>
              </w:rPr>
            </w:pPr>
            <w:r>
              <w:rPr>
                <w:rFonts w:hint="default"/>
                <w:color w:val="auto"/>
                <w:lang w:val="en-US" w:eastAsia="zh-CN"/>
              </w:rPr>
              <w:t>4）进料压力≤0.9Mpa，进水压力≤1.2Mpa，液压系统的额定压力31.5Mpa（使用时最高不能超过29Mpa），需定期对储压灌、泄压阀进行检查，并对压滤机压力容器外围设置保护措施。</w:t>
            </w:r>
          </w:p>
          <w:p w14:paraId="3C6D3D39">
            <w:pPr>
              <w:pStyle w:val="30"/>
              <w:bidi w:val="0"/>
              <w:jc w:val="both"/>
              <w:rPr>
                <w:rFonts w:hint="default"/>
                <w:color w:val="auto"/>
                <w:lang w:val="en-US" w:eastAsia="zh-CN"/>
              </w:rPr>
            </w:pPr>
            <w:r>
              <w:rPr>
                <w:rFonts w:hint="default"/>
                <w:color w:val="auto"/>
                <w:lang w:val="en-US" w:eastAsia="zh-CN"/>
              </w:rPr>
              <w:t>5）储压灌压强较大（约10-12MPa），需定期对储压灌、泄压阀进行检查，并对过滤机压力容器外围设置保护措施。</w:t>
            </w:r>
          </w:p>
          <w:p w14:paraId="0B4411CA">
            <w:pPr>
              <w:pStyle w:val="30"/>
              <w:bidi w:val="0"/>
              <w:jc w:val="both"/>
              <w:rPr>
                <w:rFonts w:hint="default"/>
                <w:color w:val="auto"/>
                <w:lang w:val="en-US" w:eastAsia="zh-CN"/>
              </w:rPr>
            </w:pPr>
            <w:r>
              <w:rPr>
                <w:rFonts w:hint="default"/>
                <w:color w:val="auto"/>
                <w:lang w:val="en-US" w:eastAsia="zh-CN"/>
              </w:rPr>
              <w:t>6）机组运行过程中，设定的工艺参数，操作工人不得随意设置，管道的高压接口处不得停留，并设置安全防护装置。</w:t>
            </w:r>
          </w:p>
          <w:p w14:paraId="13041D01">
            <w:pPr>
              <w:pStyle w:val="30"/>
              <w:bidi w:val="0"/>
              <w:jc w:val="both"/>
              <w:rPr>
                <w:rFonts w:hint="default"/>
                <w:color w:val="auto"/>
                <w:lang w:val="en-US" w:eastAsia="zh-CN"/>
              </w:rPr>
            </w:pPr>
            <w:r>
              <w:rPr>
                <w:rFonts w:hint="default"/>
                <w:color w:val="auto"/>
                <w:lang w:val="en-US" w:eastAsia="zh-CN"/>
              </w:rPr>
              <w:t>7）机组油液的初始更新及日常润滑应严格按照润滑油脂表和使用说明书的要求操作。并设专人负责，做好记录。</w:t>
            </w:r>
          </w:p>
          <w:p w14:paraId="7943F174">
            <w:pPr>
              <w:pStyle w:val="30"/>
              <w:bidi w:val="0"/>
              <w:jc w:val="both"/>
              <w:rPr>
                <w:rFonts w:hint="default"/>
                <w:color w:val="auto"/>
                <w:lang w:val="en-US" w:eastAsia="zh-CN"/>
              </w:rPr>
            </w:pPr>
            <w:r>
              <w:rPr>
                <w:rFonts w:hint="default"/>
                <w:color w:val="auto"/>
                <w:lang w:val="en-US" w:eastAsia="zh-CN"/>
              </w:rPr>
              <w:t>8）压滤机在工作过程中，若发现滤液浑浊，滤布破损应及时更换滤布。若滤槽被泥堵塞，应及时冲洗清理，保持滤槽畅通，以避免因滤槽堵塞形成滤板两面的压力差，导致滤板破损。</w:t>
            </w:r>
          </w:p>
          <w:p w14:paraId="27FA791A">
            <w:pPr>
              <w:pStyle w:val="30"/>
              <w:bidi w:val="0"/>
              <w:jc w:val="both"/>
              <w:rPr>
                <w:rFonts w:hint="default"/>
                <w:color w:val="auto"/>
                <w:lang w:val="en-US" w:eastAsia="zh-CN"/>
              </w:rPr>
            </w:pPr>
            <w:r>
              <w:rPr>
                <w:rFonts w:hint="default"/>
                <w:color w:val="auto"/>
                <w:lang w:val="en-US" w:eastAsia="zh-CN"/>
              </w:rPr>
              <w:t>9）过滤机中心盘的走桥和上下楼梯，设置防护栏杆。</w:t>
            </w:r>
          </w:p>
          <w:p w14:paraId="3D6468D2">
            <w:pPr>
              <w:pStyle w:val="30"/>
              <w:bidi w:val="0"/>
              <w:jc w:val="both"/>
              <w:rPr>
                <w:rFonts w:hint="default"/>
                <w:color w:val="auto"/>
                <w:lang w:val="zh-CN" w:eastAsia="zh-CN"/>
              </w:rPr>
            </w:pPr>
            <w:r>
              <w:rPr>
                <w:rFonts w:hint="default"/>
                <w:color w:val="auto"/>
                <w:lang w:val="en-US" w:eastAsia="zh-CN"/>
              </w:rPr>
              <w:t>10）须浓缩而未经浓缩的尾矿浆，除非事故处理需要，尾矿溢流不得任意外排。</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227F5099">
            <w:pPr>
              <w:pStyle w:val="30"/>
              <w:bidi w:val="0"/>
              <w:rPr>
                <w:rFonts w:hint="default"/>
                <w:color w:val="auto"/>
                <w:lang w:val="zh-CN" w:eastAsia="zh-CN"/>
              </w:rPr>
            </w:pPr>
            <w:r>
              <w:rPr>
                <w:rFonts w:hint="default"/>
                <w:color w:val="auto"/>
                <w:lang w:val="zh-CN" w:eastAsia="zh-CN"/>
              </w:rPr>
              <w:t>《安全设施设计》</w:t>
            </w:r>
          </w:p>
          <w:p w14:paraId="29966529">
            <w:pPr>
              <w:pStyle w:val="30"/>
              <w:bidi w:val="0"/>
              <w:rPr>
                <w:rFonts w:hint="default"/>
                <w:color w:val="auto"/>
                <w:lang w:val="zh-CN" w:eastAsia="zh-CN"/>
              </w:rPr>
            </w:pPr>
            <w:r>
              <w:rPr>
                <w:rFonts w:hint="default"/>
                <w:color w:val="auto"/>
                <w:lang w:val="zh-CN" w:eastAsia="zh-CN"/>
              </w:rPr>
              <w:t>第5.</w:t>
            </w:r>
            <w:r>
              <w:rPr>
                <w:rFonts w:hint="default"/>
                <w:color w:val="auto"/>
                <w:lang w:val="en-US" w:eastAsia="zh-CN"/>
              </w:rPr>
              <w:t>2.2.</w:t>
            </w:r>
            <w:r>
              <w:rPr>
                <w:rFonts w:hint="eastAsia"/>
                <w:color w:val="auto"/>
                <w:lang w:val="en-US" w:eastAsia="zh-CN"/>
              </w:rPr>
              <w:t>5</w:t>
            </w:r>
            <w:r>
              <w:rPr>
                <w:rFonts w:hint="default"/>
                <w:color w:val="auto"/>
                <w:lang w:val="zh-CN" w:eastAsia="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718330C2">
            <w:pPr>
              <w:pStyle w:val="30"/>
              <w:bidi w:val="0"/>
              <w:rPr>
                <w:rFonts w:hint="default"/>
                <w:color w:val="auto"/>
                <w:lang w:val="en-US" w:eastAsia="zh-CN"/>
              </w:rPr>
            </w:pPr>
            <w:r>
              <w:rPr>
                <w:rFonts w:hint="default"/>
                <w:color w:val="auto"/>
                <w:lang w:val="en-US" w:eastAsia="zh-CN"/>
              </w:rPr>
              <w:t>沉淀池给矿均匀，管路畅通。沉淀池周围安装有防护栏杆。压滤机、浓密机均匀给矿，管路应畅通</w:t>
            </w:r>
            <w:r>
              <w:rPr>
                <w:rFonts w:hint="eastAsia"/>
                <w:color w:val="auto"/>
                <w:lang w:val="en-US" w:eastAsia="zh-CN"/>
              </w:rPr>
              <w:t>；</w:t>
            </w:r>
            <w:r>
              <w:rPr>
                <w:rFonts w:hint="default"/>
                <w:color w:val="auto"/>
                <w:lang w:val="en-US" w:eastAsia="zh-CN"/>
              </w:rPr>
              <w:t>过滤机操作平台设置洗手池、地面冲洗水管</w:t>
            </w:r>
            <w:r>
              <w:rPr>
                <w:rFonts w:hint="eastAsia"/>
                <w:color w:val="auto"/>
                <w:lang w:val="en-US" w:eastAsia="zh-CN"/>
              </w:rPr>
              <w:t>。</w:t>
            </w:r>
            <w:r>
              <w:rPr>
                <w:rFonts w:hint="default"/>
                <w:color w:val="auto"/>
                <w:lang w:val="en-US" w:eastAsia="zh-CN"/>
              </w:rPr>
              <w:t>过滤机操作平台</w:t>
            </w:r>
            <w:r>
              <w:rPr>
                <w:rFonts w:hint="eastAsia"/>
                <w:color w:val="auto"/>
                <w:lang w:val="en-US" w:eastAsia="zh-CN"/>
              </w:rPr>
              <w:t>和楼梯设置了防护栏杆。</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66476DC1">
            <w:pPr>
              <w:pStyle w:val="30"/>
              <w:bidi w:val="0"/>
              <w:rPr>
                <w:rFonts w:hint="default"/>
                <w:color w:val="auto"/>
              </w:rPr>
            </w:pPr>
            <w:r>
              <w:rPr>
                <w:rFonts w:hint="default"/>
                <w:color w:val="auto"/>
              </w:rPr>
              <w:t>符合</w:t>
            </w:r>
          </w:p>
        </w:tc>
      </w:tr>
      <w:tr w14:paraId="090761D0">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7BCEEE7A">
            <w:pPr>
              <w:pStyle w:val="30"/>
              <w:bidi w:val="0"/>
              <w:rPr>
                <w:rFonts w:hint="default"/>
                <w:color w:val="auto"/>
                <w:lang w:eastAsia="zh-CN"/>
              </w:rPr>
            </w:pPr>
            <w:r>
              <w:rPr>
                <w:rFonts w:hint="eastAsia"/>
                <w:color w:val="auto"/>
                <w:lang w:val="en-US" w:eastAsia="zh-CN"/>
              </w:rPr>
              <w:t>5</w:t>
            </w:r>
            <w:r>
              <w:rPr>
                <w:rFonts w:hint="default"/>
                <w:color w:val="auto"/>
              </w:rPr>
              <w:t>.</w:t>
            </w:r>
            <w:r>
              <w:rPr>
                <w:rFonts w:hint="default"/>
                <w:color w:val="auto"/>
                <w:lang w:val="en-US" w:eastAsia="zh-CN"/>
              </w:rPr>
              <w:t>2</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04393923">
            <w:pPr>
              <w:pStyle w:val="30"/>
              <w:bidi w:val="0"/>
              <w:jc w:val="both"/>
              <w:rPr>
                <w:rFonts w:hint="default"/>
                <w:color w:val="auto"/>
                <w:lang w:val="zh-CN"/>
              </w:rPr>
            </w:pPr>
            <w:r>
              <w:rPr>
                <w:rFonts w:hint="default"/>
                <w:color w:val="auto"/>
              </w:rPr>
              <w:t>运转设备的下列作业，应停车进行：1.处理故障；2.更换部件；3.局部调整设备部件；4.调整皮带松紧；5.清扫设备。</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642C8049">
            <w:pPr>
              <w:pStyle w:val="30"/>
              <w:bidi w:val="0"/>
              <w:rPr>
                <w:rFonts w:hint="eastAsia"/>
                <w:color w:val="auto"/>
                <w:lang w:eastAsia="zh-CN"/>
              </w:rPr>
            </w:pPr>
            <w:r>
              <w:rPr>
                <w:rFonts w:hint="default"/>
                <w:color w:val="auto"/>
              </w:rPr>
              <w:t>《选矿安全规程》</w:t>
            </w:r>
            <w:r>
              <w:rPr>
                <w:rFonts w:hint="eastAsia"/>
                <w:color w:val="auto"/>
                <w:lang w:eastAsia="zh-CN"/>
              </w:rPr>
              <w:t>（GB/T 18152-2000）</w:t>
            </w:r>
          </w:p>
          <w:p w14:paraId="2DE9DADA">
            <w:pPr>
              <w:pStyle w:val="30"/>
              <w:bidi w:val="0"/>
              <w:rPr>
                <w:rFonts w:hint="default"/>
                <w:color w:val="auto"/>
                <w:lang w:val="zh-CN"/>
              </w:rPr>
            </w:pPr>
            <w:r>
              <w:rPr>
                <w:rFonts w:hint="default"/>
                <w:color w:val="auto"/>
              </w:rPr>
              <w:t>7.1.1</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48BD2073">
            <w:pPr>
              <w:pStyle w:val="30"/>
              <w:bidi w:val="0"/>
              <w:rPr>
                <w:rFonts w:hint="default"/>
                <w:color w:val="auto"/>
              </w:rPr>
            </w:pPr>
            <w:r>
              <w:rPr>
                <w:rFonts w:hint="default"/>
                <w:color w:val="auto"/>
              </w:rPr>
              <w:t>企业管理制度中已明确</w:t>
            </w:r>
            <w:r>
              <w:rPr>
                <w:rFonts w:hint="default"/>
                <w:color w:val="auto"/>
                <w:lang w:eastAsia="zh-CN"/>
              </w:rPr>
              <w:t>；</w:t>
            </w:r>
            <w:r>
              <w:rPr>
                <w:rFonts w:hint="default"/>
                <w:color w:val="auto"/>
              </w:rPr>
              <w:t>现场检查是未发现违规操作。</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4E08E355">
            <w:pPr>
              <w:pStyle w:val="30"/>
              <w:bidi w:val="0"/>
              <w:rPr>
                <w:rFonts w:hint="default"/>
                <w:color w:val="auto"/>
              </w:rPr>
            </w:pPr>
            <w:r>
              <w:rPr>
                <w:rFonts w:hint="default"/>
                <w:color w:val="auto"/>
              </w:rPr>
              <w:t>符合</w:t>
            </w:r>
          </w:p>
        </w:tc>
      </w:tr>
      <w:tr w14:paraId="1FF985B2">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14BA0406">
            <w:pPr>
              <w:pStyle w:val="30"/>
              <w:bidi w:val="0"/>
              <w:rPr>
                <w:rFonts w:hint="default"/>
                <w:color w:val="auto"/>
                <w:lang w:val="en-US" w:eastAsia="zh-CN"/>
              </w:rPr>
            </w:pPr>
            <w:r>
              <w:rPr>
                <w:rFonts w:hint="eastAsia"/>
                <w:color w:val="auto"/>
                <w:lang w:val="en-US" w:eastAsia="zh-CN"/>
              </w:rPr>
              <w:t>5</w:t>
            </w:r>
            <w:r>
              <w:rPr>
                <w:rFonts w:hint="default"/>
                <w:color w:val="auto"/>
                <w:lang w:val="en-US" w:eastAsia="zh-CN"/>
              </w:rPr>
              <w:t>.3</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3D7901E8">
            <w:pPr>
              <w:pStyle w:val="30"/>
              <w:bidi w:val="0"/>
              <w:jc w:val="both"/>
              <w:rPr>
                <w:rFonts w:hint="default"/>
                <w:color w:val="auto"/>
                <w:lang w:val="zh-CN"/>
              </w:rPr>
            </w:pPr>
            <w:r>
              <w:rPr>
                <w:rFonts w:hint="default"/>
                <w:color w:val="auto"/>
                <w:lang w:val="zh-CN"/>
              </w:rPr>
              <w:t>人员进入停止运转的设备内部或上部，事前应用操作牌换电源牌，切断电源，锁上电源开关，挂上</w:t>
            </w:r>
            <w:r>
              <w:rPr>
                <w:rFonts w:hint="eastAsia"/>
                <w:color w:val="auto"/>
                <w:lang w:eastAsia="zh-CN"/>
              </w:rPr>
              <w:t>“</w:t>
            </w:r>
            <w:r>
              <w:rPr>
                <w:rFonts w:hint="default"/>
                <w:color w:val="auto"/>
                <w:lang w:val="zh-CN"/>
              </w:rPr>
              <w:t>有人作业，严禁合闸</w:t>
            </w:r>
            <w:r>
              <w:rPr>
                <w:rFonts w:hint="eastAsia"/>
                <w:color w:val="auto"/>
                <w:lang w:eastAsia="zh-CN"/>
              </w:rPr>
              <w:t>”</w:t>
            </w:r>
            <w:r>
              <w:rPr>
                <w:rFonts w:hint="default"/>
                <w:color w:val="auto"/>
                <w:lang w:val="zh-CN"/>
              </w:rPr>
              <w:t>的标志牌，并设专人监护。</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5F5F4FE0">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694EC188">
            <w:pPr>
              <w:pStyle w:val="30"/>
              <w:bidi w:val="0"/>
              <w:rPr>
                <w:rFonts w:hint="default"/>
                <w:color w:val="auto"/>
                <w:lang w:val="zh-CN"/>
              </w:rPr>
            </w:pPr>
            <w:r>
              <w:rPr>
                <w:rFonts w:hint="default"/>
                <w:color w:val="auto"/>
              </w:rPr>
              <w:t>7.1.3</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5C4014D7">
            <w:pPr>
              <w:pStyle w:val="30"/>
              <w:bidi w:val="0"/>
              <w:rPr>
                <w:rFonts w:hint="default"/>
                <w:color w:val="auto"/>
              </w:rPr>
            </w:pPr>
            <w:r>
              <w:rPr>
                <w:rFonts w:hint="default"/>
                <w:color w:val="auto"/>
                <w:lang w:val="zh-CN"/>
              </w:rPr>
              <w:t>管理制度中已明确，且配置了相应的标志牌。</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7E32ADB">
            <w:pPr>
              <w:pStyle w:val="30"/>
              <w:bidi w:val="0"/>
              <w:rPr>
                <w:rFonts w:hint="default"/>
                <w:color w:val="auto"/>
              </w:rPr>
            </w:pPr>
            <w:r>
              <w:rPr>
                <w:rFonts w:hint="default"/>
                <w:color w:val="auto"/>
                <w:lang w:val="zh-CN"/>
              </w:rPr>
              <w:t>符合</w:t>
            </w:r>
          </w:p>
        </w:tc>
      </w:tr>
      <w:tr w14:paraId="5B88569A">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109885A4">
            <w:pPr>
              <w:pStyle w:val="30"/>
              <w:bidi w:val="0"/>
              <w:rPr>
                <w:rFonts w:hint="default"/>
                <w:color w:val="auto"/>
                <w:lang w:val="en-US" w:eastAsia="zh-CN"/>
              </w:rPr>
            </w:pPr>
            <w:r>
              <w:rPr>
                <w:rFonts w:hint="eastAsia"/>
                <w:color w:val="auto"/>
                <w:lang w:val="en-US" w:eastAsia="zh-CN"/>
              </w:rPr>
              <w:t>5</w:t>
            </w:r>
            <w:r>
              <w:rPr>
                <w:rFonts w:hint="default"/>
                <w:color w:val="auto"/>
              </w:rPr>
              <w:t>.</w:t>
            </w:r>
            <w:r>
              <w:rPr>
                <w:rFonts w:hint="default"/>
                <w:color w:val="auto"/>
                <w:lang w:val="en-US" w:eastAsia="zh-CN"/>
              </w:rPr>
              <w:t>4</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204F288E">
            <w:pPr>
              <w:pStyle w:val="30"/>
              <w:bidi w:val="0"/>
              <w:jc w:val="both"/>
              <w:rPr>
                <w:rFonts w:hint="default"/>
                <w:color w:val="auto"/>
                <w:lang w:val="zh-CN"/>
              </w:rPr>
            </w:pPr>
            <w:r>
              <w:rPr>
                <w:rFonts w:hint="default"/>
                <w:color w:val="auto"/>
                <w:lang w:val="zh-CN"/>
              </w:rPr>
              <w:t>不应跨在矿浆搅拌槽体上作业。溅堆到槽壁端面的矿泥，应经常用水冲洗干净。</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15A0CC8A">
            <w:pPr>
              <w:pStyle w:val="30"/>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rPr>
              <w:t>7.5.3.4</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37C44CF9">
            <w:pPr>
              <w:pStyle w:val="30"/>
              <w:bidi w:val="0"/>
              <w:rPr>
                <w:rFonts w:hint="default"/>
                <w:color w:val="auto"/>
              </w:rPr>
            </w:pPr>
            <w:r>
              <w:rPr>
                <w:rFonts w:hint="default"/>
                <w:color w:val="auto"/>
                <w:lang w:val="zh-CN"/>
              </w:rPr>
              <w:t>现场检查未发现违章，车间配置有冲水管。</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720AE83">
            <w:pPr>
              <w:pStyle w:val="30"/>
              <w:bidi w:val="0"/>
              <w:rPr>
                <w:rFonts w:hint="default"/>
                <w:color w:val="auto"/>
              </w:rPr>
            </w:pPr>
            <w:r>
              <w:rPr>
                <w:rFonts w:hint="default"/>
                <w:color w:val="auto"/>
                <w:lang w:val="zh-CN"/>
              </w:rPr>
              <w:t>符合</w:t>
            </w:r>
          </w:p>
        </w:tc>
      </w:tr>
      <w:tr w14:paraId="280E1373">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53C138B7">
            <w:pPr>
              <w:pStyle w:val="30"/>
              <w:bidi w:val="0"/>
              <w:rPr>
                <w:rFonts w:hint="default"/>
                <w:color w:val="auto"/>
                <w:lang w:val="en-US" w:eastAsia="zh-CN"/>
              </w:rPr>
            </w:pPr>
            <w:r>
              <w:rPr>
                <w:rFonts w:hint="eastAsia"/>
                <w:color w:val="auto"/>
                <w:lang w:val="en-US" w:eastAsia="zh-CN"/>
              </w:rPr>
              <w:t>5</w:t>
            </w:r>
            <w:r>
              <w:rPr>
                <w:rFonts w:hint="default"/>
                <w:color w:val="auto"/>
              </w:rPr>
              <w:t>.</w:t>
            </w:r>
            <w:r>
              <w:rPr>
                <w:rFonts w:hint="default"/>
                <w:color w:val="auto"/>
                <w:lang w:val="en-US" w:eastAsia="zh-CN"/>
              </w:rPr>
              <w:t>5</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6E9E0E78">
            <w:pPr>
              <w:pStyle w:val="30"/>
              <w:bidi w:val="0"/>
              <w:jc w:val="both"/>
              <w:rPr>
                <w:rFonts w:hint="default"/>
                <w:color w:val="auto"/>
                <w:lang w:val="zh-CN"/>
              </w:rPr>
            </w:pPr>
            <w:r>
              <w:rPr>
                <w:rFonts w:hint="default"/>
                <w:color w:val="auto"/>
              </w:rPr>
              <w:t>大型内滤式真空过滤机内的人行板道，应设安全装置。</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44096280">
            <w:pPr>
              <w:pStyle w:val="30"/>
              <w:bidi w:val="0"/>
              <w:rPr>
                <w:rFonts w:hint="default"/>
                <w:color w:val="auto"/>
                <w:lang w:eastAsia="zh-CN"/>
              </w:rPr>
            </w:pPr>
            <w:r>
              <w:rPr>
                <w:rFonts w:hint="default"/>
                <w:color w:val="auto"/>
              </w:rPr>
              <w:t>《选矿安全规程》</w:t>
            </w:r>
            <w:r>
              <w:rPr>
                <w:rFonts w:hint="eastAsia"/>
                <w:color w:val="auto"/>
                <w:lang w:eastAsia="zh-CN"/>
              </w:rPr>
              <w:t>（GB/T 18152-2000）</w:t>
            </w:r>
          </w:p>
          <w:p w14:paraId="3CC499E0">
            <w:pPr>
              <w:pStyle w:val="30"/>
              <w:bidi w:val="0"/>
              <w:rPr>
                <w:rFonts w:hint="default"/>
                <w:color w:val="auto"/>
                <w:lang w:val="zh-CN"/>
              </w:rPr>
            </w:pPr>
            <w:r>
              <w:rPr>
                <w:rFonts w:hint="default"/>
                <w:color w:val="auto"/>
              </w:rPr>
              <w:t>7.6.2</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6A57F5A8">
            <w:pPr>
              <w:pStyle w:val="30"/>
              <w:bidi w:val="0"/>
              <w:rPr>
                <w:rFonts w:hint="default"/>
                <w:color w:val="auto"/>
              </w:rPr>
            </w:pPr>
            <w:r>
              <w:rPr>
                <w:rFonts w:hint="default"/>
                <w:color w:val="auto"/>
              </w:rPr>
              <w:t>项目无内滤式真空过滤机。</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6C6E22C5">
            <w:pPr>
              <w:pStyle w:val="30"/>
              <w:bidi w:val="0"/>
              <w:rPr>
                <w:rFonts w:hint="default"/>
                <w:color w:val="auto"/>
              </w:rPr>
            </w:pPr>
            <w:r>
              <w:rPr>
                <w:rFonts w:hint="default"/>
                <w:color w:val="auto"/>
              </w:rPr>
              <w:t>不涉及</w:t>
            </w:r>
          </w:p>
        </w:tc>
      </w:tr>
      <w:tr w14:paraId="5567F008">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32CCB27B">
            <w:pPr>
              <w:pStyle w:val="30"/>
              <w:bidi w:val="0"/>
              <w:rPr>
                <w:rFonts w:hint="default"/>
                <w:color w:val="auto"/>
                <w:lang w:eastAsia="zh-CN"/>
              </w:rPr>
            </w:pPr>
            <w:r>
              <w:rPr>
                <w:rFonts w:hint="eastAsia"/>
                <w:color w:val="auto"/>
                <w:lang w:val="en-US" w:eastAsia="zh-CN"/>
              </w:rPr>
              <w:t>6</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3E033C57">
            <w:pPr>
              <w:pStyle w:val="30"/>
              <w:bidi w:val="0"/>
              <w:jc w:val="center"/>
              <w:rPr>
                <w:rFonts w:hint="default"/>
                <w:color w:val="auto"/>
                <w:lang w:val="zh-CN"/>
              </w:rPr>
            </w:pPr>
            <w:r>
              <w:rPr>
                <w:rFonts w:hint="default"/>
                <w:color w:val="auto"/>
              </w:rPr>
              <w:t>堆场</w:t>
            </w:r>
            <w:r>
              <w:rPr>
                <w:rFonts w:hint="default"/>
                <w:color w:val="auto"/>
                <w:lang w:val="zh-CN"/>
              </w:rPr>
              <w:t>安全对策措施</w:t>
            </w:r>
          </w:p>
        </w:tc>
      </w:tr>
      <w:tr w14:paraId="73C5726A">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6E02F071">
            <w:pPr>
              <w:pStyle w:val="30"/>
              <w:bidi w:val="0"/>
              <w:rPr>
                <w:rFonts w:hint="default"/>
                <w:color w:val="auto"/>
                <w:lang w:val="en-US" w:eastAsia="zh-CN"/>
              </w:rPr>
            </w:pPr>
            <w:r>
              <w:rPr>
                <w:rFonts w:hint="eastAsia"/>
                <w:color w:val="auto"/>
                <w:lang w:val="en-US" w:eastAsia="zh-CN"/>
              </w:rPr>
              <w:t>6</w:t>
            </w:r>
            <w:r>
              <w:rPr>
                <w:rFonts w:hint="default"/>
                <w:color w:val="auto"/>
                <w:lang w:val="en-US" w:eastAsia="zh-CN"/>
              </w:rPr>
              <w:t>.1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2E633621">
            <w:pPr>
              <w:pStyle w:val="30"/>
              <w:bidi w:val="0"/>
              <w:jc w:val="both"/>
              <w:rPr>
                <w:rFonts w:hint="default"/>
                <w:color w:val="auto"/>
                <w:lang w:val="zh-CN"/>
              </w:rPr>
            </w:pPr>
            <w:r>
              <w:rPr>
                <w:rFonts w:hint="default"/>
                <w:color w:val="auto"/>
                <w:lang w:val="zh-CN"/>
              </w:rPr>
              <w:t>项目原堆场已经设置截洪沟，项目利用原有设施。堆场需做好防排水设施，并在醒目位置设置安全警示标志，严格控制堆置外坡比，无关人员禁止进入，防止坍塌伤害或滚石伤害，加强员工安全教育培训，提高自我保护意识，加强警示教育和增强醒目警示标志。堆场与下一平台设置1.05m高护栏。</w:t>
            </w:r>
          </w:p>
          <w:p w14:paraId="30BD7FA9">
            <w:pPr>
              <w:pStyle w:val="30"/>
              <w:bidi w:val="0"/>
              <w:jc w:val="both"/>
              <w:rPr>
                <w:rFonts w:hint="default"/>
                <w:color w:val="auto"/>
                <w:lang w:val="zh-CN"/>
              </w:rPr>
            </w:pPr>
            <w:r>
              <w:rPr>
                <w:rFonts w:hint="default"/>
                <w:color w:val="auto"/>
                <w:lang w:val="zh-CN"/>
              </w:rPr>
              <w:t>原矿堆场及精矿堆场汽车卸矿点设置安全车挡。参照相关规定：安全车挡的高度不应小于轮胎直径的1/3，安全车挡采用浆砌块石砌筑。</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0A6B9098">
            <w:pPr>
              <w:pStyle w:val="30"/>
              <w:bidi w:val="0"/>
              <w:rPr>
                <w:rFonts w:hint="default"/>
                <w:color w:val="auto"/>
                <w:lang w:val="zh-CN"/>
              </w:rPr>
            </w:pPr>
            <w:r>
              <w:rPr>
                <w:rFonts w:hint="default"/>
                <w:color w:val="auto"/>
                <w:lang w:val="zh-CN"/>
              </w:rPr>
              <w:t>《安全设施设计》</w:t>
            </w:r>
          </w:p>
          <w:p w14:paraId="1940378A">
            <w:pPr>
              <w:pStyle w:val="30"/>
              <w:bidi w:val="0"/>
              <w:rPr>
                <w:rFonts w:hint="default"/>
                <w:color w:val="auto"/>
                <w:lang w:val="zh-CN"/>
              </w:rPr>
            </w:pPr>
            <w:r>
              <w:rPr>
                <w:rFonts w:hint="default"/>
                <w:color w:val="auto"/>
                <w:lang w:val="zh-CN"/>
              </w:rPr>
              <w:t>第5.</w:t>
            </w:r>
            <w:r>
              <w:rPr>
                <w:rFonts w:hint="default"/>
                <w:color w:val="auto"/>
                <w:lang w:val="en-US" w:eastAsia="zh-CN"/>
              </w:rPr>
              <w:t>2</w:t>
            </w:r>
            <w:r>
              <w:rPr>
                <w:rFonts w:hint="default"/>
                <w:color w:val="auto"/>
                <w:lang w:val="zh-CN"/>
              </w:rPr>
              <w:t>.2.</w:t>
            </w:r>
            <w:r>
              <w:rPr>
                <w:rFonts w:hint="eastAsia"/>
                <w:color w:val="auto"/>
                <w:lang w:val="en-US" w:eastAsia="zh-CN"/>
              </w:rPr>
              <w:t>6</w:t>
            </w:r>
            <w:r>
              <w:rPr>
                <w:rFonts w:hint="default"/>
                <w:color w:val="auto"/>
                <w:lang w:val="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616F12DD">
            <w:pPr>
              <w:pStyle w:val="30"/>
              <w:bidi w:val="0"/>
              <w:rPr>
                <w:rFonts w:hint="default"/>
                <w:color w:val="auto"/>
              </w:rPr>
            </w:pPr>
            <w:r>
              <w:rPr>
                <w:rFonts w:hint="default"/>
                <w:color w:val="auto"/>
                <w:lang w:val="zh-CN"/>
              </w:rPr>
              <w:t>原矿堆场、</w:t>
            </w:r>
            <w:r>
              <w:rPr>
                <w:rFonts w:hint="default"/>
                <w:color w:val="auto"/>
                <w:lang w:val="en-US" w:eastAsia="zh-CN"/>
              </w:rPr>
              <w:t>精矿临时堆场</w:t>
            </w:r>
            <w:r>
              <w:rPr>
                <w:rFonts w:hint="default"/>
                <w:color w:val="auto"/>
                <w:lang w:val="zh-CN"/>
              </w:rPr>
              <w:t>已经形成，满足原矿临时堆放，</w:t>
            </w:r>
            <w:r>
              <w:rPr>
                <w:rFonts w:hint="default"/>
                <w:color w:val="auto"/>
                <w:lang w:val="en-US" w:eastAsia="zh-CN"/>
              </w:rPr>
              <w:t>各</w:t>
            </w:r>
            <w:r>
              <w:rPr>
                <w:rFonts w:hint="default"/>
                <w:color w:val="auto"/>
                <w:lang w:val="zh-CN"/>
              </w:rPr>
              <w:t>堆场汽车卸矿点设置了安全车挡。</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3413413B">
            <w:pPr>
              <w:pStyle w:val="30"/>
              <w:bidi w:val="0"/>
              <w:rPr>
                <w:rFonts w:hint="default"/>
                <w:color w:val="auto"/>
              </w:rPr>
            </w:pPr>
            <w:r>
              <w:rPr>
                <w:rFonts w:hint="default"/>
                <w:color w:val="auto"/>
                <w:lang w:val="zh-CN"/>
              </w:rPr>
              <w:t>符合</w:t>
            </w:r>
          </w:p>
        </w:tc>
      </w:tr>
      <w:tr w14:paraId="3690ABCD">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7B419ACC">
            <w:pPr>
              <w:pStyle w:val="30"/>
              <w:bidi w:val="0"/>
              <w:rPr>
                <w:rFonts w:hint="default"/>
                <w:color w:val="auto"/>
                <w:lang w:val="en-US" w:eastAsia="zh-CN"/>
              </w:rPr>
            </w:pPr>
            <w:r>
              <w:rPr>
                <w:rFonts w:hint="eastAsia"/>
                <w:color w:val="auto"/>
                <w:lang w:val="en-US" w:eastAsia="zh-CN"/>
              </w:rPr>
              <w:t>7</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71770F60">
            <w:pPr>
              <w:pStyle w:val="30"/>
              <w:bidi w:val="0"/>
              <w:rPr>
                <w:rFonts w:hint="default"/>
                <w:color w:val="auto"/>
                <w:lang w:val="zh-CN"/>
              </w:rPr>
            </w:pPr>
            <w:r>
              <w:rPr>
                <w:rFonts w:hint="default"/>
                <w:color w:val="auto"/>
                <w:lang w:val="zh-CN"/>
              </w:rPr>
              <w:t>选矿药剂安全防范措施</w:t>
            </w:r>
          </w:p>
        </w:tc>
      </w:tr>
      <w:tr w14:paraId="70AE578F">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3A98C68C">
            <w:pPr>
              <w:pStyle w:val="30"/>
              <w:bidi w:val="0"/>
              <w:rPr>
                <w:rFonts w:hint="default"/>
                <w:color w:val="auto"/>
                <w:lang w:val="en-US" w:eastAsia="zh-CN"/>
              </w:rPr>
            </w:pPr>
            <w:r>
              <w:rPr>
                <w:rFonts w:hint="eastAsia"/>
                <w:color w:val="auto"/>
                <w:lang w:val="en-US" w:eastAsia="zh-CN"/>
              </w:rPr>
              <w:t>7.1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552A4173">
            <w:pPr>
              <w:pStyle w:val="30"/>
              <w:bidi w:val="0"/>
              <w:jc w:val="both"/>
              <w:rPr>
                <w:rFonts w:hint="default"/>
                <w:color w:val="auto"/>
                <w:lang w:val="zh-CN"/>
              </w:rPr>
            </w:pPr>
            <w:r>
              <w:rPr>
                <w:rFonts w:hint="default"/>
                <w:color w:val="auto"/>
                <w:lang w:val="zh-CN"/>
              </w:rPr>
              <w:t>（1）在本项目中涉及到的有毒、有害药品，要求操作人员在使用时穿戴好防护器具，严格按照药剂使用、存储要求操作，保持良好的卫生习惯，并且药剂制备厂房做好通风。</w:t>
            </w:r>
          </w:p>
          <w:p w14:paraId="1ABFAE3B">
            <w:pPr>
              <w:pStyle w:val="30"/>
              <w:bidi w:val="0"/>
              <w:jc w:val="both"/>
              <w:rPr>
                <w:rFonts w:hint="default"/>
                <w:color w:val="auto"/>
                <w:lang w:val="zh-CN"/>
              </w:rPr>
            </w:pPr>
            <w:r>
              <w:rPr>
                <w:rFonts w:hint="default"/>
                <w:color w:val="auto"/>
                <w:lang w:val="zh-CN"/>
              </w:rPr>
              <w:t>（2）操作人员必须经过专门培训，严格遵守操作规程。</w:t>
            </w:r>
          </w:p>
          <w:p w14:paraId="51FBA800">
            <w:pPr>
              <w:pStyle w:val="30"/>
              <w:bidi w:val="0"/>
              <w:jc w:val="both"/>
              <w:rPr>
                <w:rFonts w:hint="default"/>
                <w:color w:val="auto"/>
                <w:lang w:val="zh-CN"/>
              </w:rPr>
            </w:pPr>
            <w:r>
              <w:rPr>
                <w:rFonts w:hint="default"/>
                <w:color w:val="auto"/>
                <w:lang w:val="zh-CN"/>
              </w:rPr>
              <w:t>（3）贮存药品应有明显标签，不得随意弄掉标签，以免错用药品发生危险，对于无标签而又性质不明药品，应经化验确认，方可使用。并于药剂贮存与配置槽配有洗眼器或冲洗设备，并配备相应品种的数量的消防器材。</w:t>
            </w:r>
          </w:p>
          <w:p w14:paraId="09FF3C6C">
            <w:pPr>
              <w:pStyle w:val="30"/>
              <w:bidi w:val="0"/>
              <w:jc w:val="both"/>
              <w:rPr>
                <w:rFonts w:hint="default"/>
                <w:color w:val="auto"/>
                <w:lang w:val="zh-CN"/>
              </w:rPr>
            </w:pPr>
            <w:r>
              <w:rPr>
                <w:rFonts w:hint="default"/>
                <w:color w:val="auto"/>
                <w:lang w:val="zh-CN"/>
              </w:rPr>
              <w:t>（4）对药剂储存与配置槽管理实现“两双”管理，即：双人、双锁管理。药剂储存、制备间房门加双锁，一把由药剂储存与配置槽人员管理，另一把由值班工长管理，同开同锁。</w:t>
            </w:r>
          </w:p>
          <w:p w14:paraId="162B51B3">
            <w:pPr>
              <w:pStyle w:val="30"/>
              <w:bidi w:val="0"/>
              <w:jc w:val="both"/>
              <w:rPr>
                <w:rFonts w:hint="default"/>
                <w:color w:val="auto"/>
                <w:lang w:val="zh-CN"/>
              </w:rPr>
            </w:pPr>
            <w:r>
              <w:rPr>
                <w:rFonts w:hint="default"/>
                <w:color w:val="auto"/>
                <w:lang w:val="zh-CN"/>
              </w:rPr>
              <w:t>（5）药剂储存与制备间操作人员必须严格执行各项操作规程和巡检制度，并做好巡检记录，如发现跑、冒、滴、漏等隐患，须立即处理并汇报。</w:t>
            </w:r>
          </w:p>
          <w:p w14:paraId="6A33C2DD">
            <w:pPr>
              <w:pStyle w:val="30"/>
              <w:bidi w:val="0"/>
              <w:jc w:val="both"/>
              <w:rPr>
                <w:rFonts w:hint="default"/>
                <w:color w:val="auto"/>
                <w:lang w:val="zh-CN"/>
              </w:rPr>
            </w:pPr>
            <w:r>
              <w:rPr>
                <w:rFonts w:hint="default"/>
                <w:color w:val="auto"/>
                <w:lang w:val="zh-CN"/>
              </w:rPr>
              <w:t>（6）药剂储存与配置槽设有专用桶，回收洒、漏的药剂并用标签标明，所回收药剂在值班人员的监督下由操作工人及时送回专用桶，以防流失。</w:t>
            </w:r>
          </w:p>
          <w:p w14:paraId="459BCDB1">
            <w:pPr>
              <w:pStyle w:val="30"/>
              <w:bidi w:val="0"/>
              <w:jc w:val="both"/>
              <w:rPr>
                <w:rFonts w:hint="default"/>
                <w:color w:val="auto"/>
                <w:lang w:val="zh-CN"/>
              </w:rPr>
            </w:pPr>
            <w:r>
              <w:rPr>
                <w:rFonts w:hint="default"/>
                <w:color w:val="auto"/>
                <w:lang w:val="zh-CN"/>
              </w:rPr>
              <w:t>（7）药剂库，药剂配置远离火种、热源，工作场所严禁吸烟。</w:t>
            </w:r>
          </w:p>
          <w:p w14:paraId="470B19FC">
            <w:pPr>
              <w:pStyle w:val="30"/>
              <w:bidi w:val="0"/>
              <w:jc w:val="both"/>
              <w:rPr>
                <w:rFonts w:hint="default"/>
                <w:color w:val="auto"/>
                <w:lang w:val="zh-CN"/>
              </w:rPr>
            </w:pPr>
            <w:r>
              <w:rPr>
                <w:rFonts w:hint="default"/>
                <w:color w:val="auto"/>
                <w:lang w:val="zh-CN"/>
              </w:rPr>
              <w:t>（8）本项目中存在的2#油、硫化钠等储存药剂的防火和安全措施，应符合现行国家标准《选矿安全规程》GB18152和《有色金属工程设计防火规范》GB50630的有关规定。药剂库应根据药剂堆存方式、包装形式及运输方法确定。药剂堆存方式应按包装方式确定，采用铁桶包装时，可堆2~3层，采用麻袋或编织袋包装时，可多层堆放，堆放高度不宜超过2m。</w:t>
            </w:r>
          </w:p>
          <w:p w14:paraId="7BDCE8C4">
            <w:pPr>
              <w:pStyle w:val="30"/>
              <w:bidi w:val="0"/>
              <w:jc w:val="both"/>
              <w:rPr>
                <w:rFonts w:hint="default"/>
                <w:color w:val="auto"/>
                <w:lang w:val="zh-CN"/>
              </w:rPr>
            </w:pPr>
            <w:r>
              <w:rPr>
                <w:rFonts w:hint="default"/>
                <w:color w:val="auto"/>
                <w:lang w:val="zh-CN"/>
              </w:rPr>
              <w:t>（9）装卸、搬运化学危险品时应按有关规定执行，做到轻装、轻卸。严格摔、碰、撞、击、拖拉、倾倒和拖动。</w:t>
            </w:r>
          </w:p>
          <w:p w14:paraId="4B5CDE7B">
            <w:pPr>
              <w:pStyle w:val="30"/>
              <w:bidi w:val="0"/>
              <w:jc w:val="both"/>
              <w:rPr>
                <w:rFonts w:hint="default"/>
                <w:color w:val="auto"/>
                <w:lang w:val="zh-CN"/>
              </w:rPr>
            </w:pPr>
            <w:r>
              <w:rPr>
                <w:rFonts w:hint="default"/>
                <w:color w:val="auto"/>
                <w:lang w:val="zh-CN"/>
              </w:rPr>
              <w:t>（10）药剂储存区域、配置区设置洗眼器和冲洗设施。</w:t>
            </w:r>
          </w:p>
          <w:p w14:paraId="1C1ED02B">
            <w:pPr>
              <w:pStyle w:val="30"/>
              <w:bidi w:val="0"/>
              <w:jc w:val="both"/>
              <w:rPr>
                <w:rFonts w:hint="default"/>
                <w:color w:val="auto"/>
                <w:lang w:val="zh-CN"/>
              </w:rPr>
            </w:pPr>
            <w:r>
              <w:rPr>
                <w:rFonts w:hint="default"/>
                <w:color w:val="auto"/>
                <w:lang w:val="zh-CN"/>
              </w:rPr>
              <w:t>（11）保证药剂制备槽及药剂库周边出入口畅通；设置明显的安全警示标志和警示说明。</w:t>
            </w:r>
          </w:p>
          <w:p w14:paraId="01B654A9">
            <w:pPr>
              <w:pStyle w:val="30"/>
              <w:bidi w:val="0"/>
              <w:jc w:val="both"/>
              <w:rPr>
                <w:rFonts w:hint="default"/>
                <w:color w:val="auto"/>
                <w:lang w:val="zh-CN"/>
              </w:rPr>
            </w:pPr>
            <w:r>
              <w:rPr>
                <w:rFonts w:hint="default"/>
                <w:color w:val="auto"/>
                <w:lang w:val="zh-CN"/>
              </w:rPr>
              <w:t>（12）硫化钠储存、使用安全措施</w:t>
            </w:r>
          </w:p>
          <w:p w14:paraId="6E7EB3FB">
            <w:pPr>
              <w:pStyle w:val="30"/>
              <w:bidi w:val="0"/>
              <w:jc w:val="both"/>
              <w:rPr>
                <w:rFonts w:hint="default"/>
                <w:color w:val="auto"/>
                <w:lang w:val="zh-CN"/>
              </w:rPr>
            </w:pPr>
            <w:r>
              <w:rPr>
                <w:rFonts w:hint="default"/>
                <w:color w:val="auto"/>
                <w:lang w:val="zh-CN"/>
              </w:rPr>
              <w:t>硫化钠作为危险化学品的一种，常被运用于三废处理、印染、造纸、表面处理（电镀）、食品、皮毛羽加工、制鞋等相关的工艺。在使用不当的情况下，硫化钠可与酸反应生成大量硫化氢。</w:t>
            </w:r>
          </w:p>
          <w:p w14:paraId="3D895456">
            <w:pPr>
              <w:pStyle w:val="30"/>
              <w:bidi w:val="0"/>
              <w:jc w:val="both"/>
              <w:rPr>
                <w:rFonts w:hint="default"/>
                <w:color w:val="auto"/>
                <w:lang w:val="zh-CN"/>
              </w:rPr>
            </w:pPr>
            <w:r>
              <w:rPr>
                <w:rFonts w:hint="default"/>
                <w:color w:val="auto"/>
                <w:lang w:val="zh-CN"/>
              </w:rPr>
              <w:t>硫化钠储存于阴凉、通风的库房。远离火种、热源。库内湿度最好不大于85%。包装密封。应与氧化剂、酸类分开存放，切忌混储。不宜久存，以免变质。配备相应品种和数量的消防器材。储区应备有合适的材料收容泄漏物。搬运时应轻装轻卸，防止包装及容器损坏。</w:t>
            </w:r>
          </w:p>
          <w:p w14:paraId="04628A5B">
            <w:pPr>
              <w:pStyle w:val="30"/>
              <w:bidi w:val="0"/>
              <w:jc w:val="both"/>
              <w:rPr>
                <w:rFonts w:hint="default"/>
                <w:color w:val="auto"/>
                <w:lang w:val="zh-CN"/>
              </w:rPr>
            </w:pPr>
            <w:r>
              <w:rPr>
                <w:rFonts w:hint="default"/>
                <w:color w:val="auto"/>
                <w:lang w:val="zh-CN"/>
              </w:rPr>
              <w:t>硫化钠泄漏处理：隔离泄漏污染区，限制出入。应急处理人员戴自给式呼吸器，穿防酸碱工作服。从上风处进入现场。小量泄漏：避免扬尘，用洁净的铲子收集于干燥、净洁、有盖的容器中，运至废物处理场所。也可以用大量水冲洗，经稀释的洗液放入废水系统。如大量泄漏，收集回收或运至废物处理场所处置。</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3A50F69B">
            <w:pPr>
              <w:pStyle w:val="30"/>
              <w:bidi w:val="0"/>
              <w:rPr>
                <w:rFonts w:hint="default"/>
                <w:color w:val="auto"/>
                <w:lang w:val="zh-CN"/>
              </w:rPr>
            </w:pPr>
            <w:r>
              <w:rPr>
                <w:rFonts w:hint="default"/>
                <w:color w:val="auto"/>
                <w:lang w:val="zh-CN"/>
              </w:rPr>
              <w:t>《安全设施设计》</w:t>
            </w:r>
          </w:p>
          <w:p w14:paraId="1B3AEB1F">
            <w:pPr>
              <w:pStyle w:val="30"/>
              <w:bidi w:val="0"/>
              <w:rPr>
                <w:rFonts w:hint="default"/>
                <w:color w:val="auto"/>
                <w:lang w:val="zh-CN"/>
              </w:rPr>
            </w:pPr>
            <w:r>
              <w:rPr>
                <w:rFonts w:hint="default"/>
                <w:color w:val="auto"/>
                <w:lang w:val="zh-CN"/>
              </w:rPr>
              <w:t>第5.</w:t>
            </w:r>
            <w:r>
              <w:rPr>
                <w:rFonts w:hint="default"/>
                <w:color w:val="auto"/>
                <w:lang w:val="en-US" w:eastAsia="zh-CN"/>
              </w:rPr>
              <w:t>2</w:t>
            </w:r>
            <w:r>
              <w:rPr>
                <w:rFonts w:hint="default"/>
                <w:color w:val="auto"/>
                <w:lang w:val="zh-CN"/>
              </w:rPr>
              <w:t>.2.</w:t>
            </w:r>
            <w:r>
              <w:rPr>
                <w:rFonts w:hint="eastAsia"/>
                <w:color w:val="auto"/>
                <w:lang w:val="en-US" w:eastAsia="zh-CN"/>
              </w:rPr>
              <w:t>7</w:t>
            </w:r>
            <w:r>
              <w:rPr>
                <w:rFonts w:hint="default"/>
                <w:color w:val="auto"/>
                <w:lang w:val="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1771F971">
            <w:pPr>
              <w:pStyle w:val="30"/>
              <w:bidi w:val="0"/>
              <w:rPr>
                <w:rFonts w:hint="default" w:eastAsia="宋体"/>
                <w:color w:val="auto"/>
                <w:lang w:val="en-US" w:eastAsia="zh-CN"/>
              </w:rPr>
            </w:pPr>
            <w:r>
              <w:rPr>
                <w:rFonts w:hint="eastAsia"/>
                <w:color w:val="auto"/>
                <w:lang w:val="en-US" w:eastAsia="zh-CN"/>
              </w:rPr>
              <w:t>对操作人员进行了安全培训，配备了劳动防护用品；药剂室单独设置。现场勘验时未设置洗眼器，后经企业更改设置了洗眼器。企业在车间、配电柜旁等位置设置了灭火器，共20具。</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579AFAC2">
            <w:pPr>
              <w:pStyle w:val="30"/>
              <w:bidi w:val="0"/>
              <w:rPr>
                <w:rFonts w:hint="default"/>
                <w:color w:val="auto"/>
                <w:lang w:val="zh-CN"/>
              </w:rPr>
            </w:pPr>
          </w:p>
        </w:tc>
      </w:tr>
      <w:tr w14:paraId="2C27D9C1">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7990C3C4">
            <w:pPr>
              <w:pStyle w:val="30"/>
              <w:bidi w:val="0"/>
              <w:rPr>
                <w:rFonts w:hint="default"/>
                <w:color w:val="auto"/>
                <w:lang w:val="en-US" w:eastAsia="zh-CN"/>
              </w:rPr>
            </w:pPr>
            <w:r>
              <w:rPr>
                <w:rFonts w:hint="eastAsia"/>
                <w:color w:val="auto"/>
                <w:lang w:val="en-US" w:eastAsia="zh-CN"/>
              </w:rPr>
              <w:t>8</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2D42386E">
            <w:pPr>
              <w:pStyle w:val="30"/>
              <w:bidi w:val="0"/>
              <w:jc w:val="center"/>
              <w:rPr>
                <w:rFonts w:hint="default"/>
                <w:color w:val="auto"/>
                <w:lang w:val="zh-CN"/>
              </w:rPr>
            </w:pPr>
            <w:r>
              <w:rPr>
                <w:rFonts w:hint="default"/>
                <w:color w:val="auto"/>
                <w:lang w:val="zh-CN"/>
              </w:rPr>
              <w:t>各楼板、操作平台的安全措施</w:t>
            </w:r>
          </w:p>
        </w:tc>
      </w:tr>
      <w:tr w14:paraId="7D96B810">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3B2E7E7C">
            <w:pPr>
              <w:pStyle w:val="30"/>
              <w:bidi w:val="0"/>
              <w:rPr>
                <w:rFonts w:hint="default"/>
                <w:color w:val="auto"/>
                <w:lang w:val="en-US" w:eastAsia="zh-CN"/>
              </w:rPr>
            </w:pPr>
            <w:r>
              <w:rPr>
                <w:rFonts w:hint="eastAsia"/>
                <w:color w:val="auto"/>
                <w:lang w:val="en-US" w:eastAsia="zh-CN"/>
              </w:rPr>
              <w:t>8</w:t>
            </w:r>
            <w:r>
              <w:rPr>
                <w:rFonts w:hint="default"/>
                <w:color w:val="auto"/>
                <w:lang w:val="en-US" w:eastAsia="zh-CN"/>
              </w:rPr>
              <w:t>.1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24EE49AF">
            <w:pPr>
              <w:pStyle w:val="30"/>
              <w:bidi w:val="0"/>
              <w:jc w:val="both"/>
              <w:rPr>
                <w:rFonts w:hint="default"/>
                <w:color w:val="auto"/>
                <w:lang w:val="zh-CN"/>
              </w:rPr>
            </w:pPr>
            <w:r>
              <w:rPr>
                <w:rFonts w:hint="default"/>
                <w:color w:val="auto"/>
                <w:lang w:val="zh-CN"/>
              </w:rPr>
              <w:t>（1）车间的楼板和地面，设有适当的坡度；楼板设地漏、地面设排水沟（0.2m*0.2m，砖砌结构）；</w:t>
            </w:r>
          </w:p>
          <w:p w14:paraId="6980B32C">
            <w:pPr>
              <w:pStyle w:val="30"/>
              <w:bidi w:val="0"/>
              <w:jc w:val="both"/>
              <w:rPr>
                <w:rFonts w:hint="default"/>
                <w:color w:val="auto"/>
                <w:lang w:val="zh-CN"/>
              </w:rPr>
            </w:pPr>
            <w:r>
              <w:rPr>
                <w:rFonts w:hint="default"/>
                <w:color w:val="auto"/>
                <w:lang w:val="zh-CN"/>
              </w:rPr>
              <w:t>（2）车间设地坪冲洗设施，冲洗污水自流排泄；</w:t>
            </w:r>
          </w:p>
          <w:p w14:paraId="7DFF3AB1">
            <w:pPr>
              <w:pStyle w:val="30"/>
              <w:bidi w:val="0"/>
              <w:jc w:val="both"/>
              <w:rPr>
                <w:rFonts w:hint="default"/>
                <w:color w:val="auto"/>
                <w:lang w:val="zh-CN"/>
              </w:rPr>
            </w:pPr>
            <w:r>
              <w:rPr>
                <w:rFonts w:hint="default"/>
                <w:color w:val="auto"/>
                <w:lang w:val="zh-CN"/>
              </w:rPr>
              <w:t>（3）平台四周及孔洞周围，砌筑100mm左右的排水围台；地沟均设铁篦形盖板；</w:t>
            </w:r>
          </w:p>
          <w:p w14:paraId="6CE9312B">
            <w:pPr>
              <w:pStyle w:val="30"/>
              <w:bidi w:val="0"/>
              <w:jc w:val="both"/>
              <w:rPr>
                <w:rFonts w:hint="default"/>
                <w:color w:val="auto"/>
                <w:lang w:val="zh-CN"/>
              </w:rPr>
            </w:pPr>
            <w:r>
              <w:rPr>
                <w:rFonts w:hint="default"/>
                <w:color w:val="auto"/>
                <w:lang w:val="zh-CN"/>
              </w:rPr>
              <w:t>（4）厂房内设备操作平台、设备与墙、柱子之间留有足够的距离；</w:t>
            </w:r>
          </w:p>
          <w:p w14:paraId="0332BE54">
            <w:pPr>
              <w:pStyle w:val="30"/>
              <w:bidi w:val="0"/>
              <w:jc w:val="both"/>
              <w:rPr>
                <w:rFonts w:hint="default"/>
                <w:color w:val="auto"/>
                <w:lang w:val="zh-CN"/>
              </w:rPr>
            </w:pPr>
            <w:r>
              <w:rPr>
                <w:rFonts w:hint="default"/>
                <w:color w:val="auto"/>
                <w:lang w:val="zh-CN"/>
              </w:rPr>
              <w:t>（5）各通廊均设防滑条；</w:t>
            </w:r>
          </w:p>
          <w:p w14:paraId="127AD8C0">
            <w:pPr>
              <w:pStyle w:val="30"/>
              <w:bidi w:val="0"/>
              <w:jc w:val="both"/>
              <w:rPr>
                <w:rFonts w:hint="default"/>
                <w:color w:val="auto"/>
                <w:lang w:val="zh-CN"/>
              </w:rPr>
            </w:pPr>
            <w:r>
              <w:rPr>
                <w:rFonts w:hint="default"/>
                <w:color w:val="auto"/>
                <w:lang w:val="zh-CN"/>
              </w:rPr>
              <w:t>（6）高度超过0.6m的平台，周围设置栏杆，2m以下不得低于900mm，2~20 m不得低于1050 mm。平台上的孔洞周围设置栏杆或盖板；个别平台边缘设置安全防护板；</w:t>
            </w:r>
          </w:p>
          <w:p w14:paraId="5AEA57C7">
            <w:pPr>
              <w:pStyle w:val="30"/>
              <w:bidi w:val="0"/>
              <w:jc w:val="both"/>
              <w:rPr>
                <w:rFonts w:hint="default"/>
                <w:color w:val="auto"/>
                <w:lang w:val="zh-CN"/>
              </w:rPr>
            </w:pPr>
            <w:r>
              <w:rPr>
                <w:rFonts w:hint="default"/>
                <w:color w:val="auto"/>
                <w:lang w:val="zh-CN"/>
              </w:rPr>
              <w:t>（7）直梯、斜梯、栏杆及平台的制作，均按照GB4053.1、GB4053.2、GB4053.3、GB4053.4的要求进行设计；</w:t>
            </w:r>
          </w:p>
          <w:p w14:paraId="2CAE05C8">
            <w:pPr>
              <w:pStyle w:val="30"/>
              <w:bidi w:val="0"/>
              <w:jc w:val="both"/>
              <w:rPr>
                <w:rFonts w:hint="default"/>
                <w:color w:val="auto"/>
                <w:lang w:val="zh-CN"/>
              </w:rPr>
            </w:pPr>
            <w:r>
              <w:rPr>
                <w:rFonts w:hint="default"/>
                <w:color w:val="auto"/>
                <w:lang w:val="zh-CN"/>
              </w:rPr>
              <w:t>（8）根据检修部件的各种装卸方向，部件的大小和位置确定合理的检修空间，在检修空间范围内不设计其他设备和构筑物；</w:t>
            </w:r>
          </w:p>
          <w:p w14:paraId="58AEB820">
            <w:pPr>
              <w:pStyle w:val="30"/>
              <w:bidi w:val="0"/>
              <w:jc w:val="both"/>
              <w:rPr>
                <w:rFonts w:hint="default"/>
                <w:color w:val="auto"/>
                <w:lang w:val="zh-CN"/>
              </w:rPr>
            </w:pPr>
            <w:r>
              <w:rPr>
                <w:rFonts w:hint="default"/>
                <w:color w:val="auto"/>
                <w:lang w:val="zh-CN"/>
              </w:rPr>
              <w:t>综上所述，该项目所采用的选矿工艺流程，所选取的设备以及进行的厂房配置，均满足相应的规范标准及安全要求，各车间均配备有适当的安全防护设施，针对各设备均制定了正确的操作、维护和检修规程。因此，本工艺生产设施是安全可靠的。</w:t>
            </w:r>
          </w:p>
          <w:p w14:paraId="4E09FFFE">
            <w:pPr>
              <w:pStyle w:val="30"/>
              <w:bidi w:val="0"/>
              <w:jc w:val="both"/>
              <w:rPr>
                <w:rFonts w:hint="default"/>
                <w:color w:val="auto"/>
                <w:lang w:val="zh-CN"/>
              </w:rPr>
            </w:pPr>
            <w:r>
              <w:rPr>
                <w:rFonts w:hint="default"/>
                <w:color w:val="auto"/>
                <w:lang w:val="zh-CN"/>
              </w:rPr>
              <w:t>（9）云南省为雷电事故多发区，雷雨季节作业人员在露天作业时，有遭到雷击的危险。防雷减灾工作需实行“预防为主，防治结合”的方针，坚持统一规划，统一部署，统一管理的原则；具体防范措施如下：</w:t>
            </w:r>
          </w:p>
          <w:p w14:paraId="2B5E93A5">
            <w:pPr>
              <w:pStyle w:val="30"/>
              <w:bidi w:val="0"/>
              <w:jc w:val="both"/>
              <w:rPr>
                <w:rFonts w:hint="default"/>
                <w:color w:val="auto"/>
                <w:lang w:val="zh-CN"/>
              </w:rPr>
            </w:pPr>
            <w:r>
              <w:rPr>
                <w:rFonts w:hint="default"/>
                <w:color w:val="auto"/>
                <w:lang w:val="zh-CN"/>
              </w:rPr>
              <w:t>1）架空电源进线，全线架设截面不小于LGJ-35mm</w:t>
            </w:r>
            <w:r>
              <w:rPr>
                <w:rFonts w:hint="default"/>
                <w:color w:val="auto"/>
                <w:vertAlign w:val="superscript"/>
                <w:lang w:val="zh-CN"/>
              </w:rPr>
              <w:t>2</w:t>
            </w:r>
            <w:r>
              <w:rPr>
                <w:rFonts w:hint="default"/>
                <w:color w:val="auto"/>
                <w:lang w:val="zh-CN"/>
              </w:rPr>
              <w:t xml:space="preserve">的架空地线；终端杆及分歧杆处架空线设避雷器。 </w:t>
            </w:r>
          </w:p>
          <w:p w14:paraId="7B057EF6">
            <w:pPr>
              <w:pStyle w:val="30"/>
              <w:bidi w:val="0"/>
              <w:jc w:val="both"/>
              <w:rPr>
                <w:rFonts w:hint="default"/>
                <w:color w:val="auto"/>
                <w:lang w:val="zh-CN"/>
              </w:rPr>
            </w:pPr>
            <w:r>
              <w:rPr>
                <w:rFonts w:hint="default"/>
                <w:color w:val="auto"/>
                <w:lang w:val="zh-CN"/>
              </w:rPr>
              <w:t>2）所有设备正常不带电的金属外壳、金属基座及金属构架件（含电缆桥架）都须作保护接地。防雷接地系统各部件间必须牢固电焊接，所用钢材必须热镀锌。</w:t>
            </w:r>
          </w:p>
          <w:p w14:paraId="6F307B52">
            <w:pPr>
              <w:pStyle w:val="30"/>
              <w:bidi w:val="0"/>
              <w:jc w:val="both"/>
              <w:rPr>
                <w:rFonts w:hint="default"/>
                <w:color w:val="auto"/>
                <w:lang w:val="zh-CN"/>
              </w:rPr>
            </w:pPr>
            <w:r>
              <w:rPr>
                <w:rFonts w:hint="default"/>
                <w:color w:val="auto"/>
                <w:lang w:val="zh-CN"/>
              </w:rPr>
              <w:t>3）根据当地的气候背景、雷电活动规律、地理位置、地质等条件，并结合雷电防护对象的防护范围和目的完成防雷工程设计工作。</w:t>
            </w:r>
          </w:p>
          <w:p w14:paraId="47E3EF8C">
            <w:pPr>
              <w:pStyle w:val="30"/>
              <w:bidi w:val="0"/>
              <w:jc w:val="both"/>
              <w:rPr>
                <w:rFonts w:hint="default"/>
                <w:color w:val="auto"/>
                <w:lang w:val="zh-CN"/>
              </w:rPr>
            </w:pPr>
            <w:r>
              <w:rPr>
                <w:rFonts w:hint="default"/>
                <w:color w:val="auto"/>
                <w:lang w:val="zh-CN"/>
              </w:rPr>
              <w:t>4）必须严格按照审核批准的防雷设计施工，并接受当地防雷减灾机构的监督，设计、施工方案变更必须按程序报批，无防雷设施检测报告及验收合格证的建设工程不得投入使用。</w:t>
            </w:r>
          </w:p>
          <w:p w14:paraId="6BCC6B3E">
            <w:pPr>
              <w:pStyle w:val="30"/>
              <w:bidi w:val="0"/>
              <w:jc w:val="both"/>
              <w:rPr>
                <w:rFonts w:hint="default"/>
                <w:color w:val="auto"/>
                <w:lang w:val="zh-CN"/>
              </w:rPr>
            </w:pPr>
            <w:r>
              <w:rPr>
                <w:rFonts w:hint="default"/>
                <w:color w:val="auto"/>
                <w:lang w:val="zh-CN"/>
              </w:rPr>
              <w:t>5）在防雷设施投入使用后必须定期实行检测，检测时间为每年一次，爆破器材库的防雷设施和防雷抗静电接地保护设施半年检测一次，检测不合格的需及时整改。</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3B8C19C6">
            <w:pPr>
              <w:pStyle w:val="30"/>
              <w:bidi w:val="0"/>
              <w:rPr>
                <w:rFonts w:hint="default"/>
                <w:color w:val="auto"/>
                <w:lang w:val="zh-CN"/>
              </w:rPr>
            </w:pPr>
            <w:r>
              <w:rPr>
                <w:rFonts w:hint="default"/>
                <w:color w:val="auto"/>
                <w:lang w:val="zh-CN"/>
              </w:rPr>
              <w:t>《安全设施设计》</w:t>
            </w:r>
          </w:p>
          <w:p w14:paraId="41680B93">
            <w:pPr>
              <w:pStyle w:val="30"/>
              <w:bidi w:val="0"/>
              <w:rPr>
                <w:rFonts w:hint="default"/>
                <w:color w:val="auto"/>
                <w:lang w:val="zh-CN"/>
              </w:rPr>
            </w:pPr>
            <w:r>
              <w:rPr>
                <w:rFonts w:hint="default"/>
                <w:color w:val="auto"/>
                <w:lang w:val="zh-CN"/>
              </w:rPr>
              <w:t>第5.</w:t>
            </w:r>
            <w:r>
              <w:rPr>
                <w:rFonts w:hint="default"/>
                <w:color w:val="auto"/>
                <w:lang w:val="en-US" w:eastAsia="zh-CN"/>
              </w:rPr>
              <w:t>2</w:t>
            </w:r>
            <w:r>
              <w:rPr>
                <w:rFonts w:hint="default"/>
                <w:color w:val="auto"/>
                <w:lang w:val="zh-CN"/>
              </w:rPr>
              <w:t>.2.</w:t>
            </w:r>
            <w:r>
              <w:rPr>
                <w:rFonts w:hint="default"/>
                <w:color w:val="auto"/>
                <w:lang w:val="en-US" w:eastAsia="zh-CN"/>
              </w:rPr>
              <w:t>6</w:t>
            </w:r>
            <w:r>
              <w:rPr>
                <w:rFonts w:hint="default"/>
                <w:color w:val="auto"/>
                <w:lang w:val="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12F7DD80">
            <w:pPr>
              <w:pStyle w:val="30"/>
              <w:bidi w:val="0"/>
              <w:rPr>
                <w:rFonts w:hint="default"/>
                <w:color w:val="auto"/>
                <w:lang w:val="en-US" w:eastAsia="zh-CN"/>
              </w:rPr>
            </w:pPr>
            <w:r>
              <w:rPr>
                <w:rFonts w:hint="default"/>
                <w:color w:val="auto"/>
                <w:lang w:val="zh-CN"/>
              </w:rPr>
              <w:t>车间的楼板和地</w:t>
            </w:r>
            <w:r>
              <w:rPr>
                <w:rFonts w:hint="default"/>
                <w:color w:val="auto"/>
                <w:lang w:val="en-US" w:eastAsia="zh-CN"/>
              </w:rPr>
              <w:t>面有坡度，各车间设有排水沟；各车间有冲洗水管；各车间内有符合要求的人行通道，</w:t>
            </w:r>
            <w:r>
              <w:rPr>
                <w:rFonts w:hint="default"/>
                <w:color w:val="auto"/>
                <w:lang w:val="zh-CN"/>
              </w:rPr>
              <w:t>厂房内设备操作平台、设备与墙、柱子之间</w:t>
            </w:r>
            <w:r>
              <w:rPr>
                <w:rFonts w:hint="default"/>
                <w:color w:val="auto"/>
                <w:lang w:val="en-US" w:eastAsia="zh-CN"/>
              </w:rPr>
              <w:t>距离足够；</w:t>
            </w:r>
            <w:r>
              <w:rPr>
                <w:rFonts w:hint="default"/>
                <w:color w:val="auto"/>
                <w:lang w:val="zh-CN"/>
              </w:rPr>
              <w:t>高度超过0.6m的平台，周围设置栏杆</w:t>
            </w:r>
            <w:r>
              <w:rPr>
                <w:rFonts w:hint="default"/>
                <w:color w:val="auto"/>
                <w:lang w:val="zh-CN" w:eastAsia="zh-CN"/>
              </w:rPr>
              <w:t>，</w:t>
            </w:r>
            <w:r>
              <w:rPr>
                <w:rFonts w:hint="eastAsia"/>
                <w:color w:val="auto"/>
                <w:lang w:val="en-US" w:eastAsia="zh-CN"/>
              </w:rPr>
              <w:t>除破碎车间部分平台和楼梯未设置防护栏，其余高处平台均设有踢脚板，后经企业整改破碎车间部分平台和楼梯设置了防护栏。</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2FC7C8B0">
            <w:pPr>
              <w:pStyle w:val="30"/>
              <w:bidi w:val="0"/>
              <w:rPr>
                <w:rFonts w:hint="default"/>
                <w:color w:val="auto"/>
                <w:lang w:val="zh-CN"/>
              </w:rPr>
            </w:pPr>
            <w:r>
              <w:rPr>
                <w:rFonts w:hint="default"/>
                <w:color w:val="auto"/>
                <w:lang w:val="zh-CN"/>
              </w:rPr>
              <w:t>符合</w:t>
            </w:r>
          </w:p>
        </w:tc>
      </w:tr>
      <w:tr w14:paraId="5165235A">
        <w:tblPrEx>
          <w:tblCellMar>
            <w:top w:w="0" w:type="dxa"/>
            <w:left w:w="108" w:type="dxa"/>
            <w:bottom w:w="0" w:type="dxa"/>
            <w:right w:w="108" w:type="dxa"/>
          </w:tblCellMar>
        </w:tblPrEx>
        <w:trPr>
          <w:trHeight w:val="235" w:hRule="atLeast"/>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299E6724">
            <w:pPr>
              <w:pStyle w:val="30"/>
              <w:bidi w:val="0"/>
              <w:rPr>
                <w:rFonts w:hint="default"/>
                <w:color w:val="auto"/>
                <w:lang w:eastAsia="zh-CN"/>
              </w:rPr>
            </w:pPr>
            <w:r>
              <w:rPr>
                <w:rFonts w:hint="eastAsia"/>
                <w:color w:val="auto"/>
                <w:lang w:val="en-US" w:eastAsia="zh-CN"/>
              </w:rPr>
              <w:t>9</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02965689">
            <w:pPr>
              <w:pStyle w:val="30"/>
              <w:bidi w:val="0"/>
              <w:jc w:val="center"/>
              <w:rPr>
                <w:rFonts w:hint="default"/>
                <w:color w:val="auto"/>
              </w:rPr>
            </w:pPr>
            <w:r>
              <w:rPr>
                <w:rFonts w:hint="default"/>
                <w:color w:val="auto"/>
                <w:lang w:val="zh-CN"/>
              </w:rPr>
              <w:t>其他安全对策措施</w:t>
            </w:r>
          </w:p>
        </w:tc>
      </w:tr>
      <w:tr w14:paraId="23560109">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5EED68D6">
            <w:pPr>
              <w:pStyle w:val="30"/>
              <w:bidi w:val="0"/>
              <w:rPr>
                <w:rFonts w:hint="default"/>
                <w:color w:val="auto"/>
                <w:lang w:val="en-US" w:eastAsia="zh-CN"/>
              </w:rPr>
            </w:pPr>
            <w:r>
              <w:rPr>
                <w:rFonts w:hint="eastAsia"/>
                <w:color w:val="auto"/>
                <w:lang w:val="en-US" w:eastAsia="zh-CN"/>
              </w:rPr>
              <w:t>9</w:t>
            </w:r>
            <w:r>
              <w:rPr>
                <w:rFonts w:hint="default"/>
                <w:color w:val="auto"/>
                <w:lang w:val="en-US" w:eastAsia="zh-CN"/>
              </w:rPr>
              <w:t>.1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2A66AFC5">
            <w:pPr>
              <w:pStyle w:val="30"/>
              <w:bidi w:val="0"/>
              <w:jc w:val="both"/>
              <w:rPr>
                <w:rFonts w:hint="default"/>
                <w:color w:val="auto"/>
                <w:lang w:val="zh-CN"/>
              </w:rPr>
            </w:pPr>
            <w:r>
              <w:rPr>
                <w:rFonts w:hint="default"/>
                <w:color w:val="auto"/>
                <w:lang w:val="zh-CN"/>
              </w:rPr>
              <w:t>防泄漏措施：</w:t>
            </w:r>
          </w:p>
          <w:p w14:paraId="59CF8ADF">
            <w:pPr>
              <w:pStyle w:val="30"/>
              <w:bidi w:val="0"/>
              <w:jc w:val="both"/>
              <w:rPr>
                <w:rFonts w:hint="default"/>
                <w:color w:val="auto"/>
                <w:lang w:val="zh-CN"/>
              </w:rPr>
            </w:pPr>
            <w:r>
              <w:rPr>
                <w:rFonts w:hint="default"/>
                <w:color w:val="auto"/>
                <w:lang w:val="zh-CN"/>
              </w:rPr>
              <w:t>1）加强设备、管道的质量管理，从设计、制造、安装各环节加强控制，投入运行前需进行试压、试漏检验。</w:t>
            </w:r>
          </w:p>
          <w:p w14:paraId="06FD7079">
            <w:pPr>
              <w:pStyle w:val="30"/>
              <w:bidi w:val="0"/>
              <w:jc w:val="both"/>
              <w:rPr>
                <w:rFonts w:hint="default"/>
                <w:color w:val="auto"/>
                <w:lang w:val="zh-CN"/>
              </w:rPr>
            </w:pPr>
            <w:r>
              <w:rPr>
                <w:rFonts w:hint="default"/>
                <w:color w:val="auto"/>
                <w:lang w:val="zh-CN"/>
              </w:rPr>
              <w:t>2）定期检查设备运行情况，杜绝跑、冒、滴、漏，保持炉、器、管、阀完好。</w:t>
            </w:r>
          </w:p>
          <w:p w14:paraId="11B1B011">
            <w:pPr>
              <w:pStyle w:val="30"/>
              <w:bidi w:val="0"/>
              <w:jc w:val="both"/>
              <w:rPr>
                <w:rFonts w:hint="default"/>
                <w:color w:val="auto"/>
                <w:lang w:val="zh-CN"/>
              </w:rPr>
            </w:pPr>
            <w:r>
              <w:rPr>
                <w:rFonts w:hint="default"/>
                <w:color w:val="auto"/>
                <w:lang w:val="zh-CN"/>
              </w:rPr>
              <w:t>3）针对该项目涉及的危险物料的输送、贮存、使用等环节采取的防泄漏措施详见5.2节所述。</w:t>
            </w:r>
          </w:p>
          <w:p w14:paraId="4E3EC04E">
            <w:pPr>
              <w:pStyle w:val="30"/>
              <w:bidi w:val="0"/>
              <w:jc w:val="both"/>
              <w:rPr>
                <w:rFonts w:hint="default"/>
                <w:color w:val="auto"/>
                <w:lang w:val="zh-CN"/>
              </w:rPr>
            </w:pPr>
            <w:r>
              <w:rPr>
                <w:rFonts w:hint="default"/>
                <w:color w:val="auto"/>
                <w:lang w:val="zh-CN"/>
              </w:rPr>
              <w:t>4）生产厂房、操作室要通风良好。</w:t>
            </w:r>
          </w:p>
          <w:p w14:paraId="78D25E75">
            <w:pPr>
              <w:pStyle w:val="30"/>
              <w:bidi w:val="0"/>
              <w:jc w:val="both"/>
              <w:rPr>
                <w:rFonts w:hint="default"/>
                <w:color w:val="auto"/>
                <w:lang w:val="zh-CN"/>
              </w:rPr>
            </w:pPr>
            <w:r>
              <w:rPr>
                <w:rFonts w:hint="default"/>
                <w:color w:val="auto"/>
                <w:lang w:val="zh-CN"/>
              </w:rPr>
              <w:t>5）矿浆等设备、管道、管件与阀门以及法兰垫片材料的选择都要符合要求。</w:t>
            </w:r>
          </w:p>
          <w:p w14:paraId="21F0101E">
            <w:pPr>
              <w:pStyle w:val="30"/>
              <w:bidi w:val="0"/>
              <w:jc w:val="both"/>
              <w:rPr>
                <w:rFonts w:hint="default"/>
                <w:color w:val="auto"/>
                <w:lang w:val="zh-CN"/>
              </w:rPr>
            </w:pPr>
            <w:r>
              <w:rPr>
                <w:rFonts w:hint="default"/>
                <w:color w:val="auto"/>
                <w:lang w:val="zh-CN"/>
              </w:rPr>
              <w:t>6）对具有危害气体产生的场所，应配置必要的防护用品及防护设施，如配置防护面具、收尘罩等。</w:t>
            </w:r>
          </w:p>
          <w:p w14:paraId="13336B22">
            <w:pPr>
              <w:pStyle w:val="30"/>
              <w:bidi w:val="0"/>
              <w:jc w:val="both"/>
              <w:rPr>
                <w:rFonts w:hint="default"/>
                <w:color w:val="auto"/>
                <w:lang w:val="zh-CN"/>
              </w:rPr>
            </w:pPr>
            <w:r>
              <w:rPr>
                <w:rFonts w:hint="default"/>
                <w:color w:val="auto"/>
                <w:lang w:val="zh-CN"/>
              </w:rPr>
              <w:t>7）加强职工职业卫生教育，杜绝盲目直接接触压缩空气、矿浆等吸入或食入等，避免产生中毒事故，并定期为职工进行体检等。</w:t>
            </w:r>
          </w:p>
          <w:p w14:paraId="73365471">
            <w:pPr>
              <w:pStyle w:val="30"/>
              <w:bidi w:val="0"/>
              <w:jc w:val="both"/>
              <w:rPr>
                <w:rFonts w:hint="default"/>
                <w:color w:val="auto"/>
                <w:lang w:val="zh-CN"/>
              </w:rPr>
            </w:pPr>
            <w:r>
              <w:rPr>
                <w:rFonts w:hint="default"/>
                <w:color w:val="auto"/>
                <w:lang w:val="zh-CN"/>
              </w:rPr>
              <w:t>8）加强职工技术培训，杜绝违规操作等。发现操作问题及时按照规程要求及时调整。</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28345280">
            <w:pPr>
              <w:pStyle w:val="30"/>
              <w:bidi w:val="0"/>
              <w:rPr>
                <w:rFonts w:hint="default"/>
                <w:color w:val="auto"/>
                <w:lang w:val="zh-CN"/>
              </w:rPr>
            </w:pPr>
            <w:r>
              <w:rPr>
                <w:rFonts w:hint="default"/>
                <w:color w:val="auto"/>
                <w:lang w:val="zh-CN"/>
              </w:rPr>
              <w:t>《安全设施设计》</w:t>
            </w:r>
          </w:p>
          <w:p w14:paraId="3A336692">
            <w:pPr>
              <w:pStyle w:val="30"/>
              <w:bidi w:val="0"/>
              <w:rPr>
                <w:rFonts w:hint="default"/>
                <w:color w:val="auto"/>
                <w:lang w:val="zh-CN"/>
              </w:rPr>
            </w:pPr>
            <w:r>
              <w:rPr>
                <w:rFonts w:hint="default"/>
                <w:color w:val="auto"/>
                <w:lang w:val="zh-CN"/>
              </w:rPr>
              <w:t>第5</w:t>
            </w:r>
            <w:r>
              <w:rPr>
                <w:rFonts w:hint="default"/>
                <w:color w:val="auto"/>
                <w:lang w:val="en-US" w:eastAsia="zh-CN"/>
              </w:rPr>
              <w:t>.2.2.</w:t>
            </w:r>
            <w:r>
              <w:rPr>
                <w:rFonts w:hint="eastAsia"/>
                <w:color w:val="auto"/>
                <w:lang w:val="en-US" w:eastAsia="zh-CN"/>
              </w:rPr>
              <w:t>9</w:t>
            </w:r>
            <w:r>
              <w:rPr>
                <w:rFonts w:hint="default"/>
                <w:color w:val="auto"/>
                <w:lang w:val="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2C6DAD64">
            <w:pPr>
              <w:pStyle w:val="30"/>
              <w:bidi w:val="0"/>
              <w:rPr>
                <w:rFonts w:hint="default"/>
                <w:color w:val="auto"/>
                <w:lang w:val="en-US" w:eastAsia="zh-CN"/>
              </w:rPr>
            </w:pPr>
            <w:r>
              <w:rPr>
                <w:rFonts w:hint="default"/>
                <w:color w:val="auto"/>
                <w:lang w:val="en-US" w:eastAsia="zh-CN"/>
              </w:rPr>
              <w:t>企业</w:t>
            </w:r>
            <w:r>
              <w:rPr>
                <w:rFonts w:hint="default"/>
                <w:color w:val="auto"/>
                <w:lang w:val="zh-CN"/>
              </w:rPr>
              <w:t>定期检查设备</w:t>
            </w:r>
            <w:r>
              <w:rPr>
                <w:rFonts w:hint="default"/>
                <w:color w:val="auto"/>
                <w:lang w:val="en-US" w:eastAsia="zh-CN"/>
              </w:rPr>
              <w:t>设施，各车间通风良好，企业为员工配有劳动防护用品，定期组织员工培训。</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694CF9D8">
            <w:pPr>
              <w:pStyle w:val="30"/>
              <w:bidi w:val="0"/>
              <w:rPr>
                <w:rFonts w:hint="default"/>
                <w:color w:val="auto"/>
                <w:lang w:val="zh-CN"/>
              </w:rPr>
            </w:pPr>
            <w:r>
              <w:rPr>
                <w:rFonts w:hint="default"/>
                <w:color w:val="auto"/>
                <w:lang w:val="zh-CN"/>
              </w:rPr>
              <w:t>符合</w:t>
            </w:r>
          </w:p>
        </w:tc>
      </w:tr>
      <w:tr w14:paraId="1E11C0D6">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04FDB3C4">
            <w:pPr>
              <w:pStyle w:val="30"/>
              <w:bidi w:val="0"/>
              <w:rPr>
                <w:rFonts w:hint="default"/>
                <w:color w:val="auto"/>
                <w:lang w:val="en-US" w:eastAsia="zh-CN"/>
              </w:rPr>
            </w:pPr>
            <w:r>
              <w:rPr>
                <w:rFonts w:hint="eastAsia"/>
                <w:color w:val="auto"/>
                <w:lang w:val="en-US" w:eastAsia="zh-CN"/>
              </w:rPr>
              <w:t>9</w:t>
            </w:r>
            <w:r>
              <w:rPr>
                <w:rFonts w:hint="default"/>
                <w:color w:val="auto"/>
                <w:lang w:val="en-US" w:eastAsia="zh-CN"/>
              </w:rPr>
              <w:t>.</w:t>
            </w:r>
            <w:r>
              <w:rPr>
                <w:rFonts w:hint="eastAsia"/>
                <w:color w:val="auto"/>
                <w:lang w:val="en-US" w:eastAsia="zh-CN"/>
              </w:rPr>
              <w:t>2</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5859B61F">
            <w:pPr>
              <w:pStyle w:val="30"/>
              <w:bidi w:val="0"/>
              <w:jc w:val="both"/>
              <w:rPr>
                <w:rFonts w:hint="default"/>
                <w:color w:val="auto"/>
                <w:lang w:val="zh-CN"/>
              </w:rPr>
            </w:pPr>
            <w:r>
              <w:rPr>
                <w:rFonts w:hint="default"/>
                <w:color w:val="auto"/>
                <w:lang w:val="zh-CN"/>
              </w:rPr>
              <w:t>防腐蚀措施</w:t>
            </w:r>
          </w:p>
          <w:p w14:paraId="3F49771A">
            <w:pPr>
              <w:pStyle w:val="30"/>
              <w:bidi w:val="0"/>
              <w:jc w:val="both"/>
              <w:rPr>
                <w:rFonts w:hint="default"/>
                <w:color w:val="auto"/>
                <w:lang w:val="zh-CN"/>
              </w:rPr>
            </w:pPr>
            <w:r>
              <w:rPr>
                <w:rFonts w:hint="default"/>
                <w:color w:val="auto"/>
                <w:lang w:val="zh-CN"/>
              </w:rPr>
              <w:t>1）该项目场地土对混凝土结构、钢筋混凝土结构中钢筋和钢结构微腐蚀。但考虑到后期建厂投产后将产生的一定工业废水，其渗入地基土后将改变土体性状，场地土对混凝土和钢结构具腐蚀性，其土体承载力亦会发生变化。设计对厂区范围进行全封闭，防止地表废水渗入，并做好全厂的排水措施。</w:t>
            </w:r>
          </w:p>
          <w:p w14:paraId="450E9C73">
            <w:pPr>
              <w:pStyle w:val="30"/>
              <w:bidi w:val="0"/>
              <w:jc w:val="both"/>
              <w:rPr>
                <w:rFonts w:hint="default"/>
                <w:color w:val="auto"/>
                <w:lang w:val="zh-CN"/>
              </w:rPr>
            </w:pPr>
            <w:r>
              <w:rPr>
                <w:rFonts w:hint="default"/>
                <w:color w:val="auto"/>
                <w:lang w:val="zh-CN"/>
              </w:rPr>
              <w:t>2）针对可能产生的腐蚀性，按照现行国家标准《工业建筑防腐蚀设计规范》（GB50046）的规定对厂房进行防腐设计和处理。</w:t>
            </w:r>
          </w:p>
          <w:p w14:paraId="5730F267">
            <w:pPr>
              <w:pStyle w:val="30"/>
              <w:bidi w:val="0"/>
              <w:jc w:val="both"/>
              <w:rPr>
                <w:rFonts w:hint="default"/>
                <w:color w:val="auto"/>
                <w:lang w:val="zh-CN"/>
              </w:rPr>
            </w:pPr>
            <w:r>
              <w:rPr>
                <w:rFonts w:hint="default"/>
                <w:color w:val="auto"/>
                <w:lang w:val="zh-CN"/>
              </w:rPr>
              <w:t>3）对地面以上碳钢管道、管道支架防腐涂漆，涂刷前，金属构件表面除锈、除油污，然后按以下方法涂漆：防锈漆两遍、底漆一遍；防腐油漆两遍。</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5A84D9DB">
            <w:pPr>
              <w:pStyle w:val="30"/>
              <w:bidi w:val="0"/>
              <w:rPr>
                <w:rFonts w:hint="default"/>
                <w:color w:val="auto"/>
                <w:lang w:val="zh-CN"/>
              </w:rPr>
            </w:pPr>
            <w:r>
              <w:rPr>
                <w:rFonts w:hint="default"/>
                <w:color w:val="auto"/>
                <w:lang w:val="zh-CN"/>
              </w:rPr>
              <w:t>《安全设施设计》</w:t>
            </w:r>
          </w:p>
          <w:p w14:paraId="3F37304D">
            <w:pPr>
              <w:pStyle w:val="30"/>
              <w:bidi w:val="0"/>
              <w:rPr>
                <w:rFonts w:hint="default"/>
                <w:color w:val="auto"/>
                <w:lang w:val="en-US" w:eastAsia="zh-CN"/>
              </w:rPr>
            </w:pPr>
            <w:r>
              <w:rPr>
                <w:rFonts w:hint="default"/>
                <w:color w:val="auto"/>
                <w:lang w:val="en-US" w:eastAsia="zh-CN"/>
              </w:rPr>
              <w:t>第5.2.2.</w:t>
            </w:r>
            <w:r>
              <w:rPr>
                <w:rFonts w:hint="eastAsia"/>
                <w:color w:val="auto"/>
                <w:lang w:val="en-US" w:eastAsia="zh-CN"/>
              </w:rPr>
              <w:t>9</w:t>
            </w:r>
            <w:r>
              <w:rPr>
                <w:rFonts w:hint="default"/>
                <w:color w:val="auto"/>
                <w:lang w:val="en-US" w:eastAsia="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202C15E7">
            <w:pPr>
              <w:pStyle w:val="30"/>
              <w:bidi w:val="0"/>
              <w:rPr>
                <w:rFonts w:hint="default"/>
                <w:color w:val="auto"/>
                <w:lang w:val="en-US" w:eastAsia="zh-CN"/>
              </w:rPr>
            </w:pPr>
            <w:r>
              <w:rPr>
                <w:rFonts w:hint="default"/>
                <w:color w:val="auto"/>
                <w:lang w:val="en-US" w:eastAsia="zh-CN"/>
              </w:rPr>
              <w:t>选厂划定了厂区区域，各堆场及车间设有排水沟。</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1A2F44EE">
            <w:pPr>
              <w:pStyle w:val="30"/>
              <w:bidi w:val="0"/>
              <w:rPr>
                <w:rFonts w:hint="default"/>
                <w:color w:val="auto"/>
                <w:lang w:val="zh-CN"/>
              </w:rPr>
            </w:pPr>
            <w:r>
              <w:rPr>
                <w:rFonts w:hint="default"/>
                <w:color w:val="auto"/>
              </w:rPr>
              <w:t>符合</w:t>
            </w:r>
          </w:p>
        </w:tc>
      </w:tr>
      <w:tr w14:paraId="62F5B8E1">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13C6A908">
            <w:pPr>
              <w:pStyle w:val="30"/>
              <w:bidi w:val="0"/>
              <w:rPr>
                <w:rFonts w:hint="default"/>
                <w:color w:val="auto"/>
                <w:lang w:val="en-US" w:eastAsia="zh-CN"/>
              </w:rPr>
            </w:pPr>
            <w:r>
              <w:rPr>
                <w:rFonts w:hint="eastAsia"/>
                <w:color w:val="auto"/>
                <w:lang w:val="en-US" w:eastAsia="zh-CN"/>
              </w:rPr>
              <w:t>9</w:t>
            </w:r>
            <w:r>
              <w:rPr>
                <w:rFonts w:hint="default"/>
                <w:color w:val="auto"/>
                <w:lang w:val="en-US" w:eastAsia="zh-CN"/>
              </w:rPr>
              <w:t>.</w:t>
            </w:r>
            <w:r>
              <w:rPr>
                <w:rFonts w:hint="eastAsia"/>
                <w:color w:val="auto"/>
                <w:lang w:val="en-US" w:eastAsia="zh-CN"/>
              </w:rPr>
              <w:t>3</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2CDD19B8">
            <w:pPr>
              <w:pStyle w:val="30"/>
              <w:bidi w:val="0"/>
              <w:jc w:val="both"/>
              <w:rPr>
                <w:rFonts w:hint="default"/>
                <w:color w:val="auto"/>
                <w:lang w:val="zh-CN"/>
              </w:rPr>
            </w:pPr>
            <w:r>
              <w:rPr>
                <w:rFonts w:hint="default"/>
                <w:color w:val="auto"/>
                <w:lang w:val="zh-CN"/>
              </w:rPr>
              <w:t>按《工贸企业有限空间作业安全规定》（中华人民共和国应急管理部令第13号，自2024年1月1日起施行）的要求进行管理和作业，并做好安全防范措施。对有限空间进行辨识，本项目缓冲矿仓、粉矿仓、球磨机、水池构成有限空间作业，有一定的窒息隐患，本安全设施设计采用以下有限空间作业安全防范措施：</w:t>
            </w:r>
          </w:p>
          <w:p w14:paraId="2C190596">
            <w:pPr>
              <w:pStyle w:val="30"/>
              <w:bidi w:val="0"/>
              <w:jc w:val="both"/>
              <w:rPr>
                <w:rFonts w:hint="default"/>
                <w:color w:val="auto"/>
                <w:lang w:val="zh-CN"/>
              </w:rPr>
            </w:pPr>
            <w:r>
              <w:rPr>
                <w:rFonts w:hint="default"/>
                <w:color w:val="auto"/>
                <w:lang w:val="zh-CN"/>
              </w:rPr>
              <w:t>有限空间作业应当严格遵守“先通风、再检测、后作业”的原则。检测指标包括氧浓度、易燃易爆物质（可燃性气体、爆炸性粉尘）浓度、有毒有害气体浓度。检测应当符合相关国家标准或者行业标准的规定。未经通风和检测合格，任何人员不得进入有限空间作业。检测的时间不得早于作业开始前30min。有限空间作业场所的照明灯具电压应当符合《特低电压限值》</w:t>
            </w:r>
            <w:r>
              <w:rPr>
                <w:rFonts w:hint="eastAsia"/>
                <w:color w:val="auto"/>
                <w:lang w:val="zh-CN"/>
              </w:rPr>
              <w:t>（</w:t>
            </w:r>
            <w:r>
              <w:rPr>
                <w:rFonts w:hint="default"/>
                <w:color w:val="auto"/>
                <w:lang w:val="zh-CN"/>
              </w:rPr>
              <w:t>GB/T3805</w:t>
            </w:r>
            <w:r>
              <w:rPr>
                <w:rFonts w:hint="eastAsia"/>
                <w:color w:val="auto"/>
                <w:lang w:val="zh-CN"/>
              </w:rPr>
              <w:t>）</w:t>
            </w:r>
            <w:r>
              <w:rPr>
                <w:rFonts w:hint="default"/>
                <w:color w:val="auto"/>
                <w:lang w:val="zh-CN"/>
              </w:rPr>
              <w:t>等国家标准或者行业标准的规定；作业场所存在可燃性气体、粉尘的，其电气设施设备及照明灯具的防爆安全要求应当符合《爆炸性环境第一部分：设备通用要求》（GB3836.1）等国家标准或者行业标准的规定。工贸企业有限空间作业还应当符合下列要求：保持有限空间出入口畅通；设置明显的安全警示标志和警示说明；作业前清点作业人员和工器具；作业人员与外部有可靠的通讯联络；监护人员不得离开作业现场，并与作业人员保持联系；存在交叉作业时，采取避免互相伤害的措施。加强个体防护，为相关岗位人员配备相应的防护用品（如防毒面具、防毒手套等）。</w:t>
            </w:r>
          </w:p>
          <w:p w14:paraId="7D28D751">
            <w:pPr>
              <w:pStyle w:val="30"/>
              <w:bidi w:val="0"/>
              <w:jc w:val="both"/>
              <w:rPr>
                <w:rFonts w:hint="default"/>
                <w:color w:val="auto"/>
                <w:lang w:val="zh-CN"/>
              </w:rPr>
            </w:pPr>
            <w:r>
              <w:rPr>
                <w:rFonts w:hint="default"/>
                <w:color w:val="auto"/>
                <w:lang w:val="zh-CN"/>
              </w:rPr>
              <w:t>建设单位应制定有限空间作业的相关制度、作业规程。</w:t>
            </w:r>
          </w:p>
          <w:p w14:paraId="06F12C85">
            <w:pPr>
              <w:pStyle w:val="30"/>
              <w:bidi w:val="0"/>
              <w:jc w:val="both"/>
              <w:rPr>
                <w:rFonts w:hint="default"/>
                <w:color w:val="auto"/>
                <w:lang w:val="zh-CN"/>
              </w:rPr>
            </w:pPr>
            <w:r>
              <w:rPr>
                <w:rFonts w:hint="default"/>
                <w:color w:val="auto"/>
                <w:lang w:val="zh-CN"/>
              </w:rPr>
              <w:t>进有限空间作业时应按要求办理有限空间作业许可证，并执行作业规程。</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689481D2">
            <w:pPr>
              <w:pStyle w:val="30"/>
              <w:bidi w:val="0"/>
              <w:rPr>
                <w:rFonts w:hint="default"/>
                <w:color w:val="auto"/>
                <w:lang w:val="zh-CN"/>
              </w:rPr>
            </w:pPr>
            <w:r>
              <w:rPr>
                <w:rFonts w:hint="default"/>
                <w:color w:val="auto"/>
                <w:lang w:val="zh-CN"/>
              </w:rPr>
              <w:t>《安全设施设计》</w:t>
            </w:r>
          </w:p>
          <w:p w14:paraId="22D5E885">
            <w:pPr>
              <w:pStyle w:val="30"/>
              <w:bidi w:val="0"/>
              <w:rPr>
                <w:rFonts w:hint="default"/>
                <w:color w:val="auto"/>
                <w:lang w:val="zh-CN"/>
              </w:rPr>
            </w:pPr>
            <w:r>
              <w:rPr>
                <w:rFonts w:hint="default"/>
                <w:color w:val="auto"/>
                <w:lang w:val="en-US" w:eastAsia="zh-CN"/>
              </w:rPr>
              <w:t>第5.2.1.13节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0C51E118">
            <w:pPr>
              <w:pStyle w:val="30"/>
              <w:bidi w:val="0"/>
              <w:rPr>
                <w:rFonts w:hint="default"/>
                <w:color w:val="auto"/>
                <w:lang w:val="en-US" w:eastAsia="zh-CN"/>
              </w:rPr>
            </w:pPr>
            <w:r>
              <w:rPr>
                <w:rFonts w:hint="default"/>
                <w:color w:val="auto"/>
                <w:lang w:val="en-US" w:eastAsia="zh-CN"/>
              </w:rPr>
              <w:t>企业制定有有限空间作业管理制度及操作规程，为从业人员配备有防护用品。企业有有限空间辨识台账，进行有限空间作业时按操作规程进行。</w:t>
            </w:r>
            <w:r>
              <w:rPr>
                <w:rFonts w:hint="eastAsia"/>
                <w:color w:val="auto"/>
                <w:lang w:val="en-US" w:eastAsia="zh-CN"/>
              </w:rPr>
              <w:t>现场勘验时未设置有限空间告知牌，后经企业整改设置了有限空间告知牌。</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05827925">
            <w:pPr>
              <w:pStyle w:val="30"/>
              <w:bidi w:val="0"/>
              <w:rPr>
                <w:rFonts w:hint="default"/>
                <w:color w:val="auto"/>
                <w:lang w:val="zh-CN"/>
              </w:rPr>
            </w:pPr>
            <w:r>
              <w:rPr>
                <w:rFonts w:hint="default"/>
                <w:color w:val="auto"/>
              </w:rPr>
              <w:t>符合</w:t>
            </w:r>
          </w:p>
        </w:tc>
      </w:tr>
      <w:tr w14:paraId="05430B5D">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507B46BD">
            <w:pPr>
              <w:pStyle w:val="30"/>
              <w:bidi w:val="0"/>
              <w:rPr>
                <w:rFonts w:hint="default"/>
                <w:color w:val="auto"/>
                <w:lang w:val="en-US" w:eastAsia="zh-CN"/>
              </w:rPr>
            </w:pPr>
            <w:r>
              <w:rPr>
                <w:rFonts w:hint="eastAsia"/>
                <w:color w:val="auto"/>
                <w:lang w:val="en-US" w:eastAsia="zh-CN"/>
              </w:rPr>
              <w:t>10</w:t>
            </w:r>
          </w:p>
        </w:tc>
        <w:tc>
          <w:tcPr>
            <w:tcW w:w="8682" w:type="dxa"/>
            <w:gridSpan w:val="4"/>
            <w:tcBorders>
              <w:top w:val="single" w:color="auto" w:sz="6" w:space="0"/>
              <w:left w:val="single" w:color="auto" w:sz="6" w:space="0"/>
              <w:bottom w:val="single" w:color="auto" w:sz="6" w:space="0"/>
              <w:right w:val="single" w:color="auto" w:sz="6" w:space="0"/>
            </w:tcBorders>
            <w:noWrap w:val="0"/>
            <w:vAlign w:val="center"/>
          </w:tcPr>
          <w:p w14:paraId="6BC4FA1B">
            <w:pPr>
              <w:pStyle w:val="30"/>
              <w:bidi w:val="0"/>
              <w:jc w:val="center"/>
              <w:rPr>
                <w:rFonts w:hint="default"/>
                <w:color w:val="auto"/>
                <w:lang w:val="en-US" w:eastAsia="zh-CN"/>
              </w:rPr>
            </w:pPr>
            <w:r>
              <w:rPr>
                <w:rFonts w:hint="default"/>
                <w:color w:val="auto"/>
                <w:lang w:val="en-US" w:eastAsia="zh-CN"/>
              </w:rPr>
              <w:t>特种设备安全对策措施</w:t>
            </w:r>
          </w:p>
        </w:tc>
      </w:tr>
      <w:tr w14:paraId="126FA16C">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4B3E6ED6">
            <w:pPr>
              <w:pStyle w:val="30"/>
              <w:bidi w:val="0"/>
              <w:rPr>
                <w:rFonts w:hint="default"/>
                <w:color w:val="auto"/>
                <w:lang w:val="en-US" w:eastAsia="zh-CN"/>
              </w:rPr>
            </w:pPr>
            <w:r>
              <w:rPr>
                <w:rFonts w:hint="eastAsia"/>
                <w:color w:val="auto"/>
                <w:lang w:val="en-US" w:eastAsia="zh-CN"/>
              </w:rPr>
              <w:t>10</w:t>
            </w:r>
            <w:r>
              <w:rPr>
                <w:rFonts w:hint="default"/>
                <w:color w:val="auto"/>
                <w:lang w:val="en-US" w:eastAsia="zh-CN"/>
              </w:rPr>
              <w:t>.1</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188CCC5C">
            <w:pPr>
              <w:pStyle w:val="30"/>
              <w:bidi w:val="0"/>
              <w:jc w:val="both"/>
              <w:rPr>
                <w:rFonts w:hint="default"/>
                <w:color w:val="auto"/>
              </w:rPr>
            </w:pPr>
            <w:r>
              <w:rPr>
                <w:rFonts w:hint="default"/>
                <w:color w:val="auto"/>
              </w:rPr>
              <w:t>气瓶使用应立放，并应有防止倾倒的措施。</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60AEF1B0">
            <w:pPr>
              <w:pStyle w:val="30"/>
              <w:bidi w:val="0"/>
              <w:rPr>
                <w:rFonts w:hint="default"/>
                <w:color w:val="auto"/>
              </w:rPr>
            </w:pPr>
            <w:r>
              <w:rPr>
                <w:rFonts w:hint="default"/>
                <w:color w:val="auto"/>
              </w:rPr>
              <w:t>《气瓶搬运、装卸、储存和使用安全规定》</w:t>
            </w:r>
          </w:p>
          <w:p w14:paraId="50E8713F">
            <w:pPr>
              <w:pStyle w:val="30"/>
              <w:bidi w:val="0"/>
              <w:rPr>
                <w:rFonts w:hint="default"/>
                <w:color w:val="auto"/>
                <w:lang w:val="zh-CN"/>
              </w:rPr>
            </w:pPr>
            <w:r>
              <w:rPr>
                <w:rFonts w:hint="default"/>
                <w:color w:val="auto"/>
                <w:lang w:eastAsia="zh-CN"/>
              </w:rPr>
              <w:t>（</w:t>
            </w:r>
            <w:r>
              <w:rPr>
                <w:rFonts w:hint="default"/>
                <w:color w:val="auto"/>
              </w:rPr>
              <w:t>GB/T 34525-2017</w:t>
            </w:r>
            <w:r>
              <w:rPr>
                <w:rFonts w:hint="eastAsia"/>
                <w:color w:val="auto"/>
                <w:lang w:eastAsia="zh-CN"/>
              </w:rPr>
              <w:t>）</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4533EBAC">
            <w:pPr>
              <w:pStyle w:val="30"/>
              <w:bidi w:val="0"/>
              <w:rPr>
                <w:rFonts w:hint="default"/>
                <w:color w:val="auto"/>
              </w:rPr>
            </w:pPr>
            <w:r>
              <w:rPr>
                <w:rFonts w:hint="default"/>
                <w:color w:val="auto"/>
              </w:rPr>
              <w:t>该项目</w:t>
            </w:r>
            <w:r>
              <w:rPr>
                <w:rFonts w:hint="default"/>
                <w:color w:val="auto"/>
                <w:lang w:val="en-US" w:eastAsia="zh-CN"/>
              </w:rPr>
              <w:t>设有气瓶储存间，乙炔气瓶、氧气气瓶分开存放（立放</w:t>
            </w:r>
            <w:r>
              <w:rPr>
                <w:rFonts w:hint="eastAsia"/>
                <w:color w:val="auto"/>
                <w:lang w:val="en-US" w:eastAsia="zh-CN"/>
              </w:rPr>
              <w:t>）</w:t>
            </w:r>
            <w:r>
              <w:rPr>
                <w:rFonts w:hint="default"/>
                <w:color w:val="auto"/>
                <w:lang w:val="en-US" w:eastAsia="zh-CN"/>
              </w:rPr>
              <w:t>，均有防止倾倒的措施</w:t>
            </w:r>
            <w:r>
              <w:rPr>
                <w:rFonts w:hint="default"/>
                <w:color w:val="auto"/>
              </w:rPr>
              <w:t>。</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702EC173">
            <w:pPr>
              <w:pStyle w:val="30"/>
              <w:bidi w:val="0"/>
              <w:rPr>
                <w:rFonts w:hint="default"/>
                <w:color w:val="auto"/>
                <w:lang w:val="en-US" w:eastAsia="zh-CN"/>
              </w:rPr>
            </w:pPr>
            <w:r>
              <w:rPr>
                <w:rFonts w:hint="default"/>
                <w:color w:val="auto"/>
              </w:rPr>
              <w:t>符合</w:t>
            </w:r>
          </w:p>
        </w:tc>
      </w:tr>
      <w:tr w14:paraId="5BFCE7D2">
        <w:tblPrEx>
          <w:tblCellMar>
            <w:top w:w="0" w:type="dxa"/>
            <w:left w:w="108" w:type="dxa"/>
            <w:bottom w:w="0" w:type="dxa"/>
            <w:right w:w="108" w:type="dxa"/>
          </w:tblCellMar>
        </w:tblPrEx>
        <w:trPr>
          <w:jc w:val="center"/>
        </w:trPr>
        <w:tc>
          <w:tcPr>
            <w:tcW w:w="721" w:type="dxa"/>
            <w:tcBorders>
              <w:top w:val="single" w:color="auto" w:sz="6" w:space="0"/>
              <w:left w:val="single" w:color="auto" w:sz="6" w:space="0"/>
              <w:bottom w:val="single" w:color="auto" w:sz="6" w:space="0"/>
              <w:right w:val="single" w:color="auto" w:sz="6" w:space="0"/>
            </w:tcBorders>
            <w:noWrap w:val="0"/>
            <w:vAlign w:val="center"/>
          </w:tcPr>
          <w:p w14:paraId="2626D266">
            <w:pPr>
              <w:pStyle w:val="30"/>
              <w:bidi w:val="0"/>
              <w:rPr>
                <w:rFonts w:hint="default"/>
                <w:color w:val="auto"/>
                <w:lang w:val="en-US" w:eastAsia="zh-CN"/>
              </w:rPr>
            </w:pPr>
            <w:r>
              <w:rPr>
                <w:rFonts w:hint="eastAsia"/>
                <w:color w:val="auto"/>
                <w:lang w:val="en-US" w:eastAsia="zh-CN"/>
              </w:rPr>
              <w:t>10</w:t>
            </w:r>
            <w:r>
              <w:rPr>
                <w:rFonts w:hint="default"/>
                <w:color w:val="auto"/>
                <w:lang w:val="en-US" w:eastAsia="zh-CN"/>
              </w:rPr>
              <w:t>.2</w:t>
            </w:r>
          </w:p>
        </w:tc>
        <w:tc>
          <w:tcPr>
            <w:tcW w:w="4750" w:type="dxa"/>
            <w:tcBorders>
              <w:top w:val="single" w:color="auto" w:sz="6" w:space="0"/>
              <w:left w:val="single" w:color="auto" w:sz="6" w:space="0"/>
              <w:bottom w:val="single" w:color="auto" w:sz="6" w:space="0"/>
              <w:right w:val="single" w:color="auto" w:sz="6" w:space="0"/>
            </w:tcBorders>
            <w:noWrap w:val="0"/>
            <w:vAlign w:val="center"/>
          </w:tcPr>
          <w:p w14:paraId="590D9B8D">
            <w:pPr>
              <w:pStyle w:val="30"/>
              <w:bidi w:val="0"/>
              <w:jc w:val="both"/>
              <w:rPr>
                <w:rFonts w:hint="default"/>
                <w:color w:val="auto"/>
                <w:lang w:eastAsia="zh-CN"/>
              </w:rPr>
            </w:pPr>
            <w:r>
              <w:rPr>
                <w:rFonts w:hint="default"/>
                <w:color w:val="auto"/>
                <w:lang w:eastAsia="zh-CN"/>
              </w:rPr>
              <w:t>（1）气瓶应存放于固定专用区内，存放区内不得曝晒或有地沟、暗道，严禁明火和其他热源，存放区应有醒目的安全标志。应通风良好，保持干燥等；</w:t>
            </w:r>
          </w:p>
          <w:p w14:paraId="1730C9A1">
            <w:pPr>
              <w:pStyle w:val="30"/>
              <w:bidi w:val="0"/>
              <w:jc w:val="both"/>
              <w:rPr>
                <w:rFonts w:hint="default"/>
                <w:color w:val="auto"/>
                <w:lang w:eastAsia="zh-CN"/>
              </w:rPr>
            </w:pPr>
            <w:r>
              <w:rPr>
                <w:rFonts w:hint="default"/>
                <w:color w:val="auto"/>
                <w:lang w:eastAsia="zh-CN"/>
              </w:rPr>
              <w:t>（2）各种空、满瓶分开存放，保持间距1.5m以上或有固定的明确的分界和标识。存放量符合规定并有明显的标记。气瓶放置应整齐，戴好瓶帽。立放时，有可靠的防倾倒措施，卧放时，头部朝同一方向；</w:t>
            </w:r>
          </w:p>
          <w:p w14:paraId="7D6BB327">
            <w:pPr>
              <w:pStyle w:val="30"/>
              <w:bidi w:val="0"/>
              <w:jc w:val="both"/>
              <w:rPr>
                <w:rFonts w:hint="default"/>
                <w:color w:val="auto"/>
                <w:lang w:eastAsia="zh-CN"/>
              </w:rPr>
            </w:pPr>
            <w:r>
              <w:rPr>
                <w:rFonts w:hint="default"/>
                <w:color w:val="auto"/>
                <w:lang w:eastAsia="zh-CN"/>
              </w:rPr>
              <w:t>（3）存放区及附近应设置防毒或消防器材。灭火器的配置情况参照“危险化学品库”的有关规定；</w:t>
            </w:r>
          </w:p>
          <w:p w14:paraId="18C8ED24">
            <w:pPr>
              <w:pStyle w:val="30"/>
              <w:bidi w:val="0"/>
              <w:jc w:val="both"/>
              <w:rPr>
                <w:rFonts w:hint="default"/>
                <w:color w:val="auto"/>
                <w:lang w:eastAsia="zh-CN"/>
              </w:rPr>
            </w:pPr>
            <w:r>
              <w:rPr>
                <w:rFonts w:hint="default"/>
                <w:color w:val="auto"/>
                <w:lang w:eastAsia="zh-CN"/>
              </w:rPr>
              <w:t>（4）气瓶使用前应指定专人进行安全状况检查，对盛装气体进行再次确认，不符合安全技术要求的气瓶严禁使用；使用时必须严格按照使用说明书的要求使用气瓶；</w:t>
            </w:r>
          </w:p>
          <w:p w14:paraId="442DC17F">
            <w:pPr>
              <w:pStyle w:val="30"/>
              <w:bidi w:val="0"/>
              <w:jc w:val="both"/>
              <w:rPr>
                <w:rFonts w:hint="default"/>
                <w:color w:val="auto"/>
                <w:lang w:eastAsia="zh-CN"/>
              </w:rPr>
            </w:pPr>
            <w:r>
              <w:rPr>
                <w:rFonts w:hint="default"/>
                <w:color w:val="auto"/>
                <w:lang w:eastAsia="zh-CN"/>
              </w:rPr>
              <w:t>（5）瓶内气体不得用尽，必须按规定留有剩余压力或重量，永久气体气瓶的剩余压力不小于0.05MPa；液化气体气瓶应留有不少于0.5%—1.0%规定充装量的剩余气体；</w:t>
            </w:r>
          </w:p>
          <w:p w14:paraId="59FB96A6">
            <w:pPr>
              <w:pStyle w:val="30"/>
              <w:bidi w:val="0"/>
              <w:jc w:val="both"/>
              <w:rPr>
                <w:rFonts w:hint="default"/>
                <w:color w:val="auto"/>
                <w:lang w:eastAsia="zh-CN"/>
              </w:rPr>
            </w:pPr>
            <w:r>
              <w:rPr>
                <w:rFonts w:hint="default"/>
                <w:color w:val="auto"/>
                <w:lang w:eastAsia="zh-CN"/>
              </w:rPr>
              <w:t>（6）与明火间距符合规定，气瓶不得靠近热源，可燃.助燃气体气瓶与明火间距应大于10M，气瓶壁温应小于60℃。严禁用温度超过40℃的热源对气瓶加热；</w:t>
            </w:r>
          </w:p>
          <w:p w14:paraId="1A4FAA1E">
            <w:pPr>
              <w:pStyle w:val="30"/>
              <w:bidi w:val="0"/>
              <w:jc w:val="both"/>
              <w:rPr>
                <w:rFonts w:hint="default"/>
                <w:color w:val="auto"/>
              </w:rPr>
            </w:pPr>
            <w:r>
              <w:rPr>
                <w:rFonts w:hint="default"/>
                <w:color w:val="auto"/>
                <w:lang w:eastAsia="zh-CN"/>
              </w:rPr>
              <w:t>（7）工作现场的气瓶，同一地点放置数量不得超过4瓶；临时存放点不得超过20瓶，同一单位设置临时存放点不得超过2处，且要有20米以上距离。</w:t>
            </w:r>
          </w:p>
        </w:tc>
        <w:tc>
          <w:tcPr>
            <w:tcW w:w="1362" w:type="dxa"/>
            <w:tcBorders>
              <w:top w:val="single" w:color="auto" w:sz="6" w:space="0"/>
              <w:left w:val="single" w:color="auto" w:sz="6" w:space="0"/>
              <w:bottom w:val="single" w:color="auto" w:sz="6" w:space="0"/>
              <w:right w:val="single" w:color="auto" w:sz="6" w:space="0"/>
            </w:tcBorders>
            <w:noWrap w:val="0"/>
            <w:vAlign w:val="center"/>
          </w:tcPr>
          <w:p w14:paraId="2B748FE3">
            <w:pPr>
              <w:pStyle w:val="30"/>
              <w:bidi w:val="0"/>
              <w:rPr>
                <w:rFonts w:hint="default"/>
                <w:color w:val="auto"/>
                <w:lang w:val="zh-CN"/>
              </w:rPr>
            </w:pPr>
            <w:r>
              <w:rPr>
                <w:rFonts w:hint="default"/>
                <w:color w:val="auto"/>
                <w:lang w:val="zh-CN"/>
              </w:rPr>
              <w:t>《安全设施设计》</w:t>
            </w:r>
          </w:p>
          <w:p w14:paraId="17BD210C">
            <w:pPr>
              <w:pStyle w:val="30"/>
              <w:bidi w:val="0"/>
              <w:rPr>
                <w:rFonts w:hint="default"/>
                <w:color w:val="auto"/>
                <w:lang w:eastAsia="zh-CN"/>
              </w:rPr>
            </w:pPr>
            <w:r>
              <w:rPr>
                <w:rFonts w:hint="default"/>
                <w:color w:val="auto"/>
                <w:lang w:val="zh-CN"/>
              </w:rPr>
              <w:t>第5.</w:t>
            </w:r>
            <w:r>
              <w:rPr>
                <w:rFonts w:hint="default"/>
                <w:color w:val="auto"/>
                <w:lang w:val="en-US" w:eastAsia="zh-CN"/>
              </w:rPr>
              <w:t>10.8</w:t>
            </w:r>
            <w:r>
              <w:rPr>
                <w:rFonts w:hint="default"/>
                <w:color w:val="auto"/>
                <w:lang w:val="zh-CN"/>
              </w:rPr>
              <w:t>节</w:t>
            </w:r>
          </w:p>
        </w:tc>
        <w:tc>
          <w:tcPr>
            <w:tcW w:w="1725" w:type="dxa"/>
            <w:tcBorders>
              <w:top w:val="single" w:color="auto" w:sz="6" w:space="0"/>
              <w:left w:val="single" w:color="auto" w:sz="6" w:space="0"/>
              <w:bottom w:val="single" w:color="auto" w:sz="6" w:space="0"/>
              <w:right w:val="single" w:color="auto" w:sz="6" w:space="0"/>
            </w:tcBorders>
            <w:noWrap w:val="0"/>
            <w:vAlign w:val="center"/>
          </w:tcPr>
          <w:p w14:paraId="32914C9F">
            <w:pPr>
              <w:pStyle w:val="30"/>
              <w:bidi w:val="0"/>
              <w:rPr>
                <w:rFonts w:hint="default"/>
                <w:color w:val="auto"/>
                <w:lang w:val="en-US" w:eastAsia="zh-CN"/>
              </w:rPr>
            </w:pPr>
            <w:r>
              <w:rPr>
                <w:rFonts w:hint="default"/>
                <w:color w:val="auto"/>
              </w:rPr>
              <w:t>该项目</w:t>
            </w:r>
            <w:r>
              <w:rPr>
                <w:rFonts w:hint="default"/>
                <w:color w:val="auto"/>
                <w:lang w:val="en-US" w:eastAsia="zh-CN"/>
              </w:rPr>
              <w:t>设有气瓶储存间，乙炔气瓶、氧气气瓶分开存放（立放</w:t>
            </w:r>
            <w:r>
              <w:rPr>
                <w:rFonts w:hint="eastAsia"/>
                <w:color w:val="auto"/>
                <w:lang w:val="en-US" w:eastAsia="zh-CN"/>
              </w:rPr>
              <w:t>）</w:t>
            </w:r>
            <w:r>
              <w:rPr>
                <w:rFonts w:hint="default"/>
                <w:color w:val="auto"/>
                <w:lang w:val="en-US" w:eastAsia="zh-CN"/>
              </w:rPr>
              <w:t>，空瓶、实瓶分开存放，每种气瓶均只储存2瓶，均有防止倾倒的措施</w:t>
            </w:r>
            <w:r>
              <w:rPr>
                <w:rFonts w:hint="default"/>
                <w:color w:val="auto"/>
              </w:rPr>
              <w:t>。</w:t>
            </w:r>
            <w:r>
              <w:rPr>
                <w:rFonts w:hint="default"/>
                <w:color w:val="auto"/>
                <w:lang w:val="en-US" w:eastAsia="zh-CN"/>
              </w:rPr>
              <w:t>气瓶储</w:t>
            </w:r>
            <w:r>
              <w:rPr>
                <w:rFonts w:hint="eastAsia"/>
                <w:color w:val="auto"/>
                <w:lang w:val="en-US" w:eastAsia="zh-CN"/>
              </w:rPr>
              <w:t>存</w:t>
            </w:r>
            <w:r>
              <w:rPr>
                <w:rFonts w:hint="default"/>
                <w:color w:val="auto"/>
                <w:lang w:val="en-US" w:eastAsia="zh-CN"/>
              </w:rPr>
              <w:t>间设有灭火器。</w:t>
            </w:r>
          </w:p>
        </w:tc>
        <w:tc>
          <w:tcPr>
            <w:tcW w:w="845" w:type="dxa"/>
            <w:tcBorders>
              <w:top w:val="single" w:color="auto" w:sz="6" w:space="0"/>
              <w:left w:val="single" w:color="auto" w:sz="6" w:space="0"/>
              <w:bottom w:val="single" w:color="auto" w:sz="6" w:space="0"/>
              <w:right w:val="single" w:color="auto" w:sz="6" w:space="0"/>
            </w:tcBorders>
            <w:noWrap w:val="0"/>
            <w:vAlign w:val="center"/>
          </w:tcPr>
          <w:p w14:paraId="102809BC">
            <w:pPr>
              <w:pStyle w:val="30"/>
              <w:bidi w:val="0"/>
              <w:rPr>
                <w:rFonts w:hint="default"/>
                <w:color w:val="auto"/>
              </w:rPr>
            </w:pPr>
            <w:r>
              <w:rPr>
                <w:rFonts w:hint="default"/>
                <w:color w:val="auto"/>
              </w:rPr>
              <w:t>符合</w:t>
            </w:r>
          </w:p>
        </w:tc>
      </w:tr>
    </w:tbl>
    <w:p w14:paraId="704D652D">
      <w:pPr>
        <w:pStyle w:val="4"/>
        <w:bidi w:val="0"/>
        <w:rPr>
          <w:rFonts w:hint="eastAsia"/>
          <w:color w:val="auto"/>
        </w:rPr>
      </w:pPr>
      <w:bookmarkStart w:id="113" w:name="_Toc10837"/>
      <w:r>
        <w:rPr>
          <w:rFonts w:hint="eastAsia"/>
          <w:color w:val="auto"/>
        </w:rPr>
        <w:t>5.3.2</w:t>
      </w:r>
      <w:r>
        <w:rPr>
          <w:rFonts w:hint="eastAsia"/>
          <w:color w:val="auto"/>
          <w:lang w:val="en-US" w:eastAsia="zh-CN"/>
        </w:rPr>
        <w:t xml:space="preserve"> </w:t>
      </w:r>
      <w:r>
        <w:rPr>
          <w:rFonts w:hint="eastAsia"/>
          <w:color w:val="auto"/>
        </w:rPr>
        <w:t>单元评价小结</w:t>
      </w:r>
      <w:bookmarkEnd w:id="113"/>
    </w:p>
    <w:p w14:paraId="4EE1212A">
      <w:pPr>
        <w:bidi w:val="0"/>
        <w:rPr>
          <w:color w:val="auto"/>
        </w:rPr>
      </w:pPr>
      <w:r>
        <w:rPr>
          <w:rFonts w:hint="eastAsia"/>
          <w:color w:val="auto"/>
        </w:rPr>
        <w:t>该项目采用两段破碎，磨矿采用一段闭路磨矿，优先选铜，铜浮选采用一粗一扫二精流程，铁磁选采用磁选流程，设备设施选用符合国家标准的产品，生产工艺成熟可靠，设备满足安全生产要求，安全设施均按《安全设施设计》的要求建设，符合《选矿安全规程》（GB/T 18152-2000）及《安全设施设计》等相关规范及文件的要求，具备安全验收条件。</w:t>
      </w:r>
    </w:p>
    <w:p w14:paraId="6C3897CC">
      <w:pPr>
        <w:pStyle w:val="3"/>
        <w:bidi w:val="0"/>
        <w:rPr>
          <w:rFonts w:hint="eastAsia"/>
          <w:color w:val="auto"/>
        </w:rPr>
      </w:pPr>
      <w:bookmarkStart w:id="114" w:name="_Toc9595"/>
      <w:r>
        <w:rPr>
          <w:rFonts w:hint="eastAsia"/>
          <w:color w:val="auto"/>
        </w:rPr>
        <w:t>5.4 公用工程及辅助设施</w:t>
      </w:r>
      <w:r>
        <w:rPr>
          <w:rFonts w:hint="eastAsia"/>
          <w:color w:val="auto"/>
          <w:lang w:val="en-US" w:eastAsia="zh-CN"/>
        </w:rPr>
        <w:t>单元</w:t>
      </w:r>
      <w:r>
        <w:rPr>
          <w:rFonts w:hint="eastAsia"/>
          <w:color w:val="auto"/>
        </w:rPr>
        <w:t>分析评价</w:t>
      </w:r>
      <w:bookmarkEnd w:id="114"/>
    </w:p>
    <w:p w14:paraId="3EA1B6CE">
      <w:pPr>
        <w:pStyle w:val="4"/>
        <w:bidi w:val="0"/>
        <w:rPr>
          <w:rFonts w:hint="eastAsia"/>
          <w:color w:val="auto"/>
        </w:rPr>
      </w:pPr>
      <w:bookmarkStart w:id="115" w:name="_Toc20487"/>
      <w:r>
        <w:rPr>
          <w:rFonts w:hint="eastAsia"/>
          <w:color w:val="auto"/>
        </w:rPr>
        <w:t>5.4.1</w:t>
      </w:r>
      <w:r>
        <w:rPr>
          <w:rFonts w:hint="eastAsia"/>
          <w:color w:val="auto"/>
          <w:lang w:val="en-US" w:eastAsia="zh-CN"/>
        </w:rPr>
        <w:t xml:space="preserve"> </w:t>
      </w:r>
      <w:r>
        <w:rPr>
          <w:rFonts w:hint="eastAsia"/>
          <w:color w:val="auto"/>
        </w:rPr>
        <w:t>供配电系统分析评价</w:t>
      </w:r>
      <w:bookmarkEnd w:id="115"/>
    </w:p>
    <w:p w14:paraId="3312C6AB">
      <w:pPr>
        <w:bidi w:val="0"/>
        <w:rPr>
          <w:rFonts w:hint="eastAsia"/>
          <w:color w:val="auto"/>
        </w:rPr>
      </w:pPr>
      <w:r>
        <w:rPr>
          <w:rFonts w:hint="eastAsia"/>
          <w:color w:val="auto"/>
        </w:rPr>
        <w:t>1、安全检查表</w:t>
      </w:r>
    </w:p>
    <w:p w14:paraId="09F0BAA6">
      <w:pPr>
        <w:bidi w:val="0"/>
        <w:rPr>
          <w:rFonts w:hint="eastAsia"/>
          <w:color w:val="auto"/>
        </w:rPr>
      </w:pPr>
      <w:r>
        <w:rPr>
          <w:rFonts w:hint="eastAsia"/>
          <w:color w:val="auto"/>
        </w:rPr>
        <w:t>根据该项目《安全设施设计》及《选矿安全规程》（GB 18152—2000）、《20kV及以下变电所设计规范》（GB 50053-2013）等相关要求对该项目进行安全检查，其检查情况如下表所示：</w:t>
      </w:r>
    </w:p>
    <w:p w14:paraId="07BBEE85">
      <w:pPr>
        <w:pStyle w:val="29"/>
        <w:bidi w:val="0"/>
        <w:rPr>
          <w:color w:val="auto"/>
        </w:rPr>
      </w:pPr>
      <w:r>
        <w:rPr>
          <w:rFonts w:hint="eastAsia"/>
          <w:color w:val="auto"/>
        </w:rPr>
        <w:t>表5.4-1  供配电安全检查表</w:t>
      </w:r>
    </w:p>
    <w:tbl>
      <w:tblPr>
        <w:tblStyle w:val="20"/>
        <w:tblW w:w="9403" w:type="dxa"/>
        <w:jc w:val="center"/>
        <w:tblLayout w:type="fixed"/>
        <w:tblCellMar>
          <w:top w:w="0" w:type="dxa"/>
          <w:left w:w="108" w:type="dxa"/>
          <w:bottom w:w="0" w:type="dxa"/>
          <w:right w:w="108" w:type="dxa"/>
        </w:tblCellMar>
      </w:tblPr>
      <w:tblGrid>
        <w:gridCol w:w="746"/>
        <w:gridCol w:w="3910"/>
        <w:gridCol w:w="2077"/>
        <w:gridCol w:w="1934"/>
        <w:gridCol w:w="736"/>
      </w:tblGrid>
      <w:tr w14:paraId="3E83CB17">
        <w:tblPrEx>
          <w:tblCellMar>
            <w:top w:w="0" w:type="dxa"/>
            <w:left w:w="108" w:type="dxa"/>
            <w:bottom w:w="0" w:type="dxa"/>
            <w:right w:w="108" w:type="dxa"/>
          </w:tblCellMar>
        </w:tblPrEx>
        <w:trPr>
          <w:trHeight w:val="0" w:hRule="atLeast"/>
          <w:tblHeader/>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7FA7BF0C">
            <w:pPr>
              <w:pStyle w:val="30"/>
              <w:bidi w:val="0"/>
              <w:rPr>
                <w:rFonts w:hint="default"/>
                <w:b/>
                <w:bCs/>
                <w:color w:val="auto"/>
              </w:rPr>
            </w:pPr>
            <w:r>
              <w:rPr>
                <w:rFonts w:hint="default"/>
                <w:b/>
                <w:bCs/>
                <w:color w:val="auto"/>
              </w:rPr>
              <w:t>序号</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10B75AD1">
            <w:pPr>
              <w:pStyle w:val="30"/>
              <w:bidi w:val="0"/>
              <w:jc w:val="center"/>
              <w:rPr>
                <w:rFonts w:hint="default"/>
                <w:b/>
                <w:bCs/>
                <w:color w:val="auto"/>
                <w:lang w:val="zh-CN"/>
              </w:rPr>
            </w:pPr>
            <w:r>
              <w:rPr>
                <w:rFonts w:hint="default"/>
                <w:b/>
                <w:bCs/>
                <w:color w:val="auto"/>
                <w:lang w:val="zh-CN"/>
              </w:rPr>
              <w:t>检查内容</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5D3BBE0A">
            <w:pPr>
              <w:pStyle w:val="30"/>
              <w:bidi w:val="0"/>
              <w:rPr>
                <w:rFonts w:hint="default"/>
                <w:b/>
                <w:bCs/>
                <w:color w:val="auto"/>
                <w:lang w:val="zh-CN"/>
              </w:rPr>
            </w:pPr>
            <w:r>
              <w:rPr>
                <w:rFonts w:hint="default"/>
                <w:b/>
                <w:bCs/>
                <w:color w:val="auto"/>
                <w:lang w:val="zh-CN"/>
              </w:rPr>
              <w:t>标准依据</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1B7A5B1C">
            <w:pPr>
              <w:pStyle w:val="30"/>
              <w:bidi w:val="0"/>
              <w:rPr>
                <w:rFonts w:hint="default"/>
                <w:b/>
                <w:bCs/>
                <w:color w:val="auto"/>
                <w:lang w:val="zh-CN"/>
              </w:rPr>
            </w:pPr>
            <w:r>
              <w:rPr>
                <w:rFonts w:hint="default"/>
                <w:b/>
                <w:bCs/>
                <w:color w:val="auto"/>
                <w:lang w:val="zh-CN"/>
              </w:rPr>
              <w:t>检查情况</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4B3FA84B">
            <w:pPr>
              <w:pStyle w:val="30"/>
              <w:bidi w:val="0"/>
              <w:rPr>
                <w:rFonts w:hint="default"/>
                <w:b/>
                <w:bCs/>
                <w:color w:val="auto"/>
                <w:lang w:val="zh-CN"/>
              </w:rPr>
            </w:pPr>
            <w:r>
              <w:rPr>
                <w:rFonts w:hint="default"/>
                <w:b/>
                <w:bCs/>
                <w:color w:val="auto"/>
                <w:lang w:val="zh-CN"/>
              </w:rPr>
              <w:t>结论</w:t>
            </w:r>
          </w:p>
        </w:tc>
      </w:tr>
      <w:tr w14:paraId="632C1DFB">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12399ADC">
            <w:pPr>
              <w:pStyle w:val="30"/>
              <w:bidi w:val="0"/>
              <w:rPr>
                <w:rFonts w:hint="default"/>
                <w:color w:val="auto"/>
              </w:rPr>
            </w:pPr>
            <w:r>
              <w:rPr>
                <w:rFonts w:hint="default"/>
                <w:color w:val="auto"/>
              </w:rPr>
              <w:t>1</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5E8456CE">
            <w:pPr>
              <w:pStyle w:val="30"/>
              <w:bidi w:val="0"/>
              <w:jc w:val="both"/>
              <w:rPr>
                <w:rFonts w:hint="default"/>
                <w:color w:val="auto"/>
                <w:lang w:val="en-US" w:eastAsia="zh-CN"/>
              </w:rPr>
            </w:pPr>
            <w:r>
              <w:rPr>
                <w:rFonts w:hint="default"/>
                <w:color w:val="auto"/>
                <w:lang w:val="en-US" w:eastAsia="zh-CN"/>
              </w:rPr>
              <w:t>（1）生产区所有建（构）筑物、电器设备的避雷设施均严格遵循《建筑物防雷设计规范》（GB50057-2010）及《防止静电事故通用导则》（GB12158-2006）、《系统接地的型式及安全技术要求》（GB14050-2008）等有关技术规范的要求进行设计施工，建筑物和生产装置采取防雷、防静电措施。</w:t>
            </w:r>
          </w:p>
          <w:p w14:paraId="0FE69960">
            <w:pPr>
              <w:pStyle w:val="30"/>
              <w:bidi w:val="0"/>
              <w:jc w:val="both"/>
              <w:rPr>
                <w:rFonts w:hint="default"/>
                <w:color w:val="auto"/>
                <w:lang w:val="en-US" w:eastAsia="zh-CN"/>
              </w:rPr>
            </w:pPr>
            <w:r>
              <w:rPr>
                <w:rFonts w:hint="default"/>
                <w:color w:val="auto"/>
                <w:lang w:val="en-US" w:eastAsia="zh-CN"/>
              </w:rPr>
              <w:t>（2）建（构）筑物的防雷装置定期由具有资质的单位进行检测，确保防雷装置安全有效；定期组织防雷装置专业检查，及时修复损坏的防雷装置；雷雨天气时，室外不得有人作业。</w:t>
            </w:r>
          </w:p>
          <w:p w14:paraId="04EAD0EB">
            <w:pPr>
              <w:pStyle w:val="30"/>
              <w:bidi w:val="0"/>
              <w:jc w:val="both"/>
              <w:rPr>
                <w:rFonts w:hint="default"/>
                <w:color w:val="auto"/>
                <w:lang w:val="en-US" w:eastAsia="zh-CN"/>
              </w:rPr>
            </w:pPr>
            <w:r>
              <w:rPr>
                <w:rFonts w:hint="default"/>
                <w:color w:val="auto"/>
                <w:lang w:val="en-US" w:eastAsia="zh-CN"/>
              </w:rPr>
              <w:t>（3）防直击雷措施：宜采用装设在建筑物上的接闪器（避雷针、避雷线、避雷带、避雷网）、引下线、接地装置等避雷装置（每根引下线的冲击接地电阻≤10Ω）并采取等电位连接；</w:t>
            </w:r>
          </w:p>
          <w:p w14:paraId="2DB783F9">
            <w:pPr>
              <w:pStyle w:val="30"/>
              <w:bidi w:val="0"/>
              <w:jc w:val="both"/>
              <w:rPr>
                <w:rFonts w:hint="default"/>
                <w:color w:val="auto"/>
                <w:lang w:val="en-US" w:eastAsia="zh-CN"/>
              </w:rPr>
            </w:pPr>
            <w:r>
              <w:rPr>
                <w:rFonts w:hint="default"/>
                <w:color w:val="auto"/>
                <w:lang w:val="en-US" w:eastAsia="zh-CN"/>
              </w:rPr>
              <w:t>（4）防雷电感应措施：将建筑物内设备、管道构架等主要金属物就近接地（其工频接地电阻≤10Ω），平行长金属物间的净距小于100 mm时应采用金属线跨接；</w:t>
            </w:r>
          </w:p>
          <w:p w14:paraId="3D375D77">
            <w:pPr>
              <w:pStyle w:val="30"/>
              <w:bidi w:val="0"/>
              <w:jc w:val="both"/>
              <w:rPr>
                <w:rFonts w:hint="default"/>
                <w:color w:val="auto"/>
                <w:lang w:val="zh-CN" w:eastAsia="zh-CN"/>
              </w:rPr>
            </w:pPr>
            <w:r>
              <w:rPr>
                <w:rFonts w:hint="default"/>
                <w:color w:val="auto"/>
                <w:lang w:val="en-US" w:eastAsia="zh-CN"/>
              </w:rPr>
              <w:t>（5）为防止跨步电压，接地装置距建筑物出入口和人行道的距离不小于3m，否则，应采取其它安全措施。严禁在装有避雷针、避雷线的构筑物上架设通讯线、广播线或低压线。</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7D03E83B">
            <w:pPr>
              <w:pStyle w:val="30"/>
              <w:bidi w:val="0"/>
              <w:rPr>
                <w:rFonts w:hint="default"/>
                <w:color w:val="auto"/>
                <w:lang w:val="zh-CN" w:eastAsia="zh-CN"/>
              </w:rPr>
            </w:pPr>
            <w:r>
              <w:rPr>
                <w:rFonts w:hint="default"/>
                <w:color w:val="auto"/>
                <w:lang w:val="zh-CN" w:eastAsia="zh-CN"/>
              </w:rPr>
              <w:t>《安全设施设计》</w:t>
            </w:r>
          </w:p>
          <w:p w14:paraId="4A7D285C">
            <w:pPr>
              <w:pStyle w:val="30"/>
              <w:bidi w:val="0"/>
              <w:rPr>
                <w:rFonts w:hint="default"/>
                <w:color w:val="auto"/>
                <w:lang w:val="zh-CN" w:eastAsia="zh-CN"/>
              </w:rPr>
            </w:pPr>
            <w:r>
              <w:rPr>
                <w:rFonts w:hint="default"/>
                <w:color w:val="auto"/>
                <w:lang w:val="zh-CN" w:eastAsia="zh-CN"/>
              </w:rPr>
              <w:t>第5</w:t>
            </w:r>
            <w:r>
              <w:rPr>
                <w:rFonts w:hint="default"/>
                <w:color w:val="auto"/>
                <w:lang w:val="en-US" w:eastAsia="zh-CN"/>
              </w:rPr>
              <w:t>.2.1.10</w:t>
            </w:r>
            <w:r>
              <w:rPr>
                <w:rFonts w:hint="default"/>
                <w:color w:val="auto"/>
                <w:lang w:val="zh-CN" w:eastAsia="zh-CN"/>
              </w:rPr>
              <w:t>节</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066B67AD">
            <w:pPr>
              <w:pStyle w:val="30"/>
              <w:bidi w:val="0"/>
              <w:rPr>
                <w:rFonts w:hint="default"/>
                <w:color w:val="auto"/>
              </w:rPr>
            </w:pPr>
            <w:r>
              <w:rPr>
                <w:rFonts w:hint="default"/>
                <w:color w:val="auto"/>
                <w:lang w:val="zh-CN"/>
              </w:rPr>
              <w:t>主要建构筑物均设有避雷设施，项目</w:t>
            </w:r>
            <w:r>
              <w:rPr>
                <w:rFonts w:hint="eastAsia"/>
                <w:color w:val="auto"/>
                <w:lang w:val="en-US" w:eastAsia="zh-CN"/>
              </w:rPr>
              <w:t>未</w:t>
            </w:r>
            <w:r>
              <w:rPr>
                <w:rFonts w:hint="default"/>
                <w:color w:val="auto"/>
                <w:lang w:val="zh-CN"/>
              </w:rPr>
              <w:t>进行防雷检测</w:t>
            </w:r>
            <w:r>
              <w:rPr>
                <w:rFonts w:hint="default"/>
                <w:color w:val="auto"/>
              </w:rPr>
              <w:t>。</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0646697B">
            <w:pPr>
              <w:pStyle w:val="30"/>
              <w:bidi w:val="0"/>
              <w:rPr>
                <w:rFonts w:hint="default"/>
                <w:color w:val="auto"/>
                <w:lang w:val="zh-CN"/>
              </w:rPr>
            </w:pPr>
            <w:r>
              <w:rPr>
                <w:rFonts w:hint="eastAsia"/>
                <w:color w:val="auto"/>
                <w:lang w:val="en-US" w:eastAsia="zh-CN"/>
              </w:rPr>
              <w:t>不</w:t>
            </w:r>
            <w:r>
              <w:rPr>
                <w:rFonts w:hint="default"/>
                <w:color w:val="auto"/>
                <w:lang w:val="zh-CN"/>
              </w:rPr>
              <w:t>符合</w:t>
            </w:r>
          </w:p>
        </w:tc>
      </w:tr>
      <w:tr w14:paraId="2A0F6BEA">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71E4E4C3">
            <w:pPr>
              <w:pStyle w:val="30"/>
              <w:bidi w:val="0"/>
              <w:rPr>
                <w:rFonts w:hint="default"/>
                <w:color w:val="auto"/>
              </w:rPr>
            </w:pPr>
            <w:r>
              <w:rPr>
                <w:rFonts w:hint="default"/>
                <w:color w:val="auto"/>
              </w:rPr>
              <w:t>2</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4CA7109F">
            <w:pPr>
              <w:pStyle w:val="30"/>
              <w:bidi w:val="0"/>
              <w:jc w:val="both"/>
              <w:rPr>
                <w:rFonts w:hint="default"/>
                <w:color w:val="auto"/>
                <w:lang w:val="zh-CN"/>
              </w:rPr>
            </w:pPr>
            <w:r>
              <w:rPr>
                <w:rFonts w:hint="default"/>
                <w:color w:val="auto"/>
                <w:lang w:val="zh-CN"/>
              </w:rPr>
              <w:t>选厂各生产车间内设置正常工作照明，面积较大的车间照明在车间照明配电箱上进行分区集中控制，控制室和小车间内的照明灯具采用面板开关分散控制。正常工作环境选用普通节能灯具，多尘环境选用防水防尘灯具，腐蚀环境选用防腐灯具。车间内尽量采用金卤灯、高效节能荧光灯及LED等节能光源。生产现场照明灯具应进行固定，不应用吊线进行吊装.</w:t>
            </w:r>
          </w:p>
          <w:p w14:paraId="3E620414">
            <w:pPr>
              <w:pStyle w:val="30"/>
              <w:bidi w:val="0"/>
              <w:jc w:val="both"/>
              <w:rPr>
                <w:rFonts w:hint="default"/>
                <w:color w:val="auto"/>
                <w:lang w:val="zh-CN"/>
              </w:rPr>
            </w:pPr>
            <w:r>
              <w:rPr>
                <w:rFonts w:hint="default"/>
                <w:color w:val="auto"/>
                <w:lang w:val="zh-CN"/>
              </w:rPr>
              <w:t>变电所、控制室、厂房主要通道和停电时易发生安全事故的场所等处除了设置正常照明外，还需设置应急照明以应对突发停电。</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0B7A5050">
            <w:pPr>
              <w:pStyle w:val="30"/>
              <w:bidi w:val="0"/>
              <w:rPr>
                <w:rFonts w:hint="default"/>
                <w:color w:val="auto"/>
                <w:lang w:val="zh-CN"/>
              </w:rPr>
            </w:pPr>
            <w:r>
              <w:rPr>
                <w:rFonts w:hint="default"/>
                <w:color w:val="auto"/>
                <w:lang w:val="zh-CN"/>
              </w:rPr>
              <w:t>《安全设施设计》</w:t>
            </w:r>
          </w:p>
          <w:p w14:paraId="103E0AFD">
            <w:pPr>
              <w:pStyle w:val="30"/>
              <w:bidi w:val="0"/>
              <w:rPr>
                <w:rFonts w:hint="default"/>
                <w:color w:val="auto"/>
                <w:lang w:val="zh-CN"/>
              </w:rPr>
            </w:pPr>
            <w:r>
              <w:rPr>
                <w:rFonts w:hint="default"/>
                <w:color w:val="auto"/>
                <w:lang w:val="zh-CN"/>
              </w:rPr>
              <w:t>第5.4.</w:t>
            </w:r>
            <w:r>
              <w:rPr>
                <w:rFonts w:hint="default"/>
                <w:color w:val="auto"/>
                <w:lang w:val="en-US" w:eastAsia="zh-CN"/>
              </w:rPr>
              <w:t>7</w:t>
            </w:r>
            <w:r>
              <w:rPr>
                <w:rFonts w:hint="default"/>
                <w:color w:val="auto"/>
                <w:lang w:val="zh-CN"/>
              </w:rPr>
              <w:t>节</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38E3EAC9">
            <w:pPr>
              <w:pStyle w:val="30"/>
              <w:bidi w:val="0"/>
              <w:rPr>
                <w:rFonts w:hint="default"/>
                <w:color w:val="auto"/>
                <w:lang w:val="en-US" w:eastAsia="zh-CN"/>
              </w:rPr>
            </w:pPr>
            <w:r>
              <w:rPr>
                <w:rFonts w:hint="default"/>
                <w:color w:val="auto"/>
                <w:lang w:val="en-US" w:eastAsia="zh-CN"/>
              </w:rPr>
              <w:t>各车间照明</w:t>
            </w:r>
            <w:r>
              <w:rPr>
                <w:rFonts w:hint="default"/>
                <w:color w:val="auto"/>
                <w:lang w:val="zh-CN"/>
              </w:rPr>
              <w:t>已按要求设置</w:t>
            </w:r>
            <w:r>
              <w:rPr>
                <w:rFonts w:hint="default"/>
                <w:color w:val="auto"/>
                <w:lang w:val="en-US" w:eastAsia="zh-CN"/>
              </w:rPr>
              <w:t>。</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2DFB004B">
            <w:pPr>
              <w:pStyle w:val="30"/>
              <w:bidi w:val="0"/>
              <w:rPr>
                <w:rFonts w:hint="default"/>
                <w:color w:val="auto"/>
                <w:lang w:val="zh-CN"/>
              </w:rPr>
            </w:pPr>
            <w:r>
              <w:rPr>
                <w:rFonts w:hint="default"/>
                <w:color w:val="auto"/>
                <w:lang w:val="zh-CN"/>
              </w:rPr>
              <w:t>符合</w:t>
            </w:r>
          </w:p>
        </w:tc>
      </w:tr>
      <w:tr w14:paraId="00DF7F8B">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733155D5">
            <w:pPr>
              <w:pStyle w:val="30"/>
              <w:bidi w:val="0"/>
              <w:rPr>
                <w:rFonts w:hint="default"/>
                <w:color w:val="auto"/>
              </w:rPr>
            </w:pPr>
            <w:r>
              <w:rPr>
                <w:rFonts w:hint="default"/>
                <w:color w:val="auto"/>
              </w:rPr>
              <w:t>3</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0FAF570B">
            <w:pPr>
              <w:pStyle w:val="30"/>
              <w:bidi w:val="0"/>
              <w:jc w:val="both"/>
              <w:rPr>
                <w:rFonts w:hint="default"/>
                <w:color w:val="auto"/>
                <w:lang w:val="zh-CN"/>
              </w:rPr>
            </w:pPr>
            <w:r>
              <w:rPr>
                <w:rFonts w:hint="default"/>
                <w:color w:val="auto"/>
                <w:lang w:val="zh-CN"/>
              </w:rPr>
              <w:t>（1</w:t>
            </w:r>
            <w:r>
              <w:rPr>
                <w:rFonts w:hint="eastAsia"/>
                <w:color w:val="auto"/>
                <w:lang w:val="zh-CN"/>
              </w:rPr>
              <w:t>）</w:t>
            </w:r>
            <w:r>
              <w:rPr>
                <w:rFonts w:hint="default"/>
                <w:color w:val="auto"/>
                <w:lang w:val="zh-CN"/>
              </w:rPr>
              <w:t>本工种作业人员必须严格遵守操作规程。</w:t>
            </w:r>
          </w:p>
          <w:p w14:paraId="4663C939">
            <w:pPr>
              <w:pStyle w:val="30"/>
              <w:bidi w:val="0"/>
              <w:jc w:val="both"/>
              <w:rPr>
                <w:rFonts w:hint="default"/>
                <w:color w:val="auto"/>
                <w:lang w:val="zh-CN"/>
              </w:rPr>
            </w:pPr>
            <w:r>
              <w:rPr>
                <w:rFonts w:hint="default"/>
                <w:color w:val="auto"/>
                <w:lang w:val="zh-CN"/>
              </w:rPr>
              <w:t>（2</w:t>
            </w:r>
            <w:r>
              <w:rPr>
                <w:rFonts w:hint="eastAsia"/>
                <w:color w:val="auto"/>
                <w:lang w:val="zh-CN"/>
              </w:rPr>
              <w:t>）</w:t>
            </w:r>
            <w:r>
              <w:rPr>
                <w:rFonts w:hint="default"/>
                <w:color w:val="auto"/>
                <w:lang w:val="zh-CN"/>
              </w:rPr>
              <w:t>本工种作业人员必须掌握触电急救的方法。</w:t>
            </w:r>
          </w:p>
          <w:p w14:paraId="2866B049">
            <w:pPr>
              <w:pStyle w:val="30"/>
              <w:bidi w:val="0"/>
              <w:jc w:val="both"/>
              <w:rPr>
                <w:rFonts w:hint="default"/>
                <w:color w:val="auto"/>
                <w:lang w:val="zh-CN"/>
              </w:rPr>
            </w:pPr>
            <w:r>
              <w:rPr>
                <w:rFonts w:hint="default"/>
                <w:color w:val="auto"/>
                <w:lang w:val="zh-CN"/>
              </w:rPr>
              <w:t>（3</w:t>
            </w:r>
            <w:r>
              <w:rPr>
                <w:rFonts w:hint="eastAsia"/>
                <w:color w:val="auto"/>
                <w:lang w:val="zh-CN"/>
              </w:rPr>
              <w:t>）</w:t>
            </w:r>
            <w:r>
              <w:rPr>
                <w:rFonts w:hint="default"/>
                <w:color w:val="auto"/>
                <w:lang w:val="zh-CN"/>
              </w:rPr>
              <w:t>工作前必须穿戴好规定的防护用品，必须随时保持所有工具和仪表的良好状态，每次使用前都必须严格检查，发现问题及时处理。严格禁止使用带伤害的工器具和仪器仪表。</w:t>
            </w:r>
          </w:p>
          <w:p w14:paraId="651B0D28">
            <w:pPr>
              <w:pStyle w:val="30"/>
              <w:bidi w:val="0"/>
              <w:jc w:val="both"/>
              <w:rPr>
                <w:rFonts w:hint="default"/>
                <w:color w:val="auto"/>
                <w:lang w:val="zh-CN"/>
              </w:rPr>
            </w:pPr>
            <w:r>
              <w:rPr>
                <w:rFonts w:hint="default"/>
                <w:color w:val="auto"/>
                <w:lang w:val="zh-CN"/>
              </w:rPr>
              <w:t>（4</w:t>
            </w:r>
            <w:r>
              <w:rPr>
                <w:rFonts w:hint="eastAsia"/>
                <w:color w:val="auto"/>
                <w:lang w:val="zh-CN"/>
              </w:rPr>
              <w:t>）</w:t>
            </w:r>
            <w:r>
              <w:rPr>
                <w:rFonts w:hint="default"/>
                <w:color w:val="auto"/>
                <w:lang w:val="zh-CN"/>
              </w:rPr>
              <w:t>本工种作业人员除遵守本岗位技术要求及安全规程外，还必须遵守外线电工、配电工及值班电工的一般技术要求及安全规程。严格遵守《电工防触电安全规程》，不得违章作业。</w:t>
            </w:r>
          </w:p>
          <w:p w14:paraId="4DA9EA47">
            <w:pPr>
              <w:pStyle w:val="30"/>
              <w:bidi w:val="0"/>
              <w:jc w:val="both"/>
              <w:rPr>
                <w:rFonts w:hint="default"/>
                <w:color w:val="auto"/>
                <w:lang w:val="zh-CN"/>
              </w:rPr>
            </w:pPr>
            <w:r>
              <w:rPr>
                <w:rFonts w:hint="default"/>
                <w:color w:val="auto"/>
                <w:lang w:val="zh-CN"/>
              </w:rPr>
              <w:t>（5</w:t>
            </w:r>
            <w:r>
              <w:rPr>
                <w:rFonts w:hint="eastAsia"/>
                <w:color w:val="auto"/>
                <w:lang w:val="zh-CN"/>
              </w:rPr>
              <w:t>）</w:t>
            </w:r>
            <w:r>
              <w:rPr>
                <w:rFonts w:hint="default"/>
                <w:color w:val="auto"/>
                <w:lang w:val="zh-CN"/>
              </w:rPr>
              <w:t>电气设备和线路，不论高压、低压，在未确知其是否有电时，应一律视为有电，不可接触。凡是有电设备或线路，不论高压或低压，均不允许带电作业。</w:t>
            </w:r>
          </w:p>
          <w:p w14:paraId="0036F30D">
            <w:pPr>
              <w:pStyle w:val="30"/>
              <w:bidi w:val="0"/>
              <w:jc w:val="both"/>
              <w:rPr>
                <w:rFonts w:hint="default"/>
                <w:color w:val="auto"/>
                <w:lang w:val="zh-CN"/>
              </w:rPr>
            </w:pPr>
            <w:r>
              <w:rPr>
                <w:rFonts w:hint="default"/>
                <w:color w:val="auto"/>
                <w:lang w:val="zh-CN"/>
              </w:rPr>
              <w:t>（6</w:t>
            </w:r>
            <w:r>
              <w:rPr>
                <w:rFonts w:hint="eastAsia"/>
                <w:color w:val="auto"/>
                <w:lang w:val="zh-CN"/>
              </w:rPr>
              <w:t>）</w:t>
            </w:r>
            <w:r>
              <w:rPr>
                <w:rFonts w:hint="default"/>
                <w:color w:val="auto"/>
                <w:lang w:val="zh-CN"/>
              </w:rPr>
              <w:t>在带电设备或线路附近工作时，工作人员及其使用的工具、材料应与带电设备或线路相隔一定的安全距离。其安全距离不能少于下列规定：距离高压不少于0.7米，距380V及以下者不少于0.15米。</w:t>
            </w:r>
          </w:p>
          <w:p w14:paraId="3D9B5D38">
            <w:pPr>
              <w:pStyle w:val="30"/>
              <w:bidi w:val="0"/>
              <w:jc w:val="both"/>
              <w:rPr>
                <w:rFonts w:hint="default"/>
                <w:color w:val="auto"/>
                <w:lang w:val="zh-CN"/>
              </w:rPr>
            </w:pPr>
            <w:r>
              <w:rPr>
                <w:rFonts w:hint="default"/>
                <w:color w:val="auto"/>
                <w:lang w:val="zh-CN"/>
              </w:rPr>
              <w:t>（7</w:t>
            </w:r>
            <w:r>
              <w:rPr>
                <w:rFonts w:hint="eastAsia"/>
                <w:color w:val="auto"/>
                <w:lang w:val="zh-CN"/>
              </w:rPr>
              <w:t>）</w:t>
            </w:r>
            <w:r>
              <w:rPr>
                <w:rFonts w:hint="default"/>
                <w:color w:val="auto"/>
                <w:lang w:val="zh-CN"/>
              </w:rPr>
              <w:t>在2.0米以上的高空作业时，必须系好安全带，所有的工具及零件均应装在工具袋内，使用工具时应注意不能脱落，禁止往下扔任何东西。</w:t>
            </w:r>
          </w:p>
          <w:p w14:paraId="4C650421">
            <w:pPr>
              <w:pStyle w:val="30"/>
              <w:bidi w:val="0"/>
              <w:jc w:val="both"/>
              <w:rPr>
                <w:rFonts w:hint="default"/>
                <w:color w:val="auto"/>
                <w:lang w:val="zh-CN"/>
              </w:rPr>
            </w:pPr>
            <w:r>
              <w:rPr>
                <w:rFonts w:hint="default"/>
                <w:color w:val="auto"/>
                <w:lang w:val="zh-CN"/>
              </w:rPr>
              <w:t>（8</w:t>
            </w:r>
            <w:r>
              <w:rPr>
                <w:rFonts w:hint="eastAsia"/>
                <w:color w:val="auto"/>
                <w:lang w:val="zh-CN"/>
              </w:rPr>
              <w:t>）</w:t>
            </w:r>
            <w:r>
              <w:rPr>
                <w:rFonts w:hint="default"/>
                <w:color w:val="auto"/>
                <w:lang w:val="zh-CN"/>
              </w:rPr>
              <w:t>检修中使用行灯时，必须是36V以下的电压，不准使用250V的行灯。使用梯子时，应注意旋转稳当，坡度为55-60°，在光滑的地面上使用时，必须在梯脚上垫橡皮。</w:t>
            </w:r>
          </w:p>
          <w:p w14:paraId="63B738EC">
            <w:pPr>
              <w:pStyle w:val="30"/>
              <w:bidi w:val="0"/>
              <w:jc w:val="both"/>
              <w:rPr>
                <w:rFonts w:hint="default"/>
                <w:color w:val="auto"/>
                <w:lang w:val="zh-CN"/>
              </w:rPr>
            </w:pPr>
            <w:r>
              <w:rPr>
                <w:rFonts w:hint="default"/>
                <w:color w:val="auto"/>
                <w:lang w:val="zh-CN"/>
              </w:rPr>
              <w:t>（9</w:t>
            </w:r>
            <w:r>
              <w:rPr>
                <w:rFonts w:hint="eastAsia"/>
                <w:color w:val="auto"/>
                <w:lang w:val="zh-CN"/>
              </w:rPr>
              <w:t>）</w:t>
            </w:r>
            <w:r>
              <w:rPr>
                <w:rFonts w:hint="default"/>
                <w:color w:val="auto"/>
                <w:lang w:val="zh-CN"/>
              </w:rPr>
              <w:t>在进行校检工作时，必须接好地线，在校检设备周围，采取安全防护措施，用</w:t>
            </w:r>
            <w:r>
              <w:rPr>
                <w:rFonts w:hint="eastAsia"/>
                <w:color w:val="auto"/>
                <w:lang w:val="zh-CN"/>
              </w:rPr>
              <w:t>“</w:t>
            </w:r>
            <w:r>
              <w:rPr>
                <w:rFonts w:hint="default"/>
                <w:color w:val="auto"/>
                <w:lang w:val="zh-CN"/>
              </w:rPr>
              <w:t>红、白</w:t>
            </w:r>
            <w:r>
              <w:rPr>
                <w:rFonts w:hint="eastAsia"/>
                <w:color w:val="auto"/>
                <w:lang w:val="zh-CN"/>
              </w:rPr>
              <w:t>”</w:t>
            </w:r>
            <w:r>
              <w:rPr>
                <w:rFonts w:hint="default"/>
                <w:color w:val="auto"/>
                <w:lang w:val="zh-CN"/>
              </w:rPr>
              <w:t>绳索拦好，并挂上</w:t>
            </w:r>
            <w:r>
              <w:rPr>
                <w:rFonts w:hint="eastAsia"/>
                <w:color w:val="auto"/>
                <w:lang w:val="zh-CN"/>
              </w:rPr>
              <w:t>“</w:t>
            </w:r>
            <w:r>
              <w:rPr>
                <w:rFonts w:hint="default"/>
                <w:color w:val="auto"/>
                <w:lang w:val="zh-CN"/>
              </w:rPr>
              <w:t>高压校检，有电危险</w:t>
            </w:r>
            <w:r>
              <w:rPr>
                <w:rFonts w:hint="eastAsia"/>
                <w:color w:val="auto"/>
                <w:lang w:val="zh-CN"/>
              </w:rPr>
              <w:t>”</w:t>
            </w:r>
            <w:r>
              <w:rPr>
                <w:rFonts w:hint="default"/>
                <w:color w:val="auto"/>
                <w:lang w:val="zh-CN"/>
              </w:rPr>
              <w:t>的警示牌，严禁他人进入，以防触电。</w:t>
            </w:r>
          </w:p>
          <w:p w14:paraId="54697930">
            <w:pPr>
              <w:pStyle w:val="30"/>
              <w:bidi w:val="0"/>
              <w:jc w:val="both"/>
              <w:rPr>
                <w:rFonts w:hint="default"/>
                <w:color w:val="auto"/>
                <w:lang w:val="zh-CN"/>
              </w:rPr>
            </w:pPr>
            <w:r>
              <w:rPr>
                <w:rFonts w:hint="default"/>
                <w:color w:val="auto"/>
                <w:lang w:val="zh-CN"/>
              </w:rPr>
              <w:t>（10</w:t>
            </w:r>
            <w:r>
              <w:rPr>
                <w:rFonts w:hint="eastAsia"/>
                <w:color w:val="auto"/>
                <w:lang w:val="zh-CN"/>
              </w:rPr>
              <w:t>）</w:t>
            </w:r>
            <w:r>
              <w:rPr>
                <w:rFonts w:hint="default"/>
                <w:color w:val="auto"/>
                <w:lang w:val="zh-CN"/>
              </w:rPr>
              <w:t>对所有使用的安全防护用品用具，绝缘手套、绝缘鞋、安全带、令克棒、高压测试笔要有专人保管，定期检查，检验不合格者不能使用。</w:t>
            </w:r>
          </w:p>
          <w:p w14:paraId="74FD0DDC">
            <w:pPr>
              <w:pStyle w:val="30"/>
              <w:bidi w:val="0"/>
              <w:jc w:val="both"/>
              <w:rPr>
                <w:rFonts w:hint="default"/>
                <w:color w:val="auto"/>
                <w:lang w:val="zh-CN"/>
              </w:rPr>
            </w:pPr>
            <w:r>
              <w:rPr>
                <w:rFonts w:hint="default"/>
                <w:color w:val="auto"/>
                <w:lang w:val="zh-CN"/>
              </w:rPr>
              <w:t>（11</w:t>
            </w:r>
            <w:r>
              <w:rPr>
                <w:rFonts w:hint="eastAsia"/>
                <w:color w:val="auto"/>
                <w:lang w:val="zh-CN"/>
              </w:rPr>
              <w:t>）</w:t>
            </w:r>
            <w:r>
              <w:rPr>
                <w:rFonts w:hint="default"/>
                <w:color w:val="auto"/>
                <w:lang w:val="zh-CN"/>
              </w:rPr>
              <w:t>电线电缆过振动区域、过金属件必须固稳，易潮湿必须采取绝缘措施。</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0F392281">
            <w:pPr>
              <w:pStyle w:val="30"/>
              <w:bidi w:val="0"/>
              <w:rPr>
                <w:rFonts w:hint="default"/>
                <w:color w:val="auto"/>
                <w:lang w:val="zh-CN"/>
              </w:rPr>
            </w:pPr>
            <w:r>
              <w:rPr>
                <w:rFonts w:hint="default"/>
                <w:color w:val="auto"/>
                <w:lang w:val="zh-CN"/>
              </w:rPr>
              <w:t>《安全设施设计》</w:t>
            </w:r>
          </w:p>
          <w:p w14:paraId="0C72AEF7">
            <w:pPr>
              <w:pStyle w:val="30"/>
              <w:bidi w:val="0"/>
              <w:rPr>
                <w:rFonts w:hint="default"/>
                <w:color w:val="auto"/>
                <w:lang w:val="zh-CN"/>
              </w:rPr>
            </w:pPr>
            <w:r>
              <w:rPr>
                <w:rFonts w:hint="default"/>
                <w:color w:val="auto"/>
                <w:lang w:val="zh-CN"/>
              </w:rPr>
              <w:t>第5.4</w:t>
            </w:r>
            <w:r>
              <w:rPr>
                <w:rFonts w:hint="default"/>
                <w:color w:val="auto"/>
              </w:rPr>
              <w:t>.</w:t>
            </w:r>
            <w:r>
              <w:rPr>
                <w:rFonts w:hint="default"/>
                <w:color w:val="auto"/>
                <w:lang w:val="en-US" w:eastAsia="zh-CN"/>
              </w:rPr>
              <w:t>9</w:t>
            </w:r>
            <w:r>
              <w:rPr>
                <w:rFonts w:hint="default"/>
                <w:color w:val="auto"/>
                <w:lang w:val="zh-CN"/>
              </w:rPr>
              <w:t>节</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385AEA9F">
            <w:pPr>
              <w:pStyle w:val="30"/>
              <w:bidi w:val="0"/>
              <w:rPr>
                <w:rFonts w:hint="default"/>
                <w:color w:val="auto"/>
                <w:lang w:val="en-US"/>
              </w:rPr>
            </w:pPr>
            <w:r>
              <w:rPr>
                <w:rFonts w:hint="eastAsia"/>
                <w:color w:val="auto"/>
                <w:lang w:val="en-US" w:eastAsia="zh-CN"/>
              </w:rPr>
              <w:t>电工持证上岗</w:t>
            </w:r>
            <w:r>
              <w:rPr>
                <w:rFonts w:hint="default"/>
                <w:color w:val="auto"/>
                <w:lang w:val="en-US" w:eastAsia="zh-CN"/>
              </w:rPr>
              <w:t>，证号为T532329196810241538，为电工配备了劳动防护用品。现场勘查时未发现电工违规行为。</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60C28C74">
            <w:pPr>
              <w:pStyle w:val="30"/>
              <w:bidi w:val="0"/>
              <w:rPr>
                <w:rFonts w:hint="default"/>
                <w:color w:val="auto"/>
                <w:lang w:val="zh-CN"/>
              </w:rPr>
            </w:pPr>
            <w:r>
              <w:rPr>
                <w:rFonts w:hint="default"/>
                <w:color w:val="auto"/>
                <w:lang w:val="zh-CN"/>
              </w:rPr>
              <w:t>符合</w:t>
            </w:r>
          </w:p>
        </w:tc>
      </w:tr>
      <w:tr w14:paraId="7DF997BA">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3B3F1706">
            <w:pPr>
              <w:pStyle w:val="30"/>
              <w:bidi w:val="0"/>
              <w:rPr>
                <w:rFonts w:hint="default"/>
                <w:color w:val="auto"/>
              </w:rPr>
            </w:pPr>
            <w:r>
              <w:rPr>
                <w:rFonts w:hint="default"/>
                <w:color w:val="auto"/>
              </w:rPr>
              <w:t>4</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43C499DA">
            <w:pPr>
              <w:pStyle w:val="30"/>
              <w:bidi w:val="0"/>
              <w:jc w:val="both"/>
              <w:rPr>
                <w:rFonts w:hint="default"/>
                <w:color w:val="auto"/>
                <w:lang w:val="zh-CN" w:eastAsia="zh-CN"/>
              </w:rPr>
            </w:pPr>
            <w:r>
              <w:rPr>
                <w:rFonts w:hint="default"/>
                <w:color w:val="auto"/>
                <w:lang w:val="zh-CN" w:eastAsia="zh-CN"/>
              </w:rPr>
              <w:t>电气作业应由持有相应资格证书的作业人员承担，工作人员必须配备必要的电气安全用具和劳动保护用品，如绝缘棒、绝缘夹钳、绝缘胶鞋等，防止人员触电。</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237B52BE">
            <w:pPr>
              <w:pStyle w:val="30"/>
              <w:bidi w:val="0"/>
              <w:rPr>
                <w:rFonts w:hint="default"/>
                <w:color w:val="auto"/>
                <w:lang w:val="zh-CN"/>
              </w:rPr>
            </w:pPr>
            <w:r>
              <w:rPr>
                <w:rFonts w:hint="default"/>
                <w:color w:val="auto"/>
                <w:lang w:val="zh-CN"/>
              </w:rPr>
              <w:t>《安全设施设计》</w:t>
            </w:r>
          </w:p>
          <w:p w14:paraId="770A8D05">
            <w:pPr>
              <w:pStyle w:val="30"/>
              <w:bidi w:val="0"/>
              <w:rPr>
                <w:rFonts w:hint="default"/>
                <w:color w:val="auto"/>
                <w:lang w:val="zh-CN"/>
              </w:rPr>
            </w:pPr>
            <w:r>
              <w:rPr>
                <w:rFonts w:hint="default"/>
                <w:color w:val="auto"/>
                <w:lang w:val="zh-CN"/>
              </w:rPr>
              <w:t>第5.</w:t>
            </w:r>
            <w:r>
              <w:rPr>
                <w:rFonts w:hint="default"/>
                <w:color w:val="auto"/>
                <w:lang w:val="en-US" w:eastAsia="zh-CN"/>
              </w:rPr>
              <w:t>2</w:t>
            </w:r>
            <w:r>
              <w:rPr>
                <w:rFonts w:hint="default"/>
                <w:color w:val="auto"/>
                <w:lang w:val="zh-CN"/>
              </w:rPr>
              <w:t>.1.4节</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59C80CF9">
            <w:pPr>
              <w:pStyle w:val="30"/>
              <w:bidi w:val="0"/>
              <w:rPr>
                <w:rFonts w:hint="default"/>
                <w:color w:val="auto"/>
              </w:rPr>
            </w:pPr>
            <w:r>
              <w:rPr>
                <w:rFonts w:hint="default"/>
                <w:color w:val="auto"/>
              </w:rPr>
              <w:t>电工</w:t>
            </w:r>
            <w:r>
              <w:rPr>
                <w:rFonts w:hint="default"/>
                <w:color w:val="auto"/>
                <w:lang w:val="zh-CN"/>
              </w:rPr>
              <w:t>持证上岗，证书编号为</w:t>
            </w:r>
            <w:r>
              <w:rPr>
                <w:rFonts w:hint="eastAsia"/>
                <w:color w:val="auto"/>
                <w:lang w:val="zh-CN"/>
              </w:rPr>
              <w:t>T532329196810241538</w:t>
            </w:r>
            <w:r>
              <w:rPr>
                <w:rFonts w:hint="default"/>
                <w:color w:val="auto"/>
                <w:lang w:val="zh-CN"/>
              </w:rPr>
              <w:t>。</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726FE25B">
            <w:pPr>
              <w:pStyle w:val="30"/>
              <w:bidi w:val="0"/>
              <w:rPr>
                <w:rFonts w:hint="default"/>
                <w:color w:val="auto"/>
                <w:lang w:val="zh-CN"/>
              </w:rPr>
            </w:pPr>
            <w:r>
              <w:rPr>
                <w:rFonts w:hint="default"/>
                <w:color w:val="auto"/>
              </w:rPr>
              <w:t>符合</w:t>
            </w:r>
          </w:p>
        </w:tc>
      </w:tr>
      <w:tr w14:paraId="369D9981">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4506C48D">
            <w:pPr>
              <w:pStyle w:val="30"/>
              <w:bidi w:val="0"/>
              <w:rPr>
                <w:rFonts w:hint="default"/>
                <w:color w:val="auto"/>
              </w:rPr>
            </w:pPr>
            <w:r>
              <w:rPr>
                <w:rFonts w:hint="default"/>
                <w:color w:val="auto"/>
              </w:rPr>
              <w:t>5</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5807CBFE">
            <w:pPr>
              <w:pStyle w:val="30"/>
              <w:bidi w:val="0"/>
              <w:jc w:val="both"/>
              <w:rPr>
                <w:rFonts w:hint="default"/>
                <w:color w:val="auto"/>
                <w:lang w:val="zh-CN" w:eastAsia="zh-CN"/>
              </w:rPr>
            </w:pPr>
            <w:r>
              <w:rPr>
                <w:rFonts w:hint="default"/>
                <w:color w:val="auto"/>
                <w:lang w:val="zh-CN" w:eastAsia="zh-CN"/>
              </w:rPr>
              <w:t>电力装置，应符合</w:t>
            </w:r>
            <w:r>
              <w:rPr>
                <w:rFonts w:hint="default"/>
                <w:color w:val="auto"/>
                <w:lang w:val="en-US" w:eastAsia="zh-CN"/>
              </w:rPr>
              <w:t>GB 50070</w:t>
            </w:r>
            <w:r>
              <w:rPr>
                <w:rFonts w:hint="default"/>
                <w:color w:val="auto"/>
                <w:lang w:val="zh-CN" w:eastAsia="zh-CN"/>
              </w:rPr>
              <w:t>和其他有关规范、规程的要求。</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14A72AED">
            <w:pPr>
              <w:pStyle w:val="30"/>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rPr>
              <w:t>10.1.1</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61B172B0">
            <w:pPr>
              <w:pStyle w:val="30"/>
              <w:bidi w:val="0"/>
              <w:rPr>
                <w:rFonts w:hint="default"/>
                <w:color w:val="auto"/>
              </w:rPr>
            </w:pPr>
            <w:r>
              <w:rPr>
                <w:rFonts w:hint="default"/>
                <w:color w:val="auto"/>
              </w:rPr>
              <w:t>该项目电力装置均为持证人员安装设置，满足要求。</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37ED86D5">
            <w:pPr>
              <w:pStyle w:val="30"/>
              <w:bidi w:val="0"/>
              <w:rPr>
                <w:rFonts w:hint="default"/>
                <w:color w:val="auto"/>
              </w:rPr>
            </w:pPr>
            <w:r>
              <w:rPr>
                <w:rFonts w:hint="default"/>
                <w:color w:val="auto"/>
              </w:rPr>
              <w:t>符合</w:t>
            </w:r>
          </w:p>
        </w:tc>
      </w:tr>
      <w:tr w14:paraId="11BB44AC">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0483C5C8">
            <w:pPr>
              <w:pStyle w:val="30"/>
              <w:bidi w:val="0"/>
              <w:rPr>
                <w:rFonts w:hint="default"/>
                <w:color w:val="auto"/>
              </w:rPr>
            </w:pPr>
            <w:r>
              <w:rPr>
                <w:rFonts w:hint="default"/>
                <w:color w:val="auto"/>
              </w:rPr>
              <w:t>6</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1571AD36">
            <w:pPr>
              <w:pStyle w:val="30"/>
              <w:bidi w:val="0"/>
              <w:jc w:val="both"/>
              <w:rPr>
                <w:rFonts w:hint="default"/>
                <w:color w:val="auto"/>
                <w:lang w:val="zh-CN" w:eastAsia="zh-CN"/>
              </w:rPr>
            </w:pPr>
            <w:r>
              <w:rPr>
                <w:rFonts w:hint="default"/>
                <w:color w:val="auto"/>
                <w:lang w:val="zh-CN" w:eastAsia="zh-CN"/>
              </w:rPr>
              <w:t>电气作业人员应经过专门的安全技术培训考核，持证上岗。</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6B46C7BC">
            <w:pPr>
              <w:pStyle w:val="30"/>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rPr>
              <w:t>10.1.2</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27037111">
            <w:pPr>
              <w:pStyle w:val="30"/>
              <w:bidi w:val="0"/>
              <w:rPr>
                <w:rFonts w:hint="default"/>
                <w:color w:val="auto"/>
                <w:lang w:val="zh-CN"/>
              </w:rPr>
            </w:pPr>
            <w:r>
              <w:rPr>
                <w:rFonts w:hint="default"/>
                <w:color w:val="auto"/>
              </w:rPr>
              <w:t>该项目持证专业电工。</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6F589F96">
            <w:pPr>
              <w:pStyle w:val="30"/>
              <w:bidi w:val="0"/>
              <w:rPr>
                <w:rFonts w:hint="default"/>
                <w:color w:val="auto"/>
                <w:lang w:val="zh-CN"/>
              </w:rPr>
            </w:pPr>
            <w:r>
              <w:rPr>
                <w:rFonts w:hint="default"/>
                <w:color w:val="auto"/>
              </w:rPr>
              <w:t>符合</w:t>
            </w:r>
          </w:p>
        </w:tc>
      </w:tr>
      <w:tr w14:paraId="4448A2F7">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667F4F74">
            <w:pPr>
              <w:pStyle w:val="30"/>
              <w:bidi w:val="0"/>
              <w:rPr>
                <w:rFonts w:hint="default"/>
                <w:color w:val="auto"/>
              </w:rPr>
            </w:pPr>
            <w:r>
              <w:rPr>
                <w:rFonts w:hint="default"/>
                <w:color w:val="auto"/>
              </w:rPr>
              <w:t>7</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6D384641">
            <w:pPr>
              <w:pStyle w:val="30"/>
              <w:bidi w:val="0"/>
              <w:jc w:val="both"/>
              <w:rPr>
                <w:rFonts w:hint="default"/>
                <w:color w:val="auto"/>
                <w:lang w:val="en-US" w:eastAsia="zh-CN"/>
              </w:rPr>
            </w:pPr>
            <w:r>
              <w:rPr>
                <w:rFonts w:hint="default"/>
                <w:color w:val="auto"/>
                <w:lang w:val="zh-CN" w:eastAsia="zh-CN"/>
              </w:rPr>
              <w:t>所有电气设备和线路，应根据对人的危害程度设置明显的警示标志、防护网和安全遮栏。</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1FFBC15F">
            <w:pPr>
              <w:pStyle w:val="30"/>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rPr>
              <w:t>10.1.4</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378AF9BC">
            <w:pPr>
              <w:pStyle w:val="30"/>
              <w:bidi w:val="0"/>
              <w:rPr>
                <w:rFonts w:hint="default"/>
                <w:color w:val="auto"/>
              </w:rPr>
            </w:pPr>
            <w:r>
              <w:rPr>
                <w:rFonts w:hint="default"/>
                <w:color w:val="auto"/>
              </w:rPr>
              <w:t>电气设备及线路设置有安全警示标志或安全防护网。</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33AC5149">
            <w:pPr>
              <w:pStyle w:val="30"/>
              <w:bidi w:val="0"/>
              <w:rPr>
                <w:rFonts w:hint="default"/>
                <w:color w:val="auto"/>
                <w:lang w:val="zh-CN"/>
              </w:rPr>
            </w:pPr>
            <w:r>
              <w:rPr>
                <w:rFonts w:hint="default"/>
                <w:color w:val="auto"/>
              </w:rPr>
              <w:t>符合</w:t>
            </w:r>
          </w:p>
        </w:tc>
      </w:tr>
      <w:tr w14:paraId="0BCE9464">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5BD3C2F2">
            <w:pPr>
              <w:pStyle w:val="30"/>
              <w:bidi w:val="0"/>
              <w:rPr>
                <w:rFonts w:hint="default"/>
                <w:color w:val="auto"/>
              </w:rPr>
            </w:pPr>
            <w:r>
              <w:rPr>
                <w:rFonts w:hint="default"/>
                <w:color w:val="auto"/>
              </w:rPr>
              <w:t>8</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6209A5F3">
            <w:pPr>
              <w:pStyle w:val="30"/>
              <w:bidi w:val="0"/>
              <w:jc w:val="both"/>
              <w:rPr>
                <w:rFonts w:hint="default"/>
                <w:color w:val="auto"/>
              </w:rPr>
            </w:pPr>
            <w:r>
              <w:rPr>
                <w:rFonts w:hint="default"/>
                <w:color w:val="auto"/>
              </w:rPr>
              <w:t>电气作业人员作业时，应穿戴防护用品和使用防护用具。修理、调试电气设备和线路，应由电气作业人员进行。</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782A0EB1">
            <w:pPr>
              <w:pStyle w:val="30"/>
              <w:bidi w:val="0"/>
              <w:rPr>
                <w:rFonts w:hint="default"/>
                <w:color w:val="auto"/>
              </w:rPr>
            </w:pPr>
            <w:r>
              <w:rPr>
                <w:rFonts w:hint="default"/>
                <w:color w:val="auto"/>
              </w:rPr>
              <w:t>《选矿安全规程》</w:t>
            </w:r>
          </w:p>
          <w:p w14:paraId="479FA647">
            <w:pPr>
              <w:pStyle w:val="30"/>
              <w:bidi w:val="0"/>
              <w:rPr>
                <w:rFonts w:hint="default"/>
                <w:color w:val="auto"/>
                <w:lang w:val="zh-CN"/>
              </w:rPr>
            </w:pPr>
            <w:r>
              <w:rPr>
                <w:rFonts w:hint="eastAsia"/>
                <w:color w:val="auto"/>
                <w:lang w:eastAsia="zh-CN"/>
              </w:rPr>
              <w:t>（GB/T 18152-2000）</w:t>
            </w:r>
            <w:r>
              <w:rPr>
                <w:rFonts w:hint="default"/>
                <w:color w:val="auto"/>
              </w:rPr>
              <w:t>10.1.5</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6A3CC486">
            <w:pPr>
              <w:pStyle w:val="30"/>
              <w:bidi w:val="0"/>
              <w:rPr>
                <w:rFonts w:hint="default"/>
                <w:color w:val="auto"/>
              </w:rPr>
            </w:pPr>
            <w:r>
              <w:rPr>
                <w:rFonts w:hint="default"/>
                <w:color w:val="auto"/>
              </w:rPr>
              <w:t>安全管理制度中已明确，且现场配置有相应的防护用品。</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6FA4F69B">
            <w:pPr>
              <w:pStyle w:val="30"/>
              <w:bidi w:val="0"/>
              <w:rPr>
                <w:rFonts w:hint="default"/>
                <w:color w:val="auto"/>
                <w:lang w:val="zh-CN"/>
              </w:rPr>
            </w:pPr>
            <w:r>
              <w:rPr>
                <w:rFonts w:hint="default"/>
                <w:color w:val="auto"/>
              </w:rPr>
              <w:t>符合</w:t>
            </w:r>
          </w:p>
        </w:tc>
      </w:tr>
      <w:tr w14:paraId="1E0B90FF">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1754EE78">
            <w:pPr>
              <w:pStyle w:val="30"/>
              <w:bidi w:val="0"/>
              <w:rPr>
                <w:rFonts w:hint="default"/>
                <w:color w:val="auto"/>
              </w:rPr>
            </w:pPr>
            <w:r>
              <w:rPr>
                <w:rFonts w:hint="default"/>
                <w:color w:val="auto"/>
              </w:rPr>
              <w:t>9</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4166BE3F">
            <w:pPr>
              <w:pStyle w:val="30"/>
              <w:bidi w:val="0"/>
              <w:jc w:val="both"/>
              <w:rPr>
                <w:rFonts w:hint="default"/>
                <w:color w:val="auto"/>
              </w:rPr>
            </w:pPr>
            <w:r>
              <w:rPr>
                <w:rFonts w:hint="default"/>
                <w:color w:val="auto"/>
              </w:rPr>
              <w:t>电气设备可能被人触及的裸露带电部分，应设置安全防护罩或遮栏及警示牌。</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39EECD40">
            <w:pPr>
              <w:pStyle w:val="30"/>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10.1.6</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3432C7A2">
            <w:pPr>
              <w:pStyle w:val="30"/>
              <w:bidi w:val="0"/>
              <w:rPr>
                <w:rFonts w:hint="default"/>
                <w:color w:val="auto"/>
              </w:rPr>
            </w:pPr>
            <w:r>
              <w:rPr>
                <w:rFonts w:hint="default"/>
                <w:color w:val="auto"/>
              </w:rPr>
              <w:t>带</w:t>
            </w:r>
            <w:r>
              <w:rPr>
                <w:rFonts w:hint="default"/>
                <w:color w:val="auto"/>
                <w:lang w:val="en-US" w:eastAsia="zh-CN"/>
              </w:rPr>
              <w:t>电</w:t>
            </w:r>
            <w:r>
              <w:rPr>
                <w:rFonts w:hint="default"/>
                <w:color w:val="auto"/>
              </w:rPr>
              <w:t>部位</w:t>
            </w:r>
            <w:r>
              <w:rPr>
                <w:rFonts w:hint="default"/>
                <w:color w:val="auto"/>
                <w:lang w:val="en-US" w:eastAsia="zh-CN"/>
              </w:rPr>
              <w:t>及</w:t>
            </w:r>
            <w:r>
              <w:rPr>
                <w:rFonts w:hint="default"/>
                <w:color w:val="auto"/>
              </w:rPr>
              <w:t>能被人触及的地方均设置有防护罩。</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78DF8206">
            <w:pPr>
              <w:pStyle w:val="30"/>
              <w:bidi w:val="0"/>
              <w:rPr>
                <w:rFonts w:hint="default"/>
                <w:color w:val="auto"/>
                <w:lang w:val="zh-CN"/>
              </w:rPr>
            </w:pPr>
            <w:r>
              <w:rPr>
                <w:rFonts w:hint="default"/>
                <w:color w:val="auto"/>
              </w:rPr>
              <w:t>符合</w:t>
            </w:r>
          </w:p>
        </w:tc>
      </w:tr>
      <w:tr w14:paraId="6336EA71">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7CAB1BCC">
            <w:pPr>
              <w:pStyle w:val="30"/>
              <w:bidi w:val="0"/>
              <w:rPr>
                <w:rFonts w:hint="default"/>
                <w:color w:val="auto"/>
              </w:rPr>
            </w:pPr>
            <w:r>
              <w:rPr>
                <w:rFonts w:hint="default"/>
                <w:color w:val="auto"/>
              </w:rPr>
              <w:t>10</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6C6FB08F">
            <w:pPr>
              <w:pStyle w:val="30"/>
              <w:bidi w:val="0"/>
              <w:jc w:val="both"/>
              <w:rPr>
                <w:rFonts w:hint="default"/>
                <w:color w:val="auto"/>
              </w:rPr>
            </w:pPr>
            <w:r>
              <w:rPr>
                <w:rFonts w:hint="default"/>
                <w:color w:val="auto"/>
                <w:lang w:val="zh-CN"/>
              </w:rPr>
              <w:t>供电设备和线路的停电和送电，应严格执行操作票制度。</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3C4C3D73">
            <w:pPr>
              <w:pStyle w:val="30"/>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rPr>
              <w:t>10.1.7</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17153285">
            <w:pPr>
              <w:pStyle w:val="30"/>
              <w:bidi w:val="0"/>
              <w:rPr>
                <w:rFonts w:hint="default"/>
                <w:color w:val="auto"/>
              </w:rPr>
            </w:pPr>
            <w:r>
              <w:rPr>
                <w:rFonts w:hint="default"/>
                <w:color w:val="auto"/>
                <w:lang w:val="zh-CN"/>
              </w:rPr>
              <w:t>该项目设置有停送电操作票。</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013F47A1">
            <w:pPr>
              <w:pStyle w:val="30"/>
              <w:bidi w:val="0"/>
              <w:rPr>
                <w:rFonts w:hint="default"/>
                <w:color w:val="auto"/>
                <w:lang w:val="zh-CN"/>
              </w:rPr>
            </w:pPr>
            <w:r>
              <w:rPr>
                <w:rFonts w:hint="default"/>
                <w:color w:val="auto"/>
              </w:rPr>
              <w:t>符合</w:t>
            </w:r>
          </w:p>
        </w:tc>
      </w:tr>
      <w:tr w14:paraId="51282549">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552C2703">
            <w:pPr>
              <w:pStyle w:val="30"/>
              <w:bidi w:val="0"/>
              <w:rPr>
                <w:rFonts w:hint="default"/>
                <w:color w:val="auto"/>
              </w:rPr>
            </w:pPr>
            <w:r>
              <w:rPr>
                <w:rFonts w:hint="default"/>
                <w:color w:val="auto"/>
              </w:rPr>
              <w:t>11</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63A3208A">
            <w:pPr>
              <w:pStyle w:val="30"/>
              <w:bidi w:val="0"/>
              <w:jc w:val="both"/>
              <w:rPr>
                <w:rFonts w:hint="default"/>
                <w:color w:val="auto"/>
              </w:rPr>
            </w:pPr>
            <w:r>
              <w:rPr>
                <w:rFonts w:hint="default"/>
                <w:color w:val="auto"/>
              </w:rPr>
              <w:t>在带电的导线、设备、变压器、油开关附近，不应有损坏电气绝缘或引起电气火灾的热源。</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7F964C17">
            <w:pPr>
              <w:pStyle w:val="30"/>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10.1.9</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0899F9C1">
            <w:pPr>
              <w:pStyle w:val="30"/>
              <w:bidi w:val="0"/>
              <w:rPr>
                <w:rFonts w:hint="default"/>
                <w:color w:val="auto"/>
              </w:rPr>
            </w:pPr>
            <w:r>
              <w:rPr>
                <w:rFonts w:hint="default"/>
                <w:color w:val="auto"/>
              </w:rPr>
              <w:t>现场检查</w:t>
            </w:r>
            <w:r>
              <w:rPr>
                <w:rFonts w:hint="default"/>
                <w:color w:val="auto"/>
                <w:lang w:val="zh-CN"/>
              </w:rPr>
              <w:t>带电的导线、设备、变压器附近无热源</w:t>
            </w:r>
            <w:r>
              <w:rPr>
                <w:rFonts w:hint="default"/>
                <w:color w:val="auto"/>
              </w:rPr>
              <w:t>。</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3F71987E">
            <w:pPr>
              <w:pStyle w:val="30"/>
              <w:bidi w:val="0"/>
              <w:rPr>
                <w:rFonts w:hint="default"/>
                <w:color w:val="auto"/>
                <w:lang w:val="zh-CN"/>
              </w:rPr>
            </w:pPr>
            <w:r>
              <w:rPr>
                <w:rFonts w:hint="default"/>
                <w:color w:val="auto"/>
              </w:rPr>
              <w:t>符合</w:t>
            </w:r>
          </w:p>
        </w:tc>
      </w:tr>
      <w:tr w14:paraId="250B3F62">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08D238BF">
            <w:pPr>
              <w:pStyle w:val="30"/>
              <w:bidi w:val="0"/>
              <w:rPr>
                <w:rFonts w:hint="default"/>
                <w:color w:val="auto"/>
              </w:rPr>
            </w:pPr>
            <w:r>
              <w:rPr>
                <w:rFonts w:hint="default"/>
                <w:color w:val="auto"/>
              </w:rPr>
              <w:t>12</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7FE35C88">
            <w:pPr>
              <w:pStyle w:val="30"/>
              <w:bidi w:val="0"/>
              <w:jc w:val="both"/>
              <w:rPr>
                <w:rFonts w:hint="default"/>
                <w:color w:val="auto"/>
              </w:rPr>
            </w:pPr>
            <w:r>
              <w:rPr>
                <w:rFonts w:hint="default"/>
                <w:color w:val="auto"/>
              </w:rPr>
              <w:t>熔断器、熔丝、熔片、热继电器等保险装置，使用前应进行核对，不应任意更换或代用。</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1AAEA076">
            <w:pPr>
              <w:pStyle w:val="30"/>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10.1.11</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635324A5">
            <w:pPr>
              <w:pStyle w:val="30"/>
              <w:bidi w:val="0"/>
              <w:rPr>
                <w:rFonts w:hint="default"/>
                <w:color w:val="auto"/>
              </w:rPr>
            </w:pPr>
            <w:r>
              <w:rPr>
                <w:rFonts w:hint="default"/>
                <w:color w:val="auto"/>
              </w:rPr>
              <w:t>管理制度中有规定。</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0BF17A3B">
            <w:pPr>
              <w:pStyle w:val="30"/>
              <w:bidi w:val="0"/>
              <w:rPr>
                <w:rFonts w:hint="default"/>
                <w:color w:val="auto"/>
                <w:lang w:val="zh-CN"/>
              </w:rPr>
            </w:pPr>
            <w:r>
              <w:rPr>
                <w:rFonts w:hint="default"/>
                <w:color w:val="auto"/>
              </w:rPr>
              <w:t>符合</w:t>
            </w:r>
          </w:p>
        </w:tc>
      </w:tr>
      <w:tr w14:paraId="17910295">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5ECDECB2">
            <w:pPr>
              <w:pStyle w:val="30"/>
              <w:bidi w:val="0"/>
              <w:rPr>
                <w:rFonts w:hint="eastAsia" w:eastAsia="宋体"/>
                <w:color w:val="auto"/>
                <w:lang w:eastAsia="zh-CN"/>
              </w:rPr>
            </w:pPr>
            <w:r>
              <w:rPr>
                <w:rFonts w:hint="default"/>
                <w:color w:val="auto"/>
              </w:rPr>
              <w:t>1</w:t>
            </w:r>
            <w:r>
              <w:rPr>
                <w:rFonts w:hint="eastAsia"/>
                <w:color w:val="auto"/>
                <w:lang w:val="en-US" w:eastAsia="zh-CN"/>
              </w:rPr>
              <w:t>3</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7887AE48">
            <w:pPr>
              <w:pStyle w:val="30"/>
              <w:bidi w:val="0"/>
              <w:jc w:val="both"/>
              <w:rPr>
                <w:rFonts w:hint="default"/>
                <w:color w:val="auto"/>
              </w:rPr>
            </w:pPr>
            <w:r>
              <w:rPr>
                <w:rFonts w:hint="default"/>
                <w:color w:val="auto"/>
              </w:rPr>
              <w:t>变压器室的门应上锁，并在室外悬挂</w:t>
            </w:r>
            <w:r>
              <w:rPr>
                <w:rFonts w:hint="eastAsia"/>
                <w:color w:val="auto"/>
                <w:lang w:eastAsia="zh-CN"/>
              </w:rPr>
              <w:t>“</w:t>
            </w:r>
            <w:r>
              <w:rPr>
                <w:rFonts w:hint="default"/>
                <w:color w:val="auto"/>
              </w:rPr>
              <w:t>高压危险</w:t>
            </w:r>
            <w:r>
              <w:rPr>
                <w:rFonts w:hint="eastAsia"/>
                <w:color w:val="auto"/>
                <w:lang w:eastAsia="zh-CN"/>
              </w:rPr>
              <w:t>”</w:t>
            </w:r>
            <w:r>
              <w:rPr>
                <w:rFonts w:hint="default"/>
                <w:color w:val="auto"/>
              </w:rPr>
              <w:t>的标志牌。室外变压器四周应有不低于1.7m的围墙或栅栏，并与变压器保持一定距离。</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25A23D14">
            <w:pPr>
              <w:pStyle w:val="30"/>
              <w:bidi w:val="0"/>
              <w:rPr>
                <w:rFonts w:hint="default"/>
                <w:color w:val="auto"/>
              </w:rPr>
            </w:pPr>
            <w:r>
              <w:rPr>
                <w:rFonts w:hint="default"/>
                <w:color w:val="auto"/>
              </w:rPr>
              <w:t>《选矿安全规程》</w:t>
            </w:r>
          </w:p>
          <w:p w14:paraId="231DC211">
            <w:pPr>
              <w:pStyle w:val="30"/>
              <w:bidi w:val="0"/>
              <w:rPr>
                <w:rFonts w:hint="default"/>
                <w:color w:val="auto"/>
                <w:lang w:val="zh-CN"/>
              </w:rPr>
            </w:pPr>
            <w:r>
              <w:rPr>
                <w:rFonts w:hint="eastAsia"/>
                <w:color w:val="auto"/>
                <w:lang w:eastAsia="zh-CN"/>
              </w:rPr>
              <w:t>（GB/T 18152-2000）</w:t>
            </w:r>
            <w:r>
              <w:rPr>
                <w:rFonts w:hint="default"/>
                <w:color w:val="auto"/>
              </w:rPr>
              <w:t>10.2.5</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6DC09D35">
            <w:pPr>
              <w:pStyle w:val="30"/>
              <w:bidi w:val="0"/>
              <w:rPr>
                <w:rFonts w:hint="default"/>
                <w:color w:val="auto"/>
              </w:rPr>
            </w:pPr>
            <w:r>
              <w:rPr>
                <w:rFonts w:hint="default"/>
                <w:color w:val="auto"/>
                <w:lang w:val="zh-CN"/>
              </w:rPr>
              <w:t>变压器门上</w:t>
            </w:r>
            <w:r>
              <w:rPr>
                <w:rFonts w:hint="default"/>
                <w:color w:val="auto"/>
              </w:rPr>
              <w:t>锁，室外设有</w:t>
            </w:r>
            <w:r>
              <w:rPr>
                <w:rFonts w:hint="eastAsia"/>
                <w:color w:val="auto"/>
                <w:lang w:eastAsia="zh-CN"/>
              </w:rPr>
              <w:t>“</w:t>
            </w:r>
            <w:r>
              <w:rPr>
                <w:rFonts w:hint="default"/>
                <w:color w:val="auto"/>
              </w:rPr>
              <w:t>高压危险</w:t>
            </w:r>
            <w:r>
              <w:rPr>
                <w:rFonts w:hint="eastAsia"/>
                <w:color w:val="auto"/>
                <w:lang w:eastAsia="zh-CN"/>
              </w:rPr>
              <w:t>”</w:t>
            </w:r>
            <w:r>
              <w:rPr>
                <w:rFonts w:hint="default"/>
                <w:color w:val="auto"/>
              </w:rPr>
              <w:t>的标志牌。</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17EE3022">
            <w:pPr>
              <w:pStyle w:val="30"/>
              <w:bidi w:val="0"/>
              <w:rPr>
                <w:rFonts w:hint="default"/>
                <w:color w:val="auto"/>
                <w:lang w:val="zh-CN"/>
              </w:rPr>
            </w:pPr>
            <w:r>
              <w:rPr>
                <w:rFonts w:hint="default"/>
                <w:color w:val="auto"/>
              </w:rPr>
              <w:t>符合</w:t>
            </w:r>
          </w:p>
        </w:tc>
      </w:tr>
      <w:tr w14:paraId="41E61C79">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271C7605">
            <w:pPr>
              <w:pStyle w:val="30"/>
              <w:bidi w:val="0"/>
              <w:rPr>
                <w:rFonts w:hint="eastAsia" w:eastAsia="宋体"/>
                <w:color w:val="auto"/>
                <w:lang w:eastAsia="zh-CN"/>
              </w:rPr>
            </w:pPr>
            <w:r>
              <w:rPr>
                <w:rFonts w:hint="default"/>
                <w:color w:val="auto"/>
              </w:rPr>
              <w:t>1</w:t>
            </w:r>
            <w:r>
              <w:rPr>
                <w:rFonts w:hint="eastAsia"/>
                <w:color w:val="auto"/>
                <w:lang w:val="en-US" w:eastAsia="zh-CN"/>
              </w:rPr>
              <w:t>4</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478E9828">
            <w:pPr>
              <w:pStyle w:val="30"/>
              <w:bidi w:val="0"/>
              <w:jc w:val="both"/>
              <w:rPr>
                <w:rFonts w:hint="default"/>
                <w:color w:val="auto"/>
              </w:rPr>
            </w:pPr>
            <w:r>
              <w:rPr>
                <w:rFonts w:hint="default"/>
                <w:color w:val="auto"/>
              </w:rPr>
              <w:t>电动机应设有短路保护、过载保护与缺相保护。易于过负荷的电动机</w:t>
            </w:r>
            <w:r>
              <w:rPr>
                <w:rFonts w:hint="default"/>
                <w:color w:val="auto"/>
                <w:lang w:eastAsia="zh-CN"/>
              </w:rPr>
              <w:t>（</w:t>
            </w:r>
            <w:r>
              <w:rPr>
                <w:rFonts w:hint="default"/>
                <w:color w:val="auto"/>
              </w:rPr>
              <w:t>如浓缩机</w:t>
            </w:r>
            <w:r>
              <w:rPr>
                <w:rFonts w:hint="eastAsia"/>
                <w:color w:val="auto"/>
                <w:lang w:eastAsia="zh-CN"/>
              </w:rPr>
              <w:t>）</w:t>
            </w:r>
            <w:r>
              <w:rPr>
                <w:rFonts w:hint="default"/>
                <w:color w:val="auto"/>
              </w:rPr>
              <w:t>，应装设过载保护信号；破碎机、磨矿机等高压电机，还应有延时低电压保护。</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1BBC97AD">
            <w:pPr>
              <w:pStyle w:val="30"/>
              <w:bidi w:val="0"/>
              <w:rPr>
                <w:rFonts w:hint="default"/>
                <w:color w:val="auto"/>
              </w:rPr>
            </w:pPr>
            <w:r>
              <w:rPr>
                <w:rFonts w:hint="default"/>
                <w:color w:val="auto"/>
              </w:rPr>
              <w:t>《选矿安全规程》</w:t>
            </w:r>
          </w:p>
          <w:p w14:paraId="38951AE7">
            <w:pPr>
              <w:pStyle w:val="30"/>
              <w:bidi w:val="0"/>
              <w:rPr>
                <w:rFonts w:hint="default"/>
                <w:color w:val="auto"/>
                <w:lang w:val="zh-CN"/>
              </w:rPr>
            </w:pPr>
            <w:r>
              <w:rPr>
                <w:rFonts w:hint="eastAsia"/>
                <w:color w:val="auto"/>
                <w:lang w:eastAsia="zh-CN"/>
              </w:rPr>
              <w:t>（GB/T 18152-2000）</w:t>
            </w:r>
            <w:r>
              <w:rPr>
                <w:rFonts w:hint="default"/>
                <w:color w:val="auto"/>
              </w:rPr>
              <w:t>10.3.3</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4B7ABA51">
            <w:pPr>
              <w:pStyle w:val="30"/>
              <w:bidi w:val="0"/>
              <w:rPr>
                <w:rFonts w:hint="default"/>
                <w:color w:val="auto"/>
              </w:rPr>
            </w:pPr>
            <w:r>
              <w:rPr>
                <w:rFonts w:hint="default"/>
                <w:color w:val="auto"/>
              </w:rPr>
              <w:t>有过载保护器及延时低电压保护。</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2A4553F2">
            <w:pPr>
              <w:pStyle w:val="30"/>
              <w:bidi w:val="0"/>
              <w:rPr>
                <w:rFonts w:hint="default"/>
                <w:color w:val="auto"/>
                <w:lang w:val="zh-CN"/>
              </w:rPr>
            </w:pPr>
            <w:r>
              <w:rPr>
                <w:rFonts w:hint="default"/>
                <w:color w:val="auto"/>
              </w:rPr>
              <w:t>符合</w:t>
            </w:r>
          </w:p>
        </w:tc>
      </w:tr>
      <w:tr w14:paraId="520D1F4A">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3D0F4AAF">
            <w:pPr>
              <w:pStyle w:val="30"/>
              <w:bidi w:val="0"/>
              <w:rPr>
                <w:rFonts w:hint="eastAsia" w:eastAsia="宋体"/>
                <w:color w:val="auto"/>
                <w:lang w:eastAsia="zh-CN"/>
              </w:rPr>
            </w:pPr>
            <w:r>
              <w:rPr>
                <w:rFonts w:hint="default"/>
                <w:color w:val="auto"/>
              </w:rPr>
              <w:t>1</w:t>
            </w:r>
            <w:r>
              <w:rPr>
                <w:rFonts w:hint="eastAsia"/>
                <w:color w:val="auto"/>
                <w:lang w:val="en-US" w:eastAsia="zh-CN"/>
              </w:rPr>
              <w:t>5</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3FB56375">
            <w:pPr>
              <w:pStyle w:val="30"/>
              <w:bidi w:val="0"/>
              <w:jc w:val="both"/>
              <w:rPr>
                <w:rFonts w:hint="default"/>
                <w:color w:val="auto"/>
              </w:rPr>
            </w:pPr>
            <w:r>
              <w:rPr>
                <w:rFonts w:hint="default"/>
                <w:color w:val="auto"/>
              </w:rPr>
              <w:t>贯通多层操作平台的设备，应在各层都能执行停车；若联锁设备开车或停车顺序有误，还应能制动和自动停车。</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31686ADD">
            <w:pPr>
              <w:pStyle w:val="30"/>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10.3.6</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2570D4B3">
            <w:pPr>
              <w:pStyle w:val="30"/>
              <w:bidi w:val="0"/>
              <w:rPr>
                <w:rFonts w:hint="default"/>
                <w:color w:val="auto"/>
              </w:rPr>
            </w:pPr>
            <w:r>
              <w:rPr>
                <w:rFonts w:hint="default"/>
                <w:color w:val="auto"/>
              </w:rPr>
              <w:t>各层均设置有急停按钮。</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2CF73CD5">
            <w:pPr>
              <w:pStyle w:val="30"/>
              <w:bidi w:val="0"/>
              <w:rPr>
                <w:rFonts w:hint="default"/>
                <w:color w:val="auto"/>
                <w:lang w:val="zh-CN"/>
              </w:rPr>
            </w:pPr>
            <w:r>
              <w:rPr>
                <w:rFonts w:hint="default"/>
                <w:color w:val="auto"/>
              </w:rPr>
              <w:t>符合</w:t>
            </w:r>
          </w:p>
        </w:tc>
      </w:tr>
      <w:tr w14:paraId="220CC148">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2320F3BB">
            <w:pPr>
              <w:pStyle w:val="30"/>
              <w:bidi w:val="0"/>
              <w:rPr>
                <w:rFonts w:hint="eastAsia" w:eastAsia="宋体"/>
                <w:color w:val="auto"/>
                <w:lang w:eastAsia="zh-CN"/>
              </w:rPr>
            </w:pPr>
            <w:r>
              <w:rPr>
                <w:rFonts w:hint="default"/>
                <w:color w:val="auto"/>
              </w:rPr>
              <w:t>1</w:t>
            </w:r>
            <w:r>
              <w:rPr>
                <w:rFonts w:hint="eastAsia"/>
                <w:color w:val="auto"/>
                <w:lang w:val="en-US" w:eastAsia="zh-CN"/>
              </w:rPr>
              <w:t>6</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5B27DE0F">
            <w:pPr>
              <w:pStyle w:val="30"/>
              <w:bidi w:val="0"/>
              <w:jc w:val="both"/>
              <w:rPr>
                <w:rFonts w:hint="default"/>
                <w:color w:val="auto"/>
              </w:rPr>
            </w:pPr>
            <w:r>
              <w:rPr>
                <w:rFonts w:hint="default"/>
                <w:color w:val="auto"/>
              </w:rPr>
              <w:t>启动机器的装置，应位于能看到机器周围情况的地点，停车开关应设在该机器附近；如在启动装置处看不到被启动的机器，则应有启动预示信号</w:t>
            </w:r>
            <w:r>
              <w:rPr>
                <w:rFonts w:hint="default"/>
                <w:color w:val="auto"/>
                <w:lang w:eastAsia="zh-CN"/>
              </w:rPr>
              <w:t>（</w:t>
            </w:r>
            <w:r>
              <w:rPr>
                <w:rFonts w:hint="default"/>
                <w:color w:val="auto"/>
              </w:rPr>
              <w:t>电铃或指示灯</w:t>
            </w:r>
            <w:r>
              <w:rPr>
                <w:rFonts w:hint="eastAsia"/>
                <w:color w:val="auto"/>
                <w:lang w:eastAsia="zh-CN"/>
              </w:rPr>
              <w:t>）</w:t>
            </w:r>
            <w:r>
              <w:rPr>
                <w:rFonts w:hint="default"/>
                <w:color w:val="auto"/>
              </w:rPr>
              <w:t>，而且应在得到允许开车的信号后，方可开车。</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7452696F">
            <w:pPr>
              <w:pStyle w:val="30"/>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10.3.7</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236777FF">
            <w:pPr>
              <w:pStyle w:val="30"/>
              <w:bidi w:val="0"/>
              <w:rPr>
                <w:rFonts w:hint="default"/>
                <w:color w:val="auto"/>
              </w:rPr>
            </w:pPr>
            <w:r>
              <w:rPr>
                <w:rFonts w:hint="default"/>
                <w:color w:val="auto"/>
              </w:rPr>
              <w:t>设置有声光信号装置。</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51E664BD">
            <w:pPr>
              <w:pStyle w:val="30"/>
              <w:bidi w:val="0"/>
              <w:rPr>
                <w:rFonts w:hint="default"/>
                <w:color w:val="auto"/>
                <w:lang w:val="zh-CN"/>
              </w:rPr>
            </w:pPr>
            <w:r>
              <w:rPr>
                <w:rFonts w:hint="default"/>
                <w:color w:val="auto"/>
              </w:rPr>
              <w:t>符合</w:t>
            </w:r>
          </w:p>
        </w:tc>
      </w:tr>
      <w:tr w14:paraId="6549F9FB">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4E9B6E67">
            <w:pPr>
              <w:pStyle w:val="30"/>
              <w:bidi w:val="0"/>
              <w:rPr>
                <w:rFonts w:hint="eastAsia" w:eastAsia="宋体"/>
                <w:color w:val="auto"/>
                <w:lang w:eastAsia="zh-CN"/>
              </w:rPr>
            </w:pPr>
            <w:r>
              <w:rPr>
                <w:rFonts w:hint="default"/>
                <w:color w:val="auto"/>
              </w:rPr>
              <w:t>1</w:t>
            </w:r>
            <w:r>
              <w:rPr>
                <w:rFonts w:hint="eastAsia"/>
                <w:color w:val="auto"/>
                <w:lang w:val="en-US" w:eastAsia="zh-CN"/>
              </w:rPr>
              <w:t>7</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24A75898">
            <w:pPr>
              <w:pStyle w:val="30"/>
              <w:bidi w:val="0"/>
              <w:jc w:val="both"/>
              <w:rPr>
                <w:rFonts w:hint="default"/>
                <w:color w:val="auto"/>
              </w:rPr>
            </w:pPr>
            <w:r>
              <w:rPr>
                <w:rFonts w:hint="default"/>
                <w:color w:val="auto"/>
              </w:rPr>
              <w:t>电气设备及装置的金属框架或外壳、电缆的金属包皮，应可靠接地，接地电阻应不超过2Ω。</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45C7A187">
            <w:pPr>
              <w:pStyle w:val="30"/>
              <w:bidi w:val="0"/>
              <w:rPr>
                <w:rFonts w:hint="default"/>
                <w:color w:val="auto"/>
                <w:lang w:val="zh-CN"/>
              </w:rPr>
            </w:pPr>
            <w:r>
              <w:rPr>
                <w:rFonts w:hint="default"/>
                <w:color w:val="auto"/>
              </w:rPr>
              <w:t>《选矿安全规程》</w:t>
            </w:r>
            <w:r>
              <w:rPr>
                <w:rFonts w:hint="eastAsia"/>
                <w:color w:val="auto"/>
                <w:lang w:eastAsia="zh-CN"/>
              </w:rPr>
              <w:t>（GB/T 18152-2000）</w:t>
            </w:r>
            <w:r>
              <w:rPr>
                <w:rFonts w:hint="default"/>
                <w:color w:val="auto"/>
              </w:rPr>
              <w:t>10.5.4</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0CFB70CA">
            <w:pPr>
              <w:pStyle w:val="30"/>
              <w:bidi w:val="0"/>
              <w:rPr>
                <w:rFonts w:hint="default"/>
                <w:color w:val="auto"/>
              </w:rPr>
            </w:pPr>
            <w:r>
              <w:rPr>
                <w:rFonts w:hint="default"/>
                <w:color w:val="auto"/>
              </w:rPr>
              <w:t>接地装置可靠。</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081C7BCB">
            <w:pPr>
              <w:pStyle w:val="30"/>
              <w:bidi w:val="0"/>
              <w:rPr>
                <w:rFonts w:hint="default"/>
                <w:color w:val="auto"/>
                <w:lang w:val="zh-CN"/>
              </w:rPr>
            </w:pPr>
            <w:r>
              <w:rPr>
                <w:rFonts w:hint="default"/>
                <w:color w:val="auto"/>
              </w:rPr>
              <w:t>符合</w:t>
            </w:r>
          </w:p>
        </w:tc>
      </w:tr>
      <w:tr w14:paraId="7A28DA93">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3B359936">
            <w:pPr>
              <w:pStyle w:val="30"/>
              <w:bidi w:val="0"/>
              <w:rPr>
                <w:rFonts w:hint="eastAsia" w:eastAsia="宋体"/>
                <w:color w:val="auto"/>
                <w:lang w:eastAsia="zh-CN"/>
              </w:rPr>
            </w:pPr>
            <w:r>
              <w:rPr>
                <w:rFonts w:hint="default"/>
                <w:color w:val="auto"/>
              </w:rPr>
              <w:t>1</w:t>
            </w:r>
            <w:r>
              <w:rPr>
                <w:rFonts w:hint="eastAsia"/>
                <w:color w:val="auto"/>
                <w:lang w:val="en-US" w:eastAsia="zh-CN"/>
              </w:rPr>
              <w:t>8</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0B41AAD1">
            <w:pPr>
              <w:pStyle w:val="30"/>
              <w:bidi w:val="0"/>
              <w:jc w:val="both"/>
              <w:rPr>
                <w:rFonts w:hint="default"/>
                <w:color w:val="auto"/>
              </w:rPr>
            </w:pPr>
            <w:r>
              <w:rPr>
                <w:rFonts w:hint="default"/>
                <w:color w:val="auto"/>
              </w:rPr>
              <w:t>变电所位置应满足下列要求：</w:t>
            </w:r>
            <w:r>
              <w:rPr>
                <w:rFonts w:hint="default"/>
                <w:color w:val="auto"/>
                <w:lang w:eastAsia="zh-CN"/>
              </w:rPr>
              <w:t>（</w:t>
            </w:r>
            <w:r>
              <w:rPr>
                <w:rFonts w:hint="default"/>
                <w:color w:val="auto"/>
              </w:rPr>
              <w:t>1</w:t>
            </w:r>
            <w:r>
              <w:rPr>
                <w:rFonts w:hint="eastAsia"/>
                <w:color w:val="auto"/>
                <w:lang w:eastAsia="zh-CN"/>
              </w:rPr>
              <w:t>）</w:t>
            </w:r>
            <w:r>
              <w:rPr>
                <w:rFonts w:hint="default"/>
                <w:color w:val="auto"/>
              </w:rPr>
              <w:t>接近负荷中心；</w:t>
            </w:r>
            <w:r>
              <w:rPr>
                <w:rFonts w:hint="default"/>
                <w:color w:val="auto"/>
                <w:lang w:eastAsia="zh-CN"/>
              </w:rPr>
              <w:t>（</w:t>
            </w:r>
            <w:r>
              <w:rPr>
                <w:rFonts w:hint="default"/>
                <w:color w:val="auto"/>
              </w:rPr>
              <w:t>2</w:t>
            </w:r>
            <w:r>
              <w:rPr>
                <w:rFonts w:hint="eastAsia"/>
                <w:color w:val="auto"/>
                <w:lang w:eastAsia="zh-CN"/>
              </w:rPr>
              <w:t>）</w:t>
            </w:r>
            <w:r>
              <w:rPr>
                <w:rFonts w:hint="default"/>
                <w:color w:val="auto"/>
              </w:rPr>
              <w:t>进出线方便；</w:t>
            </w:r>
            <w:r>
              <w:rPr>
                <w:rFonts w:hint="default"/>
                <w:color w:val="auto"/>
                <w:lang w:eastAsia="zh-CN"/>
              </w:rPr>
              <w:t>（</w:t>
            </w:r>
            <w:r>
              <w:rPr>
                <w:rFonts w:hint="default"/>
                <w:color w:val="auto"/>
              </w:rPr>
              <w:t>3</w:t>
            </w:r>
            <w:r>
              <w:rPr>
                <w:rFonts w:hint="eastAsia"/>
                <w:color w:val="auto"/>
                <w:lang w:eastAsia="zh-CN"/>
              </w:rPr>
              <w:t>）</w:t>
            </w:r>
            <w:r>
              <w:rPr>
                <w:rFonts w:hint="default"/>
                <w:color w:val="auto"/>
              </w:rPr>
              <w:t>接近电源侧；</w:t>
            </w:r>
            <w:r>
              <w:rPr>
                <w:rFonts w:hint="default"/>
                <w:color w:val="auto"/>
                <w:lang w:eastAsia="zh-CN"/>
              </w:rPr>
              <w:t>（</w:t>
            </w:r>
            <w:r>
              <w:rPr>
                <w:rFonts w:hint="default"/>
                <w:color w:val="auto"/>
              </w:rPr>
              <w:t>4</w:t>
            </w:r>
            <w:r>
              <w:rPr>
                <w:rFonts w:hint="eastAsia"/>
                <w:color w:val="auto"/>
                <w:lang w:eastAsia="zh-CN"/>
              </w:rPr>
              <w:t>）</w:t>
            </w:r>
            <w:r>
              <w:rPr>
                <w:rFonts w:hint="default"/>
                <w:color w:val="auto"/>
              </w:rPr>
              <w:t>设备运输方便；</w:t>
            </w:r>
            <w:r>
              <w:rPr>
                <w:rFonts w:hint="default"/>
                <w:color w:val="auto"/>
                <w:lang w:eastAsia="zh-CN"/>
              </w:rPr>
              <w:t>（</w:t>
            </w:r>
            <w:r>
              <w:rPr>
                <w:rFonts w:hint="default"/>
                <w:color w:val="auto"/>
              </w:rPr>
              <w:t>5</w:t>
            </w:r>
            <w:r>
              <w:rPr>
                <w:rFonts w:hint="eastAsia"/>
                <w:color w:val="auto"/>
                <w:lang w:eastAsia="zh-CN"/>
              </w:rPr>
              <w:t>）</w:t>
            </w:r>
            <w:r>
              <w:rPr>
                <w:rFonts w:hint="default"/>
                <w:color w:val="auto"/>
              </w:rPr>
              <w:t>不应设在有剧烈振动或高温的产所；</w:t>
            </w:r>
            <w:r>
              <w:rPr>
                <w:rFonts w:hint="default"/>
                <w:color w:val="auto"/>
                <w:lang w:eastAsia="zh-CN"/>
              </w:rPr>
              <w:t>（</w:t>
            </w:r>
            <w:r>
              <w:rPr>
                <w:rFonts w:hint="default"/>
                <w:color w:val="auto"/>
              </w:rPr>
              <w:t>6</w:t>
            </w:r>
            <w:r>
              <w:rPr>
                <w:rFonts w:hint="eastAsia"/>
                <w:color w:val="auto"/>
                <w:lang w:eastAsia="zh-CN"/>
              </w:rPr>
              <w:t>）</w:t>
            </w:r>
            <w:r>
              <w:rPr>
                <w:rFonts w:hint="default"/>
                <w:color w:val="auto"/>
              </w:rPr>
              <w:t>不宜设在多尘或有腐蚀性气体的场所，当无法远离时，不应设在污染源盛行风向的下风侧；</w:t>
            </w:r>
            <w:r>
              <w:rPr>
                <w:rFonts w:hint="default"/>
                <w:color w:val="auto"/>
                <w:lang w:eastAsia="zh-CN"/>
              </w:rPr>
              <w:t>（</w:t>
            </w:r>
            <w:r>
              <w:rPr>
                <w:rFonts w:hint="default"/>
                <w:color w:val="auto"/>
              </w:rPr>
              <w:t>7</w:t>
            </w:r>
            <w:r>
              <w:rPr>
                <w:rFonts w:hint="eastAsia"/>
                <w:color w:val="auto"/>
                <w:lang w:eastAsia="zh-CN"/>
              </w:rPr>
              <w:t>）</w:t>
            </w:r>
            <w:r>
              <w:rPr>
                <w:rFonts w:hint="default"/>
                <w:color w:val="auto"/>
              </w:rPr>
              <w:t>不应设在厕所、浴室或其他经常积水场所的正下方，且不宜与上述场所相贴邻；</w:t>
            </w:r>
            <w:r>
              <w:rPr>
                <w:rFonts w:hint="default"/>
                <w:color w:val="auto"/>
                <w:lang w:eastAsia="zh-CN"/>
              </w:rPr>
              <w:t>（</w:t>
            </w:r>
            <w:r>
              <w:rPr>
                <w:rFonts w:hint="default"/>
                <w:color w:val="auto"/>
              </w:rPr>
              <w:t>8</w:t>
            </w:r>
            <w:r>
              <w:rPr>
                <w:rFonts w:hint="eastAsia"/>
                <w:color w:val="auto"/>
                <w:lang w:eastAsia="zh-CN"/>
              </w:rPr>
              <w:t>）</w:t>
            </w:r>
            <w:r>
              <w:rPr>
                <w:rFonts w:hint="default"/>
                <w:color w:val="auto"/>
              </w:rPr>
              <w:t>不应设在有爆炸危险环境的正上方或正下方，且不宜设在有火灾危险环境的正上方或正下方，当与有爆炸或火灾危险环境的建筑物毗连时，应符合现行国家标准《爆炸和火灾危险环境电力装置设计规范》的规定。</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6BA7381C">
            <w:pPr>
              <w:pStyle w:val="30"/>
              <w:bidi w:val="0"/>
              <w:rPr>
                <w:rFonts w:hint="default"/>
                <w:color w:val="auto"/>
                <w:lang w:val="zh-CN"/>
              </w:rPr>
            </w:pPr>
            <w:r>
              <w:rPr>
                <w:rFonts w:hint="default"/>
                <w:color w:val="auto"/>
                <w:lang w:val="zh-CN"/>
              </w:rPr>
              <w:t>《20KV及以下变电所设计规范》</w:t>
            </w:r>
          </w:p>
          <w:p w14:paraId="5A86A61D">
            <w:pPr>
              <w:pStyle w:val="30"/>
              <w:bidi w:val="0"/>
              <w:rPr>
                <w:rFonts w:hint="default"/>
                <w:color w:val="auto"/>
                <w:lang w:val="zh-CN"/>
              </w:rPr>
            </w:pPr>
            <w:r>
              <w:rPr>
                <w:rFonts w:hint="default"/>
                <w:color w:val="auto"/>
                <w:lang w:val="zh-CN"/>
              </w:rPr>
              <w:t>（GB 50053-2013</w:t>
            </w:r>
            <w:r>
              <w:rPr>
                <w:rFonts w:hint="eastAsia"/>
                <w:color w:val="auto"/>
                <w:lang w:val="zh-CN"/>
              </w:rPr>
              <w:t>）</w:t>
            </w:r>
            <w:r>
              <w:rPr>
                <w:rFonts w:hint="default"/>
                <w:color w:val="auto"/>
                <w:lang w:val="zh-CN"/>
              </w:rPr>
              <w:t>2.0.1</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75E21DC7">
            <w:pPr>
              <w:pStyle w:val="30"/>
              <w:bidi w:val="0"/>
              <w:rPr>
                <w:rFonts w:hint="default"/>
                <w:color w:val="auto"/>
                <w:lang w:val="en-US" w:eastAsia="zh-CN"/>
              </w:rPr>
            </w:pPr>
            <w:r>
              <w:rPr>
                <w:rFonts w:hint="default"/>
                <w:color w:val="auto"/>
                <w:lang w:val="zh-CN"/>
              </w:rPr>
              <w:t>变压器</w:t>
            </w:r>
            <w:r>
              <w:rPr>
                <w:rFonts w:hint="default"/>
                <w:color w:val="auto"/>
                <w:lang w:val="en-US" w:eastAsia="zh-CN"/>
              </w:rPr>
              <w:t>为利旧设备，</w:t>
            </w:r>
            <w:r>
              <w:rPr>
                <w:rFonts w:hint="default"/>
                <w:color w:val="auto"/>
                <w:lang w:val="zh-CN"/>
              </w:rPr>
              <w:t>设置于</w:t>
            </w:r>
            <w:r>
              <w:rPr>
                <w:rFonts w:hint="eastAsia"/>
                <w:color w:val="auto"/>
                <w:lang w:val="en-US" w:eastAsia="zh-CN"/>
              </w:rPr>
              <w:t>选矿车间</w:t>
            </w:r>
            <w:r>
              <w:rPr>
                <w:rFonts w:hint="default"/>
                <w:color w:val="auto"/>
                <w:lang w:val="zh-CN"/>
              </w:rPr>
              <w:t>旁边</w:t>
            </w:r>
            <w:r>
              <w:rPr>
                <w:rFonts w:hint="default"/>
                <w:color w:val="auto"/>
                <w:lang w:val="zh-CN" w:eastAsia="zh-CN"/>
              </w:rPr>
              <w:t>。</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005E2661">
            <w:pPr>
              <w:pStyle w:val="30"/>
              <w:bidi w:val="0"/>
              <w:rPr>
                <w:rFonts w:hint="default"/>
                <w:color w:val="auto"/>
                <w:lang w:val="zh-CN"/>
              </w:rPr>
            </w:pPr>
            <w:r>
              <w:rPr>
                <w:rFonts w:hint="default"/>
                <w:color w:val="auto"/>
              </w:rPr>
              <w:t>符合</w:t>
            </w:r>
          </w:p>
        </w:tc>
      </w:tr>
      <w:tr w14:paraId="16B82AA0">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5BD932A3">
            <w:pPr>
              <w:pStyle w:val="30"/>
              <w:bidi w:val="0"/>
              <w:rPr>
                <w:rFonts w:hint="default"/>
                <w:color w:val="auto"/>
                <w:lang w:val="en-US"/>
              </w:rPr>
            </w:pPr>
            <w:r>
              <w:rPr>
                <w:rFonts w:hint="eastAsia"/>
                <w:color w:val="auto"/>
                <w:lang w:val="en-US" w:eastAsia="zh-CN"/>
              </w:rPr>
              <w:t>19</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58E33553">
            <w:pPr>
              <w:pStyle w:val="30"/>
              <w:bidi w:val="0"/>
              <w:jc w:val="both"/>
              <w:rPr>
                <w:rFonts w:hint="default"/>
                <w:color w:val="auto"/>
              </w:rPr>
            </w:pPr>
            <w:r>
              <w:rPr>
                <w:rFonts w:hint="eastAsia"/>
                <w:color w:val="auto"/>
                <w:lang w:val="en-US" w:eastAsia="zh-CN"/>
              </w:rPr>
              <w:t>一般条件下，</w:t>
            </w:r>
            <w:r>
              <w:rPr>
                <w:rFonts w:hint="default"/>
                <w:color w:val="auto"/>
              </w:rPr>
              <w:t>用电产品的周围应留有足够的安全通道和工作空间</w:t>
            </w:r>
            <w:r>
              <w:rPr>
                <w:rFonts w:hint="eastAsia"/>
                <w:color w:val="auto"/>
                <w:lang w:eastAsia="zh-CN"/>
              </w:rPr>
              <w:t>，</w:t>
            </w:r>
            <w:r>
              <w:rPr>
                <w:rFonts w:hint="default"/>
                <w:color w:val="auto"/>
              </w:rPr>
              <w:t>且不应堆放易燃、易爆和腐蚀性物品。</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5066779D">
            <w:pPr>
              <w:pStyle w:val="30"/>
              <w:bidi w:val="0"/>
              <w:rPr>
                <w:rFonts w:hint="default" w:eastAsia="宋体"/>
                <w:color w:val="auto"/>
                <w:lang w:val="en-US" w:eastAsia="zh-CN"/>
              </w:rPr>
            </w:pPr>
            <w:r>
              <w:rPr>
                <w:rFonts w:hint="default"/>
                <w:color w:val="auto"/>
              </w:rPr>
              <w:t>《用电安全导则》</w:t>
            </w:r>
            <w:r>
              <w:rPr>
                <w:rFonts w:hint="default"/>
                <w:color w:val="auto"/>
                <w:lang w:eastAsia="zh-CN"/>
              </w:rPr>
              <w:t>（</w:t>
            </w:r>
            <w:r>
              <w:rPr>
                <w:rFonts w:hint="default"/>
                <w:color w:val="auto"/>
              </w:rPr>
              <w:t>GB/T</w:t>
            </w:r>
            <w:r>
              <w:rPr>
                <w:rFonts w:hint="default"/>
                <w:color w:val="auto"/>
                <w:lang w:val="en-US" w:eastAsia="zh-CN"/>
              </w:rPr>
              <w:t xml:space="preserve"> </w:t>
            </w:r>
            <w:r>
              <w:rPr>
                <w:rFonts w:hint="default"/>
                <w:color w:val="auto"/>
              </w:rPr>
              <w:t>13869-20</w:t>
            </w:r>
            <w:r>
              <w:rPr>
                <w:rFonts w:hint="eastAsia"/>
                <w:color w:val="auto"/>
                <w:lang w:val="en-US" w:eastAsia="zh-CN"/>
              </w:rPr>
              <w:t>17</w:t>
            </w:r>
            <w:r>
              <w:rPr>
                <w:rFonts w:hint="eastAsia"/>
                <w:color w:val="auto"/>
                <w:lang w:eastAsia="zh-CN"/>
              </w:rPr>
              <w:t>）</w:t>
            </w:r>
            <w:r>
              <w:rPr>
                <w:rFonts w:hint="eastAsia"/>
                <w:color w:val="auto"/>
                <w:lang w:val="en-US" w:eastAsia="zh-CN"/>
              </w:rPr>
              <w:t>5.1.1</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2B913224">
            <w:pPr>
              <w:pStyle w:val="30"/>
              <w:bidi w:val="0"/>
              <w:rPr>
                <w:rFonts w:hint="default"/>
                <w:color w:val="auto"/>
                <w:lang w:eastAsia="zh-CN"/>
              </w:rPr>
            </w:pPr>
            <w:r>
              <w:rPr>
                <w:rFonts w:hint="default"/>
                <w:color w:val="auto"/>
              </w:rPr>
              <w:t>现场检查时符合要求。</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54CBEB63">
            <w:pPr>
              <w:pStyle w:val="30"/>
              <w:bidi w:val="0"/>
              <w:rPr>
                <w:rFonts w:hint="default"/>
                <w:color w:val="auto"/>
              </w:rPr>
            </w:pPr>
            <w:r>
              <w:rPr>
                <w:rFonts w:hint="default"/>
                <w:color w:val="auto"/>
              </w:rPr>
              <w:t>符合</w:t>
            </w:r>
          </w:p>
        </w:tc>
      </w:tr>
      <w:tr w14:paraId="69C3094F">
        <w:tblPrEx>
          <w:tblCellMar>
            <w:top w:w="0" w:type="dxa"/>
            <w:left w:w="108" w:type="dxa"/>
            <w:bottom w:w="0" w:type="dxa"/>
            <w:right w:w="108" w:type="dxa"/>
          </w:tblCellMar>
        </w:tblPrEx>
        <w:trPr>
          <w:trHeight w:val="0" w:hRule="atLeast"/>
          <w:jc w:val="center"/>
        </w:trPr>
        <w:tc>
          <w:tcPr>
            <w:tcW w:w="746" w:type="dxa"/>
            <w:tcBorders>
              <w:top w:val="single" w:color="auto" w:sz="6" w:space="0"/>
              <w:left w:val="single" w:color="auto" w:sz="6" w:space="0"/>
              <w:bottom w:val="single" w:color="auto" w:sz="6" w:space="0"/>
              <w:right w:val="single" w:color="auto" w:sz="6" w:space="0"/>
            </w:tcBorders>
            <w:noWrap w:val="0"/>
            <w:vAlign w:val="center"/>
          </w:tcPr>
          <w:p w14:paraId="4391D226">
            <w:pPr>
              <w:pStyle w:val="30"/>
              <w:bidi w:val="0"/>
              <w:rPr>
                <w:rFonts w:hint="eastAsia" w:eastAsia="宋体"/>
                <w:color w:val="auto"/>
                <w:lang w:eastAsia="zh-CN"/>
              </w:rPr>
            </w:pPr>
            <w:r>
              <w:rPr>
                <w:rFonts w:hint="eastAsia"/>
                <w:color w:val="auto"/>
                <w:lang w:val="en-US" w:eastAsia="zh-CN"/>
              </w:rPr>
              <w:t>20</w:t>
            </w:r>
          </w:p>
        </w:tc>
        <w:tc>
          <w:tcPr>
            <w:tcW w:w="3910" w:type="dxa"/>
            <w:tcBorders>
              <w:top w:val="single" w:color="auto" w:sz="6" w:space="0"/>
              <w:left w:val="single" w:color="auto" w:sz="6" w:space="0"/>
              <w:bottom w:val="single" w:color="auto" w:sz="6" w:space="0"/>
              <w:right w:val="single" w:color="auto" w:sz="6" w:space="0"/>
            </w:tcBorders>
            <w:noWrap w:val="0"/>
            <w:vAlign w:val="center"/>
          </w:tcPr>
          <w:p w14:paraId="75E7648E">
            <w:pPr>
              <w:pStyle w:val="30"/>
              <w:bidi w:val="0"/>
              <w:jc w:val="both"/>
              <w:rPr>
                <w:rFonts w:hint="default"/>
                <w:color w:val="auto"/>
              </w:rPr>
            </w:pPr>
            <w:r>
              <w:rPr>
                <w:rFonts w:hint="default"/>
                <w:color w:val="auto"/>
              </w:rPr>
              <w:t>电气线路</w:t>
            </w:r>
            <w:r>
              <w:rPr>
                <w:rFonts w:hint="eastAsia"/>
                <w:color w:val="auto"/>
                <w:lang w:val="en-US" w:eastAsia="zh-CN"/>
              </w:rPr>
              <w:t>应</w:t>
            </w:r>
            <w:r>
              <w:rPr>
                <w:rFonts w:hint="default"/>
                <w:color w:val="auto"/>
              </w:rPr>
              <w:t>具有足够的绝缘强度、机械强度和导电能力</w:t>
            </w:r>
            <w:r>
              <w:rPr>
                <w:rFonts w:hint="eastAsia"/>
                <w:color w:val="auto"/>
                <w:lang w:eastAsia="zh-CN"/>
              </w:rPr>
              <w:t>，</w:t>
            </w:r>
            <w:r>
              <w:rPr>
                <w:rFonts w:hint="eastAsia"/>
                <w:color w:val="auto"/>
                <w:lang w:val="en-US" w:eastAsia="zh-CN"/>
              </w:rPr>
              <w:t>其安装应符合相应产品标准的规定</w:t>
            </w:r>
            <w:r>
              <w:rPr>
                <w:rFonts w:hint="default"/>
                <w:color w:val="auto"/>
              </w:rPr>
              <w:t>。</w:t>
            </w:r>
          </w:p>
        </w:tc>
        <w:tc>
          <w:tcPr>
            <w:tcW w:w="2077" w:type="dxa"/>
            <w:tcBorders>
              <w:top w:val="single" w:color="auto" w:sz="6" w:space="0"/>
              <w:left w:val="single" w:color="auto" w:sz="6" w:space="0"/>
              <w:bottom w:val="single" w:color="auto" w:sz="6" w:space="0"/>
              <w:right w:val="single" w:color="auto" w:sz="6" w:space="0"/>
            </w:tcBorders>
            <w:noWrap w:val="0"/>
            <w:vAlign w:val="center"/>
          </w:tcPr>
          <w:p w14:paraId="0F0D67F5">
            <w:pPr>
              <w:pStyle w:val="30"/>
              <w:bidi w:val="0"/>
              <w:rPr>
                <w:rFonts w:hint="default" w:eastAsia="宋体"/>
                <w:color w:val="auto"/>
                <w:lang w:val="en-US" w:eastAsia="zh-CN"/>
              </w:rPr>
            </w:pPr>
            <w:r>
              <w:rPr>
                <w:rFonts w:hint="default"/>
                <w:color w:val="auto"/>
              </w:rPr>
              <w:t>《用电安全导则》</w:t>
            </w:r>
            <w:r>
              <w:rPr>
                <w:rFonts w:hint="eastAsia"/>
                <w:color w:val="auto"/>
                <w:lang w:eastAsia="zh-CN"/>
              </w:rPr>
              <w:t>（</w:t>
            </w:r>
            <w:r>
              <w:rPr>
                <w:rFonts w:hint="default"/>
                <w:color w:val="auto"/>
              </w:rPr>
              <w:t>GB/T</w:t>
            </w:r>
            <w:r>
              <w:rPr>
                <w:rFonts w:hint="default"/>
                <w:color w:val="auto"/>
                <w:lang w:val="en-US" w:eastAsia="zh-CN"/>
              </w:rPr>
              <w:t xml:space="preserve"> </w:t>
            </w:r>
            <w:r>
              <w:rPr>
                <w:rFonts w:hint="default"/>
                <w:color w:val="auto"/>
              </w:rPr>
              <w:t>13869-20</w:t>
            </w:r>
            <w:r>
              <w:rPr>
                <w:rFonts w:hint="eastAsia"/>
                <w:color w:val="auto"/>
                <w:lang w:val="en-US" w:eastAsia="zh-CN"/>
              </w:rPr>
              <w:t>17</w:t>
            </w:r>
            <w:r>
              <w:rPr>
                <w:rFonts w:hint="eastAsia"/>
                <w:color w:val="auto"/>
                <w:lang w:eastAsia="zh-CN"/>
              </w:rPr>
              <w:t>）</w:t>
            </w:r>
            <w:r>
              <w:rPr>
                <w:rFonts w:hint="eastAsia"/>
                <w:color w:val="auto"/>
                <w:lang w:val="en-US" w:eastAsia="zh-CN"/>
              </w:rPr>
              <w:t>5.1.2</w:t>
            </w:r>
          </w:p>
        </w:tc>
        <w:tc>
          <w:tcPr>
            <w:tcW w:w="1934" w:type="dxa"/>
            <w:tcBorders>
              <w:top w:val="single" w:color="auto" w:sz="6" w:space="0"/>
              <w:left w:val="single" w:color="auto" w:sz="6" w:space="0"/>
              <w:bottom w:val="single" w:color="auto" w:sz="6" w:space="0"/>
              <w:right w:val="single" w:color="auto" w:sz="6" w:space="0"/>
            </w:tcBorders>
            <w:noWrap w:val="0"/>
            <w:vAlign w:val="center"/>
          </w:tcPr>
          <w:p w14:paraId="7A7537BE">
            <w:pPr>
              <w:pStyle w:val="30"/>
              <w:bidi w:val="0"/>
              <w:rPr>
                <w:rFonts w:hint="default"/>
                <w:color w:val="auto"/>
              </w:rPr>
            </w:pPr>
            <w:r>
              <w:rPr>
                <w:rFonts w:hint="default"/>
                <w:color w:val="auto"/>
              </w:rPr>
              <w:t>电气线路有足够的绝缘强度、机械强度和导电能力。</w:t>
            </w:r>
          </w:p>
        </w:tc>
        <w:tc>
          <w:tcPr>
            <w:tcW w:w="736" w:type="dxa"/>
            <w:tcBorders>
              <w:top w:val="single" w:color="auto" w:sz="6" w:space="0"/>
              <w:left w:val="single" w:color="auto" w:sz="6" w:space="0"/>
              <w:bottom w:val="single" w:color="auto" w:sz="6" w:space="0"/>
              <w:right w:val="single" w:color="auto" w:sz="6" w:space="0"/>
            </w:tcBorders>
            <w:noWrap w:val="0"/>
            <w:vAlign w:val="center"/>
          </w:tcPr>
          <w:p w14:paraId="139C26A6">
            <w:pPr>
              <w:pStyle w:val="30"/>
              <w:bidi w:val="0"/>
              <w:rPr>
                <w:rFonts w:hint="default"/>
                <w:color w:val="auto"/>
              </w:rPr>
            </w:pPr>
            <w:r>
              <w:rPr>
                <w:rFonts w:hint="default"/>
                <w:color w:val="auto"/>
              </w:rPr>
              <w:t>符合</w:t>
            </w:r>
          </w:p>
        </w:tc>
      </w:tr>
    </w:tbl>
    <w:p w14:paraId="47C31810">
      <w:pPr>
        <w:pStyle w:val="4"/>
        <w:bidi w:val="0"/>
        <w:rPr>
          <w:color w:val="auto"/>
        </w:rPr>
      </w:pPr>
      <w:bookmarkStart w:id="116" w:name="_Toc11037"/>
      <w:r>
        <w:rPr>
          <w:rFonts w:hint="eastAsia"/>
          <w:color w:val="auto"/>
        </w:rPr>
        <w:t>5.4.2</w:t>
      </w:r>
      <w:r>
        <w:rPr>
          <w:rFonts w:hint="eastAsia"/>
          <w:color w:val="auto"/>
          <w:lang w:val="en-US" w:eastAsia="zh-CN"/>
        </w:rPr>
        <w:t xml:space="preserve"> </w:t>
      </w:r>
      <w:r>
        <w:rPr>
          <w:rFonts w:hint="eastAsia"/>
          <w:color w:val="auto"/>
        </w:rPr>
        <w:t>给排水系统分析评价</w:t>
      </w:r>
      <w:bookmarkEnd w:id="116"/>
    </w:p>
    <w:p w14:paraId="271D6CE1">
      <w:pPr>
        <w:bidi w:val="0"/>
        <w:rPr>
          <w:rFonts w:hint="eastAsia"/>
          <w:color w:val="auto"/>
        </w:rPr>
      </w:pPr>
      <w:r>
        <w:rPr>
          <w:rFonts w:hint="eastAsia"/>
          <w:color w:val="auto"/>
          <w:lang w:val="en-US" w:eastAsia="zh-CN"/>
        </w:rPr>
        <w:t>1、</w:t>
      </w:r>
      <w:r>
        <w:rPr>
          <w:rFonts w:hint="eastAsia"/>
          <w:color w:val="auto"/>
        </w:rPr>
        <w:t>用水量、水质及水压</w:t>
      </w:r>
    </w:p>
    <w:p w14:paraId="3A4EDEE4">
      <w:pPr>
        <w:bidi w:val="0"/>
        <w:rPr>
          <w:rFonts w:hint="eastAsia"/>
          <w:color w:val="auto"/>
        </w:rPr>
      </w:pPr>
      <w:r>
        <w:rPr>
          <w:rFonts w:hint="eastAsia"/>
          <w:color w:val="auto"/>
          <w:lang w:eastAsia="zh-CN"/>
        </w:rPr>
        <w:t>（</w:t>
      </w:r>
      <w:r>
        <w:rPr>
          <w:rFonts w:hint="eastAsia"/>
          <w:color w:val="auto"/>
        </w:rPr>
        <w:t>1）用水量</w:t>
      </w:r>
    </w:p>
    <w:p w14:paraId="4585F0AF">
      <w:pPr>
        <w:bidi w:val="0"/>
        <w:rPr>
          <w:rFonts w:hint="eastAsia"/>
          <w:color w:val="auto"/>
        </w:rPr>
      </w:pPr>
      <w:r>
        <w:rPr>
          <w:rFonts w:hint="eastAsia"/>
          <w:color w:val="auto"/>
        </w:rPr>
        <w:t>选厂生产用水量580.89m</w:t>
      </w:r>
      <w:r>
        <w:rPr>
          <w:rFonts w:hint="eastAsia"/>
          <w:color w:val="auto"/>
          <w:vertAlign w:val="superscript"/>
        </w:rPr>
        <w:t>3</w:t>
      </w:r>
      <w:r>
        <w:rPr>
          <w:rFonts w:hint="eastAsia"/>
          <w:color w:val="auto"/>
        </w:rPr>
        <w:t>/d，其中选厂回水量为：519.85m</w:t>
      </w:r>
      <w:r>
        <w:rPr>
          <w:rFonts w:hint="eastAsia"/>
          <w:color w:val="auto"/>
          <w:vertAlign w:val="superscript"/>
        </w:rPr>
        <w:t>3</w:t>
      </w:r>
      <w:r>
        <w:rPr>
          <w:rFonts w:hint="eastAsia"/>
          <w:color w:val="auto"/>
        </w:rPr>
        <w:t>/d，选厂生产不足水量从选厂回水池（新水补加入回水池）供给，新水58.08m</w:t>
      </w:r>
      <w:r>
        <w:rPr>
          <w:rFonts w:hint="eastAsia"/>
          <w:color w:val="auto"/>
          <w:vertAlign w:val="superscript"/>
        </w:rPr>
        <w:t>3</w:t>
      </w:r>
      <w:r>
        <w:rPr>
          <w:rFonts w:hint="eastAsia"/>
          <w:color w:val="auto"/>
        </w:rPr>
        <w:t>/d；生活用水量2.4m</w:t>
      </w:r>
      <w:r>
        <w:rPr>
          <w:rFonts w:hint="eastAsia"/>
          <w:color w:val="auto"/>
          <w:vertAlign w:val="superscript"/>
        </w:rPr>
        <w:t>3</w:t>
      </w:r>
      <w:r>
        <w:rPr>
          <w:rFonts w:hint="eastAsia"/>
          <w:color w:val="auto"/>
        </w:rPr>
        <w:t>/d。</w:t>
      </w:r>
    </w:p>
    <w:p w14:paraId="2A3A4251">
      <w:pPr>
        <w:bidi w:val="0"/>
        <w:rPr>
          <w:rFonts w:hint="eastAsia"/>
          <w:color w:val="auto"/>
        </w:rPr>
      </w:pPr>
      <w:r>
        <w:rPr>
          <w:rFonts w:hint="eastAsia"/>
          <w:color w:val="auto"/>
          <w:lang w:eastAsia="zh-CN"/>
        </w:rPr>
        <w:t>（</w:t>
      </w:r>
      <w:r>
        <w:rPr>
          <w:rFonts w:hint="eastAsia"/>
          <w:color w:val="auto"/>
        </w:rPr>
        <w:t>2）供水水质</w:t>
      </w:r>
    </w:p>
    <w:p w14:paraId="576BC057">
      <w:pPr>
        <w:bidi w:val="0"/>
        <w:rPr>
          <w:rFonts w:hint="eastAsia"/>
          <w:color w:val="auto"/>
        </w:rPr>
      </w:pPr>
      <w:r>
        <w:rPr>
          <w:rFonts w:hint="eastAsia"/>
          <w:color w:val="auto"/>
        </w:rPr>
        <w:t>生产新水水质为一般工业生产新水水质标准，生活用水水质达到国家生活饮用水水质标准。</w:t>
      </w:r>
    </w:p>
    <w:p w14:paraId="5D7C910C">
      <w:pPr>
        <w:bidi w:val="0"/>
        <w:rPr>
          <w:rFonts w:hint="eastAsia"/>
          <w:color w:val="auto"/>
        </w:rPr>
      </w:pPr>
      <w:r>
        <w:rPr>
          <w:rFonts w:hint="eastAsia"/>
          <w:color w:val="auto"/>
          <w:lang w:eastAsia="zh-CN"/>
        </w:rPr>
        <w:t>（</w:t>
      </w:r>
      <w:r>
        <w:rPr>
          <w:rFonts w:hint="eastAsia"/>
          <w:color w:val="auto"/>
        </w:rPr>
        <w:t>3）供水压力</w:t>
      </w:r>
    </w:p>
    <w:p w14:paraId="45F3F119">
      <w:pPr>
        <w:bidi w:val="0"/>
        <w:rPr>
          <w:rFonts w:hint="eastAsia"/>
          <w:color w:val="auto"/>
        </w:rPr>
      </w:pPr>
      <w:r>
        <w:rPr>
          <w:rFonts w:hint="eastAsia"/>
          <w:color w:val="auto"/>
        </w:rPr>
        <w:t>满足生产、生活用水要求。</w:t>
      </w:r>
    </w:p>
    <w:p w14:paraId="60564C39">
      <w:pPr>
        <w:bidi w:val="0"/>
        <w:rPr>
          <w:rFonts w:hint="eastAsia"/>
          <w:color w:val="auto"/>
        </w:rPr>
      </w:pPr>
      <w:r>
        <w:rPr>
          <w:rFonts w:hint="eastAsia"/>
          <w:color w:val="auto"/>
          <w:lang w:val="en-US" w:eastAsia="zh-CN"/>
        </w:rPr>
        <w:t>2、</w:t>
      </w:r>
      <w:r>
        <w:rPr>
          <w:rFonts w:hint="eastAsia"/>
          <w:color w:val="auto"/>
        </w:rPr>
        <w:t>供水水源</w:t>
      </w:r>
    </w:p>
    <w:p w14:paraId="6C15F564">
      <w:pPr>
        <w:bidi w:val="0"/>
        <w:rPr>
          <w:rFonts w:hint="eastAsia"/>
          <w:color w:val="auto"/>
        </w:rPr>
      </w:pPr>
      <w:r>
        <w:rPr>
          <w:rFonts w:hint="eastAsia"/>
          <w:color w:val="auto"/>
        </w:rPr>
        <w:t>本选厂生产用水为山泉水，经过引入回水池（新水补加进回水池）净化处理后供生产用水。厂区建有回水池，利用水泵把回水池内的水向生产车间供水。从现引入水源看，水质及水量均满足生产要求。</w:t>
      </w:r>
    </w:p>
    <w:p w14:paraId="0BE7FA4C">
      <w:pPr>
        <w:bidi w:val="0"/>
        <w:rPr>
          <w:rFonts w:hint="eastAsia"/>
          <w:color w:val="auto"/>
        </w:rPr>
      </w:pPr>
      <w:r>
        <w:rPr>
          <w:rFonts w:hint="eastAsia"/>
          <w:color w:val="auto"/>
        </w:rPr>
        <w:t>生活用水采用现城市自来水管道供应。</w:t>
      </w:r>
    </w:p>
    <w:p w14:paraId="3E13A087">
      <w:pPr>
        <w:bidi w:val="0"/>
        <w:rPr>
          <w:rFonts w:hint="eastAsia"/>
          <w:color w:val="auto"/>
        </w:rPr>
      </w:pPr>
      <w:r>
        <w:rPr>
          <w:rFonts w:hint="eastAsia"/>
          <w:color w:val="auto"/>
          <w:lang w:val="en-US" w:eastAsia="zh-CN"/>
        </w:rPr>
        <w:t>3、</w:t>
      </w:r>
      <w:r>
        <w:rPr>
          <w:rFonts w:hint="eastAsia"/>
          <w:color w:val="auto"/>
        </w:rPr>
        <w:t>给水系统</w:t>
      </w:r>
    </w:p>
    <w:p w14:paraId="69F05240">
      <w:pPr>
        <w:bidi w:val="0"/>
        <w:rPr>
          <w:rFonts w:hint="eastAsia"/>
          <w:color w:val="auto"/>
        </w:rPr>
      </w:pPr>
      <w:r>
        <w:rPr>
          <w:rFonts w:hint="eastAsia"/>
          <w:color w:val="auto"/>
          <w:lang w:eastAsia="zh-CN"/>
        </w:rPr>
        <w:t>（</w:t>
      </w:r>
      <w:r>
        <w:rPr>
          <w:rFonts w:hint="eastAsia"/>
          <w:color w:val="auto"/>
        </w:rPr>
        <w:t>1）给水标准</w:t>
      </w:r>
    </w:p>
    <w:p w14:paraId="62FABE15">
      <w:pPr>
        <w:bidi w:val="0"/>
        <w:rPr>
          <w:rFonts w:hint="eastAsia"/>
          <w:color w:val="auto"/>
        </w:rPr>
      </w:pPr>
      <w:r>
        <w:rPr>
          <w:rFonts w:hint="eastAsia"/>
          <w:color w:val="auto"/>
        </w:rPr>
        <w:t>选厂及生产辅助设施给水标准按生产工艺要求确定。</w:t>
      </w:r>
    </w:p>
    <w:p w14:paraId="7B78631F">
      <w:pPr>
        <w:bidi w:val="0"/>
        <w:rPr>
          <w:rFonts w:hint="eastAsia"/>
          <w:color w:val="auto"/>
        </w:rPr>
      </w:pPr>
      <w:r>
        <w:rPr>
          <w:rFonts w:hint="eastAsia"/>
          <w:color w:val="auto"/>
        </w:rPr>
        <w:t>生活区综合用水2.4m</w:t>
      </w:r>
      <w:r>
        <w:rPr>
          <w:rFonts w:hint="eastAsia"/>
          <w:color w:val="auto"/>
          <w:vertAlign w:val="superscript"/>
        </w:rPr>
        <w:t>3</w:t>
      </w:r>
      <w:r>
        <w:rPr>
          <w:rFonts w:hint="eastAsia"/>
          <w:color w:val="auto"/>
        </w:rPr>
        <w:t>/d。</w:t>
      </w:r>
    </w:p>
    <w:p w14:paraId="66639B81">
      <w:pPr>
        <w:bidi w:val="0"/>
        <w:rPr>
          <w:rFonts w:hint="eastAsia"/>
          <w:color w:val="auto"/>
        </w:rPr>
      </w:pPr>
      <w:r>
        <w:rPr>
          <w:rFonts w:hint="eastAsia"/>
          <w:color w:val="auto"/>
          <w:lang w:eastAsia="zh-CN"/>
        </w:rPr>
        <w:t>（</w:t>
      </w:r>
      <w:r>
        <w:rPr>
          <w:rFonts w:hint="eastAsia"/>
          <w:color w:val="auto"/>
        </w:rPr>
        <w:t>2）选厂生产给水系统</w:t>
      </w:r>
    </w:p>
    <w:p w14:paraId="080B7160">
      <w:pPr>
        <w:bidi w:val="0"/>
        <w:rPr>
          <w:rFonts w:hint="eastAsia"/>
          <w:color w:val="auto"/>
        </w:rPr>
      </w:pPr>
      <w:r>
        <w:rPr>
          <w:rFonts w:hint="eastAsia"/>
          <w:color w:val="auto"/>
        </w:rPr>
        <w:t>本项目用水大部分为精矿、尾矿脱水回水，回水返回回水池，用泵泵至选矿厂回水系统重复利用，满足生产要求。</w:t>
      </w:r>
    </w:p>
    <w:p w14:paraId="6D3087DF">
      <w:pPr>
        <w:bidi w:val="0"/>
        <w:rPr>
          <w:rFonts w:hint="eastAsia"/>
          <w:color w:val="auto"/>
        </w:rPr>
      </w:pPr>
      <w:r>
        <w:rPr>
          <w:rFonts w:hint="eastAsia"/>
          <w:color w:val="auto"/>
          <w:lang w:eastAsia="zh-CN"/>
        </w:rPr>
        <w:t>（</w:t>
      </w:r>
      <w:r>
        <w:rPr>
          <w:rFonts w:hint="eastAsia"/>
          <w:color w:val="auto"/>
        </w:rPr>
        <w:t>3）选厂供水系统</w:t>
      </w:r>
    </w:p>
    <w:p w14:paraId="7543CCBD">
      <w:pPr>
        <w:bidi w:val="0"/>
        <w:rPr>
          <w:rFonts w:hint="eastAsia"/>
          <w:color w:val="auto"/>
        </w:rPr>
      </w:pPr>
      <w:r>
        <w:rPr>
          <w:rFonts w:hint="eastAsia"/>
          <w:color w:val="auto"/>
        </w:rPr>
        <w:t>从选厂回水池接一根DN150×5，长约20m的管供至选厂附近，再从主管上接管，供至选厂房各个用水点，满足生产用水要求。管线敷设方式，根据现场情况定：穿越公路时，架设或是埋设。</w:t>
      </w:r>
    </w:p>
    <w:p w14:paraId="2AEE1E3F">
      <w:pPr>
        <w:bidi w:val="0"/>
        <w:rPr>
          <w:rFonts w:hint="eastAsia"/>
          <w:color w:val="auto"/>
        </w:rPr>
      </w:pPr>
      <w:r>
        <w:rPr>
          <w:rFonts w:hint="eastAsia"/>
          <w:color w:val="auto"/>
        </w:rPr>
        <w:t>磨矿区渣浆泵轴封用水要求为新水，从选厂原有生产新水系统接一根DN50管至磨矿机旁新建钢制水箱，水箱体积为1.5m³，尺寸：L×B×H：1.5×1×1.2m，在水箱旁设2台管道泵，一用一备，型号：XBD3.1/1-2.5GDL3，水泵及相关参数：Q=3.6m³/h，H=31m，n=2900r/min，N=1.1kW，水泵出口接DN20管道至渣浆泵处满足其轴封水要求。</w:t>
      </w:r>
    </w:p>
    <w:p w14:paraId="5EB19701">
      <w:pPr>
        <w:bidi w:val="0"/>
        <w:rPr>
          <w:rFonts w:hint="eastAsia"/>
          <w:color w:val="auto"/>
        </w:rPr>
      </w:pPr>
      <w:r>
        <w:rPr>
          <w:rFonts w:hint="eastAsia"/>
          <w:color w:val="auto"/>
          <w:lang w:eastAsia="zh-CN"/>
        </w:rPr>
        <w:t>（</w:t>
      </w:r>
      <w:r>
        <w:rPr>
          <w:rFonts w:hint="eastAsia"/>
          <w:color w:val="auto"/>
        </w:rPr>
        <w:t>4）回水系统</w:t>
      </w:r>
    </w:p>
    <w:p w14:paraId="644697E6">
      <w:pPr>
        <w:bidi w:val="0"/>
        <w:rPr>
          <w:rFonts w:hint="eastAsia"/>
          <w:color w:val="auto"/>
        </w:rPr>
      </w:pPr>
      <w:r>
        <w:rPr>
          <w:rFonts w:hint="eastAsia"/>
          <w:color w:val="auto"/>
        </w:rPr>
        <w:t>脱水后的尾矿水经管道自流输送到尾矿库，在尾矿库内经过降解自净、沉淀后经回水泵加压输送到回水池，作为生产用水。</w:t>
      </w:r>
    </w:p>
    <w:p w14:paraId="5C12EC76">
      <w:pPr>
        <w:bidi w:val="0"/>
        <w:rPr>
          <w:rFonts w:hint="eastAsia"/>
          <w:color w:val="auto"/>
        </w:rPr>
      </w:pPr>
      <w:r>
        <w:rPr>
          <w:rFonts w:hint="eastAsia"/>
          <w:color w:val="auto"/>
        </w:rPr>
        <w:t>尾矿回水量518.85m</w:t>
      </w:r>
      <w:r>
        <w:rPr>
          <w:rFonts w:hint="eastAsia"/>
          <w:color w:val="auto"/>
          <w:vertAlign w:val="superscript"/>
        </w:rPr>
        <w:t>3</w:t>
      </w:r>
      <w:r>
        <w:rPr>
          <w:rFonts w:hint="eastAsia"/>
          <w:color w:val="auto"/>
        </w:rPr>
        <w:t>/d（21.62m</w:t>
      </w:r>
      <w:r>
        <w:rPr>
          <w:rFonts w:hint="eastAsia"/>
          <w:color w:val="auto"/>
          <w:vertAlign w:val="superscript"/>
        </w:rPr>
        <w:t>3</w:t>
      </w:r>
      <w:r>
        <w:rPr>
          <w:rFonts w:hint="eastAsia"/>
          <w:color w:val="auto"/>
        </w:rPr>
        <w:t>/h），尾矿回水泵选用D50-50×4多级卧式离心泵2台，1台工作1台备用，水泵性能为Q=100m</w:t>
      </w:r>
      <w:r>
        <w:rPr>
          <w:rFonts w:hint="eastAsia"/>
          <w:color w:val="auto"/>
          <w:vertAlign w:val="superscript"/>
        </w:rPr>
        <w:t>3</w:t>
      </w:r>
      <w:r>
        <w:rPr>
          <w:rFonts w:hint="eastAsia"/>
          <w:color w:val="auto"/>
        </w:rPr>
        <w:t>/h，H=200m，P=12.5kW。</w:t>
      </w:r>
    </w:p>
    <w:p w14:paraId="159FF955">
      <w:pPr>
        <w:bidi w:val="0"/>
        <w:rPr>
          <w:rFonts w:hint="eastAsia"/>
          <w:color w:val="auto"/>
        </w:rPr>
      </w:pPr>
      <w:r>
        <w:rPr>
          <w:rFonts w:hint="eastAsia"/>
          <w:color w:val="auto"/>
        </w:rPr>
        <w:t>从回水泵房到回水高位水池的输送管道选用De200钢丝网骨架塑料复合钢管，输送距离约250m。</w:t>
      </w:r>
    </w:p>
    <w:p w14:paraId="559D8AC4">
      <w:pPr>
        <w:bidi w:val="0"/>
        <w:rPr>
          <w:rFonts w:hint="eastAsia"/>
          <w:color w:val="auto"/>
        </w:rPr>
      </w:pPr>
      <w:r>
        <w:rPr>
          <w:rFonts w:hint="eastAsia"/>
          <w:color w:val="auto"/>
        </w:rPr>
        <w:t>回水由经场地生产回水管网供给到磨浮车间返回工艺使用。</w:t>
      </w:r>
    </w:p>
    <w:p w14:paraId="5A9A8A71">
      <w:pPr>
        <w:bidi w:val="0"/>
        <w:rPr>
          <w:rFonts w:hint="eastAsia"/>
          <w:color w:val="auto"/>
        </w:rPr>
      </w:pPr>
      <w:r>
        <w:rPr>
          <w:rFonts w:hint="eastAsia"/>
          <w:color w:val="auto"/>
          <w:lang w:val="en-US" w:eastAsia="zh-CN"/>
        </w:rPr>
        <w:t>4、</w:t>
      </w:r>
      <w:r>
        <w:rPr>
          <w:rFonts w:hint="eastAsia"/>
          <w:color w:val="auto"/>
        </w:rPr>
        <w:t>排水</w:t>
      </w:r>
    </w:p>
    <w:p w14:paraId="28FB638E">
      <w:pPr>
        <w:bidi w:val="0"/>
        <w:rPr>
          <w:rFonts w:hint="eastAsia"/>
          <w:color w:val="auto"/>
        </w:rPr>
      </w:pPr>
      <w:r>
        <w:rPr>
          <w:rFonts w:hint="eastAsia"/>
          <w:color w:val="auto"/>
        </w:rPr>
        <w:t>本工程的所有生产排水，包括尾矿排水、设备冷却排水、车间洗手池排水等，均随尾矿一起排入尾矿库内，经尾矿库自然沉淀、澄清后，作为回水送至回水池供厂区各回水点回用。</w:t>
      </w:r>
    </w:p>
    <w:p w14:paraId="0F9B4122">
      <w:pPr>
        <w:bidi w:val="0"/>
        <w:rPr>
          <w:rFonts w:hint="eastAsia"/>
          <w:color w:val="auto"/>
        </w:rPr>
      </w:pPr>
      <w:r>
        <w:rPr>
          <w:rFonts w:hint="eastAsia"/>
          <w:color w:val="auto"/>
        </w:rPr>
        <w:t>选矿厂工业场地主要排水为磨浮车间排出的选矿废水、澄清槽、浓缩槽溢流水等。选矿车间排出的选矿废水与其它排水（精矿澄清槽溢流水、尾矿、浓缩、压滤后滤液）汇合自流送入尾矿库。尾矿在尾矿池内经过降解自净、沉淀后进入回水池，然后返回选厂使用，无外排水。</w:t>
      </w:r>
    </w:p>
    <w:p w14:paraId="3549B36C">
      <w:pPr>
        <w:bidi w:val="0"/>
        <w:rPr>
          <w:color w:val="auto"/>
        </w:rPr>
      </w:pPr>
      <w:r>
        <w:rPr>
          <w:rFonts w:hint="eastAsia"/>
          <w:color w:val="auto"/>
        </w:rPr>
        <w:t>本</w:t>
      </w:r>
      <w:r>
        <w:rPr>
          <w:rFonts w:hint="eastAsia"/>
          <w:color w:val="auto"/>
          <w:lang w:val="en-US" w:eastAsia="zh-CN"/>
        </w:rPr>
        <w:t>项目</w:t>
      </w:r>
      <w:r>
        <w:rPr>
          <w:rFonts w:hint="eastAsia"/>
          <w:color w:val="auto"/>
        </w:rPr>
        <w:t>生活排水量1.92m</w:t>
      </w:r>
      <w:r>
        <w:rPr>
          <w:rFonts w:hint="eastAsia"/>
          <w:color w:val="auto"/>
          <w:vertAlign w:val="superscript"/>
        </w:rPr>
        <w:t>3</w:t>
      </w:r>
      <w:r>
        <w:rPr>
          <w:rFonts w:hint="eastAsia"/>
          <w:color w:val="auto"/>
        </w:rPr>
        <w:t>/d，生活污水经化粪池处理后，再经一套处理能力为5m</w:t>
      </w:r>
      <w:r>
        <w:rPr>
          <w:rFonts w:hint="eastAsia"/>
          <w:color w:val="auto"/>
          <w:vertAlign w:val="superscript"/>
        </w:rPr>
        <w:t>3</w:t>
      </w:r>
      <w:r>
        <w:rPr>
          <w:rFonts w:hint="eastAsia"/>
          <w:color w:val="auto"/>
        </w:rPr>
        <w:t>/h的SEJ-5型一元化污水处理装置进行生活污水二级处理，使生活污水的排放达到国家《污水综合排放标准》（GB8978-1996）中的一级排放标准。经一元化污水处理装置处理后的生活污水，用于厂区绿化、浇洒路面。</w:t>
      </w:r>
    </w:p>
    <w:p w14:paraId="0CCB7BCE">
      <w:pPr>
        <w:pStyle w:val="4"/>
        <w:bidi w:val="0"/>
        <w:rPr>
          <w:rFonts w:hint="eastAsia"/>
          <w:color w:val="auto"/>
        </w:rPr>
      </w:pPr>
      <w:bookmarkStart w:id="117" w:name="_Toc15766"/>
      <w:r>
        <w:rPr>
          <w:rFonts w:hint="eastAsia"/>
          <w:color w:val="auto"/>
        </w:rPr>
        <w:t>5.4.3</w:t>
      </w:r>
      <w:r>
        <w:rPr>
          <w:rFonts w:hint="eastAsia"/>
          <w:color w:val="auto"/>
          <w:lang w:val="en-US" w:eastAsia="zh-CN"/>
        </w:rPr>
        <w:t xml:space="preserve"> </w:t>
      </w:r>
      <w:r>
        <w:rPr>
          <w:rFonts w:hint="eastAsia"/>
          <w:color w:val="auto"/>
        </w:rPr>
        <w:t>消防设施分析评价</w:t>
      </w:r>
      <w:bookmarkEnd w:id="117"/>
    </w:p>
    <w:p w14:paraId="786FCD6B">
      <w:pPr>
        <w:bidi w:val="0"/>
        <w:rPr>
          <w:rFonts w:hint="eastAsia"/>
          <w:color w:val="auto"/>
        </w:rPr>
      </w:pPr>
      <w:r>
        <w:rPr>
          <w:rFonts w:hint="eastAsia"/>
          <w:color w:val="auto"/>
        </w:rPr>
        <w:t>采用安全检查表法（SCL）对该单元进行符合性评价，见表5.4-2。</w:t>
      </w:r>
    </w:p>
    <w:p w14:paraId="6F2F7A24">
      <w:pPr>
        <w:pStyle w:val="29"/>
        <w:bidi w:val="0"/>
        <w:rPr>
          <w:color w:val="auto"/>
        </w:rPr>
      </w:pPr>
      <w:r>
        <w:rPr>
          <w:rFonts w:hint="eastAsia"/>
          <w:color w:val="auto"/>
        </w:rPr>
        <w:t>表5.4-2  消防设备及系统单元安全检查表</w:t>
      </w:r>
    </w:p>
    <w:tbl>
      <w:tblPr>
        <w:tblStyle w:val="20"/>
        <w:tblW w:w="920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63"/>
        <w:gridCol w:w="4733"/>
        <w:gridCol w:w="1718"/>
        <w:gridCol w:w="1501"/>
        <w:gridCol w:w="686"/>
      </w:tblGrid>
      <w:tr w14:paraId="7B4C1F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563" w:type="dxa"/>
            <w:noWrap w:val="0"/>
            <w:vAlign w:val="center"/>
          </w:tcPr>
          <w:p w14:paraId="7D8C3203">
            <w:pPr>
              <w:pStyle w:val="30"/>
              <w:bidi w:val="0"/>
              <w:rPr>
                <w:rFonts w:hint="default"/>
                <w:b/>
                <w:bCs/>
                <w:color w:val="auto"/>
              </w:rPr>
            </w:pPr>
            <w:r>
              <w:rPr>
                <w:rFonts w:hint="default"/>
                <w:b/>
                <w:bCs/>
                <w:color w:val="auto"/>
              </w:rPr>
              <w:t>序号</w:t>
            </w:r>
          </w:p>
        </w:tc>
        <w:tc>
          <w:tcPr>
            <w:tcW w:w="4733" w:type="dxa"/>
            <w:noWrap w:val="0"/>
            <w:vAlign w:val="center"/>
          </w:tcPr>
          <w:p w14:paraId="71D05EA2">
            <w:pPr>
              <w:pStyle w:val="30"/>
              <w:bidi w:val="0"/>
              <w:jc w:val="center"/>
              <w:rPr>
                <w:rFonts w:hint="default"/>
                <w:b/>
                <w:bCs/>
                <w:color w:val="auto"/>
              </w:rPr>
            </w:pPr>
            <w:r>
              <w:rPr>
                <w:rFonts w:hint="default"/>
                <w:b/>
                <w:bCs/>
                <w:color w:val="auto"/>
              </w:rPr>
              <w:t>检查项目和内容</w:t>
            </w:r>
          </w:p>
        </w:tc>
        <w:tc>
          <w:tcPr>
            <w:tcW w:w="1718" w:type="dxa"/>
            <w:noWrap w:val="0"/>
            <w:vAlign w:val="center"/>
          </w:tcPr>
          <w:p w14:paraId="24C68476">
            <w:pPr>
              <w:pStyle w:val="30"/>
              <w:bidi w:val="0"/>
              <w:rPr>
                <w:rFonts w:hint="default"/>
                <w:b/>
                <w:bCs/>
                <w:color w:val="auto"/>
              </w:rPr>
            </w:pPr>
            <w:r>
              <w:rPr>
                <w:rFonts w:hint="default"/>
                <w:b/>
                <w:bCs/>
                <w:color w:val="auto"/>
              </w:rPr>
              <w:t>检查依据</w:t>
            </w:r>
          </w:p>
        </w:tc>
        <w:tc>
          <w:tcPr>
            <w:tcW w:w="1501" w:type="dxa"/>
            <w:noWrap w:val="0"/>
            <w:vAlign w:val="center"/>
          </w:tcPr>
          <w:p w14:paraId="32EBBB98">
            <w:pPr>
              <w:pStyle w:val="30"/>
              <w:bidi w:val="0"/>
              <w:rPr>
                <w:rFonts w:hint="default"/>
                <w:b/>
                <w:bCs/>
                <w:color w:val="auto"/>
              </w:rPr>
            </w:pPr>
            <w:r>
              <w:rPr>
                <w:rFonts w:hint="default"/>
                <w:b/>
                <w:bCs/>
                <w:color w:val="auto"/>
              </w:rPr>
              <w:t>检查记录</w:t>
            </w:r>
          </w:p>
        </w:tc>
        <w:tc>
          <w:tcPr>
            <w:tcW w:w="686" w:type="dxa"/>
            <w:noWrap w:val="0"/>
            <w:vAlign w:val="center"/>
          </w:tcPr>
          <w:p w14:paraId="4FD7D0B2">
            <w:pPr>
              <w:pStyle w:val="30"/>
              <w:bidi w:val="0"/>
              <w:rPr>
                <w:rFonts w:hint="default"/>
                <w:b/>
                <w:bCs/>
                <w:color w:val="auto"/>
              </w:rPr>
            </w:pPr>
            <w:r>
              <w:rPr>
                <w:rFonts w:hint="default"/>
                <w:b/>
                <w:bCs/>
                <w:color w:val="auto"/>
              </w:rPr>
              <w:t>检查</w:t>
            </w:r>
          </w:p>
          <w:p w14:paraId="37E6D168">
            <w:pPr>
              <w:pStyle w:val="30"/>
              <w:bidi w:val="0"/>
              <w:rPr>
                <w:rFonts w:hint="default"/>
                <w:b/>
                <w:bCs/>
                <w:color w:val="auto"/>
              </w:rPr>
            </w:pPr>
            <w:r>
              <w:rPr>
                <w:rFonts w:hint="default"/>
                <w:b/>
                <w:bCs/>
                <w:color w:val="auto"/>
              </w:rPr>
              <w:t>结果</w:t>
            </w:r>
          </w:p>
        </w:tc>
      </w:tr>
      <w:tr w14:paraId="160B49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63" w:type="dxa"/>
            <w:noWrap w:val="0"/>
            <w:vAlign w:val="center"/>
          </w:tcPr>
          <w:p w14:paraId="547C69B1">
            <w:pPr>
              <w:pStyle w:val="30"/>
              <w:bidi w:val="0"/>
              <w:rPr>
                <w:rFonts w:hint="default"/>
                <w:color w:val="auto"/>
                <w:lang w:val="en-US" w:eastAsia="zh-CN"/>
              </w:rPr>
            </w:pPr>
            <w:r>
              <w:rPr>
                <w:rFonts w:hint="default"/>
                <w:color w:val="auto"/>
                <w:lang w:val="en-US" w:eastAsia="zh-CN"/>
              </w:rPr>
              <w:t>1</w:t>
            </w:r>
          </w:p>
        </w:tc>
        <w:tc>
          <w:tcPr>
            <w:tcW w:w="4733" w:type="dxa"/>
            <w:noWrap w:val="0"/>
            <w:vAlign w:val="center"/>
          </w:tcPr>
          <w:p w14:paraId="692D102F">
            <w:pPr>
              <w:pStyle w:val="30"/>
              <w:bidi w:val="0"/>
              <w:jc w:val="both"/>
              <w:rPr>
                <w:rFonts w:hint="default"/>
                <w:color w:val="auto"/>
              </w:rPr>
            </w:pPr>
            <w:r>
              <w:rPr>
                <w:rFonts w:hint="default"/>
                <w:color w:val="auto"/>
              </w:rPr>
              <w:t>厂区各建筑物内配置一定数量的手提式干粉灭火器。</w:t>
            </w:r>
          </w:p>
          <w:p w14:paraId="37856DFB">
            <w:pPr>
              <w:pStyle w:val="30"/>
              <w:bidi w:val="0"/>
              <w:jc w:val="both"/>
              <w:rPr>
                <w:rFonts w:hint="default"/>
                <w:color w:val="auto"/>
              </w:rPr>
            </w:pPr>
            <w:r>
              <w:rPr>
                <w:rFonts w:hint="default"/>
                <w:color w:val="auto"/>
              </w:rPr>
              <w:t>灭火器设置在位置明显、便于取用的地点，且不影响安全疏散。对有视线障碍的灭火器设置点，设置指示其位置的发光标志。</w:t>
            </w:r>
          </w:p>
          <w:p w14:paraId="0AD3F938">
            <w:pPr>
              <w:pStyle w:val="30"/>
              <w:bidi w:val="0"/>
              <w:jc w:val="both"/>
              <w:rPr>
                <w:rFonts w:hint="default"/>
                <w:color w:val="auto"/>
              </w:rPr>
            </w:pPr>
            <w:r>
              <w:rPr>
                <w:rFonts w:hint="default"/>
                <w:color w:val="auto"/>
              </w:rPr>
              <w:t>灭火器的摆放应稳固，其铭牌应朝外。手提式灭火器宜设置在灭火器箱内或挂钩、托架上，其顶部离地面高度不应大于1.50m；底部离地面不宜小于0.08m。灭火器箱不得上锁。</w:t>
            </w:r>
          </w:p>
          <w:p w14:paraId="49E29CB4">
            <w:pPr>
              <w:pStyle w:val="30"/>
              <w:bidi w:val="0"/>
              <w:jc w:val="both"/>
              <w:rPr>
                <w:rFonts w:hint="default"/>
                <w:color w:val="auto"/>
              </w:rPr>
            </w:pPr>
            <w:r>
              <w:rPr>
                <w:rFonts w:hint="default"/>
                <w:color w:val="auto"/>
              </w:rPr>
              <w:t>灭火救援用水泵接合器、室外消火栓等室外消防设施，应设置在距离建筑外墙相对安全的位置或采取安全防护措施；</w:t>
            </w:r>
          </w:p>
          <w:p w14:paraId="72E10A38">
            <w:pPr>
              <w:pStyle w:val="30"/>
              <w:bidi w:val="0"/>
              <w:jc w:val="both"/>
              <w:rPr>
                <w:rFonts w:hint="default"/>
                <w:color w:val="auto"/>
              </w:rPr>
            </w:pPr>
            <w:r>
              <w:rPr>
                <w:rFonts w:hint="default"/>
                <w:color w:val="auto"/>
              </w:rPr>
              <w:t>设置在建构筑物内外、供人员操作或使用的消防设施，区别于环境的明显标志。</w:t>
            </w:r>
          </w:p>
        </w:tc>
        <w:tc>
          <w:tcPr>
            <w:tcW w:w="1718" w:type="dxa"/>
            <w:noWrap w:val="0"/>
            <w:vAlign w:val="center"/>
          </w:tcPr>
          <w:p w14:paraId="7CA7552B">
            <w:pPr>
              <w:pStyle w:val="30"/>
              <w:bidi w:val="0"/>
              <w:rPr>
                <w:rFonts w:hint="default"/>
                <w:color w:val="auto"/>
                <w:lang w:val="zh-CN"/>
              </w:rPr>
            </w:pPr>
            <w:r>
              <w:rPr>
                <w:rFonts w:hint="default"/>
                <w:color w:val="auto"/>
                <w:lang w:val="zh-CN"/>
              </w:rPr>
              <w:t>《安全设施设计》</w:t>
            </w:r>
          </w:p>
          <w:p w14:paraId="285D640D">
            <w:pPr>
              <w:pStyle w:val="30"/>
              <w:bidi w:val="0"/>
              <w:rPr>
                <w:rFonts w:hint="default"/>
                <w:color w:val="auto"/>
              </w:rPr>
            </w:pPr>
            <w:r>
              <w:rPr>
                <w:rFonts w:hint="default"/>
                <w:color w:val="auto"/>
                <w:lang w:val="zh-CN"/>
              </w:rPr>
              <w:t>第</w:t>
            </w:r>
            <w:r>
              <w:rPr>
                <w:rFonts w:hint="default"/>
                <w:color w:val="auto"/>
              </w:rPr>
              <w:t>5.</w:t>
            </w:r>
            <w:r>
              <w:rPr>
                <w:rFonts w:hint="default"/>
                <w:color w:val="auto"/>
                <w:lang w:val="en-US" w:eastAsia="zh-CN"/>
              </w:rPr>
              <w:t>6.3</w:t>
            </w:r>
            <w:r>
              <w:rPr>
                <w:rFonts w:hint="default"/>
                <w:color w:val="auto"/>
                <w:lang w:val="zh-CN"/>
              </w:rPr>
              <w:t>节</w:t>
            </w:r>
          </w:p>
        </w:tc>
        <w:tc>
          <w:tcPr>
            <w:tcW w:w="1501" w:type="dxa"/>
            <w:noWrap w:val="0"/>
            <w:vAlign w:val="center"/>
          </w:tcPr>
          <w:p w14:paraId="73FED216">
            <w:pPr>
              <w:pStyle w:val="30"/>
              <w:bidi w:val="0"/>
              <w:rPr>
                <w:rFonts w:hint="default"/>
                <w:color w:val="auto"/>
              </w:rPr>
            </w:pPr>
            <w:r>
              <w:rPr>
                <w:rFonts w:hint="default"/>
                <w:color w:val="auto"/>
              </w:rPr>
              <w:t>项目已按照《安全设施设计》</w:t>
            </w:r>
            <w:r>
              <w:rPr>
                <w:rFonts w:hint="default"/>
                <w:color w:val="auto"/>
                <w:lang w:val="en-US" w:eastAsia="zh-CN"/>
              </w:rPr>
              <w:t>的要求</w:t>
            </w:r>
            <w:r>
              <w:rPr>
                <w:rFonts w:hint="default"/>
                <w:color w:val="auto"/>
              </w:rPr>
              <w:t>配置</w:t>
            </w:r>
            <w:r>
              <w:rPr>
                <w:rFonts w:hint="default"/>
                <w:color w:val="auto"/>
                <w:lang w:val="en-US" w:eastAsia="zh-CN"/>
              </w:rPr>
              <w:t>了</w:t>
            </w:r>
            <w:r>
              <w:rPr>
                <w:rFonts w:hint="default"/>
                <w:color w:val="auto"/>
              </w:rPr>
              <w:t>灭火器。</w:t>
            </w:r>
          </w:p>
        </w:tc>
        <w:tc>
          <w:tcPr>
            <w:tcW w:w="686" w:type="dxa"/>
            <w:noWrap w:val="0"/>
            <w:vAlign w:val="center"/>
          </w:tcPr>
          <w:p w14:paraId="16303C34">
            <w:pPr>
              <w:pStyle w:val="30"/>
              <w:bidi w:val="0"/>
              <w:rPr>
                <w:rFonts w:hint="default"/>
                <w:color w:val="auto"/>
              </w:rPr>
            </w:pPr>
            <w:r>
              <w:rPr>
                <w:rFonts w:hint="default"/>
                <w:color w:val="auto"/>
              </w:rPr>
              <w:t>符合</w:t>
            </w:r>
          </w:p>
        </w:tc>
      </w:tr>
      <w:tr w14:paraId="2AA6B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63" w:type="dxa"/>
            <w:noWrap w:val="0"/>
            <w:vAlign w:val="center"/>
          </w:tcPr>
          <w:p w14:paraId="3DEEE9AB">
            <w:pPr>
              <w:pStyle w:val="30"/>
              <w:bidi w:val="0"/>
              <w:rPr>
                <w:rFonts w:hint="default"/>
                <w:color w:val="auto"/>
                <w:lang w:val="en-US" w:eastAsia="zh-CN"/>
              </w:rPr>
            </w:pPr>
            <w:r>
              <w:rPr>
                <w:rFonts w:hint="default"/>
                <w:color w:val="auto"/>
                <w:lang w:val="en-US" w:eastAsia="zh-CN"/>
              </w:rPr>
              <w:t>2</w:t>
            </w:r>
          </w:p>
        </w:tc>
        <w:tc>
          <w:tcPr>
            <w:tcW w:w="4733" w:type="dxa"/>
            <w:noWrap w:val="0"/>
            <w:vAlign w:val="center"/>
          </w:tcPr>
          <w:p w14:paraId="090C0D0D">
            <w:pPr>
              <w:pStyle w:val="30"/>
              <w:bidi w:val="0"/>
              <w:jc w:val="both"/>
              <w:rPr>
                <w:rFonts w:hint="default"/>
                <w:color w:val="auto"/>
                <w:lang w:val="en-GB"/>
              </w:rPr>
            </w:pPr>
            <w:r>
              <w:rPr>
                <w:rFonts w:hint="default"/>
                <w:color w:val="auto"/>
                <w:lang w:val="en-GB"/>
              </w:rPr>
              <w:t>国务院住房和城乡建设主管部门规定应当申请消防验收的建设工程竣工，建设单位应当向住房和城乡建设主管部门申请消防验收。</w:t>
            </w:r>
          </w:p>
          <w:p w14:paraId="6979BDFE">
            <w:pPr>
              <w:pStyle w:val="30"/>
              <w:bidi w:val="0"/>
              <w:jc w:val="both"/>
              <w:rPr>
                <w:rFonts w:hint="default"/>
                <w:color w:val="auto"/>
                <w:lang w:val="en-GB"/>
              </w:rPr>
            </w:pPr>
            <w:r>
              <w:rPr>
                <w:rFonts w:hint="default"/>
                <w:color w:val="auto"/>
                <w:lang w:val="en-GB"/>
              </w:rPr>
              <w:t>前款规定以外的其他建设工程，建设单位在验收后应当报住房和城乡建设主管部门备案，住房和城乡建设主管部门应当进行抽查。</w:t>
            </w:r>
          </w:p>
          <w:p w14:paraId="661F7436">
            <w:pPr>
              <w:pStyle w:val="30"/>
              <w:bidi w:val="0"/>
              <w:jc w:val="both"/>
              <w:rPr>
                <w:rFonts w:hint="default"/>
                <w:color w:val="auto"/>
                <w:lang w:val="en-GB"/>
              </w:rPr>
            </w:pPr>
            <w:r>
              <w:rPr>
                <w:rFonts w:hint="default"/>
                <w:color w:val="auto"/>
                <w:lang w:val="en-GB"/>
              </w:rPr>
              <w:t>依法应当进行消防验收的建设工程，未经消防验收或者消防验收不合格的，禁止投入使用；其他建设工程经依法抽查不合格的，应当停止使用。</w:t>
            </w:r>
          </w:p>
        </w:tc>
        <w:tc>
          <w:tcPr>
            <w:tcW w:w="1718" w:type="dxa"/>
            <w:noWrap w:val="0"/>
            <w:vAlign w:val="center"/>
          </w:tcPr>
          <w:p w14:paraId="72911A88">
            <w:pPr>
              <w:pStyle w:val="30"/>
              <w:bidi w:val="0"/>
              <w:rPr>
                <w:rFonts w:hint="default"/>
                <w:color w:val="auto"/>
                <w:lang w:val="zh-CN"/>
              </w:rPr>
            </w:pPr>
            <w:r>
              <w:rPr>
                <w:rFonts w:hint="default"/>
                <w:color w:val="auto"/>
                <w:lang w:val="zh-CN"/>
              </w:rPr>
              <w:t>《中华人民共和国消防法》（国家主席令[2008]第6号，2021年4月29中华人民共和国主席令第81号修订</w:t>
            </w:r>
            <w:r>
              <w:rPr>
                <w:rFonts w:hint="eastAsia"/>
                <w:color w:val="auto"/>
                <w:lang w:val="zh-CN"/>
              </w:rPr>
              <w:t>）</w:t>
            </w:r>
          </w:p>
          <w:p w14:paraId="3B79FBCC">
            <w:pPr>
              <w:pStyle w:val="30"/>
              <w:bidi w:val="0"/>
              <w:rPr>
                <w:rFonts w:hint="default"/>
                <w:color w:val="auto"/>
                <w:lang w:val="zh-CN"/>
              </w:rPr>
            </w:pPr>
            <w:r>
              <w:rPr>
                <w:rFonts w:hint="default"/>
                <w:color w:val="auto"/>
                <w:lang w:val="zh-CN"/>
              </w:rPr>
              <w:t>第13条</w:t>
            </w:r>
          </w:p>
        </w:tc>
        <w:tc>
          <w:tcPr>
            <w:tcW w:w="1501" w:type="dxa"/>
            <w:noWrap w:val="0"/>
            <w:vAlign w:val="center"/>
          </w:tcPr>
          <w:p w14:paraId="64D1BEEB">
            <w:pPr>
              <w:pStyle w:val="30"/>
              <w:bidi w:val="0"/>
              <w:rPr>
                <w:rFonts w:hint="default"/>
                <w:color w:val="auto"/>
              </w:rPr>
            </w:pPr>
            <w:r>
              <w:rPr>
                <w:rFonts w:hint="eastAsia"/>
                <w:color w:val="auto"/>
                <w:lang w:val="en-US" w:eastAsia="zh-CN"/>
              </w:rPr>
              <w:t>本项目属技改项目，厂内工艺及火灾危险性类别未改变，不涉及消防设施的改造</w:t>
            </w:r>
            <w:r>
              <w:rPr>
                <w:rFonts w:hint="default"/>
                <w:color w:val="auto"/>
                <w:lang w:val="en-GB"/>
              </w:rPr>
              <w:t>。</w:t>
            </w:r>
          </w:p>
        </w:tc>
        <w:tc>
          <w:tcPr>
            <w:tcW w:w="686" w:type="dxa"/>
            <w:noWrap w:val="0"/>
            <w:vAlign w:val="center"/>
          </w:tcPr>
          <w:p w14:paraId="6F43178C">
            <w:pPr>
              <w:pStyle w:val="30"/>
              <w:bidi w:val="0"/>
              <w:rPr>
                <w:rFonts w:hint="eastAsia"/>
                <w:color w:val="auto"/>
                <w:lang w:eastAsia="zh-CN"/>
              </w:rPr>
            </w:pPr>
            <w:r>
              <w:rPr>
                <w:rFonts w:hint="eastAsia"/>
                <w:color w:val="auto"/>
                <w:lang w:val="en-US" w:eastAsia="zh-CN"/>
              </w:rPr>
              <w:t>不涉及</w:t>
            </w:r>
          </w:p>
        </w:tc>
      </w:tr>
      <w:tr w14:paraId="21E54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63" w:type="dxa"/>
            <w:noWrap w:val="0"/>
            <w:vAlign w:val="center"/>
          </w:tcPr>
          <w:p w14:paraId="591A33DC">
            <w:pPr>
              <w:pStyle w:val="30"/>
              <w:bidi w:val="0"/>
              <w:rPr>
                <w:rFonts w:hint="default"/>
                <w:color w:val="auto"/>
                <w:lang w:val="en-US" w:eastAsia="zh-CN"/>
              </w:rPr>
            </w:pPr>
            <w:r>
              <w:rPr>
                <w:rFonts w:hint="default"/>
                <w:color w:val="auto"/>
                <w:lang w:val="en-US" w:eastAsia="zh-CN"/>
              </w:rPr>
              <w:t>3</w:t>
            </w:r>
          </w:p>
        </w:tc>
        <w:tc>
          <w:tcPr>
            <w:tcW w:w="4733" w:type="dxa"/>
            <w:noWrap w:val="0"/>
            <w:vAlign w:val="center"/>
          </w:tcPr>
          <w:p w14:paraId="5ED3F636">
            <w:pPr>
              <w:pStyle w:val="30"/>
              <w:bidi w:val="0"/>
              <w:jc w:val="both"/>
              <w:rPr>
                <w:rFonts w:hint="default"/>
                <w:color w:val="auto"/>
                <w:lang w:val="en-GB"/>
              </w:rPr>
            </w:pPr>
            <w:r>
              <w:rPr>
                <w:rFonts w:hint="default"/>
                <w:color w:val="auto"/>
                <w:lang w:val="en-GB"/>
              </w:rPr>
              <w:t>第十四条具有下列情形之一的建设工程是特殊建设工程：</w:t>
            </w:r>
          </w:p>
          <w:p w14:paraId="6A342A9A">
            <w:pPr>
              <w:pStyle w:val="30"/>
              <w:bidi w:val="0"/>
              <w:jc w:val="both"/>
              <w:rPr>
                <w:rFonts w:hint="default"/>
                <w:color w:val="auto"/>
                <w:lang w:val="en-GB"/>
              </w:rPr>
            </w:pPr>
            <w:r>
              <w:rPr>
                <w:rFonts w:hint="default"/>
                <w:color w:val="auto"/>
                <w:lang w:val="en-GB" w:eastAsia="zh-CN"/>
              </w:rPr>
              <w:t>（</w:t>
            </w:r>
            <w:r>
              <w:rPr>
                <w:rFonts w:hint="default"/>
                <w:color w:val="auto"/>
                <w:lang w:val="en-GB"/>
              </w:rPr>
              <w:t>一</w:t>
            </w:r>
            <w:r>
              <w:rPr>
                <w:rFonts w:hint="eastAsia"/>
                <w:color w:val="auto"/>
                <w:lang w:val="en-GB" w:eastAsia="zh-CN"/>
              </w:rPr>
              <w:t>）</w:t>
            </w:r>
            <w:r>
              <w:rPr>
                <w:rFonts w:hint="default"/>
                <w:color w:val="auto"/>
                <w:lang w:val="en-GB"/>
              </w:rPr>
              <w:t>总建筑面积大于二万平方米的体育场馆、会堂，公共展览馆、博物馆的展示厅；</w:t>
            </w:r>
          </w:p>
          <w:p w14:paraId="200A86D7">
            <w:pPr>
              <w:pStyle w:val="30"/>
              <w:bidi w:val="0"/>
              <w:jc w:val="both"/>
              <w:rPr>
                <w:rFonts w:hint="default"/>
                <w:color w:val="auto"/>
                <w:lang w:val="en-GB"/>
              </w:rPr>
            </w:pPr>
            <w:r>
              <w:rPr>
                <w:rFonts w:hint="default"/>
                <w:color w:val="auto"/>
                <w:lang w:val="en-GB" w:eastAsia="zh-CN"/>
              </w:rPr>
              <w:t>（</w:t>
            </w:r>
            <w:r>
              <w:rPr>
                <w:rFonts w:hint="default"/>
                <w:color w:val="auto"/>
                <w:lang w:val="en-GB"/>
              </w:rPr>
              <w:t>二</w:t>
            </w:r>
            <w:r>
              <w:rPr>
                <w:rFonts w:hint="eastAsia"/>
                <w:color w:val="auto"/>
                <w:lang w:val="en-GB" w:eastAsia="zh-CN"/>
              </w:rPr>
              <w:t>）</w:t>
            </w:r>
            <w:r>
              <w:rPr>
                <w:rFonts w:hint="default"/>
                <w:color w:val="auto"/>
                <w:lang w:val="en-GB"/>
              </w:rPr>
              <w:t>总建筑面积大于一万五千平方米的民用机场航站楼、客运车站候车室、客运码头候船厅；</w:t>
            </w:r>
          </w:p>
          <w:p w14:paraId="7152FA62">
            <w:pPr>
              <w:pStyle w:val="30"/>
              <w:bidi w:val="0"/>
              <w:jc w:val="both"/>
              <w:rPr>
                <w:rFonts w:hint="default"/>
                <w:color w:val="auto"/>
                <w:lang w:val="en-GB"/>
              </w:rPr>
            </w:pPr>
            <w:r>
              <w:rPr>
                <w:rFonts w:hint="default"/>
                <w:color w:val="auto"/>
                <w:lang w:val="en-GB" w:eastAsia="zh-CN"/>
              </w:rPr>
              <w:t>（</w:t>
            </w:r>
            <w:r>
              <w:rPr>
                <w:rFonts w:hint="default"/>
                <w:color w:val="auto"/>
                <w:lang w:val="en-GB"/>
              </w:rPr>
              <w:t>三</w:t>
            </w:r>
            <w:r>
              <w:rPr>
                <w:rFonts w:hint="eastAsia"/>
                <w:color w:val="auto"/>
                <w:lang w:val="en-GB" w:eastAsia="zh-CN"/>
              </w:rPr>
              <w:t>）</w:t>
            </w:r>
            <w:r>
              <w:rPr>
                <w:rFonts w:hint="default"/>
                <w:color w:val="auto"/>
                <w:lang w:val="en-GB"/>
              </w:rPr>
              <w:t>总建筑面积大于一万平方米的宾馆、饭店、商场、市场；</w:t>
            </w:r>
          </w:p>
          <w:p w14:paraId="14046E83">
            <w:pPr>
              <w:pStyle w:val="30"/>
              <w:bidi w:val="0"/>
              <w:jc w:val="both"/>
              <w:rPr>
                <w:rFonts w:hint="default"/>
                <w:color w:val="auto"/>
                <w:lang w:val="en-GB"/>
              </w:rPr>
            </w:pPr>
            <w:r>
              <w:rPr>
                <w:rFonts w:hint="default"/>
                <w:color w:val="auto"/>
                <w:lang w:val="en-GB" w:eastAsia="zh-CN"/>
              </w:rPr>
              <w:t>（</w:t>
            </w:r>
            <w:r>
              <w:rPr>
                <w:rFonts w:hint="default"/>
                <w:color w:val="auto"/>
                <w:lang w:val="en-GB"/>
              </w:rPr>
              <w:t>四</w:t>
            </w:r>
            <w:r>
              <w:rPr>
                <w:rFonts w:hint="eastAsia"/>
                <w:color w:val="auto"/>
                <w:lang w:val="en-GB" w:eastAsia="zh-CN"/>
              </w:rPr>
              <w:t>）</w:t>
            </w:r>
            <w:r>
              <w:rPr>
                <w:rFonts w:hint="default"/>
                <w:color w:val="auto"/>
                <w:lang w:val="en-GB"/>
              </w:rPr>
              <w:t>总建筑面积大于二千五百平方米的影剧院，公共图书馆的阅览室，营业性室内健身、休闲场馆，医院的门诊楼，大学的教学楼、图书馆、食堂，劳动密集型企业的生产加工车间，寺庙、教堂；</w:t>
            </w:r>
          </w:p>
          <w:p w14:paraId="63DBA9DB">
            <w:pPr>
              <w:pStyle w:val="30"/>
              <w:bidi w:val="0"/>
              <w:jc w:val="both"/>
              <w:rPr>
                <w:rFonts w:hint="default"/>
                <w:color w:val="auto"/>
                <w:lang w:val="en-GB"/>
              </w:rPr>
            </w:pPr>
            <w:r>
              <w:rPr>
                <w:rFonts w:hint="default"/>
                <w:color w:val="auto"/>
                <w:lang w:val="en-GB" w:eastAsia="zh-CN"/>
              </w:rPr>
              <w:t>（</w:t>
            </w:r>
            <w:r>
              <w:rPr>
                <w:rFonts w:hint="default"/>
                <w:color w:val="auto"/>
                <w:lang w:val="en-GB"/>
              </w:rPr>
              <w:t>五</w:t>
            </w:r>
            <w:r>
              <w:rPr>
                <w:rFonts w:hint="eastAsia"/>
                <w:color w:val="auto"/>
                <w:lang w:val="en-GB" w:eastAsia="zh-CN"/>
              </w:rPr>
              <w:t>）</w:t>
            </w:r>
            <w:r>
              <w:rPr>
                <w:rFonts w:hint="default"/>
                <w:color w:val="auto"/>
                <w:lang w:val="en-GB"/>
              </w:rPr>
              <w:t>总建筑面积大于一千平方米的托儿所、幼儿园的儿童用房，儿童游乐厅等室内儿童活动场所，养老院、福利院，医院、疗养院的病房楼，中小学校的教学楼、图书馆、食堂，学校的集体宿舍，劳动密集型企业的员工集体宿舍；</w:t>
            </w:r>
          </w:p>
          <w:p w14:paraId="25C02357">
            <w:pPr>
              <w:pStyle w:val="30"/>
              <w:bidi w:val="0"/>
              <w:jc w:val="both"/>
              <w:rPr>
                <w:rFonts w:hint="default"/>
                <w:color w:val="auto"/>
                <w:lang w:val="en-GB"/>
              </w:rPr>
            </w:pPr>
            <w:r>
              <w:rPr>
                <w:rFonts w:hint="default"/>
                <w:color w:val="auto"/>
                <w:lang w:val="en-GB" w:eastAsia="zh-CN"/>
              </w:rPr>
              <w:t>（</w:t>
            </w:r>
            <w:r>
              <w:rPr>
                <w:rFonts w:hint="default"/>
                <w:color w:val="auto"/>
                <w:lang w:val="en-GB"/>
              </w:rPr>
              <w:t>六</w:t>
            </w:r>
            <w:r>
              <w:rPr>
                <w:rFonts w:hint="eastAsia"/>
                <w:color w:val="auto"/>
                <w:lang w:val="en-GB" w:eastAsia="zh-CN"/>
              </w:rPr>
              <w:t>）</w:t>
            </w:r>
            <w:r>
              <w:rPr>
                <w:rFonts w:hint="default"/>
                <w:color w:val="auto"/>
                <w:lang w:val="en-GB"/>
              </w:rPr>
              <w:t>总建筑面积大于五百平方米的歌舞厅、录像厅、放映厅、卡拉ＯＫ厅、夜总会、游艺厅、桑拿浴室、网吧、酒吧，具有娱乐功能的餐馆、茶馆、咖啡厅；</w:t>
            </w:r>
          </w:p>
          <w:p w14:paraId="12681E88">
            <w:pPr>
              <w:pStyle w:val="30"/>
              <w:bidi w:val="0"/>
              <w:jc w:val="both"/>
              <w:rPr>
                <w:rFonts w:hint="default"/>
                <w:color w:val="auto"/>
                <w:lang w:val="en-GB"/>
              </w:rPr>
            </w:pPr>
            <w:r>
              <w:rPr>
                <w:rFonts w:hint="default"/>
                <w:color w:val="auto"/>
                <w:lang w:val="en-GB" w:eastAsia="zh-CN"/>
              </w:rPr>
              <w:t>（</w:t>
            </w:r>
            <w:r>
              <w:rPr>
                <w:rFonts w:hint="default"/>
                <w:color w:val="auto"/>
                <w:lang w:val="en-GB"/>
              </w:rPr>
              <w:t>七</w:t>
            </w:r>
            <w:r>
              <w:rPr>
                <w:rFonts w:hint="eastAsia"/>
                <w:color w:val="auto"/>
                <w:lang w:val="en-GB" w:eastAsia="zh-CN"/>
              </w:rPr>
              <w:t>）</w:t>
            </w:r>
            <w:r>
              <w:rPr>
                <w:rFonts w:hint="default"/>
                <w:color w:val="auto"/>
                <w:lang w:val="en-GB"/>
              </w:rPr>
              <w:t>国家工程建设消防技术标准规定的一类高层住宅建筑；</w:t>
            </w:r>
          </w:p>
          <w:p w14:paraId="30B7EE00">
            <w:pPr>
              <w:pStyle w:val="30"/>
              <w:bidi w:val="0"/>
              <w:jc w:val="both"/>
              <w:rPr>
                <w:rFonts w:hint="default"/>
                <w:color w:val="auto"/>
                <w:lang w:val="en-GB"/>
              </w:rPr>
            </w:pPr>
            <w:r>
              <w:rPr>
                <w:rFonts w:hint="default"/>
                <w:color w:val="auto"/>
                <w:lang w:val="en-GB" w:eastAsia="zh-CN"/>
              </w:rPr>
              <w:t>（</w:t>
            </w:r>
            <w:r>
              <w:rPr>
                <w:rFonts w:hint="default"/>
                <w:color w:val="auto"/>
                <w:lang w:val="en-GB"/>
              </w:rPr>
              <w:t>八</w:t>
            </w:r>
            <w:r>
              <w:rPr>
                <w:rFonts w:hint="eastAsia"/>
                <w:color w:val="auto"/>
                <w:lang w:val="en-GB" w:eastAsia="zh-CN"/>
              </w:rPr>
              <w:t>）</w:t>
            </w:r>
            <w:r>
              <w:rPr>
                <w:rFonts w:hint="default"/>
                <w:color w:val="auto"/>
                <w:lang w:val="en-GB"/>
              </w:rPr>
              <w:t>城市轨道交通、隧道工程，大型发电、变配电工程；</w:t>
            </w:r>
          </w:p>
          <w:p w14:paraId="12D8B077">
            <w:pPr>
              <w:pStyle w:val="30"/>
              <w:bidi w:val="0"/>
              <w:jc w:val="both"/>
              <w:rPr>
                <w:rFonts w:hint="default"/>
                <w:color w:val="auto"/>
                <w:lang w:val="en-GB"/>
              </w:rPr>
            </w:pPr>
            <w:r>
              <w:rPr>
                <w:rFonts w:hint="default"/>
                <w:color w:val="auto"/>
                <w:lang w:val="en-GB" w:eastAsia="zh-CN"/>
              </w:rPr>
              <w:t>（</w:t>
            </w:r>
            <w:r>
              <w:rPr>
                <w:rFonts w:hint="default"/>
                <w:color w:val="auto"/>
                <w:lang w:val="en-GB"/>
              </w:rPr>
              <w:t>九</w:t>
            </w:r>
            <w:r>
              <w:rPr>
                <w:rFonts w:hint="eastAsia"/>
                <w:color w:val="auto"/>
                <w:lang w:val="en-GB" w:eastAsia="zh-CN"/>
              </w:rPr>
              <w:t>）</w:t>
            </w:r>
            <w:r>
              <w:rPr>
                <w:rFonts w:hint="default"/>
                <w:color w:val="auto"/>
                <w:lang w:val="en-GB"/>
              </w:rPr>
              <w:t>生产、储存、装卸易燃易爆危险物品的工厂、仓库和专用车站、码头，易燃易爆气体和液体的充装站、供应站、调压站；</w:t>
            </w:r>
          </w:p>
          <w:p w14:paraId="184C2DAD">
            <w:pPr>
              <w:pStyle w:val="30"/>
              <w:bidi w:val="0"/>
              <w:jc w:val="both"/>
              <w:rPr>
                <w:rFonts w:hint="default"/>
                <w:color w:val="auto"/>
                <w:lang w:val="en-GB"/>
              </w:rPr>
            </w:pPr>
            <w:r>
              <w:rPr>
                <w:rFonts w:hint="default"/>
                <w:color w:val="auto"/>
                <w:lang w:val="en-GB" w:eastAsia="zh-CN"/>
              </w:rPr>
              <w:t>（</w:t>
            </w:r>
            <w:r>
              <w:rPr>
                <w:rFonts w:hint="default"/>
                <w:color w:val="auto"/>
                <w:lang w:val="en-GB"/>
              </w:rPr>
              <w:t>十</w:t>
            </w:r>
            <w:r>
              <w:rPr>
                <w:rFonts w:hint="eastAsia"/>
                <w:color w:val="auto"/>
                <w:lang w:val="en-GB" w:eastAsia="zh-CN"/>
              </w:rPr>
              <w:t>）</w:t>
            </w:r>
            <w:r>
              <w:rPr>
                <w:rFonts w:hint="default"/>
                <w:color w:val="auto"/>
                <w:lang w:val="en-GB"/>
              </w:rPr>
              <w:t>国家机关办公楼、电力调度楼、电信楼、邮政楼、防灾指挥调度楼、广播电视楼、档案楼；</w:t>
            </w:r>
          </w:p>
          <w:p w14:paraId="68709323">
            <w:pPr>
              <w:pStyle w:val="30"/>
              <w:bidi w:val="0"/>
              <w:jc w:val="both"/>
              <w:rPr>
                <w:rFonts w:hint="default"/>
                <w:color w:val="auto"/>
                <w:lang w:val="en-GB"/>
              </w:rPr>
            </w:pPr>
            <w:r>
              <w:rPr>
                <w:rFonts w:hint="default"/>
                <w:color w:val="auto"/>
                <w:lang w:val="en-GB" w:eastAsia="zh-CN"/>
              </w:rPr>
              <w:t>（</w:t>
            </w:r>
            <w:r>
              <w:rPr>
                <w:rFonts w:hint="default"/>
                <w:color w:val="auto"/>
                <w:lang w:val="en-GB"/>
              </w:rPr>
              <w:t>十一</w:t>
            </w:r>
            <w:r>
              <w:rPr>
                <w:rFonts w:hint="eastAsia"/>
                <w:color w:val="auto"/>
                <w:lang w:val="en-GB" w:eastAsia="zh-CN"/>
              </w:rPr>
              <w:t>）</w:t>
            </w:r>
            <w:r>
              <w:rPr>
                <w:rFonts w:hint="default"/>
                <w:color w:val="auto"/>
                <w:lang w:val="en-GB"/>
              </w:rPr>
              <w:t>设有本条第一项至第六项所列情形的建设工程；</w:t>
            </w:r>
          </w:p>
          <w:p w14:paraId="67C4A45D">
            <w:pPr>
              <w:pStyle w:val="30"/>
              <w:bidi w:val="0"/>
              <w:jc w:val="both"/>
              <w:rPr>
                <w:rFonts w:hint="default"/>
                <w:color w:val="auto"/>
                <w:lang w:val="en-GB"/>
              </w:rPr>
            </w:pPr>
            <w:r>
              <w:rPr>
                <w:rFonts w:hint="default"/>
                <w:color w:val="auto"/>
                <w:lang w:val="en-GB" w:eastAsia="zh-CN"/>
              </w:rPr>
              <w:t>（</w:t>
            </w:r>
            <w:r>
              <w:rPr>
                <w:rFonts w:hint="default"/>
                <w:color w:val="auto"/>
                <w:lang w:val="en-GB"/>
              </w:rPr>
              <w:t>十二</w:t>
            </w:r>
            <w:r>
              <w:rPr>
                <w:rFonts w:hint="eastAsia"/>
                <w:color w:val="auto"/>
                <w:lang w:val="en-GB" w:eastAsia="zh-CN"/>
              </w:rPr>
              <w:t>）</w:t>
            </w:r>
            <w:r>
              <w:rPr>
                <w:rFonts w:hint="default"/>
                <w:color w:val="auto"/>
                <w:lang w:val="en-GB"/>
              </w:rPr>
              <w:t>本条第十项、第十一项规定以外的单体建筑面积大于四万平方米或者建筑高度超过五十米的公共建筑。</w:t>
            </w:r>
          </w:p>
          <w:p w14:paraId="4522BF9D">
            <w:pPr>
              <w:pStyle w:val="30"/>
              <w:bidi w:val="0"/>
              <w:jc w:val="both"/>
              <w:rPr>
                <w:rFonts w:hint="default"/>
                <w:color w:val="auto"/>
                <w:lang w:val="en-GB"/>
              </w:rPr>
            </w:pPr>
            <w:r>
              <w:rPr>
                <w:rFonts w:hint="default"/>
                <w:color w:val="auto"/>
                <w:lang w:val="en-GB"/>
              </w:rPr>
              <w:t>第二十六条对特殊建设工程实行消防验收制度。</w:t>
            </w:r>
          </w:p>
          <w:p w14:paraId="39EF29A9">
            <w:pPr>
              <w:pStyle w:val="30"/>
              <w:bidi w:val="0"/>
              <w:jc w:val="both"/>
              <w:rPr>
                <w:rFonts w:hint="default"/>
                <w:color w:val="auto"/>
                <w:lang w:val="en-GB"/>
              </w:rPr>
            </w:pPr>
            <w:r>
              <w:rPr>
                <w:rFonts w:hint="default"/>
                <w:color w:val="auto"/>
                <w:lang w:val="en-GB"/>
              </w:rPr>
              <w:t>特殊建设工程竣工验收后，建设单位应当向消防设计审查验收主管部门申请消防验收；未经消防验收或者消防验收不合格的，禁止投入使用。</w:t>
            </w:r>
          </w:p>
        </w:tc>
        <w:tc>
          <w:tcPr>
            <w:tcW w:w="1718" w:type="dxa"/>
            <w:noWrap w:val="0"/>
            <w:vAlign w:val="center"/>
          </w:tcPr>
          <w:p w14:paraId="06C69598">
            <w:pPr>
              <w:pStyle w:val="30"/>
              <w:bidi w:val="0"/>
              <w:rPr>
                <w:rFonts w:hint="default"/>
                <w:color w:val="auto"/>
                <w:lang w:val="zh-CN"/>
              </w:rPr>
            </w:pPr>
            <w:r>
              <w:rPr>
                <w:rFonts w:hint="default"/>
                <w:color w:val="auto"/>
                <w:lang w:val="zh-CN"/>
              </w:rPr>
              <w:t>《建设工程消防设计审查验收管理暂行规定》（中华人民共和国住房和城乡建设部令第51号，</w:t>
            </w:r>
            <w:r>
              <w:rPr>
                <w:rFonts w:hint="default"/>
                <w:color w:val="auto"/>
                <w:lang w:val="zh-CN"/>
              </w:rPr>
              <w:tab/>
            </w:r>
            <w:r>
              <w:rPr>
                <w:rFonts w:hint="default"/>
                <w:color w:val="auto"/>
                <w:lang w:val="zh-CN"/>
              </w:rPr>
              <w:t>2020年06月01日生效</w:t>
            </w:r>
            <w:r>
              <w:rPr>
                <w:rFonts w:hint="eastAsia"/>
                <w:color w:val="auto"/>
                <w:lang w:val="zh-CN"/>
              </w:rPr>
              <w:t>）</w:t>
            </w:r>
          </w:p>
        </w:tc>
        <w:tc>
          <w:tcPr>
            <w:tcW w:w="1501" w:type="dxa"/>
            <w:noWrap w:val="0"/>
            <w:vAlign w:val="center"/>
          </w:tcPr>
          <w:p w14:paraId="257F1B5C">
            <w:pPr>
              <w:pStyle w:val="30"/>
              <w:bidi w:val="0"/>
              <w:rPr>
                <w:rFonts w:hint="default"/>
                <w:color w:val="auto"/>
              </w:rPr>
            </w:pPr>
            <w:r>
              <w:rPr>
                <w:rFonts w:hint="default"/>
                <w:color w:val="auto"/>
              </w:rPr>
              <w:t>项目不属</w:t>
            </w:r>
            <w:r>
              <w:rPr>
                <w:rFonts w:hint="eastAsia"/>
                <w:color w:val="auto"/>
                <w:lang w:val="en-US" w:eastAsia="zh-CN"/>
              </w:rPr>
              <w:t>于</w:t>
            </w:r>
            <w:r>
              <w:rPr>
                <w:rFonts w:hint="default"/>
                <w:color w:val="auto"/>
                <w:lang w:val="en-GB"/>
              </w:rPr>
              <w:t>特殊建设工程。</w:t>
            </w:r>
          </w:p>
        </w:tc>
        <w:tc>
          <w:tcPr>
            <w:tcW w:w="686" w:type="dxa"/>
            <w:noWrap w:val="0"/>
            <w:vAlign w:val="center"/>
          </w:tcPr>
          <w:p w14:paraId="348C4E59">
            <w:pPr>
              <w:pStyle w:val="30"/>
              <w:bidi w:val="0"/>
              <w:rPr>
                <w:rFonts w:hint="eastAsia"/>
                <w:color w:val="auto"/>
                <w:lang w:val="en-US" w:eastAsia="zh-CN"/>
              </w:rPr>
            </w:pPr>
            <w:r>
              <w:rPr>
                <w:rFonts w:hint="eastAsia"/>
                <w:color w:val="auto"/>
                <w:lang w:val="en-US" w:eastAsia="zh-CN"/>
              </w:rPr>
              <w:t>不涉及</w:t>
            </w:r>
          </w:p>
        </w:tc>
      </w:tr>
      <w:tr w14:paraId="72807B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63" w:type="dxa"/>
            <w:noWrap w:val="0"/>
            <w:vAlign w:val="center"/>
          </w:tcPr>
          <w:p w14:paraId="14883661">
            <w:pPr>
              <w:pStyle w:val="30"/>
              <w:bidi w:val="0"/>
              <w:rPr>
                <w:rFonts w:hint="default"/>
                <w:color w:val="auto"/>
                <w:lang w:val="en-US" w:eastAsia="zh-CN"/>
              </w:rPr>
            </w:pPr>
            <w:r>
              <w:rPr>
                <w:rFonts w:hint="default"/>
                <w:color w:val="auto"/>
                <w:lang w:val="en-US" w:eastAsia="zh-CN"/>
              </w:rPr>
              <w:t>4</w:t>
            </w:r>
          </w:p>
        </w:tc>
        <w:tc>
          <w:tcPr>
            <w:tcW w:w="4733" w:type="dxa"/>
            <w:noWrap w:val="0"/>
            <w:vAlign w:val="center"/>
          </w:tcPr>
          <w:p w14:paraId="3E056C6E">
            <w:pPr>
              <w:pStyle w:val="30"/>
              <w:bidi w:val="0"/>
              <w:jc w:val="both"/>
              <w:rPr>
                <w:rFonts w:hint="default"/>
                <w:color w:val="auto"/>
                <w:lang w:val="en-GB"/>
              </w:rPr>
            </w:pPr>
            <w:r>
              <w:rPr>
                <w:rFonts w:hint="default"/>
                <w:color w:val="auto"/>
                <w:lang w:val="en-GB"/>
              </w:rPr>
              <w:t>第三十三条对其他建设工程实行备案抽查制度。</w:t>
            </w:r>
          </w:p>
          <w:p w14:paraId="3CAE4F22">
            <w:pPr>
              <w:pStyle w:val="30"/>
              <w:bidi w:val="0"/>
              <w:jc w:val="both"/>
              <w:rPr>
                <w:rFonts w:hint="default"/>
                <w:color w:val="auto"/>
                <w:lang w:val="en-GB"/>
              </w:rPr>
            </w:pPr>
            <w:r>
              <w:rPr>
                <w:rFonts w:hint="default"/>
                <w:color w:val="auto"/>
                <w:lang w:val="en-GB"/>
              </w:rPr>
              <w:t>其他建设工程经依法抽查不合格的，应当停止使用。</w:t>
            </w:r>
          </w:p>
        </w:tc>
        <w:tc>
          <w:tcPr>
            <w:tcW w:w="1718" w:type="dxa"/>
            <w:noWrap w:val="0"/>
            <w:vAlign w:val="center"/>
          </w:tcPr>
          <w:p w14:paraId="4B003B85">
            <w:pPr>
              <w:pStyle w:val="30"/>
              <w:bidi w:val="0"/>
              <w:rPr>
                <w:rFonts w:hint="default"/>
                <w:color w:val="auto"/>
                <w:lang w:val="zh-CN"/>
              </w:rPr>
            </w:pPr>
            <w:r>
              <w:rPr>
                <w:rFonts w:hint="default"/>
                <w:color w:val="auto"/>
                <w:lang w:val="zh-CN"/>
              </w:rPr>
              <w:t>《建设工程消防设计审查验收管理暂行规定》</w:t>
            </w:r>
          </w:p>
          <w:p w14:paraId="16A3076E">
            <w:pPr>
              <w:pStyle w:val="30"/>
              <w:bidi w:val="0"/>
              <w:rPr>
                <w:rFonts w:hint="default"/>
                <w:color w:val="auto"/>
                <w:lang w:val="zh-CN"/>
              </w:rPr>
            </w:pPr>
            <w:r>
              <w:rPr>
                <w:rFonts w:hint="default"/>
                <w:color w:val="auto"/>
                <w:lang w:val="zh-CN"/>
              </w:rPr>
              <w:t>（中华人民共和国住房和城乡建设部令第51号，</w:t>
            </w:r>
            <w:r>
              <w:rPr>
                <w:rFonts w:hint="default"/>
                <w:color w:val="auto"/>
                <w:lang w:val="zh-CN"/>
              </w:rPr>
              <w:tab/>
            </w:r>
            <w:r>
              <w:rPr>
                <w:rFonts w:hint="default"/>
                <w:color w:val="auto"/>
                <w:lang w:val="zh-CN"/>
              </w:rPr>
              <w:t>2020年06月01日生效</w:t>
            </w:r>
            <w:r>
              <w:rPr>
                <w:rFonts w:hint="eastAsia"/>
                <w:color w:val="auto"/>
                <w:lang w:val="zh-CN"/>
              </w:rPr>
              <w:t>）</w:t>
            </w:r>
          </w:p>
        </w:tc>
        <w:tc>
          <w:tcPr>
            <w:tcW w:w="1501" w:type="dxa"/>
            <w:noWrap w:val="0"/>
            <w:vAlign w:val="center"/>
          </w:tcPr>
          <w:p w14:paraId="1F44D83F">
            <w:pPr>
              <w:pStyle w:val="30"/>
              <w:bidi w:val="0"/>
              <w:rPr>
                <w:rFonts w:hint="default"/>
                <w:color w:val="auto"/>
              </w:rPr>
            </w:pPr>
            <w:r>
              <w:rPr>
                <w:rFonts w:hint="eastAsia"/>
                <w:color w:val="auto"/>
                <w:lang w:val="en-US" w:eastAsia="zh-CN"/>
              </w:rPr>
              <w:t>本项目属技改项目，厂内工艺及火灾危险性类别未改变，不涉及消防设施的改造</w:t>
            </w:r>
            <w:r>
              <w:rPr>
                <w:rFonts w:hint="default"/>
                <w:color w:val="auto"/>
                <w:lang w:val="en-GB"/>
              </w:rPr>
              <w:t>。</w:t>
            </w:r>
          </w:p>
        </w:tc>
        <w:tc>
          <w:tcPr>
            <w:tcW w:w="686" w:type="dxa"/>
            <w:noWrap w:val="0"/>
            <w:vAlign w:val="center"/>
          </w:tcPr>
          <w:p w14:paraId="22967F1F">
            <w:pPr>
              <w:pStyle w:val="30"/>
              <w:bidi w:val="0"/>
              <w:rPr>
                <w:rFonts w:hint="eastAsia"/>
                <w:color w:val="auto"/>
                <w:lang w:eastAsia="zh-CN"/>
              </w:rPr>
            </w:pPr>
            <w:r>
              <w:rPr>
                <w:rFonts w:hint="eastAsia"/>
                <w:color w:val="auto"/>
                <w:lang w:val="en-US" w:eastAsia="zh-CN"/>
              </w:rPr>
              <w:t>不涉及</w:t>
            </w:r>
          </w:p>
        </w:tc>
      </w:tr>
      <w:tr w14:paraId="103043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536" w:hRule="atLeast"/>
          <w:jc w:val="center"/>
        </w:trPr>
        <w:tc>
          <w:tcPr>
            <w:tcW w:w="563" w:type="dxa"/>
            <w:noWrap w:val="0"/>
            <w:vAlign w:val="center"/>
          </w:tcPr>
          <w:p w14:paraId="14A45A5A">
            <w:pPr>
              <w:pStyle w:val="30"/>
              <w:bidi w:val="0"/>
              <w:rPr>
                <w:rFonts w:hint="default"/>
                <w:color w:val="auto"/>
                <w:lang w:val="en-US" w:eastAsia="zh-CN"/>
              </w:rPr>
            </w:pPr>
            <w:r>
              <w:rPr>
                <w:rFonts w:hint="default"/>
                <w:color w:val="auto"/>
                <w:lang w:val="en-US" w:eastAsia="zh-CN"/>
              </w:rPr>
              <w:t>5</w:t>
            </w:r>
          </w:p>
        </w:tc>
        <w:tc>
          <w:tcPr>
            <w:tcW w:w="4733" w:type="dxa"/>
            <w:noWrap w:val="0"/>
            <w:vAlign w:val="center"/>
          </w:tcPr>
          <w:p w14:paraId="3D76978E">
            <w:pPr>
              <w:pStyle w:val="30"/>
              <w:bidi w:val="0"/>
              <w:jc w:val="both"/>
              <w:rPr>
                <w:rFonts w:hint="default"/>
                <w:color w:val="auto"/>
                <w:lang w:val="zh-CN"/>
              </w:rPr>
            </w:pPr>
            <w:r>
              <w:rPr>
                <w:rFonts w:hint="default"/>
                <w:color w:val="auto"/>
                <w:lang w:val="zh-CN"/>
              </w:rPr>
              <w:t>灭火器应设置在位置明显和便于取用的地点，且不得影响安全疏散。</w:t>
            </w:r>
          </w:p>
        </w:tc>
        <w:tc>
          <w:tcPr>
            <w:tcW w:w="1718" w:type="dxa"/>
            <w:noWrap w:val="0"/>
            <w:vAlign w:val="center"/>
          </w:tcPr>
          <w:p w14:paraId="7BAFB255">
            <w:pPr>
              <w:pStyle w:val="30"/>
              <w:bidi w:val="0"/>
              <w:rPr>
                <w:rFonts w:hint="default"/>
                <w:color w:val="auto"/>
                <w:lang w:val="zh-CN"/>
              </w:rPr>
            </w:pPr>
            <w:r>
              <w:rPr>
                <w:rFonts w:hint="default"/>
                <w:color w:val="auto"/>
                <w:lang w:val="zh-CN"/>
              </w:rPr>
              <w:t>《</w:t>
            </w:r>
            <w:r>
              <w:rPr>
                <w:rFonts w:hint="default"/>
                <w:color w:val="auto"/>
              </w:rPr>
              <w:t>建筑设计防火规范</w:t>
            </w:r>
            <w:r>
              <w:rPr>
                <w:rFonts w:hint="default"/>
                <w:color w:val="auto"/>
                <w:lang w:eastAsia="zh-CN"/>
              </w:rPr>
              <w:t>（</w:t>
            </w:r>
            <w:r>
              <w:rPr>
                <w:rFonts w:hint="default"/>
                <w:color w:val="auto"/>
              </w:rPr>
              <w:t>2018</w:t>
            </w:r>
            <w:r>
              <w:rPr>
                <w:rFonts w:hint="eastAsia"/>
                <w:color w:val="auto"/>
                <w:lang w:eastAsia="zh-CN"/>
              </w:rPr>
              <w:t>）</w:t>
            </w:r>
            <w:r>
              <w:rPr>
                <w:rFonts w:hint="default"/>
                <w:color w:val="auto"/>
                <w:lang w:val="zh-CN"/>
              </w:rPr>
              <w:t>（GB</w:t>
            </w:r>
            <w:r>
              <w:rPr>
                <w:rFonts w:hint="default"/>
                <w:color w:val="auto"/>
                <w:lang w:val="en-US" w:eastAsia="zh-CN"/>
              </w:rPr>
              <w:t xml:space="preserve"> </w:t>
            </w:r>
            <w:r>
              <w:rPr>
                <w:rFonts w:hint="default"/>
                <w:color w:val="auto"/>
                <w:lang w:val="zh-CN"/>
              </w:rPr>
              <w:t>50016-2014</w:t>
            </w:r>
            <w:r>
              <w:rPr>
                <w:rFonts w:hint="eastAsia"/>
                <w:color w:val="auto"/>
                <w:lang w:val="zh-CN"/>
              </w:rPr>
              <w:t>）</w:t>
            </w:r>
          </w:p>
          <w:p w14:paraId="3F97DB88">
            <w:pPr>
              <w:pStyle w:val="30"/>
              <w:bidi w:val="0"/>
              <w:rPr>
                <w:rFonts w:hint="default"/>
                <w:color w:val="auto"/>
                <w:lang w:val="en-US" w:eastAsia="zh-CN"/>
              </w:rPr>
            </w:pPr>
            <w:r>
              <w:rPr>
                <w:rFonts w:hint="default"/>
                <w:color w:val="auto"/>
                <w:lang w:val="en-US" w:eastAsia="zh-CN"/>
              </w:rPr>
              <w:t>第5.1.1条</w:t>
            </w:r>
          </w:p>
        </w:tc>
        <w:tc>
          <w:tcPr>
            <w:tcW w:w="1501" w:type="dxa"/>
            <w:noWrap w:val="0"/>
            <w:vAlign w:val="center"/>
          </w:tcPr>
          <w:p w14:paraId="5B006705">
            <w:pPr>
              <w:pStyle w:val="30"/>
              <w:bidi w:val="0"/>
              <w:rPr>
                <w:rFonts w:hint="default"/>
                <w:color w:val="auto"/>
                <w:lang w:val="zh-CN"/>
              </w:rPr>
            </w:pPr>
            <w:r>
              <w:rPr>
                <w:rFonts w:hint="default"/>
                <w:color w:val="auto"/>
                <w:lang w:val="zh-CN"/>
              </w:rPr>
              <w:t>灭火器设置在位置明显和便于取用的地点，且不影响安全疏散。</w:t>
            </w:r>
          </w:p>
        </w:tc>
        <w:tc>
          <w:tcPr>
            <w:tcW w:w="686" w:type="dxa"/>
            <w:noWrap w:val="0"/>
            <w:vAlign w:val="center"/>
          </w:tcPr>
          <w:p w14:paraId="513AC217">
            <w:pPr>
              <w:pStyle w:val="30"/>
              <w:bidi w:val="0"/>
              <w:rPr>
                <w:rFonts w:hint="default"/>
                <w:color w:val="auto"/>
              </w:rPr>
            </w:pPr>
            <w:r>
              <w:rPr>
                <w:rFonts w:hint="default"/>
                <w:color w:val="auto"/>
              </w:rPr>
              <w:t>符合</w:t>
            </w:r>
          </w:p>
        </w:tc>
      </w:tr>
      <w:tr w14:paraId="340F9D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63" w:type="dxa"/>
            <w:noWrap w:val="0"/>
            <w:vAlign w:val="center"/>
          </w:tcPr>
          <w:p w14:paraId="00C41234">
            <w:pPr>
              <w:pStyle w:val="30"/>
              <w:bidi w:val="0"/>
              <w:rPr>
                <w:rFonts w:hint="default"/>
                <w:color w:val="auto"/>
                <w:lang w:val="en-US" w:eastAsia="zh-CN"/>
              </w:rPr>
            </w:pPr>
            <w:r>
              <w:rPr>
                <w:rFonts w:hint="eastAsia"/>
                <w:color w:val="auto"/>
                <w:lang w:val="en-US" w:eastAsia="zh-CN"/>
              </w:rPr>
              <w:t>6</w:t>
            </w:r>
          </w:p>
        </w:tc>
        <w:tc>
          <w:tcPr>
            <w:tcW w:w="4733" w:type="dxa"/>
            <w:noWrap w:val="0"/>
            <w:vAlign w:val="center"/>
          </w:tcPr>
          <w:p w14:paraId="68DB62C1">
            <w:pPr>
              <w:pStyle w:val="30"/>
              <w:bidi w:val="0"/>
              <w:jc w:val="both"/>
              <w:rPr>
                <w:rFonts w:hint="default"/>
                <w:color w:val="auto"/>
                <w:lang w:val="en-US" w:eastAsia="zh-CN"/>
              </w:rPr>
            </w:pPr>
            <w:r>
              <w:rPr>
                <w:rFonts w:hint="default"/>
                <w:color w:val="auto"/>
                <w:lang w:val="en-US" w:eastAsia="zh-CN"/>
              </w:rPr>
              <w:t>灭火器应设置在明显和便于取用的地点且应不影响人员安全疏散。</w:t>
            </w:r>
          </w:p>
        </w:tc>
        <w:tc>
          <w:tcPr>
            <w:tcW w:w="1718" w:type="dxa"/>
            <w:noWrap w:val="0"/>
            <w:vAlign w:val="center"/>
          </w:tcPr>
          <w:p w14:paraId="5F6B5B30">
            <w:pPr>
              <w:pStyle w:val="30"/>
              <w:bidi w:val="0"/>
              <w:rPr>
                <w:rFonts w:hint="eastAsia"/>
                <w:color w:val="auto"/>
                <w:lang w:eastAsia="zh-CN"/>
              </w:rPr>
            </w:pPr>
            <w:r>
              <w:rPr>
                <w:rFonts w:hint="default"/>
                <w:color w:val="auto"/>
                <w:lang w:val="zh-CN"/>
              </w:rPr>
              <w:t>《</w:t>
            </w:r>
            <w:r>
              <w:rPr>
                <w:rFonts w:hint="default"/>
                <w:color w:val="auto"/>
                <w:lang w:val="en-US" w:eastAsia="zh-CN"/>
              </w:rPr>
              <w:t>消防设施通用规范</w:t>
            </w:r>
            <w:r>
              <w:rPr>
                <w:rFonts w:hint="default"/>
                <w:color w:val="auto"/>
                <w:lang w:val="zh-CN"/>
              </w:rPr>
              <w:t>》</w:t>
            </w:r>
            <w:r>
              <w:rPr>
                <w:rFonts w:hint="default"/>
                <w:color w:val="auto"/>
                <w:lang w:eastAsia="zh-CN"/>
              </w:rPr>
              <w:t>（</w:t>
            </w:r>
            <w:r>
              <w:rPr>
                <w:rFonts w:hint="default"/>
                <w:color w:val="auto"/>
              </w:rPr>
              <w:t>GB</w:t>
            </w:r>
            <w:r>
              <w:rPr>
                <w:rFonts w:hint="default"/>
                <w:color w:val="auto"/>
                <w:lang w:val="en-US" w:eastAsia="zh-CN"/>
              </w:rPr>
              <w:t xml:space="preserve"> </w:t>
            </w:r>
            <w:r>
              <w:rPr>
                <w:rFonts w:hint="default"/>
                <w:color w:val="auto"/>
              </w:rPr>
              <w:t>5</w:t>
            </w:r>
            <w:r>
              <w:rPr>
                <w:rFonts w:hint="eastAsia"/>
                <w:color w:val="auto"/>
                <w:lang w:val="en-US" w:eastAsia="zh-CN"/>
              </w:rPr>
              <w:t>5</w:t>
            </w:r>
            <w:r>
              <w:rPr>
                <w:rFonts w:hint="default"/>
                <w:color w:val="auto"/>
              </w:rPr>
              <w:t>0</w:t>
            </w:r>
            <w:r>
              <w:rPr>
                <w:rFonts w:hint="default"/>
                <w:color w:val="auto"/>
                <w:lang w:val="en-US" w:eastAsia="zh-CN"/>
              </w:rPr>
              <w:t>3</w:t>
            </w:r>
            <w:r>
              <w:rPr>
                <w:rFonts w:hint="default"/>
                <w:color w:val="auto"/>
              </w:rPr>
              <w:t>6-20</w:t>
            </w:r>
            <w:r>
              <w:rPr>
                <w:rFonts w:hint="default"/>
                <w:color w:val="auto"/>
                <w:lang w:val="en-US" w:eastAsia="zh-CN"/>
              </w:rPr>
              <w:t>22</w:t>
            </w:r>
            <w:r>
              <w:rPr>
                <w:rFonts w:hint="eastAsia"/>
                <w:color w:val="auto"/>
                <w:lang w:eastAsia="zh-CN"/>
              </w:rPr>
              <w:t>）</w:t>
            </w:r>
          </w:p>
          <w:p w14:paraId="4BB2659E">
            <w:pPr>
              <w:pStyle w:val="30"/>
              <w:bidi w:val="0"/>
              <w:rPr>
                <w:rFonts w:hint="default"/>
                <w:color w:val="auto"/>
                <w:lang w:val="en-US" w:eastAsia="zh-CN"/>
              </w:rPr>
            </w:pPr>
            <w:r>
              <w:rPr>
                <w:rFonts w:hint="default"/>
                <w:color w:val="auto"/>
                <w:lang w:val="en-US" w:eastAsia="zh-CN"/>
              </w:rPr>
              <w:t>10.0.4</w:t>
            </w:r>
          </w:p>
        </w:tc>
        <w:tc>
          <w:tcPr>
            <w:tcW w:w="1501" w:type="dxa"/>
            <w:noWrap w:val="0"/>
            <w:vAlign w:val="center"/>
          </w:tcPr>
          <w:p w14:paraId="190A0442">
            <w:pPr>
              <w:pStyle w:val="30"/>
              <w:bidi w:val="0"/>
              <w:rPr>
                <w:rFonts w:hint="default"/>
                <w:color w:val="auto"/>
                <w:lang w:val="en-US" w:eastAsia="zh-CN"/>
              </w:rPr>
            </w:pPr>
            <w:r>
              <w:rPr>
                <w:rFonts w:hint="default"/>
                <w:color w:val="auto"/>
                <w:lang w:val="en-US" w:eastAsia="zh-CN"/>
              </w:rPr>
              <w:t>灭火器的设置位置明显，均不影响人员疏散。</w:t>
            </w:r>
          </w:p>
        </w:tc>
        <w:tc>
          <w:tcPr>
            <w:tcW w:w="686" w:type="dxa"/>
            <w:noWrap w:val="0"/>
            <w:vAlign w:val="center"/>
          </w:tcPr>
          <w:p w14:paraId="5D049FCC">
            <w:pPr>
              <w:pStyle w:val="30"/>
              <w:bidi w:val="0"/>
              <w:rPr>
                <w:rFonts w:hint="default"/>
                <w:color w:val="auto"/>
              </w:rPr>
            </w:pPr>
            <w:r>
              <w:rPr>
                <w:rFonts w:hint="default"/>
                <w:color w:val="auto"/>
              </w:rPr>
              <w:t>符合</w:t>
            </w:r>
          </w:p>
        </w:tc>
      </w:tr>
      <w:tr w14:paraId="5C56BD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261" w:hRule="atLeast"/>
          <w:jc w:val="center"/>
        </w:trPr>
        <w:tc>
          <w:tcPr>
            <w:tcW w:w="563" w:type="dxa"/>
            <w:noWrap w:val="0"/>
            <w:vAlign w:val="center"/>
          </w:tcPr>
          <w:p w14:paraId="7EDD1F3D">
            <w:pPr>
              <w:pStyle w:val="30"/>
              <w:bidi w:val="0"/>
              <w:rPr>
                <w:rFonts w:hint="eastAsia" w:eastAsia="宋体"/>
                <w:color w:val="auto"/>
                <w:lang w:eastAsia="zh-CN"/>
              </w:rPr>
            </w:pPr>
            <w:r>
              <w:rPr>
                <w:rFonts w:hint="eastAsia"/>
                <w:color w:val="auto"/>
                <w:lang w:val="en-US" w:eastAsia="zh-CN"/>
              </w:rPr>
              <w:t>7</w:t>
            </w:r>
          </w:p>
        </w:tc>
        <w:tc>
          <w:tcPr>
            <w:tcW w:w="4733" w:type="dxa"/>
            <w:noWrap w:val="0"/>
            <w:vAlign w:val="center"/>
          </w:tcPr>
          <w:p w14:paraId="22583492">
            <w:pPr>
              <w:pStyle w:val="30"/>
              <w:bidi w:val="0"/>
              <w:jc w:val="both"/>
              <w:rPr>
                <w:rFonts w:hint="default"/>
                <w:color w:val="auto"/>
              </w:rPr>
            </w:pPr>
            <w:r>
              <w:rPr>
                <w:rFonts w:hint="default"/>
                <w:color w:val="auto"/>
              </w:rPr>
              <w:t>按照国家标准、行业标准配置消防设施、器材，设置消防安全标志，并定期组织检验、维修，确保完好有效。</w:t>
            </w:r>
          </w:p>
        </w:tc>
        <w:tc>
          <w:tcPr>
            <w:tcW w:w="1718" w:type="dxa"/>
            <w:noWrap w:val="0"/>
            <w:vAlign w:val="center"/>
          </w:tcPr>
          <w:p w14:paraId="676E3EA7">
            <w:pPr>
              <w:pStyle w:val="30"/>
              <w:bidi w:val="0"/>
              <w:rPr>
                <w:rFonts w:hint="default"/>
                <w:color w:val="auto"/>
              </w:rPr>
            </w:pPr>
            <w:r>
              <w:rPr>
                <w:rFonts w:hint="default"/>
                <w:color w:val="auto"/>
                <w:lang w:val="en-GB"/>
              </w:rPr>
              <w:t>《中华人民共和国消防法》</w:t>
            </w:r>
            <w:r>
              <w:rPr>
                <w:rFonts w:hint="eastAsia"/>
                <w:color w:val="auto"/>
                <w:lang w:val="en-GB" w:eastAsia="zh-CN"/>
              </w:rPr>
              <w:t>（</w:t>
            </w:r>
            <w:r>
              <w:rPr>
                <w:rFonts w:hint="default"/>
                <w:color w:val="auto"/>
                <w:lang w:val="en-GB"/>
              </w:rPr>
              <w:t>国家主席令[2008]第6号，2021年4月29中华人民共和国主席令第81号修订</w:t>
            </w:r>
            <w:r>
              <w:rPr>
                <w:rFonts w:hint="eastAsia"/>
                <w:color w:val="auto"/>
                <w:lang w:val="en-GB" w:eastAsia="zh-CN"/>
              </w:rPr>
              <w:t>）</w:t>
            </w:r>
            <w:r>
              <w:rPr>
                <w:rFonts w:hint="default"/>
                <w:color w:val="auto"/>
                <w:lang w:val="en-GB"/>
              </w:rPr>
              <w:t>第16.2条</w:t>
            </w:r>
          </w:p>
        </w:tc>
        <w:tc>
          <w:tcPr>
            <w:tcW w:w="1501" w:type="dxa"/>
            <w:noWrap w:val="0"/>
            <w:vAlign w:val="center"/>
          </w:tcPr>
          <w:p w14:paraId="4606FFCB">
            <w:pPr>
              <w:pStyle w:val="30"/>
              <w:bidi w:val="0"/>
              <w:rPr>
                <w:rFonts w:hint="default"/>
                <w:color w:val="auto"/>
              </w:rPr>
            </w:pPr>
            <w:r>
              <w:rPr>
                <w:rFonts w:hint="default"/>
                <w:color w:val="auto"/>
                <w:lang w:val="en-GB"/>
              </w:rPr>
              <w:t>按</w:t>
            </w:r>
            <w:r>
              <w:rPr>
                <w:rFonts w:hint="default"/>
                <w:color w:val="auto"/>
              </w:rPr>
              <w:t>照国家标准、行业标准配置消防设施、器材</w:t>
            </w:r>
            <w:r>
              <w:rPr>
                <w:rFonts w:hint="default"/>
                <w:color w:val="auto"/>
                <w:lang w:val="en-GB"/>
              </w:rPr>
              <w:t>。</w:t>
            </w:r>
          </w:p>
        </w:tc>
        <w:tc>
          <w:tcPr>
            <w:tcW w:w="686" w:type="dxa"/>
            <w:noWrap w:val="0"/>
            <w:vAlign w:val="center"/>
          </w:tcPr>
          <w:p w14:paraId="543EB4B1">
            <w:pPr>
              <w:pStyle w:val="30"/>
              <w:bidi w:val="0"/>
              <w:rPr>
                <w:rFonts w:hint="default"/>
                <w:color w:val="auto"/>
              </w:rPr>
            </w:pPr>
            <w:r>
              <w:rPr>
                <w:rFonts w:hint="default"/>
                <w:color w:val="auto"/>
              </w:rPr>
              <w:t>符合</w:t>
            </w:r>
          </w:p>
        </w:tc>
      </w:tr>
    </w:tbl>
    <w:p w14:paraId="78FD503B">
      <w:pPr>
        <w:pStyle w:val="4"/>
        <w:bidi w:val="0"/>
        <w:rPr>
          <w:rFonts w:hint="eastAsia"/>
          <w:color w:val="auto"/>
        </w:rPr>
      </w:pPr>
      <w:bookmarkStart w:id="118" w:name="_Toc16170"/>
      <w:r>
        <w:rPr>
          <w:rFonts w:hint="eastAsia"/>
          <w:color w:val="auto"/>
        </w:rPr>
        <w:t>5.4.4</w:t>
      </w:r>
      <w:r>
        <w:rPr>
          <w:rFonts w:hint="eastAsia"/>
          <w:color w:val="auto"/>
          <w:lang w:val="en-US" w:eastAsia="zh-CN"/>
        </w:rPr>
        <w:t xml:space="preserve"> </w:t>
      </w:r>
      <w:r>
        <w:rPr>
          <w:rFonts w:hint="eastAsia"/>
          <w:color w:val="auto"/>
        </w:rPr>
        <w:t>通风、采光</w:t>
      </w:r>
      <w:bookmarkEnd w:id="118"/>
    </w:p>
    <w:p w14:paraId="174AE49C">
      <w:pPr>
        <w:bidi w:val="0"/>
        <w:rPr>
          <w:rFonts w:hint="eastAsia"/>
          <w:color w:val="auto"/>
        </w:rPr>
      </w:pPr>
      <w:r>
        <w:rPr>
          <w:rFonts w:hint="eastAsia"/>
          <w:color w:val="auto"/>
        </w:rPr>
        <w:t>根据《工业企业总平面设计规范》（GB 50187-2012）、《选矿安全规程》（GB/T 18152-2000）等规范标准，编制如下安全检查表进行现状检查评价。</w:t>
      </w:r>
    </w:p>
    <w:p w14:paraId="6E91BD9F">
      <w:pPr>
        <w:pStyle w:val="29"/>
        <w:bidi w:val="0"/>
        <w:rPr>
          <w:color w:val="auto"/>
        </w:rPr>
      </w:pPr>
      <w:r>
        <w:rPr>
          <w:rFonts w:hint="eastAsia"/>
          <w:color w:val="auto"/>
        </w:rPr>
        <w:t>表5.4-3  通风、采光设施安全检查表</w:t>
      </w:r>
    </w:p>
    <w:tbl>
      <w:tblPr>
        <w:tblStyle w:val="20"/>
        <w:tblW w:w="0" w:type="auto"/>
        <w:jc w:val="center"/>
        <w:tblLayout w:type="fixed"/>
        <w:tblCellMar>
          <w:top w:w="0" w:type="dxa"/>
          <w:left w:w="108" w:type="dxa"/>
          <w:bottom w:w="0" w:type="dxa"/>
          <w:right w:w="108" w:type="dxa"/>
        </w:tblCellMar>
      </w:tblPr>
      <w:tblGrid>
        <w:gridCol w:w="672"/>
        <w:gridCol w:w="2828"/>
        <w:gridCol w:w="2111"/>
        <w:gridCol w:w="1828"/>
        <w:gridCol w:w="1742"/>
      </w:tblGrid>
      <w:tr w14:paraId="0FFEA11F">
        <w:tblPrEx>
          <w:tblCellMar>
            <w:top w:w="0" w:type="dxa"/>
            <w:left w:w="108" w:type="dxa"/>
            <w:bottom w:w="0" w:type="dxa"/>
            <w:right w:w="108" w:type="dxa"/>
          </w:tblCellMar>
        </w:tblPrEx>
        <w:trPr>
          <w:trHeight w:val="0" w:hRule="atLeast"/>
          <w:tblHeader/>
          <w:jc w:val="center"/>
        </w:trPr>
        <w:tc>
          <w:tcPr>
            <w:tcW w:w="672" w:type="dxa"/>
            <w:tcBorders>
              <w:top w:val="single" w:color="auto" w:sz="6" w:space="0"/>
              <w:left w:val="single" w:color="auto" w:sz="6" w:space="0"/>
              <w:bottom w:val="single" w:color="auto" w:sz="6" w:space="0"/>
              <w:right w:val="single" w:color="auto" w:sz="6" w:space="0"/>
            </w:tcBorders>
            <w:noWrap w:val="0"/>
            <w:vAlign w:val="center"/>
          </w:tcPr>
          <w:p w14:paraId="4F845F6C">
            <w:pPr>
              <w:pStyle w:val="30"/>
              <w:bidi w:val="0"/>
              <w:rPr>
                <w:rFonts w:hint="default"/>
                <w:b/>
                <w:bCs/>
                <w:color w:val="auto"/>
              </w:rPr>
            </w:pPr>
            <w:r>
              <w:rPr>
                <w:rFonts w:hint="default"/>
                <w:b/>
                <w:bCs/>
                <w:color w:val="auto"/>
                <w:lang w:val="zh-CN"/>
              </w:rPr>
              <w:t>序号</w:t>
            </w:r>
          </w:p>
        </w:tc>
        <w:tc>
          <w:tcPr>
            <w:tcW w:w="2828" w:type="dxa"/>
            <w:tcBorders>
              <w:top w:val="single" w:color="auto" w:sz="6" w:space="0"/>
              <w:left w:val="single" w:color="auto" w:sz="6" w:space="0"/>
              <w:bottom w:val="single" w:color="auto" w:sz="6" w:space="0"/>
              <w:right w:val="single" w:color="auto" w:sz="6" w:space="0"/>
            </w:tcBorders>
            <w:noWrap w:val="0"/>
            <w:vAlign w:val="center"/>
          </w:tcPr>
          <w:p w14:paraId="41019BE5">
            <w:pPr>
              <w:pStyle w:val="30"/>
              <w:bidi w:val="0"/>
              <w:rPr>
                <w:rFonts w:hint="default"/>
                <w:b/>
                <w:bCs/>
                <w:color w:val="auto"/>
              </w:rPr>
            </w:pPr>
            <w:r>
              <w:rPr>
                <w:rFonts w:hint="default"/>
                <w:b/>
                <w:bCs/>
                <w:color w:val="auto"/>
                <w:lang w:val="zh-CN"/>
              </w:rPr>
              <w:t>检查内容</w:t>
            </w:r>
          </w:p>
        </w:tc>
        <w:tc>
          <w:tcPr>
            <w:tcW w:w="2111" w:type="dxa"/>
            <w:tcBorders>
              <w:top w:val="single" w:color="auto" w:sz="6" w:space="0"/>
              <w:left w:val="single" w:color="auto" w:sz="6" w:space="0"/>
              <w:bottom w:val="single" w:color="auto" w:sz="6" w:space="0"/>
              <w:right w:val="single" w:color="auto" w:sz="6" w:space="0"/>
            </w:tcBorders>
            <w:noWrap w:val="0"/>
            <w:vAlign w:val="center"/>
          </w:tcPr>
          <w:p w14:paraId="25BF7A15">
            <w:pPr>
              <w:pStyle w:val="30"/>
              <w:bidi w:val="0"/>
              <w:rPr>
                <w:rFonts w:hint="default"/>
                <w:b/>
                <w:bCs/>
                <w:color w:val="auto"/>
              </w:rPr>
            </w:pPr>
            <w:r>
              <w:rPr>
                <w:rFonts w:hint="default"/>
                <w:b/>
                <w:bCs/>
                <w:color w:val="auto"/>
                <w:lang w:val="zh-CN"/>
              </w:rPr>
              <w:t>标准依据</w:t>
            </w:r>
          </w:p>
        </w:tc>
        <w:tc>
          <w:tcPr>
            <w:tcW w:w="1828" w:type="dxa"/>
            <w:tcBorders>
              <w:top w:val="single" w:color="auto" w:sz="6" w:space="0"/>
              <w:left w:val="single" w:color="auto" w:sz="6" w:space="0"/>
              <w:bottom w:val="single" w:color="auto" w:sz="6" w:space="0"/>
              <w:right w:val="single" w:color="auto" w:sz="6" w:space="0"/>
            </w:tcBorders>
            <w:noWrap w:val="0"/>
            <w:vAlign w:val="center"/>
          </w:tcPr>
          <w:p w14:paraId="4BF6C243">
            <w:pPr>
              <w:pStyle w:val="30"/>
              <w:bidi w:val="0"/>
              <w:rPr>
                <w:rFonts w:hint="default"/>
                <w:b/>
                <w:bCs/>
                <w:color w:val="auto"/>
              </w:rPr>
            </w:pPr>
            <w:r>
              <w:rPr>
                <w:rFonts w:hint="default"/>
                <w:b/>
                <w:bCs/>
                <w:color w:val="auto"/>
                <w:lang w:val="zh-CN"/>
              </w:rPr>
              <w:t>检查记录</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38F30021">
            <w:pPr>
              <w:pStyle w:val="30"/>
              <w:bidi w:val="0"/>
              <w:rPr>
                <w:rFonts w:hint="default"/>
                <w:b/>
                <w:bCs/>
                <w:color w:val="auto"/>
              </w:rPr>
            </w:pPr>
            <w:r>
              <w:rPr>
                <w:rFonts w:hint="default"/>
                <w:b/>
                <w:bCs/>
                <w:color w:val="auto"/>
                <w:lang w:val="zh-CN"/>
              </w:rPr>
              <w:t>评价结论</w:t>
            </w:r>
          </w:p>
        </w:tc>
      </w:tr>
      <w:tr w14:paraId="3FA88046">
        <w:tblPrEx>
          <w:tblCellMar>
            <w:top w:w="0" w:type="dxa"/>
            <w:left w:w="108" w:type="dxa"/>
            <w:bottom w:w="0" w:type="dxa"/>
            <w:right w:w="108" w:type="dxa"/>
          </w:tblCellMar>
        </w:tblPrEx>
        <w:trPr>
          <w:trHeight w:val="0" w:hRule="atLeast"/>
          <w:jc w:val="center"/>
        </w:trPr>
        <w:tc>
          <w:tcPr>
            <w:tcW w:w="672" w:type="dxa"/>
            <w:tcBorders>
              <w:top w:val="single" w:color="auto" w:sz="6" w:space="0"/>
              <w:left w:val="single" w:color="auto" w:sz="6" w:space="0"/>
              <w:bottom w:val="single" w:color="auto" w:sz="6" w:space="0"/>
              <w:right w:val="single" w:color="auto" w:sz="6" w:space="0"/>
            </w:tcBorders>
            <w:noWrap w:val="0"/>
            <w:vAlign w:val="center"/>
          </w:tcPr>
          <w:p w14:paraId="2DFF1CCF">
            <w:pPr>
              <w:pStyle w:val="30"/>
              <w:bidi w:val="0"/>
              <w:rPr>
                <w:rFonts w:hint="default"/>
                <w:color w:val="auto"/>
                <w:lang w:val="zh-CN"/>
              </w:rPr>
            </w:pPr>
            <w:r>
              <w:rPr>
                <w:rFonts w:hint="default"/>
                <w:color w:val="auto"/>
                <w:lang w:val="zh-CN"/>
              </w:rPr>
              <w:t>1</w:t>
            </w:r>
          </w:p>
        </w:tc>
        <w:tc>
          <w:tcPr>
            <w:tcW w:w="2828" w:type="dxa"/>
            <w:tcBorders>
              <w:top w:val="single" w:color="auto" w:sz="6" w:space="0"/>
              <w:left w:val="single" w:color="auto" w:sz="6" w:space="0"/>
              <w:bottom w:val="single" w:color="auto" w:sz="6" w:space="0"/>
              <w:right w:val="single" w:color="auto" w:sz="6" w:space="0"/>
            </w:tcBorders>
            <w:noWrap w:val="0"/>
            <w:vAlign w:val="center"/>
          </w:tcPr>
          <w:p w14:paraId="14EEBB92">
            <w:pPr>
              <w:pStyle w:val="30"/>
              <w:bidi w:val="0"/>
              <w:rPr>
                <w:rFonts w:hint="default"/>
                <w:color w:val="auto"/>
                <w:lang w:val="zh-CN"/>
              </w:rPr>
            </w:pPr>
            <w:r>
              <w:rPr>
                <w:rFonts w:hint="default"/>
                <w:color w:val="auto"/>
                <w:lang w:val="zh-CN"/>
              </w:rPr>
              <w:t>在居民区建厂时，厂址应位于居民区常年最小风频方向的上风侧。在山区建厂时，应根据当地小区气象，确定厂区与居民区的位置。</w:t>
            </w:r>
          </w:p>
        </w:tc>
        <w:tc>
          <w:tcPr>
            <w:tcW w:w="2111" w:type="dxa"/>
            <w:tcBorders>
              <w:top w:val="single" w:color="auto" w:sz="6" w:space="0"/>
              <w:left w:val="single" w:color="auto" w:sz="6" w:space="0"/>
              <w:bottom w:val="single" w:color="auto" w:sz="6" w:space="0"/>
              <w:right w:val="single" w:color="auto" w:sz="6" w:space="0"/>
            </w:tcBorders>
            <w:noWrap w:val="0"/>
            <w:vAlign w:val="center"/>
          </w:tcPr>
          <w:p w14:paraId="44ACF77A">
            <w:pPr>
              <w:pStyle w:val="30"/>
              <w:bidi w:val="0"/>
              <w:rPr>
                <w:rFonts w:hint="eastAsia"/>
                <w:color w:val="auto"/>
                <w:lang w:eastAsia="zh-CN"/>
              </w:rPr>
            </w:pPr>
            <w:r>
              <w:rPr>
                <w:rFonts w:hint="default"/>
                <w:color w:val="auto"/>
              </w:rPr>
              <w:t>《选矿安全规程》</w:t>
            </w:r>
            <w:r>
              <w:rPr>
                <w:rFonts w:hint="eastAsia"/>
                <w:color w:val="auto"/>
                <w:lang w:eastAsia="zh-CN"/>
              </w:rPr>
              <w:t>（GB/T 18152-2000）</w:t>
            </w:r>
          </w:p>
          <w:p w14:paraId="168A9FF7">
            <w:pPr>
              <w:pStyle w:val="30"/>
              <w:bidi w:val="0"/>
              <w:rPr>
                <w:rFonts w:hint="default"/>
                <w:color w:val="auto"/>
              </w:rPr>
            </w:pPr>
            <w:r>
              <w:rPr>
                <w:rFonts w:hint="default"/>
                <w:color w:val="auto"/>
              </w:rPr>
              <w:t>5.1.6</w:t>
            </w:r>
          </w:p>
        </w:tc>
        <w:tc>
          <w:tcPr>
            <w:tcW w:w="1828" w:type="dxa"/>
            <w:tcBorders>
              <w:top w:val="single" w:color="auto" w:sz="6" w:space="0"/>
              <w:left w:val="single" w:color="auto" w:sz="6" w:space="0"/>
              <w:bottom w:val="single" w:color="auto" w:sz="6" w:space="0"/>
              <w:right w:val="single" w:color="auto" w:sz="6" w:space="0"/>
            </w:tcBorders>
            <w:noWrap w:val="0"/>
            <w:vAlign w:val="center"/>
          </w:tcPr>
          <w:p w14:paraId="21EFE8E5">
            <w:pPr>
              <w:pStyle w:val="30"/>
              <w:bidi w:val="0"/>
              <w:rPr>
                <w:rFonts w:hint="default"/>
                <w:color w:val="auto"/>
                <w:lang w:val="zh-CN"/>
              </w:rPr>
            </w:pPr>
            <w:r>
              <w:rPr>
                <w:rFonts w:hint="default"/>
                <w:color w:val="auto"/>
                <w:lang w:val="zh-CN"/>
              </w:rPr>
              <w:t>该区域常年主导风向为西南风，附近的村庄位于</w:t>
            </w:r>
            <w:r>
              <w:rPr>
                <w:rFonts w:hint="default"/>
                <w:color w:val="auto"/>
                <w:lang w:val="en-US" w:eastAsia="zh-CN"/>
              </w:rPr>
              <w:t>西北侧</w:t>
            </w:r>
            <w:r>
              <w:rPr>
                <w:rFonts w:hint="default"/>
                <w:color w:val="auto"/>
                <w:lang w:val="zh-CN"/>
              </w:rPr>
              <w:t>，符合选址要求。</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58547E42">
            <w:pPr>
              <w:pStyle w:val="30"/>
              <w:bidi w:val="0"/>
              <w:rPr>
                <w:rFonts w:hint="default"/>
                <w:color w:val="auto"/>
                <w:lang w:val="zh-CN"/>
              </w:rPr>
            </w:pPr>
            <w:r>
              <w:rPr>
                <w:rFonts w:hint="default"/>
                <w:color w:val="auto"/>
                <w:lang w:val="zh-CN"/>
              </w:rPr>
              <w:t>符合</w:t>
            </w:r>
          </w:p>
        </w:tc>
      </w:tr>
      <w:tr w14:paraId="00882FF6">
        <w:tblPrEx>
          <w:tblCellMar>
            <w:top w:w="0" w:type="dxa"/>
            <w:left w:w="108" w:type="dxa"/>
            <w:bottom w:w="0" w:type="dxa"/>
            <w:right w:w="108" w:type="dxa"/>
          </w:tblCellMar>
        </w:tblPrEx>
        <w:trPr>
          <w:trHeight w:val="0" w:hRule="atLeast"/>
          <w:jc w:val="center"/>
        </w:trPr>
        <w:tc>
          <w:tcPr>
            <w:tcW w:w="672" w:type="dxa"/>
            <w:tcBorders>
              <w:top w:val="single" w:color="auto" w:sz="6" w:space="0"/>
              <w:left w:val="single" w:color="auto" w:sz="6" w:space="0"/>
              <w:bottom w:val="single" w:color="auto" w:sz="6" w:space="0"/>
              <w:right w:val="single" w:color="auto" w:sz="6" w:space="0"/>
            </w:tcBorders>
            <w:noWrap w:val="0"/>
            <w:vAlign w:val="center"/>
          </w:tcPr>
          <w:p w14:paraId="0ECB4581">
            <w:pPr>
              <w:pStyle w:val="30"/>
              <w:bidi w:val="0"/>
              <w:rPr>
                <w:rFonts w:hint="default"/>
                <w:color w:val="auto"/>
              </w:rPr>
            </w:pPr>
            <w:r>
              <w:rPr>
                <w:rFonts w:hint="default"/>
                <w:color w:val="auto"/>
              </w:rPr>
              <w:t>2</w:t>
            </w:r>
          </w:p>
        </w:tc>
        <w:tc>
          <w:tcPr>
            <w:tcW w:w="2828" w:type="dxa"/>
            <w:tcBorders>
              <w:top w:val="single" w:color="auto" w:sz="6" w:space="0"/>
              <w:left w:val="single" w:color="auto" w:sz="6" w:space="0"/>
              <w:bottom w:val="single" w:color="auto" w:sz="6" w:space="0"/>
              <w:right w:val="single" w:color="auto" w:sz="6" w:space="0"/>
            </w:tcBorders>
            <w:noWrap w:val="0"/>
            <w:vAlign w:val="center"/>
          </w:tcPr>
          <w:p w14:paraId="0E7E689B">
            <w:pPr>
              <w:pStyle w:val="30"/>
              <w:bidi w:val="0"/>
              <w:rPr>
                <w:rFonts w:hint="default"/>
                <w:color w:val="auto"/>
              </w:rPr>
            </w:pPr>
            <w:r>
              <w:rPr>
                <w:rFonts w:hint="default"/>
                <w:color w:val="auto"/>
                <w:lang w:val="zh-CN"/>
              </w:rPr>
              <w:t>总平面布置，应结合当地气象条件，使建筑物具有良好的朝向、采光和自然通风条件。高温、热加工、有特殊要求和人员较多的建筑物，应避免西晒 。</w:t>
            </w:r>
          </w:p>
        </w:tc>
        <w:tc>
          <w:tcPr>
            <w:tcW w:w="2111" w:type="dxa"/>
            <w:tcBorders>
              <w:top w:val="single" w:color="auto" w:sz="6" w:space="0"/>
              <w:left w:val="single" w:color="auto" w:sz="6" w:space="0"/>
              <w:bottom w:val="single" w:color="auto" w:sz="6" w:space="0"/>
              <w:right w:val="single" w:color="auto" w:sz="6" w:space="0"/>
            </w:tcBorders>
            <w:noWrap w:val="0"/>
            <w:vAlign w:val="center"/>
          </w:tcPr>
          <w:p w14:paraId="340524C7">
            <w:pPr>
              <w:pStyle w:val="30"/>
              <w:bidi w:val="0"/>
              <w:rPr>
                <w:rFonts w:hint="default"/>
                <w:color w:val="auto"/>
                <w:lang w:val="zh-CN"/>
              </w:rPr>
            </w:pPr>
            <w:r>
              <w:rPr>
                <w:rFonts w:hint="default"/>
                <w:color w:val="auto"/>
                <w:lang w:val="zh-CN"/>
              </w:rPr>
              <w:t>《工业企业总平面设计规范》</w:t>
            </w:r>
          </w:p>
          <w:p w14:paraId="3646B3DD">
            <w:pPr>
              <w:pStyle w:val="30"/>
              <w:bidi w:val="0"/>
              <w:rPr>
                <w:rFonts w:hint="default"/>
                <w:color w:val="auto"/>
                <w:lang w:val="zh-CN"/>
              </w:rPr>
            </w:pPr>
            <w:r>
              <w:rPr>
                <w:rFonts w:hint="default"/>
                <w:color w:val="auto"/>
                <w:lang w:val="zh-CN"/>
              </w:rPr>
              <w:t>（GB</w:t>
            </w:r>
            <w:r>
              <w:rPr>
                <w:rFonts w:hint="default"/>
                <w:color w:val="auto"/>
                <w:lang w:val="en-US" w:eastAsia="zh-CN"/>
              </w:rPr>
              <w:t xml:space="preserve"> </w:t>
            </w:r>
            <w:r>
              <w:rPr>
                <w:rFonts w:hint="default"/>
                <w:color w:val="auto"/>
                <w:lang w:val="zh-CN"/>
              </w:rPr>
              <w:t>50187</w:t>
            </w:r>
            <w:r>
              <w:rPr>
                <w:rFonts w:hint="default"/>
                <w:color w:val="auto"/>
                <w:lang w:val="en-US" w:eastAsia="zh-CN"/>
              </w:rPr>
              <w:t>-</w:t>
            </w:r>
            <w:r>
              <w:rPr>
                <w:rFonts w:hint="default"/>
                <w:color w:val="auto"/>
                <w:lang w:val="zh-CN"/>
              </w:rPr>
              <w:t>2012</w:t>
            </w:r>
            <w:r>
              <w:rPr>
                <w:rFonts w:hint="eastAsia"/>
                <w:color w:val="auto"/>
                <w:lang w:val="zh-CN"/>
              </w:rPr>
              <w:t>）</w:t>
            </w:r>
          </w:p>
          <w:p w14:paraId="39DAED20">
            <w:pPr>
              <w:pStyle w:val="30"/>
              <w:bidi w:val="0"/>
              <w:rPr>
                <w:rFonts w:hint="default"/>
                <w:color w:val="auto"/>
                <w:lang w:val="zh-CN"/>
              </w:rPr>
            </w:pPr>
            <w:r>
              <w:rPr>
                <w:rFonts w:hint="default"/>
                <w:color w:val="auto"/>
                <w:lang w:val="zh-CN"/>
              </w:rPr>
              <w:t>5.1.6</w:t>
            </w:r>
          </w:p>
        </w:tc>
        <w:tc>
          <w:tcPr>
            <w:tcW w:w="1828" w:type="dxa"/>
            <w:tcBorders>
              <w:top w:val="single" w:color="auto" w:sz="6" w:space="0"/>
              <w:left w:val="single" w:color="auto" w:sz="6" w:space="0"/>
              <w:bottom w:val="single" w:color="auto" w:sz="6" w:space="0"/>
              <w:right w:val="single" w:color="auto" w:sz="6" w:space="0"/>
            </w:tcBorders>
            <w:noWrap w:val="0"/>
            <w:vAlign w:val="center"/>
          </w:tcPr>
          <w:p w14:paraId="1C827F62">
            <w:pPr>
              <w:pStyle w:val="30"/>
              <w:bidi w:val="0"/>
              <w:rPr>
                <w:rFonts w:hint="default"/>
                <w:color w:val="auto"/>
                <w:lang w:val="zh-CN"/>
              </w:rPr>
            </w:pPr>
            <w:r>
              <w:rPr>
                <w:rFonts w:hint="default"/>
                <w:color w:val="auto"/>
                <w:lang w:val="zh-CN"/>
              </w:rPr>
              <w:t>选厂主要建筑物室内有良好的朝向、采光和自然通风条件。</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26F8E139">
            <w:pPr>
              <w:pStyle w:val="30"/>
              <w:bidi w:val="0"/>
              <w:rPr>
                <w:rFonts w:hint="default"/>
                <w:color w:val="auto"/>
              </w:rPr>
            </w:pPr>
            <w:r>
              <w:rPr>
                <w:rFonts w:hint="default"/>
                <w:color w:val="auto"/>
              </w:rPr>
              <w:t>符合</w:t>
            </w:r>
          </w:p>
        </w:tc>
      </w:tr>
      <w:tr w14:paraId="33EC6EDB">
        <w:tblPrEx>
          <w:tblCellMar>
            <w:top w:w="0" w:type="dxa"/>
            <w:left w:w="108" w:type="dxa"/>
            <w:bottom w:w="0" w:type="dxa"/>
            <w:right w:w="108" w:type="dxa"/>
          </w:tblCellMar>
        </w:tblPrEx>
        <w:trPr>
          <w:trHeight w:val="0" w:hRule="atLeast"/>
          <w:jc w:val="center"/>
        </w:trPr>
        <w:tc>
          <w:tcPr>
            <w:tcW w:w="672" w:type="dxa"/>
            <w:tcBorders>
              <w:top w:val="single" w:color="auto" w:sz="6" w:space="0"/>
              <w:left w:val="single" w:color="auto" w:sz="6" w:space="0"/>
              <w:bottom w:val="single" w:color="auto" w:sz="6" w:space="0"/>
              <w:right w:val="single" w:color="auto" w:sz="6" w:space="0"/>
            </w:tcBorders>
            <w:noWrap w:val="0"/>
            <w:vAlign w:val="center"/>
          </w:tcPr>
          <w:p w14:paraId="4F1B80AD">
            <w:pPr>
              <w:pStyle w:val="30"/>
              <w:bidi w:val="0"/>
              <w:rPr>
                <w:rFonts w:hint="default"/>
                <w:color w:val="auto"/>
                <w:lang w:val="en-US" w:eastAsia="zh-CN"/>
              </w:rPr>
            </w:pPr>
            <w:r>
              <w:rPr>
                <w:rFonts w:hint="default"/>
                <w:color w:val="auto"/>
                <w:lang w:val="en-US" w:eastAsia="zh-CN"/>
              </w:rPr>
              <w:t>3</w:t>
            </w:r>
          </w:p>
        </w:tc>
        <w:tc>
          <w:tcPr>
            <w:tcW w:w="2828" w:type="dxa"/>
            <w:tcBorders>
              <w:top w:val="single" w:color="auto" w:sz="6" w:space="0"/>
              <w:left w:val="single" w:color="auto" w:sz="6" w:space="0"/>
              <w:bottom w:val="single" w:color="auto" w:sz="6" w:space="0"/>
              <w:right w:val="single" w:color="auto" w:sz="6" w:space="0"/>
            </w:tcBorders>
            <w:noWrap w:val="0"/>
            <w:vAlign w:val="top"/>
          </w:tcPr>
          <w:p w14:paraId="2A065428">
            <w:pPr>
              <w:pStyle w:val="30"/>
              <w:bidi w:val="0"/>
              <w:rPr>
                <w:rFonts w:hint="default"/>
                <w:color w:val="auto"/>
                <w:lang w:val="zh-CN"/>
              </w:rPr>
            </w:pPr>
            <w:r>
              <w:rPr>
                <w:rFonts w:hint="default"/>
                <w:color w:val="auto"/>
                <w:lang w:val="zh-CN"/>
              </w:rPr>
              <w:t>采用有毒药剂或有异味药剂的浮选工艺，或工艺过程产生大量蒸气的，应设通风换气装置。</w:t>
            </w:r>
          </w:p>
        </w:tc>
        <w:tc>
          <w:tcPr>
            <w:tcW w:w="2111" w:type="dxa"/>
            <w:tcBorders>
              <w:top w:val="single" w:color="auto" w:sz="6" w:space="0"/>
              <w:left w:val="single" w:color="auto" w:sz="6" w:space="0"/>
              <w:bottom w:val="single" w:color="auto" w:sz="6" w:space="0"/>
              <w:right w:val="single" w:color="auto" w:sz="6" w:space="0"/>
            </w:tcBorders>
            <w:noWrap w:val="0"/>
            <w:vAlign w:val="center"/>
          </w:tcPr>
          <w:p w14:paraId="4B18A709">
            <w:pPr>
              <w:pStyle w:val="30"/>
              <w:bidi w:val="0"/>
              <w:rPr>
                <w:rFonts w:hint="default"/>
                <w:color w:val="auto"/>
                <w:lang w:val="zh-CN"/>
              </w:rPr>
            </w:pPr>
            <w:r>
              <w:rPr>
                <w:rFonts w:hint="default"/>
                <w:color w:val="auto"/>
                <w:lang w:val="zh-CN"/>
              </w:rPr>
              <w:t>《选矿安全规程》</w:t>
            </w:r>
            <w:r>
              <w:rPr>
                <w:rFonts w:hint="eastAsia"/>
                <w:color w:val="auto"/>
                <w:lang w:val="zh-CN"/>
              </w:rPr>
              <w:t>（GB/T 18152-2000）</w:t>
            </w:r>
          </w:p>
          <w:p w14:paraId="672F8793">
            <w:pPr>
              <w:pStyle w:val="30"/>
              <w:bidi w:val="0"/>
              <w:rPr>
                <w:rFonts w:hint="default"/>
                <w:color w:val="auto"/>
                <w:lang w:val="zh-CN"/>
              </w:rPr>
            </w:pPr>
            <w:r>
              <w:rPr>
                <w:rFonts w:hint="default"/>
                <w:color w:val="auto"/>
                <w:lang w:val="zh-CN"/>
              </w:rPr>
              <w:t>7.5.3.10</w:t>
            </w:r>
          </w:p>
        </w:tc>
        <w:tc>
          <w:tcPr>
            <w:tcW w:w="1828" w:type="dxa"/>
            <w:tcBorders>
              <w:top w:val="single" w:color="auto" w:sz="6" w:space="0"/>
              <w:left w:val="single" w:color="auto" w:sz="6" w:space="0"/>
              <w:bottom w:val="single" w:color="auto" w:sz="6" w:space="0"/>
              <w:right w:val="single" w:color="auto" w:sz="6" w:space="0"/>
            </w:tcBorders>
            <w:noWrap w:val="0"/>
            <w:vAlign w:val="center"/>
          </w:tcPr>
          <w:p w14:paraId="002BF7F9">
            <w:pPr>
              <w:pStyle w:val="30"/>
              <w:bidi w:val="0"/>
              <w:rPr>
                <w:rFonts w:hint="default"/>
                <w:color w:val="auto"/>
                <w:lang w:val="zh-CN"/>
              </w:rPr>
            </w:pPr>
            <w:r>
              <w:rPr>
                <w:rFonts w:hint="default"/>
                <w:color w:val="auto"/>
                <w:lang w:val="zh-CN"/>
              </w:rPr>
              <w:t>该选厂使用的730A</w:t>
            </w:r>
            <w:r>
              <w:rPr>
                <w:rFonts w:hint="eastAsia"/>
                <w:color w:val="auto"/>
                <w:lang w:val="en-US" w:eastAsia="zh-CN"/>
              </w:rPr>
              <w:t>为起泡剂，</w:t>
            </w:r>
            <w:r>
              <w:rPr>
                <w:rFonts w:hint="eastAsia"/>
                <w:color w:val="auto"/>
              </w:rPr>
              <w:t>丁基钠黄药</w:t>
            </w:r>
            <w:r>
              <w:rPr>
                <w:rFonts w:hint="eastAsia"/>
                <w:color w:val="auto"/>
                <w:lang w:eastAsia="zh-CN"/>
              </w:rPr>
              <w:t>，</w:t>
            </w:r>
            <w:r>
              <w:rPr>
                <w:rFonts w:hint="eastAsia"/>
                <w:color w:val="auto"/>
              </w:rPr>
              <w:t>硫化钠</w:t>
            </w:r>
            <w:r>
              <w:rPr>
                <w:rFonts w:hint="eastAsia"/>
                <w:color w:val="auto"/>
                <w:lang w:val="en-US" w:eastAsia="zh-CN"/>
              </w:rPr>
              <w:t>等，</w:t>
            </w:r>
            <w:r>
              <w:rPr>
                <w:rFonts w:hint="default"/>
                <w:color w:val="auto"/>
                <w:lang w:val="zh-CN"/>
              </w:rPr>
              <w:t>无毒</w:t>
            </w:r>
            <w:r>
              <w:rPr>
                <w:rFonts w:hint="eastAsia"/>
                <w:color w:val="auto"/>
                <w:lang w:val="zh-CN"/>
              </w:rPr>
              <w:t>。</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31C5360D">
            <w:pPr>
              <w:pStyle w:val="30"/>
              <w:bidi w:val="0"/>
              <w:rPr>
                <w:rFonts w:hint="default"/>
                <w:color w:val="auto"/>
                <w:lang w:val="zh-CN"/>
              </w:rPr>
            </w:pPr>
            <w:r>
              <w:rPr>
                <w:rFonts w:hint="default"/>
                <w:color w:val="auto"/>
                <w:lang w:val="zh-CN"/>
              </w:rPr>
              <w:t>符合</w:t>
            </w:r>
          </w:p>
        </w:tc>
      </w:tr>
      <w:tr w14:paraId="00D16693">
        <w:tblPrEx>
          <w:tblCellMar>
            <w:top w:w="0" w:type="dxa"/>
            <w:left w:w="108" w:type="dxa"/>
            <w:bottom w:w="0" w:type="dxa"/>
            <w:right w:w="108" w:type="dxa"/>
          </w:tblCellMar>
        </w:tblPrEx>
        <w:trPr>
          <w:trHeight w:val="0" w:hRule="atLeast"/>
          <w:jc w:val="center"/>
        </w:trPr>
        <w:tc>
          <w:tcPr>
            <w:tcW w:w="672" w:type="dxa"/>
            <w:tcBorders>
              <w:top w:val="single" w:color="auto" w:sz="6" w:space="0"/>
              <w:left w:val="single" w:color="auto" w:sz="6" w:space="0"/>
              <w:bottom w:val="single" w:color="auto" w:sz="6" w:space="0"/>
              <w:right w:val="single" w:color="auto" w:sz="6" w:space="0"/>
            </w:tcBorders>
            <w:noWrap w:val="0"/>
            <w:vAlign w:val="center"/>
          </w:tcPr>
          <w:p w14:paraId="5134F215">
            <w:pPr>
              <w:pStyle w:val="30"/>
              <w:bidi w:val="0"/>
              <w:rPr>
                <w:rFonts w:hint="default"/>
                <w:color w:val="auto"/>
                <w:lang w:val="en-US" w:eastAsia="zh-CN"/>
              </w:rPr>
            </w:pPr>
            <w:r>
              <w:rPr>
                <w:rFonts w:hint="default"/>
                <w:color w:val="auto"/>
                <w:lang w:val="en-US" w:eastAsia="zh-CN"/>
              </w:rPr>
              <w:t>4</w:t>
            </w:r>
          </w:p>
        </w:tc>
        <w:tc>
          <w:tcPr>
            <w:tcW w:w="2828" w:type="dxa"/>
            <w:tcBorders>
              <w:top w:val="single" w:color="auto" w:sz="6" w:space="0"/>
              <w:left w:val="single" w:color="auto" w:sz="6" w:space="0"/>
              <w:bottom w:val="single" w:color="auto" w:sz="6" w:space="0"/>
              <w:right w:val="single" w:color="auto" w:sz="6" w:space="0"/>
            </w:tcBorders>
            <w:noWrap w:val="0"/>
            <w:vAlign w:val="top"/>
          </w:tcPr>
          <w:p w14:paraId="64FA0DDC">
            <w:pPr>
              <w:pStyle w:val="30"/>
              <w:bidi w:val="0"/>
              <w:rPr>
                <w:rFonts w:hint="default"/>
                <w:color w:val="auto"/>
                <w:lang w:val="zh-CN"/>
              </w:rPr>
            </w:pPr>
            <w:r>
              <w:rPr>
                <w:rFonts w:hint="default"/>
                <w:color w:val="auto"/>
                <w:lang w:val="zh-CN"/>
              </w:rPr>
              <w:t>使用有毒、易燃、易爆、易挥发、麻醉性和有刺激性气味的药品，应遵守下列规定：应事先了解其化学性质、使用方法和注意事项，并掌握操作方法；开瓶口应朝向无人处，以防药品崩溅伤人；对剧毒、刺激性和麻醉性以及挥发性的药品，应在通风条件良好的通风橱内操作；取用有毒或剧毒液体药品时，应使用移液管，不应用口直接吸取；加热或配制易燃、易爆药品时，应在安全地点进行；使用有毒、剧毒药品时，操作结束，应立即将器皿冲洗干净，擦净试验台。</w:t>
            </w:r>
          </w:p>
        </w:tc>
        <w:tc>
          <w:tcPr>
            <w:tcW w:w="2111" w:type="dxa"/>
            <w:tcBorders>
              <w:top w:val="single" w:color="auto" w:sz="6" w:space="0"/>
              <w:left w:val="single" w:color="auto" w:sz="6" w:space="0"/>
              <w:bottom w:val="single" w:color="auto" w:sz="6" w:space="0"/>
              <w:right w:val="single" w:color="auto" w:sz="6" w:space="0"/>
            </w:tcBorders>
            <w:noWrap w:val="0"/>
            <w:vAlign w:val="center"/>
          </w:tcPr>
          <w:p w14:paraId="5F12BB12">
            <w:pPr>
              <w:pStyle w:val="30"/>
              <w:bidi w:val="0"/>
              <w:rPr>
                <w:rFonts w:hint="default"/>
                <w:color w:val="auto"/>
                <w:lang w:val="zh-CN"/>
              </w:rPr>
            </w:pPr>
            <w:r>
              <w:rPr>
                <w:rFonts w:hint="default"/>
                <w:color w:val="auto"/>
                <w:lang w:val="zh-CN"/>
              </w:rPr>
              <w:t>《选矿安全规程》</w:t>
            </w:r>
            <w:r>
              <w:rPr>
                <w:rFonts w:hint="eastAsia"/>
                <w:color w:val="auto"/>
                <w:lang w:val="zh-CN"/>
              </w:rPr>
              <w:t>（GB/T 18152-2000）</w:t>
            </w:r>
            <w:r>
              <w:rPr>
                <w:rFonts w:hint="default"/>
                <w:color w:val="auto"/>
                <w:lang w:val="zh-CN"/>
              </w:rPr>
              <w:t>7.5.6.9</w:t>
            </w:r>
          </w:p>
        </w:tc>
        <w:tc>
          <w:tcPr>
            <w:tcW w:w="1828" w:type="dxa"/>
            <w:tcBorders>
              <w:top w:val="single" w:color="auto" w:sz="6" w:space="0"/>
              <w:left w:val="single" w:color="auto" w:sz="6" w:space="0"/>
              <w:bottom w:val="single" w:color="auto" w:sz="6" w:space="0"/>
              <w:right w:val="single" w:color="auto" w:sz="6" w:space="0"/>
            </w:tcBorders>
            <w:noWrap w:val="0"/>
            <w:vAlign w:val="center"/>
          </w:tcPr>
          <w:p w14:paraId="5B4A90DD">
            <w:pPr>
              <w:pStyle w:val="30"/>
              <w:bidi w:val="0"/>
              <w:rPr>
                <w:rFonts w:hint="default"/>
                <w:color w:val="auto"/>
                <w:lang w:val="zh-CN"/>
              </w:rPr>
            </w:pPr>
            <w:r>
              <w:rPr>
                <w:rFonts w:hint="default"/>
                <w:color w:val="auto"/>
                <w:lang w:val="zh-CN"/>
              </w:rPr>
              <w:t>该选厂不使用</w:t>
            </w:r>
            <w:r>
              <w:rPr>
                <w:rFonts w:hint="eastAsia"/>
                <w:color w:val="auto"/>
                <w:lang w:val="zh-CN"/>
              </w:rPr>
              <w:t>有毒、易燃、易</w:t>
            </w:r>
            <w:r>
              <w:rPr>
                <w:rFonts w:hint="eastAsia"/>
                <w:color w:val="auto"/>
                <w:lang w:val="zh-CN" w:eastAsia="zh-CN"/>
              </w:rPr>
              <w:t>爆、</w:t>
            </w:r>
            <w:r>
              <w:rPr>
                <w:rFonts w:hint="eastAsia"/>
                <w:color w:val="auto"/>
                <w:lang w:val="zh-CN"/>
              </w:rPr>
              <w:t>易挥发、麻醉性和有刺激性气味的</w:t>
            </w:r>
            <w:r>
              <w:rPr>
                <w:rFonts w:hint="default"/>
                <w:color w:val="auto"/>
                <w:lang w:val="zh-CN"/>
              </w:rPr>
              <w:t>药品。</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7A1F1251">
            <w:pPr>
              <w:pStyle w:val="30"/>
              <w:bidi w:val="0"/>
              <w:rPr>
                <w:rFonts w:hint="default"/>
                <w:color w:val="auto"/>
                <w:lang w:val="zh-CN"/>
              </w:rPr>
            </w:pPr>
            <w:r>
              <w:rPr>
                <w:rFonts w:hint="default"/>
                <w:color w:val="auto"/>
                <w:lang w:val="zh-CN"/>
              </w:rPr>
              <w:t>不涉及</w:t>
            </w:r>
          </w:p>
        </w:tc>
      </w:tr>
    </w:tbl>
    <w:p w14:paraId="2F783AEB">
      <w:pPr>
        <w:pStyle w:val="4"/>
        <w:bidi w:val="0"/>
        <w:rPr>
          <w:rFonts w:hint="eastAsia"/>
          <w:color w:val="auto"/>
        </w:rPr>
      </w:pPr>
      <w:bookmarkStart w:id="119" w:name="_Toc25315"/>
      <w:r>
        <w:rPr>
          <w:rFonts w:hint="eastAsia"/>
          <w:color w:val="auto"/>
        </w:rPr>
        <w:t>5.4.5</w:t>
      </w:r>
      <w:r>
        <w:rPr>
          <w:rFonts w:hint="eastAsia"/>
          <w:color w:val="auto"/>
          <w:lang w:val="en-US" w:eastAsia="zh-CN"/>
        </w:rPr>
        <w:t xml:space="preserve"> </w:t>
      </w:r>
      <w:r>
        <w:rPr>
          <w:rFonts w:hint="eastAsia"/>
          <w:color w:val="auto"/>
        </w:rPr>
        <w:t>单元评价小结</w:t>
      </w:r>
      <w:bookmarkEnd w:id="119"/>
    </w:p>
    <w:p w14:paraId="4DF452B0">
      <w:pPr>
        <w:bidi w:val="0"/>
        <w:rPr>
          <w:rFonts w:hint="default" w:eastAsia="宋体"/>
          <w:color w:val="auto"/>
          <w:lang w:val="en-US" w:eastAsia="zh-CN"/>
        </w:rPr>
      </w:pPr>
      <w:r>
        <w:rPr>
          <w:rFonts w:hint="eastAsia"/>
          <w:color w:val="auto"/>
        </w:rPr>
        <w:t>该项目供配电系统、给排水系统及灭火器配置均按《安全设施设计》要求建设，满足《选矿安全规程》（GB/T 18152-2000）等规范的要求。同时，该项目为湿式作业，原料、产品均为不燃物质；</w:t>
      </w:r>
      <w:r>
        <w:rPr>
          <w:rFonts w:hint="eastAsia"/>
          <w:color w:val="auto"/>
          <w:lang w:val="en-US" w:eastAsia="zh-CN"/>
        </w:rPr>
        <w:t>药剂室、</w:t>
      </w:r>
      <w:r>
        <w:rPr>
          <w:rFonts w:hint="eastAsia"/>
          <w:color w:val="auto"/>
        </w:rPr>
        <w:t>电气设施场所等危险区域配置相应的消防设施，具备安全验收条件。</w:t>
      </w:r>
      <w:r>
        <w:rPr>
          <w:rFonts w:hint="eastAsia"/>
          <w:color w:val="auto"/>
          <w:lang w:val="en-US" w:eastAsia="zh-CN"/>
        </w:rPr>
        <w:t>建议企业尽快进行防雷设施检测。</w:t>
      </w:r>
    </w:p>
    <w:p w14:paraId="082FD5AD">
      <w:pPr>
        <w:pStyle w:val="3"/>
        <w:bidi w:val="0"/>
        <w:rPr>
          <w:rFonts w:hint="eastAsia"/>
          <w:color w:val="auto"/>
        </w:rPr>
      </w:pPr>
      <w:bookmarkStart w:id="120" w:name="_Toc17417"/>
      <w:r>
        <w:rPr>
          <w:rFonts w:hint="eastAsia"/>
          <w:color w:val="auto"/>
        </w:rPr>
        <w:t>5.5 安全设施单元分析评价</w:t>
      </w:r>
      <w:bookmarkEnd w:id="120"/>
    </w:p>
    <w:p w14:paraId="7E25B63A">
      <w:pPr>
        <w:pStyle w:val="4"/>
        <w:bidi w:val="0"/>
        <w:rPr>
          <w:rFonts w:hint="eastAsia"/>
          <w:color w:val="auto"/>
        </w:rPr>
      </w:pPr>
      <w:bookmarkStart w:id="121" w:name="_Toc10907"/>
      <w:r>
        <w:rPr>
          <w:rFonts w:hint="eastAsia"/>
          <w:color w:val="auto"/>
        </w:rPr>
        <w:t>5.5.1</w:t>
      </w:r>
      <w:r>
        <w:rPr>
          <w:rFonts w:hint="eastAsia"/>
          <w:color w:val="auto"/>
          <w:lang w:val="en-US" w:eastAsia="zh-CN"/>
        </w:rPr>
        <w:t xml:space="preserve"> </w:t>
      </w:r>
      <w:r>
        <w:rPr>
          <w:rFonts w:hint="eastAsia"/>
          <w:color w:val="auto"/>
        </w:rPr>
        <w:t>常规防护设施分析评价</w:t>
      </w:r>
      <w:bookmarkEnd w:id="121"/>
    </w:p>
    <w:p w14:paraId="59BB9B9C">
      <w:pPr>
        <w:bidi w:val="0"/>
        <w:rPr>
          <w:rFonts w:hint="eastAsia"/>
          <w:color w:val="auto"/>
        </w:rPr>
      </w:pPr>
      <w:r>
        <w:rPr>
          <w:rFonts w:hint="eastAsia"/>
          <w:color w:val="auto"/>
        </w:rPr>
        <w:t>该项目建设的主要常规防护设施如下：</w:t>
      </w:r>
    </w:p>
    <w:p w14:paraId="77D12115">
      <w:pPr>
        <w:bidi w:val="0"/>
        <w:rPr>
          <w:rFonts w:hint="eastAsia"/>
          <w:color w:val="auto"/>
        </w:rPr>
      </w:pPr>
      <w:r>
        <w:rPr>
          <w:rFonts w:hint="eastAsia"/>
          <w:color w:val="auto"/>
        </w:rPr>
        <w:t>1、设置防护装置</w:t>
      </w:r>
    </w:p>
    <w:p w14:paraId="0CD6C252">
      <w:pPr>
        <w:bidi w:val="0"/>
        <w:rPr>
          <w:rFonts w:hint="eastAsia"/>
          <w:color w:val="auto"/>
        </w:rPr>
      </w:pPr>
      <w:r>
        <w:rPr>
          <w:rFonts w:hint="eastAsia"/>
          <w:color w:val="auto"/>
        </w:rPr>
        <w:t>以操作人员的操作位置所在平面为基准，凡高度在2m之内的所有传动带、转动轴、齿轮、飞轮等危险零部件及危险部位均设计安装防护装置。</w:t>
      </w:r>
    </w:p>
    <w:p w14:paraId="58C27170">
      <w:pPr>
        <w:bidi w:val="0"/>
        <w:rPr>
          <w:rFonts w:hint="eastAsia"/>
          <w:color w:val="auto"/>
        </w:rPr>
      </w:pPr>
      <w:r>
        <w:rPr>
          <w:rFonts w:hint="eastAsia"/>
          <w:color w:val="auto"/>
        </w:rPr>
        <w:t>2、使用安全色</w:t>
      </w:r>
    </w:p>
    <w:p w14:paraId="68C21901">
      <w:pPr>
        <w:bidi w:val="0"/>
        <w:rPr>
          <w:rFonts w:hint="eastAsia"/>
          <w:color w:val="auto"/>
        </w:rPr>
      </w:pPr>
      <w:r>
        <w:rPr>
          <w:rFonts w:hint="eastAsia"/>
          <w:color w:val="auto"/>
        </w:rPr>
        <w:t>易发生危险的部位，设计安全标志，安全色和安全标志需保持颜色鲜明、清晰、持久。如胶带运输机头尾轮，电气设备的操作箱等。</w:t>
      </w:r>
    </w:p>
    <w:p w14:paraId="4726AF3B">
      <w:pPr>
        <w:bidi w:val="0"/>
        <w:rPr>
          <w:rFonts w:hint="eastAsia"/>
          <w:color w:val="auto"/>
        </w:rPr>
      </w:pPr>
      <w:r>
        <w:rPr>
          <w:rFonts w:hint="eastAsia"/>
          <w:color w:val="auto"/>
        </w:rPr>
        <w:t>3、设置栏杆、扶手</w:t>
      </w:r>
    </w:p>
    <w:p w14:paraId="092B11C8">
      <w:pPr>
        <w:bidi w:val="0"/>
        <w:rPr>
          <w:rFonts w:hint="eastAsia"/>
          <w:color w:val="auto"/>
        </w:rPr>
      </w:pPr>
      <w:r>
        <w:rPr>
          <w:rFonts w:hint="eastAsia"/>
          <w:color w:val="auto"/>
        </w:rPr>
        <w:t>在机械设备的操作位置高出地面0.6m以上的所有位置，均设计安装栏杆、扶手等。</w:t>
      </w:r>
    </w:p>
    <w:p w14:paraId="7F149F64">
      <w:pPr>
        <w:bidi w:val="0"/>
        <w:rPr>
          <w:rFonts w:hint="eastAsia"/>
          <w:color w:val="auto"/>
        </w:rPr>
      </w:pPr>
      <w:r>
        <w:rPr>
          <w:rFonts w:hint="eastAsia"/>
          <w:color w:val="auto"/>
        </w:rPr>
        <w:t>4、设置制动装置</w:t>
      </w:r>
    </w:p>
    <w:p w14:paraId="003EC31B">
      <w:pPr>
        <w:bidi w:val="0"/>
        <w:rPr>
          <w:rFonts w:hint="eastAsia"/>
          <w:color w:val="auto"/>
        </w:rPr>
      </w:pPr>
      <w:r>
        <w:rPr>
          <w:rFonts w:hint="eastAsia"/>
          <w:color w:val="auto"/>
        </w:rPr>
        <w:t>给必要的机械设备设置制动装置，控制装置安装在操作者能看到整个设备的操作位置上，在操作台处不能看到所控制设备的全部时，要在设备的适当位置装设紧急事故开关。例如胶带运输机等设备。</w:t>
      </w:r>
    </w:p>
    <w:p w14:paraId="67393D1A">
      <w:pPr>
        <w:bidi w:val="0"/>
        <w:rPr>
          <w:rFonts w:hint="eastAsia"/>
          <w:color w:val="auto"/>
        </w:rPr>
      </w:pPr>
      <w:r>
        <w:rPr>
          <w:rFonts w:hint="eastAsia"/>
          <w:color w:val="auto"/>
        </w:rPr>
        <w:t>5、加强日常维护保养</w:t>
      </w:r>
    </w:p>
    <w:p w14:paraId="5D80F166">
      <w:pPr>
        <w:bidi w:val="0"/>
        <w:rPr>
          <w:rFonts w:hint="eastAsia"/>
          <w:color w:val="auto"/>
        </w:rPr>
      </w:pPr>
      <w:r>
        <w:rPr>
          <w:rFonts w:hint="eastAsia"/>
          <w:color w:val="auto"/>
        </w:rPr>
        <w:t>设计要求操作工人认真检查设备，使设备经常保持清洁、润滑，良好；建立二级保养制度；一级保养以操作工人为主、维修工人配合；二级保养以维修工人为主，操作工人参与。</w:t>
      </w:r>
    </w:p>
    <w:p w14:paraId="077837FD">
      <w:pPr>
        <w:bidi w:val="0"/>
        <w:rPr>
          <w:rFonts w:hint="eastAsia"/>
          <w:color w:val="auto"/>
        </w:rPr>
      </w:pPr>
      <w:r>
        <w:rPr>
          <w:rFonts w:hint="eastAsia"/>
          <w:color w:val="auto"/>
        </w:rPr>
        <w:t>6、改善作业环境</w:t>
      </w:r>
    </w:p>
    <w:p w14:paraId="69F5BE96">
      <w:pPr>
        <w:bidi w:val="0"/>
        <w:rPr>
          <w:rFonts w:hint="eastAsia"/>
          <w:color w:val="auto"/>
        </w:rPr>
      </w:pPr>
      <w:r>
        <w:rPr>
          <w:rFonts w:hint="eastAsia"/>
          <w:color w:val="auto"/>
        </w:rPr>
        <w:t>作业场所保的地面保持平坦清洁、不得有水渍油污等，以防绊倒、滑到。作业地点除采用总体照明外，还需根据不同操作条件增设照明足够的局部照明装置。</w:t>
      </w:r>
    </w:p>
    <w:p w14:paraId="1054A9A4">
      <w:pPr>
        <w:bidi w:val="0"/>
        <w:rPr>
          <w:rFonts w:hint="eastAsia"/>
          <w:color w:val="auto"/>
        </w:rPr>
      </w:pPr>
      <w:r>
        <w:rPr>
          <w:rFonts w:hint="eastAsia"/>
          <w:color w:val="auto"/>
        </w:rPr>
        <w:t>为了避免和杜绝发生事故。设计规定：操作人员不得乘坐、跨越、钻爬带式输送机，不得运送规定物料以外的其他物料；输送带、传动轮和改向轮上有杂物时，必须及时停车清除；不应在运行的输送带下清矿。运行中的胶带输送机，严禁进行检修、打扫和注油，严禁用手触摸托辊、头尾轮等转动部件。更换栏板、清扫器（刮泥板）和托辊，必须停车切断电源进行，并有专人监护。胶带输送机启动或打滑时，严禁用脚蹬踩、用手推拉或压杠子等办法处理，可通过调节拉紧装置来完成；并在皮带运输机相应部位设置了逆止器。</w:t>
      </w:r>
    </w:p>
    <w:p w14:paraId="4EEE704B">
      <w:pPr>
        <w:bidi w:val="0"/>
        <w:rPr>
          <w:rFonts w:hint="eastAsia"/>
          <w:color w:val="auto"/>
        </w:rPr>
      </w:pPr>
      <w:r>
        <w:rPr>
          <w:rFonts w:hint="eastAsia"/>
          <w:color w:val="auto"/>
        </w:rPr>
        <w:t>根据《生产过程安全卫生要求总则》（GB/T 12801-2008）、《生产设备安全卫生设计总则》（GB 5083-</w:t>
      </w:r>
      <w:r>
        <w:rPr>
          <w:rFonts w:hint="eastAsia"/>
          <w:color w:val="auto"/>
          <w:lang w:val="en-US" w:eastAsia="zh-CN"/>
        </w:rPr>
        <w:t>2023</w:t>
      </w:r>
      <w:r>
        <w:rPr>
          <w:rFonts w:hint="eastAsia"/>
          <w:color w:val="auto"/>
        </w:rPr>
        <w:t>）、《固定式钢梯及平台安全要求第2部分：钢斜梯》（GB 4053.2-2009）、《机械安全 防护装置 固定式和活动式防护装置设计与制造一般要求》（GB/T 8196-2018）、《选矿安全规程》（GB/T 18152-2000）等规范的要求，编制了常规防护设施和措施检查表，对该项目的常规防护设施进行检查，其检查结果见表5.5-1。</w:t>
      </w:r>
    </w:p>
    <w:p w14:paraId="75165338">
      <w:pPr>
        <w:pStyle w:val="29"/>
        <w:bidi w:val="0"/>
        <w:rPr>
          <w:color w:val="auto"/>
        </w:rPr>
      </w:pPr>
      <w:r>
        <w:rPr>
          <w:rFonts w:hint="eastAsia"/>
          <w:color w:val="auto"/>
        </w:rPr>
        <w:t>表5.5-1  常规防护设施安全检查表</w:t>
      </w:r>
    </w:p>
    <w:tbl>
      <w:tblPr>
        <w:tblStyle w:val="20"/>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2869"/>
        <w:gridCol w:w="1969"/>
        <w:gridCol w:w="2864"/>
        <w:gridCol w:w="854"/>
      </w:tblGrid>
      <w:tr w14:paraId="53EF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47" w:type="dxa"/>
            <w:noWrap w:val="0"/>
            <w:vAlign w:val="center"/>
          </w:tcPr>
          <w:p w14:paraId="15B9BAE1">
            <w:pPr>
              <w:pStyle w:val="30"/>
              <w:bidi w:val="0"/>
              <w:rPr>
                <w:rFonts w:hint="default"/>
                <w:b/>
                <w:bCs/>
                <w:color w:val="auto"/>
              </w:rPr>
            </w:pPr>
            <w:r>
              <w:rPr>
                <w:rFonts w:hint="default"/>
                <w:b/>
                <w:bCs/>
                <w:color w:val="auto"/>
              </w:rPr>
              <w:t>序号</w:t>
            </w:r>
          </w:p>
        </w:tc>
        <w:tc>
          <w:tcPr>
            <w:tcW w:w="2869" w:type="dxa"/>
            <w:noWrap w:val="0"/>
            <w:vAlign w:val="center"/>
          </w:tcPr>
          <w:p w14:paraId="41505792">
            <w:pPr>
              <w:pStyle w:val="30"/>
              <w:bidi w:val="0"/>
              <w:rPr>
                <w:rFonts w:hint="default"/>
                <w:b/>
                <w:bCs/>
                <w:color w:val="auto"/>
              </w:rPr>
            </w:pPr>
            <w:r>
              <w:rPr>
                <w:rFonts w:hint="default"/>
                <w:b/>
                <w:bCs/>
                <w:color w:val="auto"/>
              </w:rPr>
              <w:t>检查内容</w:t>
            </w:r>
          </w:p>
        </w:tc>
        <w:tc>
          <w:tcPr>
            <w:tcW w:w="1969" w:type="dxa"/>
            <w:noWrap w:val="0"/>
            <w:vAlign w:val="center"/>
          </w:tcPr>
          <w:p w14:paraId="217716CA">
            <w:pPr>
              <w:pStyle w:val="30"/>
              <w:bidi w:val="0"/>
              <w:rPr>
                <w:rFonts w:hint="default"/>
                <w:b/>
                <w:bCs/>
                <w:color w:val="auto"/>
              </w:rPr>
            </w:pPr>
            <w:r>
              <w:rPr>
                <w:rFonts w:hint="default"/>
                <w:b/>
                <w:bCs/>
                <w:color w:val="auto"/>
              </w:rPr>
              <w:t>检查依据</w:t>
            </w:r>
          </w:p>
        </w:tc>
        <w:tc>
          <w:tcPr>
            <w:tcW w:w="2864" w:type="dxa"/>
            <w:noWrap w:val="0"/>
            <w:vAlign w:val="center"/>
          </w:tcPr>
          <w:p w14:paraId="3D401230">
            <w:pPr>
              <w:pStyle w:val="30"/>
              <w:bidi w:val="0"/>
              <w:rPr>
                <w:rFonts w:hint="default"/>
                <w:b/>
                <w:bCs/>
                <w:color w:val="auto"/>
              </w:rPr>
            </w:pPr>
            <w:r>
              <w:rPr>
                <w:rFonts w:hint="default"/>
                <w:b/>
                <w:bCs/>
                <w:color w:val="auto"/>
              </w:rPr>
              <w:t>检查情况</w:t>
            </w:r>
          </w:p>
        </w:tc>
        <w:tc>
          <w:tcPr>
            <w:tcW w:w="854" w:type="dxa"/>
            <w:noWrap w:val="0"/>
            <w:vAlign w:val="center"/>
          </w:tcPr>
          <w:p w14:paraId="4789E702">
            <w:pPr>
              <w:pStyle w:val="30"/>
              <w:bidi w:val="0"/>
              <w:rPr>
                <w:rFonts w:hint="default"/>
                <w:b/>
                <w:bCs/>
                <w:color w:val="auto"/>
              </w:rPr>
            </w:pPr>
            <w:r>
              <w:rPr>
                <w:rFonts w:hint="default"/>
                <w:b/>
                <w:bCs/>
                <w:color w:val="auto"/>
              </w:rPr>
              <w:t>结论</w:t>
            </w:r>
          </w:p>
        </w:tc>
      </w:tr>
      <w:tr w14:paraId="6D81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7" w:type="dxa"/>
            <w:noWrap w:val="0"/>
            <w:vAlign w:val="center"/>
          </w:tcPr>
          <w:p w14:paraId="45EF64E6">
            <w:pPr>
              <w:pStyle w:val="30"/>
              <w:bidi w:val="0"/>
              <w:rPr>
                <w:rFonts w:hint="default"/>
                <w:color w:val="auto"/>
              </w:rPr>
            </w:pPr>
            <w:r>
              <w:rPr>
                <w:rFonts w:hint="default"/>
                <w:color w:val="auto"/>
              </w:rPr>
              <w:t>1</w:t>
            </w:r>
          </w:p>
        </w:tc>
        <w:tc>
          <w:tcPr>
            <w:tcW w:w="2869" w:type="dxa"/>
            <w:noWrap w:val="0"/>
            <w:vAlign w:val="center"/>
          </w:tcPr>
          <w:p w14:paraId="3F6EA6F9">
            <w:pPr>
              <w:pStyle w:val="30"/>
              <w:bidi w:val="0"/>
              <w:rPr>
                <w:rFonts w:hint="default"/>
                <w:color w:val="auto"/>
              </w:rPr>
            </w:pPr>
            <w:r>
              <w:rPr>
                <w:rFonts w:hint="default"/>
                <w:color w:val="auto"/>
              </w:rPr>
              <w:t>危险性作业场所，应设置安全通道；应设应急照明、安全标志和疏散指示标志；门窗应向外开启；通道和出口应保持畅通；出入口的设置应符合有关规定。</w:t>
            </w:r>
          </w:p>
        </w:tc>
        <w:tc>
          <w:tcPr>
            <w:tcW w:w="1969" w:type="dxa"/>
            <w:noWrap w:val="0"/>
            <w:vAlign w:val="center"/>
          </w:tcPr>
          <w:p w14:paraId="2A29BB3F">
            <w:pPr>
              <w:pStyle w:val="30"/>
              <w:bidi w:val="0"/>
              <w:rPr>
                <w:rFonts w:hint="default"/>
                <w:color w:val="auto"/>
              </w:rPr>
            </w:pPr>
            <w:r>
              <w:rPr>
                <w:rFonts w:hint="default"/>
                <w:color w:val="auto"/>
              </w:rPr>
              <w:t>《生产过程安全卫生要求总则》</w:t>
            </w:r>
          </w:p>
          <w:p w14:paraId="0BD928E8">
            <w:pPr>
              <w:pStyle w:val="30"/>
              <w:bidi w:val="0"/>
              <w:rPr>
                <w:rFonts w:hint="eastAsia"/>
                <w:color w:val="auto"/>
                <w:lang w:eastAsia="zh-CN"/>
              </w:rPr>
            </w:pPr>
            <w:r>
              <w:rPr>
                <w:rFonts w:hint="default"/>
                <w:color w:val="auto"/>
                <w:lang w:eastAsia="zh-CN"/>
              </w:rPr>
              <w:t>（</w:t>
            </w:r>
            <w:r>
              <w:rPr>
                <w:rFonts w:hint="default"/>
                <w:color w:val="auto"/>
              </w:rPr>
              <w:t>GB/T 12801-2008</w:t>
            </w:r>
            <w:r>
              <w:rPr>
                <w:rFonts w:hint="eastAsia"/>
                <w:color w:val="auto"/>
                <w:lang w:eastAsia="zh-CN"/>
              </w:rPr>
              <w:t>）</w:t>
            </w:r>
          </w:p>
          <w:p w14:paraId="17ADC81B">
            <w:pPr>
              <w:pStyle w:val="30"/>
              <w:bidi w:val="0"/>
              <w:rPr>
                <w:rFonts w:hint="default"/>
                <w:color w:val="auto"/>
              </w:rPr>
            </w:pPr>
            <w:r>
              <w:rPr>
                <w:rFonts w:hint="default"/>
                <w:color w:val="auto"/>
              </w:rPr>
              <w:t>5.4.6</w:t>
            </w:r>
          </w:p>
        </w:tc>
        <w:tc>
          <w:tcPr>
            <w:tcW w:w="2864" w:type="dxa"/>
            <w:noWrap w:val="0"/>
            <w:vAlign w:val="center"/>
          </w:tcPr>
          <w:p w14:paraId="7451D133">
            <w:pPr>
              <w:pStyle w:val="30"/>
              <w:bidi w:val="0"/>
              <w:rPr>
                <w:rFonts w:hint="default"/>
                <w:color w:val="auto"/>
              </w:rPr>
            </w:pPr>
            <w:r>
              <w:rPr>
                <w:rFonts w:hint="default"/>
                <w:color w:val="auto"/>
              </w:rPr>
              <w:t>厂区内作业场所设有安全通道，通道出口畅通，经整改后已设应急照明、安全标志和疏散指示标志。</w:t>
            </w:r>
          </w:p>
        </w:tc>
        <w:tc>
          <w:tcPr>
            <w:tcW w:w="854" w:type="dxa"/>
            <w:noWrap w:val="0"/>
            <w:vAlign w:val="center"/>
          </w:tcPr>
          <w:p w14:paraId="54B0F763">
            <w:pPr>
              <w:pStyle w:val="30"/>
              <w:bidi w:val="0"/>
              <w:rPr>
                <w:rFonts w:hint="default"/>
                <w:color w:val="auto"/>
              </w:rPr>
            </w:pPr>
            <w:r>
              <w:rPr>
                <w:rFonts w:hint="default"/>
                <w:color w:val="auto"/>
              </w:rPr>
              <w:t>符合</w:t>
            </w:r>
          </w:p>
        </w:tc>
      </w:tr>
      <w:tr w14:paraId="34B0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7" w:type="dxa"/>
            <w:noWrap w:val="0"/>
            <w:vAlign w:val="center"/>
          </w:tcPr>
          <w:p w14:paraId="6AE95059">
            <w:pPr>
              <w:pStyle w:val="30"/>
              <w:bidi w:val="0"/>
              <w:rPr>
                <w:rFonts w:hint="default"/>
                <w:color w:val="auto"/>
              </w:rPr>
            </w:pPr>
            <w:r>
              <w:rPr>
                <w:rFonts w:hint="default"/>
                <w:color w:val="auto"/>
              </w:rPr>
              <w:t>2</w:t>
            </w:r>
          </w:p>
        </w:tc>
        <w:tc>
          <w:tcPr>
            <w:tcW w:w="2869" w:type="dxa"/>
            <w:noWrap w:val="0"/>
            <w:vAlign w:val="center"/>
          </w:tcPr>
          <w:p w14:paraId="77A127DD">
            <w:pPr>
              <w:pStyle w:val="30"/>
              <w:bidi w:val="0"/>
              <w:rPr>
                <w:rFonts w:hint="default"/>
                <w:color w:val="auto"/>
              </w:rPr>
            </w:pPr>
            <w:r>
              <w:rPr>
                <w:rFonts w:hint="default"/>
                <w:color w:val="auto"/>
              </w:rPr>
              <w:t>凡容易发生事故的地方，应按GB</w:t>
            </w:r>
            <w:r>
              <w:rPr>
                <w:rFonts w:hint="default"/>
                <w:color w:val="auto"/>
                <w:lang w:val="en-US" w:eastAsia="zh-CN"/>
              </w:rPr>
              <w:t xml:space="preserve"> </w:t>
            </w:r>
            <w:r>
              <w:rPr>
                <w:rFonts w:hint="default"/>
                <w:color w:val="auto"/>
              </w:rPr>
              <w:t>2894的要求设置安全标志，或在建构筑物及设备上按GB</w:t>
            </w:r>
            <w:r>
              <w:rPr>
                <w:rFonts w:hint="default"/>
                <w:color w:val="auto"/>
                <w:lang w:val="en-US" w:eastAsia="zh-CN"/>
              </w:rPr>
              <w:t xml:space="preserve"> </w:t>
            </w:r>
            <w:r>
              <w:rPr>
                <w:rFonts w:hint="default"/>
                <w:color w:val="auto"/>
              </w:rPr>
              <w:t>2893的要求涂安全色。</w:t>
            </w:r>
          </w:p>
        </w:tc>
        <w:tc>
          <w:tcPr>
            <w:tcW w:w="1969" w:type="dxa"/>
            <w:noWrap w:val="0"/>
            <w:vAlign w:val="center"/>
          </w:tcPr>
          <w:p w14:paraId="4ADE6DDE">
            <w:pPr>
              <w:pStyle w:val="30"/>
              <w:bidi w:val="0"/>
              <w:rPr>
                <w:rFonts w:hint="default"/>
                <w:color w:val="auto"/>
              </w:rPr>
            </w:pPr>
            <w:r>
              <w:rPr>
                <w:rFonts w:hint="default"/>
                <w:color w:val="auto"/>
              </w:rPr>
              <w:t>《生产过程安全卫生要求总则》</w:t>
            </w:r>
          </w:p>
          <w:p w14:paraId="79CE64A8">
            <w:pPr>
              <w:pStyle w:val="30"/>
              <w:bidi w:val="0"/>
              <w:rPr>
                <w:rFonts w:hint="eastAsia"/>
                <w:color w:val="auto"/>
                <w:lang w:eastAsia="zh-CN"/>
              </w:rPr>
            </w:pPr>
            <w:r>
              <w:rPr>
                <w:rFonts w:hint="default"/>
                <w:color w:val="auto"/>
                <w:lang w:eastAsia="zh-CN"/>
              </w:rPr>
              <w:t>（</w:t>
            </w:r>
            <w:r>
              <w:rPr>
                <w:rFonts w:hint="default"/>
                <w:color w:val="auto"/>
              </w:rPr>
              <w:t>GB/T 12801-2008</w:t>
            </w:r>
            <w:r>
              <w:rPr>
                <w:rFonts w:hint="eastAsia"/>
                <w:color w:val="auto"/>
                <w:lang w:eastAsia="zh-CN"/>
              </w:rPr>
              <w:t>）</w:t>
            </w:r>
          </w:p>
          <w:p w14:paraId="0D567085">
            <w:pPr>
              <w:pStyle w:val="30"/>
              <w:bidi w:val="0"/>
              <w:rPr>
                <w:rFonts w:hint="default"/>
                <w:color w:val="auto"/>
              </w:rPr>
            </w:pPr>
            <w:r>
              <w:rPr>
                <w:rFonts w:hint="default"/>
                <w:color w:val="auto"/>
              </w:rPr>
              <w:t>6.8.1</w:t>
            </w:r>
          </w:p>
        </w:tc>
        <w:tc>
          <w:tcPr>
            <w:tcW w:w="2864" w:type="dxa"/>
            <w:noWrap w:val="0"/>
            <w:vAlign w:val="center"/>
          </w:tcPr>
          <w:p w14:paraId="2D10565A">
            <w:pPr>
              <w:pStyle w:val="30"/>
              <w:bidi w:val="0"/>
              <w:rPr>
                <w:rFonts w:hint="default"/>
                <w:color w:val="auto"/>
              </w:rPr>
            </w:pPr>
            <w:r>
              <w:rPr>
                <w:rFonts w:hint="default"/>
                <w:color w:val="auto"/>
                <w:lang w:val="en-US" w:eastAsia="zh-CN"/>
              </w:rPr>
              <w:t>厂内</w:t>
            </w:r>
            <w:r>
              <w:rPr>
                <w:rFonts w:hint="default"/>
                <w:color w:val="auto"/>
              </w:rPr>
              <w:t>安全标志齐全。</w:t>
            </w:r>
          </w:p>
        </w:tc>
        <w:tc>
          <w:tcPr>
            <w:tcW w:w="854" w:type="dxa"/>
            <w:noWrap w:val="0"/>
            <w:vAlign w:val="center"/>
          </w:tcPr>
          <w:p w14:paraId="73BA91A1">
            <w:pPr>
              <w:pStyle w:val="30"/>
              <w:bidi w:val="0"/>
              <w:rPr>
                <w:rFonts w:hint="default"/>
                <w:color w:val="auto"/>
              </w:rPr>
            </w:pPr>
            <w:r>
              <w:rPr>
                <w:rFonts w:hint="default"/>
                <w:color w:val="auto"/>
              </w:rPr>
              <w:t>符合</w:t>
            </w:r>
          </w:p>
        </w:tc>
      </w:tr>
      <w:tr w14:paraId="0C31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7" w:type="dxa"/>
            <w:noWrap w:val="0"/>
            <w:vAlign w:val="center"/>
          </w:tcPr>
          <w:p w14:paraId="5A0CAB03">
            <w:pPr>
              <w:pStyle w:val="30"/>
              <w:bidi w:val="0"/>
              <w:rPr>
                <w:rFonts w:hint="default"/>
                <w:color w:val="auto"/>
              </w:rPr>
            </w:pPr>
            <w:r>
              <w:rPr>
                <w:rFonts w:hint="default"/>
                <w:color w:val="auto"/>
              </w:rPr>
              <w:t>3</w:t>
            </w:r>
          </w:p>
        </w:tc>
        <w:tc>
          <w:tcPr>
            <w:tcW w:w="2869" w:type="dxa"/>
            <w:noWrap w:val="0"/>
            <w:vAlign w:val="center"/>
          </w:tcPr>
          <w:p w14:paraId="606C372D">
            <w:pPr>
              <w:pStyle w:val="30"/>
              <w:bidi w:val="0"/>
              <w:rPr>
                <w:rFonts w:hint="default"/>
                <w:color w:val="auto"/>
              </w:rPr>
            </w:pPr>
            <w:r>
              <w:rPr>
                <w:rFonts w:hint="default"/>
                <w:color w:val="auto"/>
              </w:rPr>
              <w:t>供作业人员进行操作、维护和调节的工作平台、通道或工作面</w:t>
            </w:r>
            <w:r>
              <w:rPr>
                <w:rFonts w:hint="eastAsia"/>
                <w:color w:val="auto"/>
                <w:lang w:eastAsia="zh-CN"/>
              </w:rPr>
              <w:t>，</w:t>
            </w:r>
            <w:r>
              <w:rPr>
                <w:rFonts w:hint="default"/>
                <w:color w:val="auto"/>
              </w:rPr>
              <w:t>距坠落基准面1.2m及以上时</w:t>
            </w:r>
            <w:r>
              <w:rPr>
                <w:rFonts w:hint="eastAsia"/>
                <w:color w:val="auto"/>
                <w:lang w:eastAsia="zh-CN"/>
              </w:rPr>
              <w:t>，</w:t>
            </w:r>
            <w:r>
              <w:rPr>
                <w:rFonts w:hint="default"/>
                <w:color w:val="auto"/>
              </w:rPr>
              <w:t>其所有敞开边缘应设置防护栏杆。钢梯、钢平台和防护栏杆的设计应按GB4053.1、GB4053.2和GB4053.3的规定执行。</w:t>
            </w:r>
          </w:p>
        </w:tc>
        <w:tc>
          <w:tcPr>
            <w:tcW w:w="1969" w:type="dxa"/>
            <w:noWrap w:val="0"/>
            <w:vAlign w:val="center"/>
          </w:tcPr>
          <w:p w14:paraId="3F7C140B">
            <w:pPr>
              <w:pStyle w:val="30"/>
              <w:bidi w:val="0"/>
              <w:rPr>
                <w:rFonts w:hint="default"/>
                <w:color w:val="auto"/>
              </w:rPr>
            </w:pPr>
            <w:r>
              <w:rPr>
                <w:rFonts w:hint="default"/>
                <w:color w:val="auto"/>
              </w:rPr>
              <w:t>《生产设备安全卫生设计总则》</w:t>
            </w:r>
          </w:p>
          <w:p w14:paraId="61BBB457">
            <w:pPr>
              <w:pStyle w:val="30"/>
              <w:bidi w:val="0"/>
              <w:rPr>
                <w:rFonts w:hint="eastAsia"/>
                <w:color w:val="auto"/>
                <w:lang w:eastAsia="zh-CN"/>
              </w:rPr>
            </w:pPr>
            <w:r>
              <w:rPr>
                <w:rFonts w:hint="default"/>
                <w:color w:val="auto"/>
                <w:lang w:eastAsia="zh-CN"/>
              </w:rPr>
              <w:t>（</w:t>
            </w:r>
            <w:r>
              <w:rPr>
                <w:rFonts w:hint="default"/>
                <w:color w:val="auto"/>
              </w:rPr>
              <w:t>GB 5083-2023</w:t>
            </w:r>
            <w:r>
              <w:rPr>
                <w:rFonts w:hint="eastAsia"/>
                <w:color w:val="auto"/>
                <w:lang w:eastAsia="zh-CN"/>
              </w:rPr>
              <w:t>）</w:t>
            </w:r>
          </w:p>
          <w:p w14:paraId="670C1FE8">
            <w:pPr>
              <w:pStyle w:val="30"/>
              <w:bidi w:val="0"/>
              <w:rPr>
                <w:rFonts w:hint="default"/>
                <w:color w:val="auto"/>
              </w:rPr>
            </w:pPr>
            <w:r>
              <w:rPr>
                <w:rFonts w:hint="default"/>
                <w:color w:val="auto"/>
              </w:rPr>
              <w:t>5.7.4.</w:t>
            </w:r>
            <w:r>
              <w:rPr>
                <w:rFonts w:hint="eastAsia"/>
                <w:color w:val="auto"/>
                <w:lang w:val="en-US" w:eastAsia="zh-CN"/>
              </w:rPr>
              <w:t xml:space="preserve">5 </w:t>
            </w:r>
            <w:r>
              <w:rPr>
                <w:rFonts w:hint="default"/>
                <w:color w:val="auto"/>
              </w:rPr>
              <w:t>b</w:t>
            </w:r>
          </w:p>
        </w:tc>
        <w:tc>
          <w:tcPr>
            <w:tcW w:w="2864" w:type="dxa"/>
            <w:noWrap w:val="0"/>
            <w:vAlign w:val="center"/>
          </w:tcPr>
          <w:p w14:paraId="1B766E59">
            <w:pPr>
              <w:pStyle w:val="30"/>
              <w:bidi w:val="0"/>
              <w:rPr>
                <w:rFonts w:hint="default"/>
                <w:color w:val="auto"/>
              </w:rPr>
            </w:pPr>
            <w:r>
              <w:rPr>
                <w:rFonts w:hint="default"/>
                <w:color w:val="auto"/>
              </w:rPr>
              <w:t>梯子、平台和栏杆满足GB</w:t>
            </w:r>
            <w:r>
              <w:rPr>
                <w:rFonts w:hint="default"/>
                <w:color w:val="auto"/>
                <w:lang w:val="en-US" w:eastAsia="zh-CN"/>
              </w:rPr>
              <w:t xml:space="preserve"> </w:t>
            </w:r>
            <w:r>
              <w:rPr>
                <w:rFonts w:hint="default"/>
                <w:color w:val="auto"/>
              </w:rPr>
              <w:t>4053.1</w:t>
            </w:r>
            <w:r>
              <w:rPr>
                <w:rFonts w:hint="eastAsia"/>
                <w:color w:val="auto"/>
                <w:lang w:eastAsia="zh-CN"/>
              </w:rPr>
              <w:t>、</w:t>
            </w:r>
            <w:r>
              <w:rPr>
                <w:rFonts w:hint="default"/>
                <w:color w:val="auto"/>
              </w:rPr>
              <w:t>GB</w:t>
            </w:r>
            <w:r>
              <w:rPr>
                <w:rFonts w:hint="default"/>
                <w:color w:val="auto"/>
                <w:lang w:val="en-US" w:eastAsia="zh-CN"/>
              </w:rPr>
              <w:t xml:space="preserve"> </w:t>
            </w:r>
            <w:r>
              <w:rPr>
                <w:rFonts w:hint="default"/>
                <w:color w:val="auto"/>
              </w:rPr>
              <w:t>4053.2、GB</w:t>
            </w:r>
            <w:r>
              <w:rPr>
                <w:rFonts w:hint="default"/>
                <w:color w:val="auto"/>
                <w:lang w:val="en-US" w:eastAsia="zh-CN"/>
              </w:rPr>
              <w:t xml:space="preserve"> </w:t>
            </w:r>
            <w:r>
              <w:rPr>
                <w:rFonts w:hint="default"/>
                <w:color w:val="auto"/>
              </w:rPr>
              <w:t>4053.3和GB</w:t>
            </w:r>
            <w:r>
              <w:rPr>
                <w:rFonts w:hint="default"/>
                <w:color w:val="auto"/>
                <w:lang w:val="en-US" w:eastAsia="zh-CN"/>
              </w:rPr>
              <w:t xml:space="preserve"> </w:t>
            </w:r>
            <w:r>
              <w:rPr>
                <w:rFonts w:hint="default"/>
                <w:color w:val="auto"/>
              </w:rPr>
              <w:t>4053.4的要求。</w:t>
            </w:r>
          </w:p>
        </w:tc>
        <w:tc>
          <w:tcPr>
            <w:tcW w:w="854" w:type="dxa"/>
            <w:noWrap w:val="0"/>
            <w:vAlign w:val="center"/>
          </w:tcPr>
          <w:p w14:paraId="47671D3E">
            <w:pPr>
              <w:pStyle w:val="30"/>
              <w:bidi w:val="0"/>
              <w:rPr>
                <w:rFonts w:hint="default"/>
                <w:color w:val="auto"/>
              </w:rPr>
            </w:pPr>
            <w:r>
              <w:rPr>
                <w:rFonts w:hint="default"/>
                <w:color w:val="auto"/>
              </w:rPr>
              <w:t>符合</w:t>
            </w:r>
          </w:p>
        </w:tc>
      </w:tr>
      <w:tr w14:paraId="385E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7" w:type="dxa"/>
            <w:noWrap w:val="0"/>
            <w:vAlign w:val="center"/>
          </w:tcPr>
          <w:p w14:paraId="050E80AF">
            <w:pPr>
              <w:pStyle w:val="30"/>
              <w:bidi w:val="0"/>
              <w:rPr>
                <w:rFonts w:hint="default"/>
                <w:color w:val="auto"/>
              </w:rPr>
            </w:pPr>
            <w:r>
              <w:rPr>
                <w:rFonts w:hint="default"/>
                <w:color w:val="auto"/>
              </w:rPr>
              <w:t>4</w:t>
            </w:r>
          </w:p>
        </w:tc>
        <w:tc>
          <w:tcPr>
            <w:tcW w:w="2869" w:type="dxa"/>
            <w:noWrap w:val="0"/>
            <w:vAlign w:val="center"/>
          </w:tcPr>
          <w:p w14:paraId="74A68097">
            <w:pPr>
              <w:pStyle w:val="30"/>
              <w:bidi w:val="0"/>
              <w:rPr>
                <w:rFonts w:hint="default"/>
                <w:color w:val="auto"/>
              </w:rPr>
            </w:pPr>
            <w:r>
              <w:rPr>
                <w:rFonts w:hint="default"/>
                <w:color w:val="auto"/>
              </w:rPr>
              <w:t>生产设备运行时可能触及并易造成人身伤害的可动零部件应配置安全卫生防护装置。</w:t>
            </w:r>
          </w:p>
        </w:tc>
        <w:tc>
          <w:tcPr>
            <w:tcW w:w="1969" w:type="dxa"/>
            <w:noWrap w:val="0"/>
            <w:vAlign w:val="center"/>
          </w:tcPr>
          <w:p w14:paraId="245AEE01">
            <w:pPr>
              <w:pStyle w:val="30"/>
              <w:bidi w:val="0"/>
              <w:rPr>
                <w:rFonts w:hint="default"/>
                <w:color w:val="auto"/>
              </w:rPr>
            </w:pPr>
            <w:r>
              <w:rPr>
                <w:rFonts w:hint="default"/>
                <w:color w:val="auto"/>
              </w:rPr>
              <w:t>《生产设备安全卫生设计总则》</w:t>
            </w:r>
          </w:p>
          <w:p w14:paraId="0EC1F7EB">
            <w:pPr>
              <w:pStyle w:val="30"/>
              <w:bidi w:val="0"/>
              <w:rPr>
                <w:rFonts w:hint="eastAsia"/>
                <w:color w:val="auto"/>
                <w:lang w:eastAsia="zh-CN"/>
              </w:rPr>
            </w:pPr>
            <w:r>
              <w:rPr>
                <w:rFonts w:hint="default"/>
                <w:color w:val="auto"/>
                <w:lang w:eastAsia="zh-CN"/>
              </w:rPr>
              <w:t>（</w:t>
            </w:r>
            <w:r>
              <w:rPr>
                <w:rFonts w:hint="default"/>
                <w:color w:val="auto"/>
              </w:rPr>
              <w:t>GB 5083-2023</w:t>
            </w:r>
            <w:r>
              <w:rPr>
                <w:rFonts w:hint="eastAsia"/>
                <w:color w:val="auto"/>
                <w:lang w:eastAsia="zh-CN"/>
              </w:rPr>
              <w:t>）</w:t>
            </w:r>
          </w:p>
          <w:p w14:paraId="17B0104F">
            <w:pPr>
              <w:pStyle w:val="30"/>
              <w:bidi w:val="0"/>
              <w:rPr>
                <w:rFonts w:hint="eastAsia" w:eastAsia="宋体"/>
                <w:color w:val="auto"/>
                <w:lang w:eastAsia="zh-CN"/>
              </w:rPr>
            </w:pPr>
            <w:r>
              <w:rPr>
                <w:rFonts w:hint="default"/>
                <w:color w:val="auto"/>
              </w:rPr>
              <w:t>6.1.</w:t>
            </w:r>
            <w:r>
              <w:rPr>
                <w:rFonts w:hint="eastAsia"/>
                <w:color w:val="auto"/>
                <w:lang w:val="en-US" w:eastAsia="zh-CN"/>
              </w:rPr>
              <w:t>1</w:t>
            </w:r>
          </w:p>
        </w:tc>
        <w:tc>
          <w:tcPr>
            <w:tcW w:w="2864" w:type="dxa"/>
            <w:noWrap w:val="0"/>
            <w:vAlign w:val="center"/>
          </w:tcPr>
          <w:p w14:paraId="531FBF32">
            <w:pPr>
              <w:pStyle w:val="30"/>
              <w:bidi w:val="0"/>
              <w:rPr>
                <w:rFonts w:hint="default"/>
                <w:color w:val="auto"/>
                <w:lang w:val="en-US" w:eastAsia="zh-CN"/>
              </w:rPr>
            </w:pPr>
            <w:r>
              <w:rPr>
                <w:rFonts w:hint="default"/>
                <w:color w:val="auto"/>
                <w:lang w:val="en-US" w:eastAsia="zh-CN"/>
              </w:rPr>
              <w:t>现场勘验时球磨机</w:t>
            </w:r>
            <w:r>
              <w:rPr>
                <w:rFonts w:hint="eastAsia"/>
                <w:color w:val="auto"/>
                <w:lang w:val="en-US" w:eastAsia="zh-CN"/>
              </w:rPr>
              <w:t>旁</w:t>
            </w:r>
            <w:r>
              <w:rPr>
                <w:rFonts w:hint="default"/>
                <w:color w:val="auto"/>
              </w:rPr>
              <w:t>未设置隔离防护栏或防护罩</w:t>
            </w:r>
            <w:r>
              <w:rPr>
                <w:rFonts w:hint="default"/>
                <w:color w:val="auto"/>
                <w:lang w:eastAsia="zh-CN"/>
              </w:rPr>
              <w:t>，</w:t>
            </w:r>
            <w:r>
              <w:rPr>
                <w:rFonts w:hint="default"/>
                <w:color w:val="auto"/>
                <w:lang w:val="en-US" w:eastAsia="zh-CN"/>
              </w:rPr>
              <w:t>复核时已安装</w:t>
            </w:r>
            <w:r>
              <w:rPr>
                <w:rFonts w:hint="eastAsia"/>
                <w:color w:val="auto"/>
                <w:lang w:val="en-US" w:eastAsia="zh-CN"/>
              </w:rPr>
              <w:t>防护栏</w:t>
            </w:r>
            <w:r>
              <w:rPr>
                <w:rFonts w:hint="default"/>
                <w:color w:val="auto"/>
                <w:lang w:val="en-US" w:eastAsia="zh-CN"/>
              </w:rPr>
              <w:t>。</w:t>
            </w:r>
          </w:p>
        </w:tc>
        <w:tc>
          <w:tcPr>
            <w:tcW w:w="854" w:type="dxa"/>
            <w:noWrap w:val="0"/>
            <w:vAlign w:val="center"/>
          </w:tcPr>
          <w:p w14:paraId="791C2965">
            <w:pPr>
              <w:pStyle w:val="30"/>
              <w:bidi w:val="0"/>
              <w:rPr>
                <w:rFonts w:hint="default"/>
                <w:color w:val="auto"/>
              </w:rPr>
            </w:pPr>
            <w:r>
              <w:rPr>
                <w:rFonts w:hint="default"/>
                <w:color w:val="auto"/>
              </w:rPr>
              <w:t>符合</w:t>
            </w:r>
          </w:p>
        </w:tc>
      </w:tr>
      <w:tr w14:paraId="7DFB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7" w:type="dxa"/>
            <w:noWrap w:val="0"/>
            <w:vAlign w:val="center"/>
          </w:tcPr>
          <w:p w14:paraId="27370EEE">
            <w:pPr>
              <w:pStyle w:val="30"/>
              <w:bidi w:val="0"/>
              <w:rPr>
                <w:rFonts w:hint="eastAsia" w:eastAsia="宋体"/>
                <w:color w:val="auto"/>
                <w:lang w:eastAsia="zh-CN"/>
              </w:rPr>
            </w:pPr>
            <w:r>
              <w:rPr>
                <w:rFonts w:hint="eastAsia"/>
                <w:color w:val="auto"/>
                <w:lang w:val="en-US" w:eastAsia="zh-CN"/>
              </w:rPr>
              <w:t>5</w:t>
            </w:r>
          </w:p>
        </w:tc>
        <w:tc>
          <w:tcPr>
            <w:tcW w:w="2869" w:type="dxa"/>
            <w:noWrap w:val="0"/>
            <w:vAlign w:val="center"/>
          </w:tcPr>
          <w:p w14:paraId="510284A0">
            <w:pPr>
              <w:pStyle w:val="30"/>
              <w:bidi w:val="0"/>
              <w:rPr>
                <w:rFonts w:hint="default"/>
                <w:color w:val="auto"/>
              </w:rPr>
            </w:pPr>
            <w:r>
              <w:rPr>
                <w:rFonts w:hint="default"/>
                <w:color w:val="auto"/>
              </w:rPr>
              <w:t>梯高宜不大于5m，大于5m时，宜设梯间平台</w:t>
            </w:r>
            <w:r>
              <w:rPr>
                <w:rFonts w:hint="default"/>
                <w:color w:val="auto"/>
                <w:lang w:eastAsia="zh-CN"/>
              </w:rPr>
              <w:t>（</w:t>
            </w:r>
            <w:r>
              <w:rPr>
                <w:rFonts w:hint="default"/>
                <w:color w:val="auto"/>
              </w:rPr>
              <w:t>休息平台</w:t>
            </w:r>
            <w:r>
              <w:rPr>
                <w:rFonts w:hint="eastAsia"/>
                <w:color w:val="auto"/>
                <w:lang w:eastAsia="zh-CN"/>
              </w:rPr>
              <w:t>）</w:t>
            </w:r>
            <w:r>
              <w:rPr>
                <w:rFonts w:hint="default"/>
                <w:color w:val="auto"/>
              </w:rPr>
              <w:t>，分段设梯。</w:t>
            </w:r>
          </w:p>
        </w:tc>
        <w:tc>
          <w:tcPr>
            <w:tcW w:w="1969" w:type="dxa"/>
            <w:noWrap w:val="0"/>
            <w:vAlign w:val="center"/>
          </w:tcPr>
          <w:p w14:paraId="4B8ADCB6">
            <w:pPr>
              <w:pStyle w:val="30"/>
              <w:bidi w:val="0"/>
              <w:rPr>
                <w:rFonts w:hint="default"/>
                <w:color w:val="auto"/>
              </w:rPr>
            </w:pPr>
            <w:r>
              <w:rPr>
                <w:rFonts w:hint="default"/>
                <w:color w:val="auto"/>
              </w:rPr>
              <w:t>《固定式钢梯及平台安全要求 第2部分：钢斜梯》</w:t>
            </w:r>
          </w:p>
          <w:p w14:paraId="0599C053">
            <w:pPr>
              <w:pStyle w:val="30"/>
              <w:bidi w:val="0"/>
              <w:rPr>
                <w:rFonts w:hint="default"/>
                <w:color w:val="auto"/>
                <w:lang w:eastAsia="zh-CN"/>
              </w:rPr>
            </w:pPr>
            <w:r>
              <w:rPr>
                <w:rFonts w:hint="default"/>
                <w:color w:val="auto"/>
                <w:lang w:eastAsia="zh-CN"/>
              </w:rPr>
              <w:t>（</w:t>
            </w:r>
            <w:r>
              <w:rPr>
                <w:rFonts w:hint="default"/>
                <w:color w:val="auto"/>
              </w:rPr>
              <w:t>GB 4053.2-2009</w:t>
            </w:r>
            <w:r>
              <w:rPr>
                <w:rFonts w:hint="eastAsia"/>
                <w:color w:val="auto"/>
                <w:lang w:eastAsia="zh-CN"/>
              </w:rPr>
              <w:t>）</w:t>
            </w:r>
          </w:p>
          <w:p w14:paraId="04B3A863">
            <w:pPr>
              <w:pStyle w:val="30"/>
              <w:bidi w:val="0"/>
              <w:rPr>
                <w:rFonts w:hint="default"/>
                <w:color w:val="auto"/>
              </w:rPr>
            </w:pPr>
            <w:r>
              <w:rPr>
                <w:rFonts w:hint="default"/>
                <w:color w:val="auto"/>
              </w:rPr>
              <w:t>第5.1.1条</w:t>
            </w:r>
          </w:p>
        </w:tc>
        <w:tc>
          <w:tcPr>
            <w:tcW w:w="2864" w:type="dxa"/>
            <w:noWrap w:val="0"/>
            <w:vAlign w:val="center"/>
          </w:tcPr>
          <w:p w14:paraId="6E5D8393">
            <w:pPr>
              <w:pStyle w:val="30"/>
              <w:bidi w:val="0"/>
              <w:rPr>
                <w:rFonts w:hint="default"/>
                <w:color w:val="auto"/>
              </w:rPr>
            </w:pPr>
            <w:r>
              <w:rPr>
                <w:rFonts w:hint="default"/>
                <w:color w:val="auto"/>
                <w:lang w:val="en-US" w:eastAsia="zh-CN"/>
              </w:rPr>
              <w:t>项目梯高均未大于5m。</w:t>
            </w:r>
          </w:p>
        </w:tc>
        <w:tc>
          <w:tcPr>
            <w:tcW w:w="854" w:type="dxa"/>
            <w:noWrap w:val="0"/>
            <w:vAlign w:val="center"/>
          </w:tcPr>
          <w:p w14:paraId="4A833874">
            <w:pPr>
              <w:pStyle w:val="30"/>
              <w:bidi w:val="0"/>
              <w:rPr>
                <w:rFonts w:hint="default"/>
                <w:color w:val="auto"/>
              </w:rPr>
            </w:pPr>
            <w:r>
              <w:rPr>
                <w:rFonts w:hint="default"/>
                <w:color w:val="auto"/>
                <w:lang w:val="en-US" w:eastAsia="zh-CN"/>
              </w:rPr>
              <w:t>符合</w:t>
            </w:r>
          </w:p>
        </w:tc>
      </w:tr>
      <w:tr w14:paraId="1F0B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7" w:type="dxa"/>
            <w:noWrap w:val="0"/>
            <w:vAlign w:val="center"/>
          </w:tcPr>
          <w:p w14:paraId="2538587B">
            <w:pPr>
              <w:pStyle w:val="30"/>
              <w:bidi w:val="0"/>
              <w:rPr>
                <w:rFonts w:hint="eastAsia" w:eastAsia="宋体"/>
                <w:color w:val="auto"/>
                <w:lang w:eastAsia="zh-CN"/>
              </w:rPr>
            </w:pPr>
            <w:r>
              <w:rPr>
                <w:rFonts w:hint="eastAsia"/>
                <w:color w:val="auto"/>
                <w:lang w:val="en-US" w:eastAsia="zh-CN"/>
              </w:rPr>
              <w:t>6</w:t>
            </w:r>
          </w:p>
        </w:tc>
        <w:tc>
          <w:tcPr>
            <w:tcW w:w="2869" w:type="dxa"/>
            <w:noWrap w:val="0"/>
            <w:vAlign w:val="center"/>
          </w:tcPr>
          <w:p w14:paraId="124D80AF">
            <w:pPr>
              <w:pStyle w:val="30"/>
              <w:bidi w:val="0"/>
              <w:rPr>
                <w:rFonts w:hint="default"/>
                <w:color w:val="auto"/>
              </w:rPr>
            </w:pPr>
            <w:r>
              <w:rPr>
                <w:rFonts w:hint="default"/>
                <w:color w:val="auto"/>
              </w:rPr>
              <w:t>连接牢固性：焊接、粘接或机械式紧固连接应有足够的强度，以承受正常的可预见的载荷。在使用粘接剂的场合，应使其与所采用的工艺和使用的材料相匹配。在使用机械紧固件的场合，其强度、数量和位置应足以保证防护装置的稳定性和刚度。</w:t>
            </w:r>
          </w:p>
        </w:tc>
        <w:tc>
          <w:tcPr>
            <w:tcW w:w="1969" w:type="dxa"/>
            <w:noWrap w:val="0"/>
            <w:vAlign w:val="center"/>
          </w:tcPr>
          <w:p w14:paraId="52E208A8">
            <w:pPr>
              <w:pStyle w:val="30"/>
              <w:bidi w:val="0"/>
              <w:rPr>
                <w:rFonts w:hint="default"/>
                <w:color w:val="auto"/>
              </w:rPr>
            </w:pPr>
            <w:r>
              <w:rPr>
                <w:rFonts w:hint="default"/>
                <w:color w:val="auto"/>
              </w:rPr>
              <w:t>《机械安全 防护装置 固定式和活动式防护装置设计与制造一般要求》</w:t>
            </w:r>
          </w:p>
          <w:p w14:paraId="279ACE76">
            <w:pPr>
              <w:pStyle w:val="30"/>
              <w:bidi w:val="0"/>
              <w:rPr>
                <w:rFonts w:hint="eastAsia"/>
                <w:color w:val="auto"/>
                <w:lang w:eastAsia="zh-CN"/>
              </w:rPr>
            </w:pPr>
            <w:r>
              <w:rPr>
                <w:rFonts w:hint="default"/>
                <w:color w:val="auto"/>
                <w:lang w:eastAsia="zh-CN"/>
              </w:rPr>
              <w:t>（</w:t>
            </w:r>
            <w:r>
              <w:rPr>
                <w:rFonts w:hint="default"/>
                <w:color w:val="auto"/>
              </w:rPr>
              <w:t>GB</w:t>
            </w:r>
            <w:r>
              <w:rPr>
                <w:rFonts w:hint="default"/>
                <w:color w:val="auto"/>
                <w:lang w:val="en-US" w:eastAsia="zh-CN"/>
              </w:rPr>
              <w:t xml:space="preserve">/T </w:t>
            </w:r>
            <w:r>
              <w:rPr>
                <w:rFonts w:hint="default"/>
                <w:color w:val="auto"/>
              </w:rPr>
              <w:t>8196-20</w:t>
            </w:r>
            <w:r>
              <w:rPr>
                <w:rFonts w:hint="default"/>
                <w:color w:val="auto"/>
                <w:lang w:val="en-US" w:eastAsia="zh-CN"/>
              </w:rPr>
              <w:t>18</w:t>
            </w:r>
            <w:r>
              <w:rPr>
                <w:rFonts w:hint="eastAsia"/>
                <w:color w:val="auto"/>
                <w:lang w:eastAsia="zh-CN"/>
              </w:rPr>
              <w:t>）</w:t>
            </w:r>
          </w:p>
          <w:p w14:paraId="6076060F">
            <w:pPr>
              <w:pStyle w:val="30"/>
              <w:bidi w:val="0"/>
              <w:rPr>
                <w:rFonts w:hint="default"/>
                <w:color w:val="auto"/>
              </w:rPr>
            </w:pPr>
            <w:r>
              <w:rPr>
                <w:rFonts w:hint="default"/>
                <w:color w:val="auto"/>
              </w:rPr>
              <w:t>第5.4.2条</w:t>
            </w:r>
          </w:p>
        </w:tc>
        <w:tc>
          <w:tcPr>
            <w:tcW w:w="2864" w:type="dxa"/>
            <w:noWrap w:val="0"/>
            <w:vAlign w:val="center"/>
          </w:tcPr>
          <w:p w14:paraId="4DC39215">
            <w:pPr>
              <w:pStyle w:val="30"/>
              <w:bidi w:val="0"/>
              <w:rPr>
                <w:rFonts w:hint="default"/>
                <w:color w:val="auto"/>
              </w:rPr>
            </w:pPr>
            <w:r>
              <w:rPr>
                <w:rFonts w:hint="default"/>
                <w:color w:val="auto"/>
              </w:rPr>
              <w:t>现场供电电缆电线敷设符合设计要求。</w:t>
            </w:r>
          </w:p>
        </w:tc>
        <w:tc>
          <w:tcPr>
            <w:tcW w:w="854" w:type="dxa"/>
            <w:noWrap w:val="0"/>
            <w:vAlign w:val="center"/>
          </w:tcPr>
          <w:p w14:paraId="543EF215">
            <w:pPr>
              <w:pStyle w:val="30"/>
              <w:bidi w:val="0"/>
              <w:rPr>
                <w:rFonts w:hint="default"/>
                <w:color w:val="auto"/>
              </w:rPr>
            </w:pPr>
            <w:r>
              <w:rPr>
                <w:rFonts w:hint="default"/>
                <w:color w:val="auto"/>
              </w:rPr>
              <w:t>符合</w:t>
            </w:r>
          </w:p>
        </w:tc>
      </w:tr>
      <w:tr w14:paraId="6FAA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7" w:type="dxa"/>
            <w:noWrap w:val="0"/>
            <w:vAlign w:val="center"/>
          </w:tcPr>
          <w:p w14:paraId="112E6006">
            <w:pPr>
              <w:pStyle w:val="30"/>
              <w:bidi w:val="0"/>
              <w:rPr>
                <w:rFonts w:hint="eastAsia" w:eastAsia="宋体"/>
                <w:color w:val="auto"/>
                <w:lang w:eastAsia="zh-CN"/>
              </w:rPr>
            </w:pPr>
            <w:r>
              <w:rPr>
                <w:rFonts w:hint="eastAsia"/>
                <w:color w:val="auto"/>
                <w:lang w:val="en-US" w:eastAsia="zh-CN"/>
              </w:rPr>
              <w:t>7</w:t>
            </w:r>
          </w:p>
        </w:tc>
        <w:tc>
          <w:tcPr>
            <w:tcW w:w="2869" w:type="dxa"/>
            <w:noWrap w:val="0"/>
            <w:vAlign w:val="center"/>
          </w:tcPr>
          <w:p w14:paraId="0A1A07F3">
            <w:pPr>
              <w:pStyle w:val="30"/>
              <w:bidi w:val="0"/>
              <w:rPr>
                <w:rFonts w:hint="default"/>
                <w:color w:val="auto"/>
              </w:rPr>
            </w:pPr>
            <w:r>
              <w:rPr>
                <w:rFonts w:hint="default"/>
                <w:color w:val="auto"/>
              </w:rPr>
              <w:t>通道的坡度达到6~12°时，应加防滑条；坡度大于12°时，应设踏步。经常有水、油脂等易滑物质的地坪，应采取防滑措施。</w:t>
            </w:r>
          </w:p>
        </w:tc>
        <w:tc>
          <w:tcPr>
            <w:tcW w:w="1969" w:type="dxa"/>
            <w:noWrap w:val="0"/>
            <w:vAlign w:val="center"/>
          </w:tcPr>
          <w:p w14:paraId="27EB879A">
            <w:pPr>
              <w:pStyle w:val="30"/>
              <w:bidi w:val="0"/>
              <w:rPr>
                <w:rFonts w:hint="default"/>
                <w:color w:val="auto"/>
              </w:rPr>
            </w:pPr>
            <w:r>
              <w:rPr>
                <w:rFonts w:hint="default"/>
                <w:color w:val="auto"/>
              </w:rPr>
              <w:t>《</w:t>
            </w:r>
            <w:r>
              <w:rPr>
                <w:rFonts w:hint="default"/>
                <w:color w:val="auto"/>
              </w:rPr>
              <w:fldChar w:fldCharType="begin"/>
            </w:r>
            <w:r>
              <w:rPr>
                <w:rFonts w:hint="default"/>
                <w:color w:val="auto"/>
              </w:rPr>
              <w:instrText xml:space="preserve"> HYPERLINK "http://wenku.baidu.com/view/800a2575a417866fb84a8e22.html" \t "_blank" </w:instrText>
            </w:r>
            <w:r>
              <w:rPr>
                <w:rFonts w:hint="default"/>
                <w:color w:val="auto"/>
              </w:rPr>
              <w:fldChar w:fldCharType="separate"/>
            </w:r>
            <w:r>
              <w:rPr>
                <w:rFonts w:hint="default"/>
                <w:color w:val="auto"/>
              </w:rPr>
              <w:t>选矿安全规程</w:t>
            </w:r>
            <w:r>
              <w:rPr>
                <w:rFonts w:hint="default"/>
                <w:color w:val="auto"/>
              </w:rPr>
              <w:fldChar w:fldCharType="end"/>
            </w:r>
            <w:r>
              <w:rPr>
                <w:rFonts w:hint="default"/>
                <w:color w:val="auto"/>
              </w:rPr>
              <w:t>》</w:t>
            </w:r>
            <w:r>
              <w:rPr>
                <w:rFonts w:hint="eastAsia"/>
                <w:color w:val="auto"/>
                <w:lang w:eastAsia="zh-CN"/>
              </w:rPr>
              <w:t>（GB/T 18152-2000）</w:t>
            </w:r>
            <w:r>
              <w:rPr>
                <w:rFonts w:hint="default"/>
                <w:color w:val="auto"/>
              </w:rPr>
              <w:t>6.10</w:t>
            </w:r>
          </w:p>
        </w:tc>
        <w:tc>
          <w:tcPr>
            <w:tcW w:w="2864" w:type="dxa"/>
            <w:noWrap w:val="0"/>
            <w:vAlign w:val="center"/>
          </w:tcPr>
          <w:p w14:paraId="317DE54D">
            <w:pPr>
              <w:pStyle w:val="30"/>
              <w:bidi w:val="0"/>
              <w:rPr>
                <w:rFonts w:hint="default"/>
                <w:color w:val="auto"/>
              </w:rPr>
            </w:pPr>
            <w:r>
              <w:rPr>
                <w:rFonts w:hint="default"/>
                <w:color w:val="auto"/>
              </w:rPr>
              <w:t>该项目通道的踏步符合相关要求，且设有防滑措施。</w:t>
            </w:r>
          </w:p>
        </w:tc>
        <w:tc>
          <w:tcPr>
            <w:tcW w:w="854" w:type="dxa"/>
            <w:noWrap w:val="0"/>
            <w:vAlign w:val="center"/>
          </w:tcPr>
          <w:p w14:paraId="43FAB0F6">
            <w:pPr>
              <w:pStyle w:val="30"/>
              <w:bidi w:val="0"/>
              <w:rPr>
                <w:rFonts w:hint="default"/>
                <w:color w:val="auto"/>
              </w:rPr>
            </w:pPr>
            <w:r>
              <w:rPr>
                <w:rFonts w:hint="default"/>
                <w:color w:val="auto"/>
              </w:rPr>
              <w:t>符合</w:t>
            </w:r>
          </w:p>
        </w:tc>
      </w:tr>
      <w:tr w14:paraId="464A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7" w:type="dxa"/>
            <w:noWrap w:val="0"/>
            <w:vAlign w:val="center"/>
          </w:tcPr>
          <w:p w14:paraId="163F6859">
            <w:pPr>
              <w:pStyle w:val="30"/>
              <w:bidi w:val="0"/>
              <w:rPr>
                <w:rFonts w:hint="eastAsia" w:eastAsia="宋体"/>
                <w:color w:val="auto"/>
                <w:lang w:eastAsia="zh-CN"/>
              </w:rPr>
            </w:pPr>
            <w:r>
              <w:rPr>
                <w:rFonts w:hint="eastAsia"/>
                <w:color w:val="auto"/>
                <w:lang w:val="en-US" w:eastAsia="zh-CN"/>
              </w:rPr>
              <w:t>8</w:t>
            </w:r>
          </w:p>
        </w:tc>
        <w:tc>
          <w:tcPr>
            <w:tcW w:w="2869" w:type="dxa"/>
            <w:noWrap w:val="0"/>
            <w:vAlign w:val="center"/>
          </w:tcPr>
          <w:p w14:paraId="61909883">
            <w:pPr>
              <w:pStyle w:val="30"/>
              <w:bidi w:val="0"/>
              <w:rPr>
                <w:rFonts w:hint="default"/>
                <w:color w:val="auto"/>
              </w:rPr>
            </w:pPr>
            <w:r>
              <w:rPr>
                <w:rFonts w:hint="default"/>
                <w:color w:val="auto"/>
              </w:rPr>
              <w:t>厂内各类管线、溜槽，不应妨碍操作和行走。</w:t>
            </w:r>
          </w:p>
        </w:tc>
        <w:tc>
          <w:tcPr>
            <w:tcW w:w="1969" w:type="dxa"/>
            <w:noWrap w:val="0"/>
            <w:vAlign w:val="center"/>
          </w:tcPr>
          <w:p w14:paraId="34728A5B">
            <w:pPr>
              <w:pStyle w:val="30"/>
              <w:bidi w:val="0"/>
              <w:rPr>
                <w:rFonts w:hint="default"/>
                <w:color w:val="auto"/>
              </w:rPr>
            </w:pPr>
            <w:r>
              <w:rPr>
                <w:rFonts w:hint="default"/>
                <w:color w:val="auto"/>
              </w:rPr>
              <w:t>《</w:t>
            </w:r>
            <w:r>
              <w:rPr>
                <w:rFonts w:hint="default"/>
                <w:color w:val="auto"/>
              </w:rPr>
              <w:fldChar w:fldCharType="begin"/>
            </w:r>
            <w:r>
              <w:rPr>
                <w:rFonts w:hint="default"/>
                <w:color w:val="auto"/>
              </w:rPr>
              <w:instrText xml:space="preserve"> HYPERLINK "http://wenku.baidu.com/view/800a2575a417866fb84a8e22.html" \t "_blank" </w:instrText>
            </w:r>
            <w:r>
              <w:rPr>
                <w:rFonts w:hint="default"/>
                <w:color w:val="auto"/>
              </w:rPr>
              <w:fldChar w:fldCharType="separate"/>
            </w:r>
            <w:r>
              <w:rPr>
                <w:rFonts w:hint="default"/>
                <w:color w:val="auto"/>
              </w:rPr>
              <w:t>选矿安全规程</w:t>
            </w:r>
            <w:r>
              <w:rPr>
                <w:rFonts w:hint="default"/>
                <w:color w:val="auto"/>
              </w:rPr>
              <w:fldChar w:fldCharType="end"/>
            </w:r>
            <w:r>
              <w:rPr>
                <w:rFonts w:hint="default"/>
                <w:color w:val="auto"/>
              </w:rPr>
              <w:t>》</w:t>
            </w:r>
            <w:r>
              <w:rPr>
                <w:rFonts w:hint="eastAsia"/>
                <w:color w:val="auto"/>
                <w:lang w:eastAsia="zh-CN"/>
              </w:rPr>
              <w:t>（GB/T 18152-2000）</w:t>
            </w:r>
            <w:r>
              <w:rPr>
                <w:rFonts w:hint="default"/>
                <w:color w:val="auto"/>
              </w:rPr>
              <w:t>6.18</w:t>
            </w:r>
          </w:p>
        </w:tc>
        <w:tc>
          <w:tcPr>
            <w:tcW w:w="2864" w:type="dxa"/>
            <w:noWrap w:val="0"/>
            <w:vAlign w:val="center"/>
          </w:tcPr>
          <w:p w14:paraId="5A87EF8E">
            <w:pPr>
              <w:pStyle w:val="30"/>
              <w:bidi w:val="0"/>
              <w:rPr>
                <w:rFonts w:hint="default"/>
                <w:color w:val="auto"/>
                <w:lang w:eastAsia="zh-CN"/>
              </w:rPr>
            </w:pPr>
            <w:r>
              <w:rPr>
                <w:rFonts w:hint="default"/>
                <w:color w:val="auto"/>
              </w:rPr>
              <w:t>厂内管线的安装</w:t>
            </w:r>
            <w:r>
              <w:rPr>
                <w:rFonts w:hint="default"/>
                <w:color w:val="auto"/>
                <w:lang w:val="en-US" w:eastAsia="zh-CN"/>
              </w:rPr>
              <w:t>不</w:t>
            </w:r>
            <w:r>
              <w:rPr>
                <w:rFonts w:hint="default"/>
                <w:color w:val="auto"/>
              </w:rPr>
              <w:t>妨碍操作和行走</w:t>
            </w:r>
            <w:r>
              <w:rPr>
                <w:rFonts w:hint="default"/>
                <w:color w:val="auto"/>
                <w:lang w:eastAsia="zh-CN"/>
              </w:rPr>
              <w:t>。</w:t>
            </w:r>
          </w:p>
        </w:tc>
        <w:tc>
          <w:tcPr>
            <w:tcW w:w="854" w:type="dxa"/>
            <w:noWrap w:val="0"/>
            <w:vAlign w:val="center"/>
          </w:tcPr>
          <w:p w14:paraId="7C85A6B5">
            <w:pPr>
              <w:pStyle w:val="30"/>
              <w:bidi w:val="0"/>
              <w:rPr>
                <w:rFonts w:hint="default"/>
                <w:color w:val="auto"/>
              </w:rPr>
            </w:pPr>
            <w:r>
              <w:rPr>
                <w:rFonts w:hint="default"/>
                <w:color w:val="auto"/>
              </w:rPr>
              <w:t>符合</w:t>
            </w:r>
          </w:p>
        </w:tc>
      </w:tr>
      <w:tr w14:paraId="32B0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7" w:type="dxa"/>
            <w:noWrap w:val="0"/>
            <w:vAlign w:val="center"/>
          </w:tcPr>
          <w:p w14:paraId="3CACAFD5">
            <w:pPr>
              <w:pStyle w:val="30"/>
              <w:bidi w:val="0"/>
              <w:rPr>
                <w:rFonts w:hint="eastAsia" w:eastAsia="宋体"/>
                <w:color w:val="auto"/>
                <w:lang w:eastAsia="zh-CN"/>
              </w:rPr>
            </w:pPr>
            <w:r>
              <w:rPr>
                <w:rFonts w:hint="eastAsia"/>
                <w:color w:val="auto"/>
                <w:lang w:val="en-US" w:eastAsia="zh-CN"/>
              </w:rPr>
              <w:t>9</w:t>
            </w:r>
          </w:p>
        </w:tc>
        <w:tc>
          <w:tcPr>
            <w:tcW w:w="2869" w:type="dxa"/>
            <w:noWrap w:val="0"/>
            <w:vAlign w:val="center"/>
          </w:tcPr>
          <w:p w14:paraId="04E90539">
            <w:pPr>
              <w:pStyle w:val="30"/>
              <w:bidi w:val="0"/>
              <w:rPr>
                <w:rFonts w:hint="default"/>
                <w:color w:val="auto"/>
              </w:rPr>
            </w:pPr>
            <w:r>
              <w:rPr>
                <w:rFonts w:hint="default"/>
                <w:color w:val="auto"/>
              </w:rPr>
              <w:t>（3）在高压线路，高压电线杆，高压设备，雷击高危区及有害危险气体和液体存放处等危险部位，设置明显的安全警示标志。</w:t>
            </w:r>
          </w:p>
          <w:p w14:paraId="0C41604D">
            <w:pPr>
              <w:pStyle w:val="30"/>
              <w:bidi w:val="0"/>
              <w:rPr>
                <w:rFonts w:hint="default"/>
                <w:color w:val="auto"/>
              </w:rPr>
            </w:pPr>
            <w:r>
              <w:rPr>
                <w:rFonts w:hint="default"/>
                <w:color w:val="auto"/>
              </w:rPr>
              <w:t>（4）在道路或其它非施工人员经常路过的地方施工时，应当依照相关交通法规设置恰当的安全警示标识。</w:t>
            </w:r>
          </w:p>
          <w:p w14:paraId="45D43421">
            <w:pPr>
              <w:pStyle w:val="30"/>
              <w:bidi w:val="0"/>
              <w:rPr>
                <w:rFonts w:hint="default"/>
                <w:color w:val="auto"/>
              </w:rPr>
            </w:pPr>
            <w:r>
              <w:rPr>
                <w:rFonts w:hint="default"/>
                <w:color w:val="auto"/>
              </w:rPr>
              <w:t>（5）临时用电的标准设置应符合用电有关规范的标准。</w:t>
            </w:r>
          </w:p>
          <w:p w14:paraId="12AE1EE1">
            <w:pPr>
              <w:pStyle w:val="30"/>
              <w:bidi w:val="0"/>
              <w:rPr>
                <w:rFonts w:hint="default"/>
                <w:color w:val="auto"/>
              </w:rPr>
            </w:pPr>
            <w:r>
              <w:rPr>
                <w:rFonts w:hint="default"/>
                <w:color w:val="auto"/>
              </w:rPr>
              <w:t>（6）所有机械的标志设置应符合有关专门机械的规定。</w:t>
            </w:r>
          </w:p>
          <w:p w14:paraId="116E6E24">
            <w:pPr>
              <w:pStyle w:val="30"/>
              <w:bidi w:val="0"/>
              <w:rPr>
                <w:rFonts w:hint="default"/>
                <w:color w:val="auto"/>
              </w:rPr>
            </w:pPr>
            <w:r>
              <w:rPr>
                <w:rFonts w:hint="default"/>
                <w:color w:val="auto"/>
              </w:rPr>
              <w:t>（7）安全标志应设在与安全有关的醒目的位置。标志的正面或其邻近不得有妨碍公共视线的障碍物。道路上施工设置警示标识时必须考虑道路拐弯和晚间的光线等因素。</w:t>
            </w:r>
          </w:p>
          <w:p w14:paraId="126CAD21">
            <w:pPr>
              <w:pStyle w:val="30"/>
              <w:bidi w:val="0"/>
              <w:rPr>
                <w:rFonts w:hint="default"/>
                <w:color w:val="auto"/>
              </w:rPr>
            </w:pPr>
            <w:r>
              <w:rPr>
                <w:rFonts w:hint="default"/>
                <w:color w:val="auto"/>
              </w:rPr>
              <w:t>（8）除必须外，标志一般不应设置在门、窗、架等可移动的物体上，也不应设置在经常被其它物体遮挡的地方。</w:t>
            </w:r>
          </w:p>
          <w:p w14:paraId="1307410F">
            <w:pPr>
              <w:pStyle w:val="30"/>
              <w:bidi w:val="0"/>
              <w:rPr>
                <w:rFonts w:hint="default"/>
                <w:color w:val="auto"/>
              </w:rPr>
            </w:pPr>
            <w:r>
              <w:rPr>
                <w:rFonts w:hint="default"/>
                <w:color w:val="auto"/>
              </w:rPr>
              <w:t>（9）方向辅助标志应设置在公众选择方向的通道处，并接通向目标的最短路线设置。</w:t>
            </w:r>
          </w:p>
          <w:p w14:paraId="4EEBD338">
            <w:pPr>
              <w:pStyle w:val="30"/>
              <w:bidi w:val="0"/>
              <w:rPr>
                <w:rFonts w:hint="default"/>
                <w:color w:val="auto"/>
              </w:rPr>
            </w:pPr>
            <w:r>
              <w:rPr>
                <w:rFonts w:hint="default"/>
                <w:color w:val="auto"/>
              </w:rPr>
              <w:t>（10）在运输车辆出入口处设置明显的安全警示标志。</w:t>
            </w:r>
          </w:p>
          <w:p w14:paraId="3FF49ADD">
            <w:pPr>
              <w:pStyle w:val="30"/>
              <w:bidi w:val="0"/>
              <w:rPr>
                <w:rFonts w:hint="default"/>
                <w:color w:val="auto"/>
              </w:rPr>
            </w:pPr>
            <w:r>
              <w:rPr>
                <w:rFonts w:hint="default"/>
                <w:color w:val="auto"/>
              </w:rPr>
              <w:t>（11）安全标志的尺寸应符合标志相关标准的要求。</w:t>
            </w:r>
          </w:p>
        </w:tc>
        <w:tc>
          <w:tcPr>
            <w:tcW w:w="1969" w:type="dxa"/>
            <w:noWrap w:val="0"/>
            <w:vAlign w:val="center"/>
          </w:tcPr>
          <w:p w14:paraId="782491F5">
            <w:pPr>
              <w:pStyle w:val="30"/>
              <w:bidi w:val="0"/>
              <w:rPr>
                <w:rFonts w:hint="default"/>
                <w:color w:val="auto"/>
                <w:lang w:eastAsia="zh-CN"/>
              </w:rPr>
            </w:pPr>
            <w:r>
              <w:rPr>
                <w:rFonts w:hint="default"/>
                <w:color w:val="auto"/>
                <w:lang w:eastAsia="zh-CN"/>
              </w:rPr>
              <w:t>《</w:t>
            </w:r>
            <w:r>
              <w:rPr>
                <w:rFonts w:hint="default"/>
                <w:color w:val="auto"/>
                <w:lang w:val="en-US" w:eastAsia="zh-CN"/>
              </w:rPr>
              <w:t>安全设施设计</w:t>
            </w:r>
            <w:r>
              <w:rPr>
                <w:rFonts w:hint="default"/>
                <w:color w:val="auto"/>
                <w:lang w:eastAsia="zh-CN"/>
              </w:rPr>
              <w:t>》</w:t>
            </w:r>
          </w:p>
          <w:p w14:paraId="7CA2FDDC">
            <w:pPr>
              <w:pStyle w:val="30"/>
              <w:bidi w:val="0"/>
              <w:rPr>
                <w:rFonts w:hint="default"/>
                <w:color w:val="auto"/>
                <w:lang w:val="en-US"/>
              </w:rPr>
            </w:pPr>
            <w:r>
              <w:rPr>
                <w:rFonts w:hint="default"/>
                <w:color w:val="auto"/>
                <w:lang w:val="en-US" w:eastAsia="zh-CN"/>
              </w:rPr>
              <w:t>第5.10.1</w:t>
            </w:r>
            <w:r>
              <w:rPr>
                <w:rFonts w:hint="eastAsia"/>
                <w:color w:val="auto"/>
                <w:lang w:val="en-US" w:eastAsia="zh-CN"/>
              </w:rPr>
              <w:t>2</w:t>
            </w:r>
            <w:r>
              <w:rPr>
                <w:rFonts w:hint="default"/>
                <w:color w:val="auto"/>
                <w:lang w:val="en-US" w:eastAsia="zh-CN"/>
              </w:rPr>
              <w:t>节</w:t>
            </w:r>
          </w:p>
        </w:tc>
        <w:tc>
          <w:tcPr>
            <w:tcW w:w="2864" w:type="dxa"/>
            <w:noWrap w:val="0"/>
            <w:vAlign w:val="center"/>
          </w:tcPr>
          <w:p w14:paraId="177909DE">
            <w:pPr>
              <w:pStyle w:val="30"/>
              <w:bidi w:val="0"/>
              <w:rPr>
                <w:rFonts w:hint="default"/>
                <w:color w:val="auto"/>
              </w:rPr>
            </w:pPr>
            <w:r>
              <w:rPr>
                <w:rFonts w:hint="default"/>
                <w:color w:val="auto"/>
                <w:lang w:val="en-US" w:eastAsia="zh-CN"/>
              </w:rPr>
              <w:t>厂内各危险部位均使用了安全标志。</w:t>
            </w:r>
          </w:p>
        </w:tc>
        <w:tc>
          <w:tcPr>
            <w:tcW w:w="854" w:type="dxa"/>
            <w:noWrap w:val="0"/>
            <w:vAlign w:val="center"/>
          </w:tcPr>
          <w:p w14:paraId="5C43844D">
            <w:pPr>
              <w:pStyle w:val="30"/>
              <w:bidi w:val="0"/>
              <w:rPr>
                <w:rFonts w:hint="default"/>
                <w:color w:val="auto"/>
              </w:rPr>
            </w:pPr>
            <w:r>
              <w:rPr>
                <w:rFonts w:hint="default"/>
                <w:color w:val="auto"/>
                <w:lang w:val="en-US" w:eastAsia="zh-CN"/>
              </w:rPr>
              <w:t>符合</w:t>
            </w:r>
          </w:p>
        </w:tc>
      </w:tr>
    </w:tbl>
    <w:p w14:paraId="538FEC73">
      <w:pPr>
        <w:pStyle w:val="4"/>
        <w:bidi w:val="0"/>
        <w:rPr>
          <w:rFonts w:hint="eastAsia"/>
          <w:color w:val="auto"/>
        </w:rPr>
      </w:pPr>
      <w:bookmarkStart w:id="122" w:name="_Toc19467"/>
      <w:r>
        <w:rPr>
          <w:rFonts w:hint="eastAsia"/>
          <w:color w:val="auto"/>
        </w:rPr>
        <w:t>5.5.2</w:t>
      </w:r>
      <w:r>
        <w:rPr>
          <w:rFonts w:hint="eastAsia"/>
          <w:color w:val="auto"/>
          <w:lang w:val="en-US" w:eastAsia="zh-CN"/>
        </w:rPr>
        <w:t xml:space="preserve"> </w:t>
      </w:r>
      <w:r>
        <w:rPr>
          <w:rFonts w:hint="eastAsia"/>
          <w:color w:val="auto"/>
        </w:rPr>
        <w:t>应急设施分析评价</w:t>
      </w:r>
      <w:bookmarkEnd w:id="122"/>
    </w:p>
    <w:p w14:paraId="25A1FC52">
      <w:pPr>
        <w:bidi w:val="0"/>
        <w:rPr>
          <w:rFonts w:hint="eastAsia"/>
          <w:color w:val="auto"/>
        </w:rPr>
      </w:pPr>
      <w:r>
        <w:rPr>
          <w:rFonts w:hint="eastAsia"/>
          <w:color w:val="auto"/>
        </w:rPr>
        <w:t>该项目配置的主要应急设施有灭火器，备用泵及管道等，同时该项目编制了生产安全事故应急预案并在武定县应急管理局备案，配置了相应的应急救援器材，该项目的应急设施能满足该项目应急需求。</w:t>
      </w:r>
    </w:p>
    <w:p w14:paraId="5DCF45B6">
      <w:pPr>
        <w:pStyle w:val="4"/>
        <w:bidi w:val="0"/>
        <w:rPr>
          <w:rFonts w:hint="eastAsia"/>
          <w:color w:val="auto"/>
        </w:rPr>
      </w:pPr>
      <w:bookmarkStart w:id="123" w:name="_Toc20148"/>
      <w:r>
        <w:rPr>
          <w:rFonts w:hint="eastAsia"/>
          <w:color w:val="auto"/>
        </w:rPr>
        <w:t>5.5.3</w:t>
      </w:r>
      <w:r>
        <w:rPr>
          <w:rFonts w:hint="eastAsia"/>
          <w:color w:val="auto"/>
          <w:lang w:val="en-US" w:eastAsia="zh-CN"/>
        </w:rPr>
        <w:t xml:space="preserve"> </w:t>
      </w:r>
      <w:r>
        <w:rPr>
          <w:rFonts w:hint="eastAsia"/>
          <w:color w:val="auto"/>
        </w:rPr>
        <w:t>个体防护设施</w:t>
      </w:r>
      <w:bookmarkEnd w:id="123"/>
    </w:p>
    <w:p w14:paraId="69BE8FC4">
      <w:pPr>
        <w:bidi w:val="0"/>
        <w:rPr>
          <w:rFonts w:hint="eastAsia"/>
          <w:color w:val="auto"/>
        </w:rPr>
      </w:pPr>
      <w:r>
        <w:rPr>
          <w:rFonts w:hint="eastAsia"/>
          <w:color w:val="auto"/>
        </w:rPr>
        <w:t>该项目企业为从业人员配发了劳动防护用品，如防尘口罩、手套、劳保服、耳塞等，特殊工作岗位配备了相应的特种防护用具，该项目的个体防护设施能满足防护要求。</w:t>
      </w:r>
    </w:p>
    <w:p w14:paraId="5C426FDB">
      <w:pPr>
        <w:pStyle w:val="4"/>
        <w:bidi w:val="0"/>
        <w:rPr>
          <w:rFonts w:hint="eastAsia"/>
          <w:color w:val="auto"/>
        </w:rPr>
      </w:pPr>
      <w:bookmarkStart w:id="124" w:name="_Toc7799"/>
      <w:r>
        <w:rPr>
          <w:rFonts w:hint="eastAsia"/>
          <w:color w:val="auto"/>
        </w:rPr>
        <w:t>5.5.4</w:t>
      </w:r>
      <w:r>
        <w:rPr>
          <w:rFonts w:hint="eastAsia"/>
          <w:color w:val="auto"/>
          <w:lang w:val="en-US" w:eastAsia="zh-CN"/>
        </w:rPr>
        <w:t xml:space="preserve"> </w:t>
      </w:r>
      <w:r>
        <w:rPr>
          <w:rFonts w:hint="eastAsia"/>
          <w:color w:val="auto"/>
        </w:rPr>
        <w:t>单元评价小结</w:t>
      </w:r>
      <w:bookmarkEnd w:id="124"/>
    </w:p>
    <w:p w14:paraId="66B78D71">
      <w:pPr>
        <w:bidi w:val="0"/>
        <w:rPr>
          <w:rFonts w:hint="eastAsia"/>
          <w:color w:val="auto"/>
        </w:rPr>
      </w:pPr>
      <w:r>
        <w:rPr>
          <w:rFonts w:hint="eastAsia"/>
          <w:color w:val="auto"/>
        </w:rPr>
        <w:t>该项目建设的主要常规防护设施如下：</w:t>
      </w:r>
    </w:p>
    <w:p w14:paraId="5E0611B0">
      <w:pPr>
        <w:bidi w:val="0"/>
        <w:rPr>
          <w:rFonts w:hint="eastAsia"/>
          <w:color w:val="auto"/>
        </w:rPr>
      </w:pPr>
      <w:r>
        <w:rPr>
          <w:rFonts w:hint="eastAsia"/>
          <w:color w:val="auto"/>
        </w:rPr>
        <w:t>1、凡高度在2m之内的所有传动带、转动轴、齿轮、飞轮等危险零部件及危险部位均安装了防护装置。</w:t>
      </w:r>
    </w:p>
    <w:p w14:paraId="0669A635">
      <w:pPr>
        <w:bidi w:val="0"/>
        <w:rPr>
          <w:rFonts w:hint="eastAsia"/>
          <w:color w:val="auto"/>
        </w:rPr>
      </w:pPr>
      <w:r>
        <w:rPr>
          <w:rFonts w:hint="eastAsia"/>
          <w:color w:val="auto"/>
        </w:rPr>
        <w:t>2、易发生危险的部位，如胶带运输机头尾轮，电气设备的操作箱，悬挂了警示标志，车间入口等设置了安全色。</w:t>
      </w:r>
    </w:p>
    <w:p w14:paraId="6872F3FD">
      <w:pPr>
        <w:bidi w:val="0"/>
        <w:rPr>
          <w:rFonts w:hint="eastAsia"/>
          <w:color w:val="auto"/>
        </w:rPr>
      </w:pPr>
      <w:r>
        <w:rPr>
          <w:rFonts w:hint="eastAsia"/>
          <w:color w:val="auto"/>
        </w:rPr>
        <w:t>3、在机械设备的操作位置高出地面0.6m以上的所有位置，均安装了栏杆、扶手等。</w:t>
      </w:r>
    </w:p>
    <w:p w14:paraId="1130E226">
      <w:pPr>
        <w:bidi w:val="0"/>
        <w:rPr>
          <w:rFonts w:hint="eastAsia"/>
          <w:color w:val="auto"/>
        </w:rPr>
      </w:pPr>
      <w:r>
        <w:rPr>
          <w:rFonts w:hint="eastAsia"/>
          <w:color w:val="auto"/>
        </w:rPr>
        <w:t>4、操作工人认真检查设备，使设备经常保持清洁、润滑，良好；建立了二级保养制度；一级保养以操作工人为主、维修工人配合；二级保养以维修工人为主，操作工人参与。</w:t>
      </w:r>
    </w:p>
    <w:p w14:paraId="1C805322">
      <w:pPr>
        <w:bidi w:val="0"/>
        <w:rPr>
          <w:rFonts w:hint="eastAsia"/>
          <w:color w:val="auto"/>
        </w:rPr>
      </w:pPr>
      <w:r>
        <w:rPr>
          <w:rFonts w:hint="eastAsia"/>
          <w:color w:val="auto"/>
        </w:rPr>
        <w:t>5、作业场所保的地面保持平坦清洁、不得有水渍油污等，以防绊倒、滑到。作业地点除采用总体照明外，还需根据不同操作条件增设照明足够的局部照明装置。</w:t>
      </w:r>
    </w:p>
    <w:p w14:paraId="669FD5DE">
      <w:pPr>
        <w:bidi w:val="0"/>
        <w:rPr>
          <w:rFonts w:hint="eastAsia"/>
          <w:color w:val="auto"/>
        </w:rPr>
      </w:pPr>
      <w:r>
        <w:rPr>
          <w:rFonts w:hint="eastAsia"/>
          <w:color w:val="auto"/>
        </w:rPr>
        <w:t>该项目配置的主要应急设施有手灭火器，备用泵及管道等，同时该项目编制了生产安全事故应急预案并于武定县应急管理局备案，配置了相应的应急救援器材，该项目的应急设施能满足该项目应急需求。</w:t>
      </w:r>
    </w:p>
    <w:p w14:paraId="476EEB31">
      <w:pPr>
        <w:bidi w:val="0"/>
        <w:rPr>
          <w:rFonts w:hint="eastAsia"/>
          <w:color w:val="auto"/>
        </w:rPr>
      </w:pPr>
      <w:r>
        <w:rPr>
          <w:rFonts w:hint="eastAsia"/>
          <w:color w:val="auto"/>
        </w:rPr>
        <w:t>该项目企业为从业人员配发了劳动防护用品，如防尘口罩、手套、劳保服、耳塞等，特殊工作岗位配备了相应的特种防护用具，该项目的个体防护设施能满足防护要求。</w:t>
      </w:r>
    </w:p>
    <w:p w14:paraId="0633B05E">
      <w:pPr>
        <w:bidi w:val="0"/>
        <w:rPr>
          <w:rFonts w:hint="eastAsia"/>
          <w:color w:val="auto"/>
        </w:rPr>
      </w:pPr>
      <w:r>
        <w:rPr>
          <w:rFonts w:hint="eastAsia"/>
          <w:color w:val="auto"/>
        </w:rPr>
        <w:t>安全设施按照安全设施设计的要求设置，安全设施单元具备安全验收条件。但存在以下不足之处：厂内部分管线的安装会妨碍操作和行走，建议规范管线的设置。</w:t>
      </w:r>
    </w:p>
    <w:p w14:paraId="61E6778E">
      <w:pPr>
        <w:pStyle w:val="3"/>
        <w:bidi w:val="0"/>
        <w:rPr>
          <w:rFonts w:hint="eastAsia"/>
          <w:color w:val="auto"/>
        </w:rPr>
      </w:pPr>
      <w:bookmarkStart w:id="125" w:name="_Toc16870"/>
      <w:r>
        <w:rPr>
          <w:rFonts w:hint="eastAsia"/>
          <w:color w:val="auto"/>
        </w:rPr>
        <w:t>5.6 安全管理单元分析评价</w:t>
      </w:r>
      <w:bookmarkEnd w:id="125"/>
    </w:p>
    <w:p w14:paraId="72FFB46D">
      <w:pPr>
        <w:pStyle w:val="4"/>
        <w:bidi w:val="0"/>
        <w:rPr>
          <w:rFonts w:hint="eastAsia"/>
          <w:color w:val="auto"/>
        </w:rPr>
      </w:pPr>
      <w:bookmarkStart w:id="126" w:name="_Toc4518"/>
      <w:r>
        <w:rPr>
          <w:rFonts w:hint="eastAsia"/>
          <w:color w:val="auto"/>
        </w:rPr>
        <w:t>5.6.1</w:t>
      </w:r>
      <w:r>
        <w:rPr>
          <w:rFonts w:hint="eastAsia"/>
          <w:color w:val="auto"/>
          <w:lang w:val="en-US" w:eastAsia="zh-CN"/>
        </w:rPr>
        <w:t xml:space="preserve"> </w:t>
      </w:r>
      <w:r>
        <w:rPr>
          <w:rFonts w:hint="eastAsia"/>
          <w:color w:val="auto"/>
        </w:rPr>
        <w:t>安全生产管理检查表</w:t>
      </w:r>
      <w:bookmarkEnd w:id="126"/>
    </w:p>
    <w:p w14:paraId="2F60CAA7">
      <w:pPr>
        <w:bidi w:val="0"/>
        <w:rPr>
          <w:rFonts w:hint="eastAsia"/>
          <w:color w:val="auto"/>
        </w:rPr>
      </w:pPr>
      <w:r>
        <w:rPr>
          <w:rFonts w:hint="eastAsia"/>
          <w:color w:val="auto"/>
        </w:rPr>
        <w:t>本单元根据《中华人民共和国安全生产法》等相关要求对该项目安全管理进行安全检查，其检查情况如下表所示：</w:t>
      </w:r>
    </w:p>
    <w:p w14:paraId="15FDF334">
      <w:pPr>
        <w:pStyle w:val="29"/>
        <w:bidi w:val="0"/>
        <w:rPr>
          <w:color w:val="auto"/>
        </w:rPr>
      </w:pPr>
      <w:r>
        <w:rPr>
          <w:rFonts w:hint="eastAsia"/>
          <w:color w:val="auto"/>
        </w:rPr>
        <w:t>表5.6-1  安全管理安全检查表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4"/>
        <w:gridCol w:w="2051"/>
        <w:gridCol w:w="2571"/>
        <w:gridCol w:w="717"/>
      </w:tblGrid>
      <w:tr w14:paraId="3412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064" w:type="dxa"/>
            <w:noWrap w:val="0"/>
            <w:vAlign w:val="center"/>
          </w:tcPr>
          <w:p w14:paraId="2F4DE770">
            <w:pPr>
              <w:pStyle w:val="30"/>
              <w:bidi w:val="0"/>
              <w:jc w:val="center"/>
              <w:rPr>
                <w:rFonts w:hint="default"/>
                <w:b/>
                <w:bCs/>
                <w:color w:val="auto"/>
              </w:rPr>
            </w:pPr>
            <w:r>
              <w:rPr>
                <w:rFonts w:hint="default"/>
                <w:b/>
                <w:bCs/>
                <w:color w:val="auto"/>
              </w:rPr>
              <w:t>检查内容</w:t>
            </w:r>
          </w:p>
        </w:tc>
        <w:tc>
          <w:tcPr>
            <w:tcW w:w="2051" w:type="dxa"/>
            <w:noWrap w:val="0"/>
            <w:vAlign w:val="center"/>
          </w:tcPr>
          <w:p w14:paraId="6689E93D">
            <w:pPr>
              <w:pStyle w:val="30"/>
              <w:bidi w:val="0"/>
              <w:rPr>
                <w:rFonts w:hint="default"/>
                <w:b/>
                <w:bCs/>
                <w:color w:val="auto"/>
              </w:rPr>
            </w:pPr>
            <w:r>
              <w:rPr>
                <w:rFonts w:hint="default"/>
                <w:b/>
                <w:bCs/>
                <w:color w:val="auto"/>
              </w:rPr>
              <w:t>检查依据</w:t>
            </w:r>
          </w:p>
        </w:tc>
        <w:tc>
          <w:tcPr>
            <w:tcW w:w="2571" w:type="dxa"/>
            <w:noWrap w:val="0"/>
            <w:vAlign w:val="center"/>
          </w:tcPr>
          <w:p w14:paraId="3C5EFD57">
            <w:pPr>
              <w:pStyle w:val="30"/>
              <w:bidi w:val="0"/>
              <w:rPr>
                <w:rFonts w:hint="default"/>
                <w:b/>
                <w:bCs/>
                <w:color w:val="auto"/>
              </w:rPr>
            </w:pPr>
            <w:r>
              <w:rPr>
                <w:rFonts w:hint="default"/>
                <w:b/>
                <w:bCs/>
                <w:color w:val="auto"/>
              </w:rPr>
              <w:t>检查情况</w:t>
            </w:r>
          </w:p>
        </w:tc>
        <w:tc>
          <w:tcPr>
            <w:tcW w:w="717" w:type="dxa"/>
            <w:noWrap w:val="0"/>
            <w:vAlign w:val="center"/>
          </w:tcPr>
          <w:p w14:paraId="5F75DA6B">
            <w:pPr>
              <w:pStyle w:val="30"/>
              <w:bidi w:val="0"/>
              <w:rPr>
                <w:rFonts w:hint="default"/>
                <w:b/>
                <w:bCs/>
                <w:color w:val="auto"/>
              </w:rPr>
            </w:pPr>
            <w:r>
              <w:rPr>
                <w:rFonts w:hint="default"/>
                <w:b/>
                <w:bCs/>
                <w:color w:val="auto"/>
              </w:rPr>
              <w:t>结论</w:t>
            </w:r>
          </w:p>
        </w:tc>
      </w:tr>
      <w:tr w14:paraId="3E78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03" w:type="dxa"/>
            <w:gridSpan w:val="4"/>
            <w:noWrap w:val="0"/>
            <w:vAlign w:val="center"/>
          </w:tcPr>
          <w:p w14:paraId="32DF9616">
            <w:pPr>
              <w:pStyle w:val="30"/>
              <w:bidi w:val="0"/>
              <w:jc w:val="center"/>
              <w:rPr>
                <w:rFonts w:hint="default"/>
                <w:color w:val="auto"/>
              </w:rPr>
            </w:pPr>
            <w:r>
              <w:rPr>
                <w:rFonts w:hint="default"/>
                <w:color w:val="auto"/>
              </w:rPr>
              <w:t>1、安全管理组织机构</w:t>
            </w:r>
          </w:p>
        </w:tc>
      </w:tr>
      <w:tr w14:paraId="5847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380F118C">
            <w:pPr>
              <w:pStyle w:val="30"/>
              <w:bidi w:val="0"/>
              <w:jc w:val="both"/>
              <w:rPr>
                <w:rFonts w:hint="default"/>
                <w:color w:val="auto"/>
              </w:rPr>
            </w:pPr>
            <w:r>
              <w:rPr>
                <w:rFonts w:hint="default"/>
                <w:color w:val="auto"/>
              </w:rPr>
              <w:t>市场主体应当依照本条例办理登记。未经登记，不得以市场主体名义从事经营活动。法律、行政法规规定无需办理登记的除外。</w:t>
            </w:r>
          </w:p>
        </w:tc>
        <w:tc>
          <w:tcPr>
            <w:tcW w:w="2051" w:type="dxa"/>
            <w:noWrap w:val="0"/>
            <w:vAlign w:val="center"/>
          </w:tcPr>
          <w:p w14:paraId="5AAA9752">
            <w:pPr>
              <w:pStyle w:val="30"/>
              <w:bidi w:val="0"/>
              <w:rPr>
                <w:rFonts w:hint="default"/>
                <w:color w:val="auto"/>
              </w:rPr>
            </w:pPr>
            <w:r>
              <w:rPr>
                <w:rFonts w:hint="default"/>
                <w:color w:val="auto"/>
              </w:rPr>
              <w:t>《中华人民共和国市场主体登记管理条例》第</w:t>
            </w:r>
            <w:r>
              <w:rPr>
                <w:rFonts w:hint="eastAsia"/>
                <w:color w:val="auto"/>
                <w:lang w:val="en-US" w:eastAsia="zh-CN"/>
              </w:rPr>
              <w:t>三</w:t>
            </w:r>
            <w:r>
              <w:rPr>
                <w:rFonts w:hint="default"/>
                <w:color w:val="auto"/>
              </w:rPr>
              <w:t>条</w:t>
            </w:r>
          </w:p>
        </w:tc>
        <w:tc>
          <w:tcPr>
            <w:tcW w:w="2571" w:type="dxa"/>
            <w:noWrap w:val="0"/>
            <w:vAlign w:val="center"/>
          </w:tcPr>
          <w:p w14:paraId="3D73C1B8">
            <w:pPr>
              <w:pStyle w:val="30"/>
              <w:bidi w:val="0"/>
              <w:rPr>
                <w:rFonts w:hint="default"/>
                <w:color w:val="auto"/>
              </w:rPr>
            </w:pPr>
            <w:r>
              <w:rPr>
                <w:rFonts w:hint="default"/>
                <w:color w:val="auto"/>
              </w:rPr>
              <w:t>企业依法进行了营业登记，取得了营业执照。</w:t>
            </w:r>
          </w:p>
        </w:tc>
        <w:tc>
          <w:tcPr>
            <w:tcW w:w="717" w:type="dxa"/>
            <w:noWrap w:val="0"/>
            <w:vAlign w:val="center"/>
          </w:tcPr>
          <w:p w14:paraId="560951CC">
            <w:pPr>
              <w:pStyle w:val="30"/>
              <w:bidi w:val="0"/>
              <w:rPr>
                <w:rFonts w:hint="default"/>
                <w:color w:val="auto"/>
              </w:rPr>
            </w:pPr>
            <w:r>
              <w:rPr>
                <w:rFonts w:hint="default"/>
                <w:color w:val="auto"/>
              </w:rPr>
              <w:t>符合</w:t>
            </w:r>
          </w:p>
        </w:tc>
      </w:tr>
      <w:tr w14:paraId="3211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599E72CF">
            <w:pPr>
              <w:pStyle w:val="30"/>
              <w:bidi w:val="0"/>
              <w:jc w:val="both"/>
              <w:rPr>
                <w:rFonts w:hint="default"/>
                <w:color w:val="auto"/>
              </w:rPr>
            </w:pPr>
            <w:r>
              <w:rPr>
                <w:rFonts w:hint="default"/>
                <w:color w:val="auto"/>
              </w:rPr>
              <w:t>矿山、金属冶炼、建筑施工、运输单位和危险物品的生产、经营、储存、装卸单位，应当设置安全生产管理机构或者配备专职安全生产管理人员。</w:t>
            </w:r>
          </w:p>
          <w:p w14:paraId="09AC269B">
            <w:pPr>
              <w:pStyle w:val="30"/>
              <w:bidi w:val="0"/>
              <w:jc w:val="both"/>
              <w:rPr>
                <w:rFonts w:hint="default"/>
                <w:color w:val="auto"/>
              </w:rPr>
            </w:pPr>
            <w:r>
              <w:rPr>
                <w:rFonts w:hint="default"/>
                <w:color w:val="auto"/>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2051" w:type="dxa"/>
            <w:noWrap w:val="0"/>
            <w:vAlign w:val="center"/>
          </w:tcPr>
          <w:p w14:paraId="2FDD52E9">
            <w:pPr>
              <w:pStyle w:val="30"/>
              <w:bidi w:val="0"/>
              <w:rPr>
                <w:rFonts w:hint="default"/>
                <w:color w:val="auto"/>
              </w:rPr>
            </w:pPr>
            <w:r>
              <w:rPr>
                <w:rFonts w:hint="default"/>
                <w:color w:val="auto"/>
              </w:rPr>
              <w:t>《中华人民共和国安全生产法》</w:t>
            </w:r>
          </w:p>
          <w:p w14:paraId="6E2F9241">
            <w:pPr>
              <w:pStyle w:val="30"/>
              <w:bidi w:val="0"/>
              <w:rPr>
                <w:rFonts w:hint="default"/>
                <w:color w:val="auto"/>
              </w:rPr>
            </w:pPr>
            <w:r>
              <w:rPr>
                <w:rFonts w:hint="default"/>
                <w:color w:val="auto"/>
              </w:rPr>
              <w:t>第二十四条</w:t>
            </w:r>
          </w:p>
        </w:tc>
        <w:tc>
          <w:tcPr>
            <w:tcW w:w="2571" w:type="dxa"/>
            <w:noWrap w:val="0"/>
            <w:vAlign w:val="center"/>
          </w:tcPr>
          <w:p w14:paraId="0BAEB0CD">
            <w:pPr>
              <w:pStyle w:val="30"/>
              <w:bidi w:val="0"/>
              <w:rPr>
                <w:rFonts w:hint="default"/>
                <w:color w:val="auto"/>
              </w:rPr>
            </w:pPr>
            <w:r>
              <w:rPr>
                <w:rFonts w:hint="default"/>
                <w:color w:val="auto"/>
              </w:rPr>
              <w:t>该项目建设单位成立</w:t>
            </w:r>
            <w:r>
              <w:rPr>
                <w:rFonts w:hint="default"/>
                <w:color w:val="auto"/>
                <w:lang w:eastAsia="zh-CN"/>
              </w:rPr>
              <w:t>了</w:t>
            </w:r>
            <w:r>
              <w:rPr>
                <w:rFonts w:hint="default"/>
                <w:color w:val="auto"/>
                <w:lang w:val="en-US" w:eastAsia="zh-CN"/>
              </w:rPr>
              <w:t>安环部，有安全生产管理人员。</w:t>
            </w:r>
          </w:p>
        </w:tc>
        <w:tc>
          <w:tcPr>
            <w:tcW w:w="717" w:type="dxa"/>
            <w:noWrap w:val="0"/>
            <w:vAlign w:val="center"/>
          </w:tcPr>
          <w:p w14:paraId="1CFCFAA9">
            <w:pPr>
              <w:pStyle w:val="30"/>
              <w:bidi w:val="0"/>
              <w:rPr>
                <w:rFonts w:hint="default"/>
                <w:color w:val="auto"/>
              </w:rPr>
            </w:pPr>
            <w:r>
              <w:rPr>
                <w:rFonts w:hint="default"/>
                <w:color w:val="auto"/>
              </w:rPr>
              <w:t>符合</w:t>
            </w:r>
          </w:p>
        </w:tc>
      </w:tr>
      <w:tr w14:paraId="1CBA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5DCE058F">
            <w:pPr>
              <w:pStyle w:val="30"/>
              <w:bidi w:val="0"/>
              <w:jc w:val="both"/>
              <w:rPr>
                <w:rFonts w:hint="default"/>
                <w:color w:val="auto"/>
              </w:rPr>
            </w:pPr>
            <w:r>
              <w:rPr>
                <w:rFonts w:hint="default"/>
                <w:color w:val="auto"/>
              </w:rPr>
              <w:t>用人单位应当设置或指定职业卫生管理机构或组织，配备专职或者兼职的职业卫生专业人员，负责本单位的职业病防治工作。</w:t>
            </w:r>
          </w:p>
        </w:tc>
        <w:tc>
          <w:tcPr>
            <w:tcW w:w="2051" w:type="dxa"/>
            <w:noWrap w:val="0"/>
            <w:vAlign w:val="center"/>
          </w:tcPr>
          <w:p w14:paraId="7751CEC0">
            <w:pPr>
              <w:pStyle w:val="30"/>
              <w:bidi w:val="0"/>
              <w:rPr>
                <w:rFonts w:hint="default"/>
                <w:color w:val="auto"/>
              </w:rPr>
            </w:pPr>
            <w:r>
              <w:rPr>
                <w:rFonts w:hint="default"/>
                <w:color w:val="auto"/>
              </w:rPr>
              <w:t>《职业病防治法》</w:t>
            </w:r>
          </w:p>
          <w:p w14:paraId="2609656A">
            <w:pPr>
              <w:pStyle w:val="30"/>
              <w:bidi w:val="0"/>
              <w:rPr>
                <w:rFonts w:hint="default"/>
                <w:color w:val="auto"/>
              </w:rPr>
            </w:pPr>
            <w:r>
              <w:rPr>
                <w:rFonts w:hint="default"/>
                <w:color w:val="auto"/>
              </w:rPr>
              <w:t>第十九条</w:t>
            </w:r>
          </w:p>
        </w:tc>
        <w:tc>
          <w:tcPr>
            <w:tcW w:w="2571" w:type="dxa"/>
            <w:noWrap w:val="0"/>
            <w:vAlign w:val="center"/>
          </w:tcPr>
          <w:p w14:paraId="33BA8707">
            <w:pPr>
              <w:pStyle w:val="30"/>
              <w:bidi w:val="0"/>
              <w:rPr>
                <w:rFonts w:hint="default"/>
                <w:color w:val="auto"/>
              </w:rPr>
            </w:pPr>
            <w:r>
              <w:rPr>
                <w:rFonts w:hint="default"/>
                <w:color w:val="auto"/>
              </w:rPr>
              <w:t>企业成立有安全环保部，由安全管理员负责职业卫生管理工作。</w:t>
            </w:r>
          </w:p>
        </w:tc>
        <w:tc>
          <w:tcPr>
            <w:tcW w:w="717" w:type="dxa"/>
            <w:noWrap w:val="0"/>
            <w:vAlign w:val="center"/>
          </w:tcPr>
          <w:p w14:paraId="3BF967B1">
            <w:pPr>
              <w:pStyle w:val="30"/>
              <w:bidi w:val="0"/>
              <w:rPr>
                <w:rFonts w:hint="default"/>
                <w:color w:val="auto"/>
              </w:rPr>
            </w:pPr>
            <w:r>
              <w:rPr>
                <w:rFonts w:hint="default"/>
                <w:color w:val="auto"/>
              </w:rPr>
              <w:t>符合</w:t>
            </w:r>
          </w:p>
        </w:tc>
      </w:tr>
      <w:tr w14:paraId="6730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17C7FA09">
            <w:pPr>
              <w:pStyle w:val="30"/>
              <w:bidi w:val="0"/>
              <w:jc w:val="both"/>
              <w:rPr>
                <w:rFonts w:hint="default"/>
                <w:color w:val="auto"/>
              </w:rPr>
            </w:pPr>
            <w:r>
              <w:rPr>
                <w:rFonts w:hint="default"/>
                <w:color w:val="auto"/>
              </w:rPr>
              <w:t>危险物品的生产、经营、储存单位以及矿山、金属冶炼、城市轨道交通运营、建筑施工单位应当建立应急救援组织；生产经营规模较小的，可以不建立应急救援组织，但应当指定兼职的应急救援人员。</w:t>
            </w:r>
          </w:p>
          <w:p w14:paraId="3B160B38">
            <w:pPr>
              <w:pStyle w:val="30"/>
              <w:bidi w:val="0"/>
              <w:jc w:val="both"/>
              <w:rPr>
                <w:rFonts w:hint="default"/>
                <w:color w:val="auto"/>
              </w:rPr>
            </w:pPr>
            <w:r>
              <w:rPr>
                <w:rFonts w:hint="default"/>
                <w:color w:val="auto"/>
              </w:rPr>
              <w:t>危险物品的生产、经营、储存、运输单位以及矿山、金属冶炼、城市轨道交通运营、建筑施工单位应当配备必要的应急救援器材、设备和物资，并进行经常性维护、保养，保证正常运转。</w:t>
            </w:r>
          </w:p>
        </w:tc>
        <w:tc>
          <w:tcPr>
            <w:tcW w:w="2051" w:type="dxa"/>
            <w:noWrap w:val="0"/>
            <w:vAlign w:val="center"/>
          </w:tcPr>
          <w:p w14:paraId="69022DE9">
            <w:pPr>
              <w:pStyle w:val="30"/>
              <w:bidi w:val="0"/>
              <w:rPr>
                <w:rFonts w:hint="default"/>
                <w:color w:val="auto"/>
              </w:rPr>
            </w:pPr>
            <w:r>
              <w:rPr>
                <w:rFonts w:hint="default"/>
                <w:color w:val="auto"/>
              </w:rPr>
              <w:t>《中华人民共和国安全生产法》</w:t>
            </w:r>
          </w:p>
          <w:p w14:paraId="42396566">
            <w:pPr>
              <w:pStyle w:val="30"/>
              <w:bidi w:val="0"/>
              <w:rPr>
                <w:rFonts w:hint="default"/>
                <w:color w:val="auto"/>
              </w:rPr>
            </w:pPr>
            <w:r>
              <w:rPr>
                <w:rFonts w:hint="default"/>
                <w:color w:val="auto"/>
              </w:rPr>
              <w:t>第八十二条</w:t>
            </w:r>
          </w:p>
        </w:tc>
        <w:tc>
          <w:tcPr>
            <w:tcW w:w="2571" w:type="dxa"/>
            <w:noWrap w:val="0"/>
            <w:vAlign w:val="center"/>
          </w:tcPr>
          <w:p w14:paraId="65193AC7">
            <w:pPr>
              <w:pStyle w:val="30"/>
              <w:bidi w:val="0"/>
              <w:rPr>
                <w:rFonts w:hint="default"/>
                <w:color w:val="auto"/>
              </w:rPr>
            </w:pPr>
            <w:r>
              <w:rPr>
                <w:rFonts w:hint="default"/>
                <w:color w:val="auto"/>
              </w:rPr>
              <w:t>建设单位建立</w:t>
            </w:r>
            <w:r>
              <w:rPr>
                <w:rFonts w:hint="default"/>
                <w:color w:val="auto"/>
                <w:lang w:val="en-US" w:eastAsia="zh-CN"/>
              </w:rPr>
              <w:t>了兼职</w:t>
            </w:r>
            <w:r>
              <w:rPr>
                <w:rFonts w:hint="default"/>
                <w:color w:val="auto"/>
              </w:rPr>
              <w:t>应急救援组织，配备有</w:t>
            </w:r>
            <w:r>
              <w:rPr>
                <w:rFonts w:hint="default"/>
                <w:color w:val="auto"/>
                <w:lang w:val="en-US" w:eastAsia="zh-CN"/>
              </w:rPr>
              <w:t>兼职</w:t>
            </w:r>
            <w:r>
              <w:rPr>
                <w:rFonts w:hint="default"/>
                <w:color w:val="auto"/>
              </w:rPr>
              <w:t>应急救援人员。</w:t>
            </w:r>
          </w:p>
        </w:tc>
        <w:tc>
          <w:tcPr>
            <w:tcW w:w="717" w:type="dxa"/>
            <w:noWrap w:val="0"/>
            <w:vAlign w:val="center"/>
          </w:tcPr>
          <w:p w14:paraId="63C64C9E">
            <w:pPr>
              <w:pStyle w:val="30"/>
              <w:bidi w:val="0"/>
              <w:rPr>
                <w:rFonts w:hint="default"/>
                <w:color w:val="auto"/>
              </w:rPr>
            </w:pPr>
            <w:r>
              <w:rPr>
                <w:rFonts w:hint="default"/>
                <w:color w:val="auto"/>
              </w:rPr>
              <w:t>符合</w:t>
            </w:r>
          </w:p>
        </w:tc>
      </w:tr>
      <w:tr w14:paraId="068F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03" w:type="dxa"/>
            <w:gridSpan w:val="4"/>
            <w:noWrap w:val="0"/>
            <w:vAlign w:val="center"/>
          </w:tcPr>
          <w:p w14:paraId="3C21EB12">
            <w:pPr>
              <w:pStyle w:val="30"/>
              <w:bidi w:val="0"/>
              <w:jc w:val="center"/>
              <w:rPr>
                <w:rFonts w:hint="default"/>
                <w:color w:val="auto"/>
              </w:rPr>
            </w:pPr>
            <w:r>
              <w:rPr>
                <w:rFonts w:hint="default"/>
                <w:color w:val="auto"/>
              </w:rPr>
              <w:t>2、安全技术规程和作业安全规程</w:t>
            </w:r>
          </w:p>
        </w:tc>
      </w:tr>
      <w:tr w14:paraId="1D5B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7961A45C">
            <w:pPr>
              <w:pStyle w:val="30"/>
              <w:bidi w:val="0"/>
              <w:jc w:val="both"/>
              <w:rPr>
                <w:rFonts w:hint="default"/>
                <w:color w:val="auto"/>
              </w:rPr>
            </w:pPr>
            <w:r>
              <w:rPr>
                <w:rFonts w:hint="default"/>
                <w:color w:val="auto"/>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1215CDE4">
            <w:pPr>
              <w:pStyle w:val="30"/>
              <w:bidi w:val="0"/>
              <w:jc w:val="both"/>
              <w:rPr>
                <w:rFonts w:hint="default"/>
                <w:color w:val="auto"/>
              </w:rPr>
            </w:pPr>
            <w:r>
              <w:rPr>
                <w:rFonts w:hint="default"/>
                <w:color w:val="auto"/>
              </w:rPr>
              <w:t>平台经济等新兴行业、领域的生产经营单位应当根据本行业、领域的特点，建立健全并落实全员安全生产责任制，加强从业人员安全生产教育和培训，履行本法和其他法律、法规规定的有关安全生产义务。</w:t>
            </w:r>
          </w:p>
        </w:tc>
        <w:tc>
          <w:tcPr>
            <w:tcW w:w="2051" w:type="dxa"/>
            <w:noWrap w:val="0"/>
            <w:vAlign w:val="center"/>
          </w:tcPr>
          <w:p w14:paraId="0F6AA8AA">
            <w:pPr>
              <w:pStyle w:val="30"/>
              <w:bidi w:val="0"/>
              <w:rPr>
                <w:rFonts w:hint="default"/>
                <w:color w:val="auto"/>
              </w:rPr>
            </w:pPr>
            <w:r>
              <w:rPr>
                <w:rFonts w:hint="default"/>
                <w:color w:val="auto"/>
              </w:rPr>
              <w:t>《中华人民共和国安全生产法》</w:t>
            </w:r>
          </w:p>
          <w:p w14:paraId="7C9F50DD">
            <w:pPr>
              <w:pStyle w:val="30"/>
              <w:bidi w:val="0"/>
              <w:rPr>
                <w:rFonts w:hint="default"/>
                <w:color w:val="auto"/>
              </w:rPr>
            </w:pPr>
            <w:r>
              <w:rPr>
                <w:rFonts w:hint="default"/>
                <w:color w:val="auto"/>
              </w:rPr>
              <w:t>第四条</w:t>
            </w:r>
          </w:p>
        </w:tc>
        <w:tc>
          <w:tcPr>
            <w:tcW w:w="2571" w:type="dxa"/>
            <w:noWrap w:val="0"/>
            <w:vAlign w:val="center"/>
          </w:tcPr>
          <w:p w14:paraId="16898639">
            <w:pPr>
              <w:pStyle w:val="30"/>
              <w:bidi w:val="0"/>
              <w:rPr>
                <w:rFonts w:hint="default"/>
                <w:color w:val="auto"/>
              </w:rPr>
            </w:pPr>
            <w:r>
              <w:rPr>
                <w:rFonts w:hint="default"/>
                <w:color w:val="auto"/>
              </w:rPr>
              <w:t>该企业已建立了相关制度和操作规程以及安全生产责任制，但未构建安全风险分级管控和隐患排查治理双重预防机制。</w:t>
            </w:r>
          </w:p>
        </w:tc>
        <w:tc>
          <w:tcPr>
            <w:tcW w:w="717" w:type="dxa"/>
            <w:noWrap w:val="0"/>
            <w:vAlign w:val="center"/>
          </w:tcPr>
          <w:p w14:paraId="52A0D498">
            <w:pPr>
              <w:pStyle w:val="30"/>
              <w:bidi w:val="0"/>
              <w:rPr>
                <w:rFonts w:hint="default"/>
                <w:color w:val="auto"/>
              </w:rPr>
            </w:pPr>
            <w:r>
              <w:rPr>
                <w:rFonts w:hint="default"/>
                <w:color w:val="auto"/>
              </w:rPr>
              <w:t>不符合</w:t>
            </w:r>
          </w:p>
        </w:tc>
      </w:tr>
      <w:tr w14:paraId="1B99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03" w:type="dxa"/>
            <w:gridSpan w:val="4"/>
            <w:noWrap w:val="0"/>
            <w:vAlign w:val="center"/>
          </w:tcPr>
          <w:p w14:paraId="413216B8">
            <w:pPr>
              <w:pStyle w:val="30"/>
              <w:bidi w:val="0"/>
              <w:jc w:val="center"/>
              <w:rPr>
                <w:rFonts w:hint="default"/>
                <w:color w:val="auto"/>
              </w:rPr>
            </w:pPr>
            <w:r>
              <w:rPr>
                <w:rFonts w:hint="default"/>
                <w:color w:val="auto"/>
              </w:rPr>
              <w:t>3</w:t>
            </w:r>
            <w:r>
              <w:rPr>
                <w:rFonts w:hint="default"/>
                <w:color w:val="auto"/>
                <w:lang w:eastAsia="zh-CN"/>
              </w:rPr>
              <w:t>、</w:t>
            </w:r>
            <w:r>
              <w:rPr>
                <w:rFonts w:hint="default"/>
                <w:color w:val="auto"/>
              </w:rPr>
              <w:t>管理制度执行情况</w:t>
            </w:r>
          </w:p>
        </w:tc>
      </w:tr>
      <w:tr w14:paraId="03CF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03241C84">
            <w:pPr>
              <w:pStyle w:val="30"/>
              <w:bidi w:val="0"/>
              <w:jc w:val="both"/>
              <w:rPr>
                <w:rFonts w:hint="default"/>
                <w:color w:val="auto"/>
              </w:rPr>
            </w:pPr>
            <w:r>
              <w:rPr>
                <w:rFonts w:hint="default"/>
                <w:color w:val="auto"/>
              </w:rPr>
              <w:t>生产经营单位应当教育和督促从业人员严格执行本单位的安全生产规章制度和安全操作规程；并向从业人员如实告知作业场所和工作岗位存在的危险因素、防范措施以及事故应急措施。</w:t>
            </w:r>
          </w:p>
          <w:p w14:paraId="1BA39BAE">
            <w:pPr>
              <w:pStyle w:val="30"/>
              <w:bidi w:val="0"/>
              <w:jc w:val="both"/>
              <w:rPr>
                <w:rFonts w:hint="default"/>
                <w:color w:val="auto"/>
              </w:rPr>
            </w:pPr>
            <w:r>
              <w:rPr>
                <w:rFonts w:hint="default"/>
                <w:color w:val="auto"/>
              </w:rPr>
              <w:t>生产经营单位应当关注从业人员的身体、心理状况和行为习惯，加强对从业人员的心理疏导、精神慰藉，严格落实岗位安全生产责任，防范从业人员行为异常导致事故发生。</w:t>
            </w:r>
          </w:p>
        </w:tc>
        <w:tc>
          <w:tcPr>
            <w:tcW w:w="2051" w:type="dxa"/>
            <w:noWrap w:val="0"/>
            <w:vAlign w:val="center"/>
          </w:tcPr>
          <w:p w14:paraId="223CA26F">
            <w:pPr>
              <w:pStyle w:val="30"/>
              <w:bidi w:val="0"/>
              <w:rPr>
                <w:rFonts w:hint="default"/>
                <w:color w:val="auto"/>
              </w:rPr>
            </w:pPr>
            <w:r>
              <w:rPr>
                <w:rFonts w:hint="default"/>
                <w:color w:val="auto"/>
              </w:rPr>
              <w:t>《中华人民共和国安全生产法》</w:t>
            </w:r>
          </w:p>
          <w:p w14:paraId="3BDF39A6">
            <w:pPr>
              <w:pStyle w:val="30"/>
              <w:bidi w:val="0"/>
              <w:rPr>
                <w:rFonts w:hint="default"/>
                <w:color w:val="auto"/>
              </w:rPr>
            </w:pPr>
            <w:r>
              <w:rPr>
                <w:rFonts w:hint="default"/>
                <w:color w:val="auto"/>
              </w:rPr>
              <w:t>第四十四条</w:t>
            </w:r>
          </w:p>
        </w:tc>
        <w:tc>
          <w:tcPr>
            <w:tcW w:w="2571" w:type="dxa"/>
            <w:noWrap w:val="0"/>
            <w:vAlign w:val="center"/>
          </w:tcPr>
          <w:p w14:paraId="526072AA">
            <w:pPr>
              <w:pStyle w:val="30"/>
              <w:bidi w:val="0"/>
              <w:rPr>
                <w:rFonts w:hint="default"/>
                <w:color w:val="auto"/>
              </w:rPr>
            </w:pPr>
            <w:r>
              <w:rPr>
                <w:rFonts w:hint="default"/>
                <w:color w:val="auto"/>
              </w:rPr>
              <w:t>已对员工进行相关的安全教育，并向从业人员如实告知作业场所和工作岗位存在的危险因素、防范措施以及事故应急措施。</w:t>
            </w:r>
          </w:p>
        </w:tc>
        <w:tc>
          <w:tcPr>
            <w:tcW w:w="717" w:type="dxa"/>
            <w:noWrap w:val="0"/>
            <w:vAlign w:val="center"/>
          </w:tcPr>
          <w:p w14:paraId="0DBC5484">
            <w:pPr>
              <w:pStyle w:val="30"/>
              <w:bidi w:val="0"/>
              <w:rPr>
                <w:rFonts w:hint="default"/>
                <w:color w:val="auto"/>
              </w:rPr>
            </w:pPr>
            <w:r>
              <w:rPr>
                <w:rFonts w:hint="default"/>
                <w:color w:val="auto"/>
              </w:rPr>
              <w:t>符合</w:t>
            </w:r>
          </w:p>
        </w:tc>
      </w:tr>
      <w:tr w14:paraId="09EF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75118737">
            <w:pPr>
              <w:pStyle w:val="30"/>
              <w:bidi w:val="0"/>
              <w:jc w:val="both"/>
              <w:rPr>
                <w:rFonts w:hint="default"/>
                <w:color w:val="auto"/>
              </w:rPr>
            </w:pPr>
            <w:r>
              <w:rPr>
                <w:rFonts w:hint="default"/>
                <w:color w:val="auto"/>
              </w:rPr>
              <w:t>生产经营单位必须为从业人员提供符合国家标准或者行业标准的劳动防护用品，并监督、教育从业人员按照使用规则佩戴、使用。</w:t>
            </w:r>
          </w:p>
        </w:tc>
        <w:tc>
          <w:tcPr>
            <w:tcW w:w="2051" w:type="dxa"/>
            <w:noWrap w:val="0"/>
            <w:vAlign w:val="center"/>
          </w:tcPr>
          <w:p w14:paraId="050EC349">
            <w:pPr>
              <w:pStyle w:val="30"/>
              <w:bidi w:val="0"/>
              <w:rPr>
                <w:rFonts w:hint="default"/>
                <w:color w:val="auto"/>
              </w:rPr>
            </w:pPr>
            <w:r>
              <w:rPr>
                <w:rFonts w:hint="default"/>
                <w:color w:val="auto"/>
              </w:rPr>
              <w:t>《中华人民共和国安全生产法》</w:t>
            </w:r>
          </w:p>
          <w:p w14:paraId="3C2B9547">
            <w:pPr>
              <w:pStyle w:val="30"/>
              <w:bidi w:val="0"/>
              <w:rPr>
                <w:rFonts w:hint="default"/>
                <w:color w:val="auto"/>
              </w:rPr>
            </w:pPr>
            <w:r>
              <w:rPr>
                <w:rFonts w:hint="default"/>
                <w:color w:val="auto"/>
              </w:rPr>
              <w:t>第四十五条</w:t>
            </w:r>
          </w:p>
        </w:tc>
        <w:tc>
          <w:tcPr>
            <w:tcW w:w="2571" w:type="dxa"/>
            <w:noWrap w:val="0"/>
            <w:vAlign w:val="center"/>
          </w:tcPr>
          <w:p w14:paraId="68095CD3">
            <w:pPr>
              <w:pStyle w:val="30"/>
              <w:bidi w:val="0"/>
              <w:rPr>
                <w:rFonts w:hint="default"/>
                <w:color w:val="auto"/>
              </w:rPr>
            </w:pPr>
            <w:r>
              <w:rPr>
                <w:rFonts w:hint="default"/>
                <w:color w:val="auto"/>
              </w:rPr>
              <w:t>按规定向从业人员提供符合国家标准或者行业标准的劳动防护用品，监督、教育从业人员按照要求规则佩戴、使用。</w:t>
            </w:r>
          </w:p>
        </w:tc>
        <w:tc>
          <w:tcPr>
            <w:tcW w:w="717" w:type="dxa"/>
            <w:noWrap w:val="0"/>
            <w:vAlign w:val="center"/>
          </w:tcPr>
          <w:p w14:paraId="27E77A12">
            <w:pPr>
              <w:pStyle w:val="30"/>
              <w:bidi w:val="0"/>
              <w:rPr>
                <w:rFonts w:hint="default"/>
                <w:color w:val="auto"/>
              </w:rPr>
            </w:pPr>
            <w:r>
              <w:rPr>
                <w:rFonts w:hint="default"/>
                <w:color w:val="auto"/>
              </w:rPr>
              <w:t>符合</w:t>
            </w:r>
          </w:p>
        </w:tc>
      </w:tr>
      <w:tr w14:paraId="0083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554F4B09">
            <w:pPr>
              <w:pStyle w:val="30"/>
              <w:bidi w:val="0"/>
              <w:jc w:val="both"/>
              <w:rPr>
                <w:rFonts w:hint="default"/>
                <w:color w:val="auto"/>
              </w:rPr>
            </w:pPr>
            <w:r>
              <w:rPr>
                <w:rFonts w:hint="default"/>
                <w:color w:val="auto"/>
              </w:rPr>
              <w:t>生产经营单位的主要负责人和安全生产管理人员必须具备与本单位所从事的生产经营活动相应的安全生产知识和管理能力。</w:t>
            </w:r>
          </w:p>
          <w:p w14:paraId="3E77799F">
            <w:pPr>
              <w:pStyle w:val="30"/>
              <w:bidi w:val="0"/>
              <w:jc w:val="both"/>
              <w:rPr>
                <w:rFonts w:hint="default"/>
                <w:color w:val="auto"/>
              </w:rPr>
            </w:pPr>
            <w:r>
              <w:rPr>
                <w:rFonts w:hint="default"/>
                <w:color w:val="auto"/>
              </w:rPr>
              <w:t>危险物品的生产、经营、储存、装卸单位以及矿山、金属冶炼、建筑施工、运输单位的主要负责人和安全生产管理人员，应当由主管的负有安全生产监督管理职责的部门对其安全生产知识和管理能力考核合格。考核不得收费。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tc>
        <w:tc>
          <w:tcPr>
            <w:tcW w:w="2051" w:type="dxa"/>
            <w:noWrap w:val="0"/>
            <w:vAlign w:val="center"/>
          </w:tcPr>
          <w:p w14:paraId="6C2825AE">
            <w:pPr>
              <w:pStyle w:val="30"/>
              <w:bidi w:val="0"/>
              <w:rPr>
                <w:rFonts w:hint="default"/>
                <w:color w:val="auto"/>
              </w:rPr>
            </w:pPr>
            <w:r>
              <w:rPr>
                <w:rFonts w:hint="default"/>
                <w:color w:val="auto"/>
              </w:rPr>
              <w:t>《中华人民共和国安全生产法》</w:t>
            </w:r>
          </w:p>
          <w:p w14:paraId="19879CC1">
            <w:pPr>
              <w:pStyle w:val="30"/>
              <w:bidi w:val="0"/>
              <w:rPr>
                <w:rFonts w:hint="default"/>
                <w:color w:val="auto"/>
              </w:rPr>
            </w:pPr>
            <w:r>
              <w:rPr>
                <w:rFonts w:hint="default"/>
                <w:color w:val="auto"/>
              </w:rPr>
              <w:t>第二十七条</w:t>
            </w:r>
          </w:p>
        </w:tc>
        <w:tc>
          <w:tcPr>
            <w:tcW w:w="2571" w:type="dxa"/>
            <w:noWrap w:val="0"/>
            <w:vAlign w:val="center"/>
          </w:tcPr>
          <w:p w14:paraId="7071C76D">
            <w:pPr>
              <w:pStyle w:val="30"/>
              <w:bidi w:val="0"/>
              <w:rPr>
                <w:rFonts w:hint="default"/>
                <w:color w:val="auto"/>
              </w:rPr>
            </w:pPr>
            <w:r>
              <w:rPr>
                <w:rFonts w:hint="default"/>
                <w:color w:val="auto"/>
              </w:rPr>
              <w:t>安全员已参加安全生产知识和管理能力培训并持证上岗</w:t>
            </w:r>
            <w:r>
              <w:rPr>
                <w:rFonts w:hint="eastAsia"/>
                <w:color w:val="auto"/>
                <w:lang w:eastAsia="zh-CN"/>
              </w:rPr>
              <w:t>，企业主要负责人已参加</w:t>
            </w:r>
            <w:r>
              <w:rPr>
                <w:rFonts w:hint="eastAsia"/>
                <w:color w:val="auto"/>
                <w:lang w:val="en-US" w:eastAsia="zh-CN"/>
              </w:rPr>
              <w:t>昆明当代人才职业培训学校</w:t>
            </w:r>
            <w:r>
              <w:rPr>
                <w:rFonts w:hint="eastAsia"/>
                <w:color w:val="auto"/>
                <w:lang w:eastAsia="zh-CN"/>
              </w:rPr>
              <w:t>有限公司组织培训的主要负责人、安全管理员培训班，培训合格，但由于属地应急管理局暂未组织考核，因此暂未取得培训合格证。</w:t>
            </w:r>
          </w:p>
        </w:tc>
        <w:tc>
          <w:tcPr>
            <w:tcW w:w="717" w:type="dxa"/>
            <w:noWrap w:val="0"/>
            <w:vAlign w:val="center"/>
          </w:tcPr>
          <w:p w14:paraId="7B58F19E">
            <w:pPr>
              <w:pStyle w:val="30"/>
              <w:bidi w:val="0"/>
              <w:rPr>
                <w:rFonts w:hint="default"/>
                <w:color w:val="auto"/>
              </w:rPr>
            </w:pPr>
            <w:r>
              <w:rPr>
                <w:rFonts w:hint="default"/>
                <w:color w:val="auto"/>
              </w:rPr>
              <w:t>符合</w:t>
            </w:r>
          </w:p>
        </w:tc>
      </w:tr>
      <w:tr w14:paraId="7EDC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5DB36A26">
            <w:pPr>
              <w:pStyle w:val="30"/>
              <w:bidi w:val="0"/>
              <w:jc w:val="both"/>
              <w:rPr>
                <w:rFonts w:hint="default"/>
                <w:color w:val="auto"/>
              </w:rPr>
            </w:pPr>
            <w:r>
              <w:rPr>
                <w:rFonts w:hint="default"/>
                <w:color w:val="auto"/>
              </w:rPr>
              <w:t>生产经营单位的特种作业人员必须按照国家有关规定经专门的安全作业培训，取得相应资格，方可上岗作业。</w:t>
            </w:r>
          </w:p>
          <w:p w14:paraId="58A1CF9D">
            <w:pPr>
              <w:pStyle w:val="30"/>
              <w:bidi w:val="0"/>
              <w:jc w:val="both"/>
              <w:rPr>
                <w:rFonts w:hint="default"/>
                <w:color w:val="auto"/>
              </w:rPr>
            </w:pPr>
            <w:r>
              <w:rPr>
                <w:rFonts w:hint="default"/>
                <w:color w:val="auto"/>
              </w:rPr>
              <w:t>特种作业人员的范围由国务院应急管理部门会同国务院有关部门确定。</w:t>
            </w:r>
          </w:p>
        </w:tc>
        <w:tc>
          <w:tcPr>
            <w:tcW w:w="2051" w:type="dxa"/>
            <w:noWrap w:val="0"/>
            <w:vAlign w:val="center"/>
          </w:tcPr>
          <w:p w14:paraId="2FBD49B4">
            <w:pPr>
              <w:pStyle w:val="30"/>
              <w:bidi w:val="0"/>
              <w:rPr>
                <w:rFonts w:hint="default"/>
                <w:color w:val="auto"/>
              </w:rPr>
            </w:pPr>
            <w:r>
              <w:rPr>
                <w:rFonts w:hint="default"/>
                <w:color w:val="auto"/>
              </w:rPr>
              <w:t>《中华人民共和国安全生产法》</w:t>
            </w:r>
          </w:p>
          <w:p w14:paraId="40FB5BD0">
            <w:pPr>
              <w:pStyle w:val="30"/>
              <w:bidi w:val="0"/>
              <w:rPr>
                <w:rFonts w:hint="default"/>
                <w:color w:val="auto"/>
              </w:rPr>
            </w:pPr>
            <w:r>
              <w:rPr>
                <w:rFonts w:hint="default"/>
                <w:color w:val="auto"/>
              </w:rPr>
              <w:t>第三十条</w:t>
            </w:r>
          </w:p>
        </w:tc>
        <w:tc>
          <w:tcPr>
            <w:tcW w:w="2571" w:type="dxa"/>
            <w:noWrap w:val="0"/>
            <w:vAlign w:val="center"/>
          </w:tcPr>
          <w:p w14:paraId="012D4A6D">
            <w:pPr>
              <w:pStyle w:val="30"/>
              <w:bidi w:val="0"/>
              <w:rPr>
                <w:rFonts w:hint="default"/>
                <w:color w:val="auto"/>
              </w:rPr>
            </w:pPr>
            <w:r>
              <w:rPr>
                <w:rFonts w:hint="default"/>
                <w:color w:val="auto"/>
              </w:rPr>
              <w:t>该项目特种作业人员</w:t>
            </w:r>
            <w:r>
              <w:rPr>
                <w:rFonts w:hint="default"/>
                <w:color w:val="auto"/>
                <w:lang w:eastAsia="zh-CN"/>
              </w:rPr>
              <w:t>（</w:t>
            </w:r>
            <w:r>
              <w:rPr>
                <w:rFonts w:hint="eastAsia"/>
                <w:color w:val="auto"/>
                <w:lang w:val="en-US" w:eastAsia="zh-CN"/>
              </w:rPr>
              <w:t>电工</w:t>
            </w:r>
            <w:r>
              <w:rPr>
                <w:rFonts w:hint="eastAsia"/>
                <w:color w:val="auto"/>
                <w:lang w:eastAsia="zh-CN"/>
              </w:rPr>
              <w:t>）</w:t>
            </w:r>
            <w:r>
              <w:rPr>
                <w:rFonts w:hint="default"/>
                <w:color w:val="auto"/>
              </w:rPr>
              <w:t>已取得资格证书，持证上岗。</w:t>
            </w:r>
          </w:p>
        </w:tc>
        <w:tc>
          <w:tcPr>
            <w:tcW w:w="717" w:type="dxa"/>
            <w:noWrap w:val="0"/>
            <w:vAlign w:val="center"/>
          </w:tcPr>
          <w:p w14:paraId="5F48C654">
            <w:pPr>
              <w:pStyle w:val="30"/>
              <w:bidi w:val="0"/>
              <w:rPr>
                <w:rFonts w:hint="default"/>
                <w:color w:val="auto"/>
              </w:rPr>
            </w:pPr>
            <w:r>
              <w:rPr>
                <w:rFonts w:hint="default"/>
                <w:color w:val="auto"/>
              </w:rPr>
              <w:t>符合</w:t>
            </w:r>
          </w:p>
        </w:tc>
      </w:tr>
      <w:tr w14:paraId="0B3E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03" w:type="dxa"/>
            <w:gridSpan w:val="4"/>
            <w:noWrap w:val="0"/>
            <w:vAlign w:val="center"/>
          </w:tcPr>
          <w:p w14:paraId="239373C4">
            <w:pPr>
              <w:pStyle w:val="30"/>
              <w:bidi w:val="0"/>
              <w:jc w:val="center"/>
              <w:rPr>
                <w:rFonts w:hint="default"/>
                <w:color w:val="auto"/>
              </w:rPr>
            </w:pPr>
            <w:r>
              <w:rPr>
                <w:rFonts w:hint="default"/>
                <w:color w:val="auto"/>
              </w:rPr>
              <w:t>4、安全生产投入与工伤保险</w:t>
            </w:r>
          </w:p>
        </w:tc>
      </w:tr>
      <w:tr w14:paraId="5452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6BA22CE5">
            <w:pPr>
              <w:pStyle w:val="30"/>
              <w:bidi w:val="0"/>
              <w:jc w:val="both"/>
              <w:rPr>
                <w:rFonts w:hint="default"/>
                <w:color w:val="auto"/>
              </w:rPr>
            </w:pPr>
            <w:r>
              <w:rPr>
                <w:rFonts w:hint="default"/>
                <w:color w:val="auto"/>
              </w:rPr>
              <w:t>生产经营单位应当安排用于配备劳动防护用品、进行安全生产培训的经费。</w:t>
            </w:r>
          </w:p>
        </w:tc>
        <w:tc>
          <w:tcPr>
            <w:tcW w:w="2051" w:type="dxa"/>
            <w:noWrap w:val="0"/>
            <w:vAlign w:val="center"/>
          </w:tcPr>
          <w:p w14:paraId="5686E563">
            <w:pPr>
              <w:pStyle w:val="30"/>
              <w:bidi w:val="0"/>
              <w:rPr>
                <w:rFonts w:hint="default"/>
                <w:color w:val="auto"/>
              </w:rPr>
            </w:pPr>
            <w:r>
              <w:rPr>
                <w:rFonts w:hint="default"/>
                <w:color w:val="auto"/>
              </w:rPr>
              <w:t>《中华人民共和国安全生产法》</w:t>
            </w:r>
          </w:p>
          <w:p w14:paraId="7FACFAD4">
            <w:pPr>
              <w:pStyle w:val="30"/>
              <w:bidi w:val="0"/>
              <w:rPr>
                <w:rFonts w:hint="default"/>
                <w:color w:val="auto"/>
              </w:rPr>
            </w:pPr>
            <w:r>
              <w:rPr>
                <w:rFonts w:hint="default"/>
                <w:color w:val="auto"/>
              </w:rPr>
              <w:t>第四十七条</w:t>
            </w:r>
          </w:p>
        </w:tc>
        <w:tc>
          <w:tcPr>
            <w:tcW w:w="2571" w:type="dxa"/>
            <w:noWrap w:val="0"/>
            <w:vAlign w:val="center"/>
          </w:tcPr>
          <w:p w14:paraId="0E8C015F">
            <w:pPr>
              <w:pStyle w:val="30"/>
              <w:bidi w:val="0"/>
              <w:rPr>
                <w:rFonts w:hint="default"/>
                <w:color w:val="auto"/>
              </w:rPr>
            </w:pPr>
            <w:r>
              <w:rPr>
                <w:rFonts w:hint="default"/>
                <w:color w:val="auto"/>
              </w:rPr>
              <w:t>有用于配备劳动防护用品及安全生产教育的经费。</w:t>
            </w:r>
          </w:p>
        </w:tc>
        <w:tc>
          <w:tcPr>
            <w:tcW w:w="717" w:type="dxa"/>
            <w:noWrap w:val="0"/>
            <w:vAlign w:val="center"/>
          </w:tcPr>
          <w:p w14:paraId="63E023C5">
            <w:pPr>
              <w:pStyle w:val="30"/>
              <w:bidi w:val="0"/>
              <w:rPr>
                <w:rFonts w:hint="default"/>
                <w:color w:val="auto"/>
              </w:rPr>
            </w:pPr>
            <w:r>
              <w:rPr>
                <w:rFonts w:hint="default"/>
                <w:color w:val="auto"/>
              </w:rPr>
              <w:t>符合</w:t>
            </w:r>
          </w:p>
        </w:tc>
      </w:tr>
      <w:tr w14:paraId="36F9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73A15FB1">
            <w:pPr>
              <w:pStyle w:val="30"/>
              <w:bidi w:val="0"/>
              <w:jc w:val="both"/>
              <w:rPr>
                <w:rFonts w:hint="default"/>
                <w:color w:val="auto"/>
              </w:rPr>
            </w:pPr>
            <w:r>
              <w:rPr>
                <w:rFonts w:hint="default"/>
                <w:color w:val="auto"/>
              </w:rPr>
              <w:t>生产经营单位必须依法参加工伤社会保险，为从业人员缴纳保险费。</w:t>
            </w:r>
          </w:p>
        </w:tc>
        <w:tc>
          <w:tcPr>
            <w:tcW w:w="2051" w:type="dxa"/>
            <w:noWrap w:val="0"/>
            <w:vAlign w:val="center"/>
          </w:tcPr>
          <w:p w14:paraId="36AB4608">
            <w:pPr>
              <w:pStyle w:val="30"/>
              <w:bidi w:val="0"/>
              <w:rPr>
                <w:rFonts w:hint="default"/>
                <w:color w:val="auto"/>
              </w:rPr>
            </w:pPr>
            <w:r>
              <w:rPr>
                <w:rFonts w:hint="default"/>
                <w:color w:val="auto"/>
              </w:rPr>
              <w:t>《中华人民共和国安全生产法》</w:t>
            </w:r>
          </w:p>
          <w:p w14:paraId="77859C95">
            <w:pPr>
              <w:pStyle w:val="30"/>
              <w:bidi w:val="0"/>
              <w:rPr>
                <w:rFonts w:hint="default"/>
                <w:color w:val="auto"/>
              </w:rPr>
            </w:pPr>
            <w:r>
              <w:rPr>
                <w:rFonts w:hint="default"/>
                <w:color w:val="auto"/>
              </w:rPr>
              <w:t>第五十一条</w:t>
            </w:r>
          </w:p>
        </w:tc>
        <w:tc>
          <w:tcPr>
            <w:tcW w:w="2571" w:type="dxa"/>
            <w:noWrap w:val="0"/>
            <w:vAlign w:val="center"/>
          </w:tcPr>
          <w:p w14:paraId="5699ECD1">
            <w:pPr>
              <w:pStyle w:val="30"/>
              <w:bidi w:val="0"/>
              <w:rPr>
                <w:rFonts w:hint="default"/>
                <w:color w:val="auto"/>
              </w:rPr>
            </w:pPr>
            <w:r>
              <w:rPr>
                <w:rFonts w:hint="eastAsia"/>
                <w:color w:val="auto"/>
                <w:lang w:val="en-US" w:eastAsia="zh-CN"/>
              </w:rPr>
              <w:t>企业未为从业人员购买</w:t>
            </w:r>
            <w:r>
              <w:rPr>
                <w:rFonts w:hint="default"/>
                <w:color w:val="auto"/>
              </w:rPr>
              <w:t>工伤保险。</w:t>
            </w:r>
          </w:p>
        </w:tc>
        <w:tc>
          <w:tcPr>
            <w:tcW w:w="717" w:type="dxa"/>
            <w:noWrap w:val="0"/>
            <w:vAlign w:val="center"/>
          </w:tcPr>
          <w:p w14:paraId="7141EBB4">
            <w:pPr>
              <w:pStyle w:val="30"/>
              <w:bidi w:val="0"/>
              <w:rPr>
                <w:rFonts w:hint="default"/>
                <w:color w:val="auto"/>
              </w:rPr>
            </w:pPr>
            <w:r>
              <w:rPr>
                <w:rFonts w:hint="eastAsia"/>
                <w:color w:val="auto"/>
                <w:lang w:val="en-US" w:eastAsia="zh-CN"/>
              </w:rPr>
              <w:t>不</w:t>
            </w:r>
            <w:r>
              <w:rPr>
                <w:rFonts w:hint="default"/>
                <w:color w:val="auto"/>
              </w:rPr>
              <w:t>符合</w:t>
            </w:r>
          </w:p>
        </w:tc>
      </w:tr>
      <w:tr w14:paraId="7021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03" w:type="dxa"/>
            <w:gridSpan w:val="4"/>
            <w:noWrap w:val="0"/>
            <w:vAlign w:val="center"/>
          </w:tcPr>
          <w:p w14:paraId="79A9AB65">
            <w:pPr>
              <w:pStyle w:val="30"/>
              <w:bidi w:val="0"/>
              <w:jc w:val="center"/>
              <w:rPr>
                <w:rFonts w:hint="default"/>
                <w:color w:val="auto"/>
              </w:rPr>
            </w:pPr>
            <w:r>
              <w:rPr>
                <w:rFonts w:hint="default"/>
                <w:color w:val="auto"/>
              </w:rPr>
              <w:t>5、从业人员安全培训教育</w:t>
            </w:r>
          </w:p>
        </w:tc>
      </w:tr>
      <w:tr w14:paraId="487F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685459E0">
            <w:pPr>
              <w:pStyle w:val="30"/>
              <w:bidi w:val="0"/>
              <w:jc w:val="both"/>
              <w:rPr>
                <w:rFonts w:hint="default"/>
                <w:color w:val="auto"/>
              </w:rPr>
            </w:pPr>
            <w:r>
              <w:rPr>
                <w:rFonts w:hint="default"/>
                <w:color w:val="auto"/>
              </w:rPr>
              <w:t>生产经营单位应当对从业人员进行安全生产教育和培训，保证从业人员具备必要的安全生产知识，熟悉有关的安全生产规章制度和安全操作规程，掌握本岗位的安全操作技能。未经安全生产教育和培训合格的从业人员，不得上岗作业。</w:t>
            </w:r>
          </w:p>
        </w:tc>
        <w:tc>
          <w:tcPr>
            <w:tcW w:w="2051" w:type="dxa"/>
            <w:noWrap w:val="0"/>
            <w:vAlign w:val="center"/>
          </w:tcPr>
          <w:p w14:paraId="7296C39D">
            <w:pPr>
              <w:pStyle w:val="30"/>
              <w:bidi w:val="0"/>
              <w:rPr>
                <w:rFonts w:hint="default"/>
                <w:color w:val="auto"/>
              </w:rPr>
            </w:pPr>
            <w:r>
              <w:rPr>
                <w:rFonts w:hint="default"/>
                <w:color w:val="auto"/>
              </w:rPr>
              <w:t>《中华人民共和国安全生产法》</w:t>
            </w:r>
          </w:p>
          <w:p w14:paraId="7158ADBF">
            <w:pPr>
              <w:pStyle w:val="30"/>
              <w:bidi w:val="0"/>
              <w:rPr>
                <w:rFonts w:hint="default"/>
                <w:color w:val="auto"/>
              </w:rPr>
            </w:pPr>
            <w:r>
              <w:rPr>
                <w:rFonts w:hint="default"/>
                <w:color w:val="auto"/>
              </w:rPr>
              <w:t>第二十八条</w:t>
            </w:r>
          </w:p>
        </w:tc>
        <w:tc>
          <w:tcPr>
            <w:tcW w:w="2571" w:type="dxa"/>
            <w:noWrap w:val="0"/>
            <w:vAlign w:val="center"/>
          </w:tcPr>
          <w:p w14:paraId="5925B598">
            <w:pPr>
              <w:pStyle w:val="30"/>
              <w:bidi w:val="0"/>
              <w:rPr>
                <w:rFonts w:hint="default"/>
                <w:color w:val="auto"/>
              </w:rPr>
            </w:pPr>
            <w:r>
              <w:rPr>
                <w:rFonts w:hint="default"/>
                <w:color w:val="auto"/>
              </w:rPr>
              <w:t>有安全教育培训制度，并按要求进行相关的安全培训。</w:t>
            </w:r>
          </w:p>
        </w:tc>
        <w:tc>
          <w:tcPr>
            <w:tcW w:w="717" w:type="dxa"/>
            <w:noWrap w:val="0"/>
            <w:vAlign w:val="center"/>
          </w:tcPr>
          <w:p w14:paraId="3AD76E88">
            <w:pPr>
              <w:pStyle w:val="30"/>
              <w:bidi w:val="0"/>
              <w:rPr>
                <w:rFonts w:hint="default"/>
                <w:color w:val="auto"/>
              </w:rPr>
            </w:pPr>
            <w:r>
              <w:rPr>
                <w:rFonts w:hint="default"/>
                <w:color w:val="auto"/>
              </w:rPr>
              <w:t>符合</w:t>
            </w:r>
          </w:p>
        </w:tc>
      </w:tr>
      <w:tr w14:paraId="0BE9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03" w:type="dxa"/>
            <w:gridSpan w:val="4"/>
            <w:noWrap w:val="0"/>
            <w:vAlign w:val="center"/>
          </w:tcPr>
          <w:p w14:paraId="190CA108">
            <w:pPr>
              <w:pStyle w:val="30"/>
              <w:bidi w:val="0"/>
              <w:jc w:val="center"/>
              <w:rPr>
                <w:rFonts w:hint="default"/>
                <w:color w:val="auto"/>
              </w:rPr>
            </w:pPr>
            <w:r>
              <w:rPr>
                <w:rFonts w:hint="default"/>
                <w:color w:val="auto"/>
              </w:rPr>
              <w:t>6</w:t>
            </w:r>
            <w:r>
              <w:rPr>
                <w:rFonts w:hint="default"/>
                <w:color w:val="auto"/>
                <w:lang w:eastAsia="zh-CN"/>
              </w:rPr>
              <w:t>、</w:t>
            </w:r>
            <w:r>
              <w:rPr>
                <w:rFonts w:hint="default"/>
                <w:color w:val="auto"/>
              </w:rPr>
              <w:t>应急预案</w:t>
            </w:r>
          </w:p>
        </w:tc>
      </w:tr>
      <w:tr w14:paraId="57C5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2C4D26CD">
            <w:pPr>
              <w:pStyle w:val="30"/>
              <w:bidi w:val="0"/>
              <w:jc w:val="both"/>
              <w:rPr>
                <w:rFonts w:hint="default"/>
                <w:color w:val="auto"/>
              </w:rPr>
            </w:pPr>
            <w:r>
              <w:rPr>
                <w:rFonts w:hint="default"/>
                <w:color w:val="auto"/>
              </w:rPr>
              <w:t>生产经营单位应当根据有关法律、法规和《生产经营单位安全生产事故应急预案编制导则》，结合本单位的危险源状况、危险性分析情况和可能发生的事故特点，制定相应的应急预案。</w:t>
            </w:r>
          </w:p>
        </w:tc>
        <w:tc>
          <w:tcPr>
            <w:tcW w:w="2051" w:type="dxa"/>
            <w:noWrap w:val="0"/>
            <w:vAlign w:val="center"/>
          </w:tcPr>
          <w:p w14:paraId="69DB1602">
            <w:pPr>
              <w:pStyle w:val="30"/>
              <w:bidi w:val="0"/>
              <w:rPr>
                <w:rFonts w:hint="eastAsia"/>
                <w:color w:val="auto"/>
                <w:lang w:eastAsia="zh-CN"/>
              </w:rPr>
            </w:pPr>
            <w:r>
              <w:rPr>
                <w:rFonts w:hint="default"/>
                <w:color w:val="auto"/>
              </w:rPr>
              <w:t>《生产安全事故应急预案管理办法》</w:t>
            </w:r>
            <w:r>
              <w:rPr>
                <w:rFonts w:hint="default"/>
                <w:color w:val="auto"/>
                <w:lang w:eastAsia="zh-CN"/>
              </w:rPr>
              <w:t>（</w:t>
            </w:r>
            <w:r>
              <w:rPr>
                <w:rFonts w:hint="default"/>
                <w:color w:val="auto"/>
              </w:rPr>
              <w:t>国家安全生产监督管理总局令[2016]第88号，应急管理部令2号修改</w:t>
            </w:r>
            <w:r>
              <w:rPr>
                <w:rFonts w:hint="eastAsia"/>
                <w:color w:val="auto"/>
                <w:lang w:eastAsia="zh-CN"/>
              </w:rPr>
              <w:t>）</w:t>
            </w:r>
          </w:p>
        </w:tc>
        <w:tc>
          <w:tcPr>
            <w:tcW w:w="2571" w:type="dxa"/>
            <w:noWrap w:val="0"/>
            <w:vAlign w:val="center"/>
          </w:tcPr>
          <w:p w14:paraId="61B16D41">
            <w:pPr>
              <w:pStyle w:val="30"/>
              <w:bidi w:val="0"/>
              <w:rPr>
                <w:rFonts w:hint="default"/>
                <w:color w:val="auto"/>
                <w:lang w:val="en-US" w:eastAsia="zh-CN"/>
              </w:rPr>
            </w:pPr>
            <w:r>
              <w:rPr>
                <w:rFonts w:hint="default"/>
                <w:color w:val="auto"/>
              </w:rPr>
              <w:t>已制定事生产安全事故应急预案</w:t>
            </w:r>
            <w:r>
              <w:rPr>
                <w:rFonts w:hint="default"/>
                <w:color w:val="auto"/>
                <w:lang w:val="en-US" w:eastAsia="zh-CN"/>
              </w:rPr>
              <w:t>并备案。</w:t>
            </w:r>
          </w:p>
        </w:tc>
        <w:tc>
          <w:tcPr>
            <w:tcW w:w="717" w:type="dxa"/>
            <w:noWrap w:val="0"/>
            <w:vAlign w:val="center"/>
          </w:tcPr>
          <w:p w14:paraId="74BAE131">
            <w:pPr>
              <w:pStyle w:val="30"/>
              <w:bidi w:val="0"/>
              <w:rPr>
                <w:rFonts w:hint="default"/>
                <w:color w:val="auto"/>
              </w:rPr>
            </w:pPr>
            <w:r>
              <w:rPr>
                <w:rFonts w:hint="default"/>
                <w:color w:val="auto"/>
              </w:rPr>
              <w:t>符合</w:t>
            </w:r>
          </w:p>
        </w:tc>
      </w:tr>
      <w:tr w14:paraId="0454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27E80548">
            <w:pPr>
              <w:pStyle w:val="30"/>
              <w:bidi w:val="0"/>
              <w:jc w:val="both"/>
              <w:rPr>
                <w:rFonts w:hint="default"/>
                <w:color w:val="auto"/>
              </w:rPr>
            </w:pPr>
            <w:r>
              <w:rPr>
                <w:rFonts w:hint="default"/>
                <w:color w:val="auto"/>
              </w:rPr>
              <w:t>生产经营单位主要负责人负责组织编制和实施本单位的应急预案，并对应急预案的真实性和实用性负责；各分管负责人应当按照职责分工落实应急预案规定的职责。</w:t>
            </w:r>
          </w:p>
        </w:tc>
        <w:tc>
          <w:tcPr>
            <w:tcW w:w="2051" w:type="dxa"/>
            <w:noWrap w:val="0"/>
            <w:vAlign w:val="center"/>
          </w:tcPr>
          <w:p w14:paraId="62B24266">
            <w:pPr>
              <w:pStyle w:val="30"/>
              <w:bidi w:val="0"/>
              <w:rPr>
                <w:rFonts w:hint="default"/>
                <w:color w:val="auto"/>
              </w:rPr>
            </w:pPr>
            <w:r>
              <w:rPr>
                <w:rFonts w:hint="default"/>
                <w:color w:val="auto"/>
              </w:rPr>
              <w:t>《生产安全事故应急预案管理办法》</w:t>
            </w:r>
            <w:r>
              <w:rPr>
                <w:rFonts w:hint="default"/>
                <w:color w:val="auto"/>
                <w:lang w:eastAsia="zh-CN"/>
              </w:rPr>
              <w:t>（</w:t>
            </w:r>
            <w:r>
              <w:rPr>
                <w:rFonts w:hint="default"/>
                <w:color w:val="auto"/>
              </w:rPr>
              <w:t>安监总局令第88号发布，应急管理部2号令修订</w:t>
            </w:r>
            <w:r>
              <w:rPr>
                <w:rFonts w:hint="eastAsia"/>
                <w:color w:val="auto"/>
                <w:lang w:eastAsia="zh-CN"/>
              </w:rPr>
              <w:t>）</w:t>
            </w:r>
            <w:r>
              <w:rPr>
                <w:rFonts w:hint="default"/>
                <w:color w:val="auto"/>
              </w:rPr>
              <w:t>第五条</w:t>
            </w:r>
          </w:p>
        </w:tc>
        <w:tc>
          <w:tcPr>
            <w:tcW w:w="2571" w:type="dxa"/>
            <w:noWrap w:val="0"/>
            <w:vAlign w:val="center"/>
          </w:tcPr>
          <w:p w14:paraId="15914E53">
            <w:pPr>
              <w:pStyle w:val="30"/>
              <w:bidi w:val="0"/>
              <w:rPr>
                <w:rFonts w:hint="default"/>
                <w:color w:val="auto"/>
              </w:rPr>
            </w:pPr>
            <w:r>
              <w:rPr>
                <w:rFonts w:hint="default"/>
                <w:color w:val="auto"/>
              </w:rPr>
              <w:t>该项目编制有生产安全事故应急预案，由主要负责人编制和实施。</w:t>
            </w:r>
          </w:p>
        </w:tc>
        <w:tc>
          <w:tcPr>
            <w:tcW w:w="717" w:type="dxa"/>
            <w:noWrap w:val="0"/>
            <w:vAlign w:val="center"/>
          </w:tcPr>
          <w:p w14:paraId="33AA9188">
            <w:pPr>
              <w:pStyle w:val="30"/>
              <w:bidi w:val="0"/>
              <w:rPr>
                <w:rFonts w:hint="default"/>
                <w:color w:val="auto"/>
              </w:rPr>
            </w:pPr>
            <w:r>
              <w:rPr>
                <w:rFonts w:hint="default"/>
                <w:color w:val="auto"/>
              </w:rPr>
              <w:t>符合</w:t>
            </w:r>
          </w:p>
        </w:tc>
      </w:tr>
      <w:tr w14:paraId="0674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4AC21D04">
            <w:pPr>
              <w:pStyle w:val="30"/>
              <w:bidi w:val="0"/>
              <w:jc w:val="both"/>
              <w:rPr>
                <w:rFonts w:hint="default"/>
                <w:color w:val="auto"/>
              </w:rPr>
            </w:pPr>
            <w:r>
              <w:rPr>
                <w:rFonts w:hint="default"/>
                <w:color w:val="auto"/>
              </w:rPr>
              <w:t>矿山、金属冶炼、建筑施工企业和易燃易爆物品、危险化学品的生产、经营</w:t>
            </w:r>
            <w:r>
              <w:rPr>
                <w:rFonts w:hint="default"/>
                <w:color w:val="auto"/>
                <w:lang w:eastAsia="zh-CN"/>
              </w:rPr>
              <w:t>（</w:t>
            </w:r>
            <w:r>
              <w:rPr>
                <w:rFonts w:hint="default"/>
                <w:color w:val="auto"/>
              </w:rPr>
              <w:t>带储存设施的，下同</w:t>
            </w:r>
            <w:r>
              <w:rPr>
                <w:rFonts w:hint="eastAsia"/>
                <w:color w:val="auto"/>
                <w:lang w:eastAsia="zh-CN"/>
              </w:rPr>
              <w:t>）</w:t>
            </w:r>
            <w:r>
              <w:rPr>
                <w:rFonts w:hint="default"/>
                <w:color w:val="auto"/>
              </w:rPr>
              <w:t>、储存企业，以及使用危险化学品达到国家规定数量的化工企业、烟花爆竹生产、批发经营企业和中型规模以上的其他生产经营单位，应当对本单位编制的应急预案进行评审，并形成书面评审纪要。前款规定以外的其他生产经营单位应当对本单位编制的应急预案进行论证。</w:t>
            </w:r>
          </w:p>
        </w:tc>
        <w:tc>
          <w:tcPr>
            <w:tcW w:w="2051" w:type="dxa"/>
            <w:noWrap w:val="0"/>
            <w:vAlign w:val="center"/>
          </w:tcPr>
          <w:p w14:paraId="2BEDB6AE">
            <w:pPr>
              <w:pStyle w:val="30"/>
              <w:bidi w:val="0"/>
              <w:rPr>
                <w:rFonts w:hint="eastAsia"/>
                <w:color w:val="auto"/>
                <w:lang w:eastAsia="zh-CN"/>
              </w:rPr>
            </w:pPr>
            <w:r>
              <w:rPr>
                <w:rFonts w:hint="default"/>
                <w:color w:val="auto"/>
              </w:rPr>
              <w:t>《生产安全事故应急预案管理办法》</w:t>
            </w:r>
            <w:r>
              <w:rPr>
                <w:rFonts w:hint="default"/>
                <w:color w:val="auto"/>
                <w:lang w:eastAsia="zh-CN"/>
              </w:rPr>
              <w:t>（</w:t>
            </w:r>
            <w:r>
              <w:rPr>
                <w:rFonts w:hint="default"/>
                <w:color w:val="auto"/>
              </w:rPr>
              <w:t>安监总局令第88号发布，应急管理部2号令修订</w:t>
            </w:r>
            <w:r>
              <w:rPr>
                <w:rFonts w:hint="eastAsia"/>
                <w:color w:val="auto"/>
                <w:lang w:eastAsia="zh-CN"/>
              </w:rPr>
              <w:t>）</w:t>
            </w:r>
          </w:p>
          <w:p w14:paraId="62CA0F0F">
            <w:pPr>
              <w:pStyle w:val="30"/>
              <w:bidi w:val="0"/>
              <w:rPr>
                <w:rFonts w:hint="default"/>
                <w:color w:val="auto"/>
              </w:rPr>
            </w:pPr>
            <w:r>
              <w:rPr>
                <w:rFonts w:hint="default"/>
                <w:color w:val="auto"/>
              </w:rPr>
              <w:t>第十一条</w:t>
            </w:r>
          </w:p>
        </w:tc>
        <w:tc>
          <w:tcPr>
            <w:tcW w:w="2571" w:type="dxa"/>
            <w:noWrap w:val="0"/>
            <w:vAlign w:val="center"/>
          </w:tcPr>
          <w:p w14:paraId="3395571B">
            <w:pPr>
              <w:pStyle w:val="30"/>
              <w:bidi w:val="0"/>
              <w:rPr>
                <w:rFonts w:hint="default"/>
                <w:color w:val="auto"/>
              </w:rPr>
            </w:pPr>
            <w:r>
              <w:rPr>
                <w:rFonts w:hint="default"/>
                <w:color w:val="auto"/>
              </w:rPr>
              <w:t>该项目编制有生产安全事故应急预案，其预案经专家评审。</w:t>
            </w:r>
          </w:p>
        </w:tc>
        <w:tc>
          <w:tcPr>
            <w:tcW w:w="717" w:type="dxa"/>
            <w:noWrap w:val="0"/>
            <w:vAlign w:val="center"/>
          </w:tcPr>
          <w:p w14:paraId="65DDE18E">
            <w:pPr>
              <w:pStyle w:val="30"/>
              <w:bidi w:val="0"/>
              <w:rPr>
                <w:rFonts w:hint="default"/>
                <w:color w:val="auto"/>
              </w:rPr>
            </w:pPr>
            <w:r>
              <w:rPr>
                <w:rFonts w:hint="default"/>
                <w:color w:val="auto"/>
              </w:rPr>
              <w:t>符合</w:t>
            </w:r>
          </w:p>
        </w:tc>
      </w:tr>
      <w:tr w14:paraId="5F70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1FB7A7DA">
            <w:pPr>
              <w:pStyle w:val="30"/>
              <w:bidi w:val="0"/>
              <w:jc w:val="both"/>
              <w:rPr>
                <w:rFonts w:hint="default"/>
                <w:color w:val="auto"/>
              </w:rPr>
            </w:pPr>
            <w:r>
              <w:rPr>
                <w:rFonts w:hint="default"/>
                <w:color w:val="auto"/>
              </w:rPr>
              <w:t>生产经营单位风险种类多、可能发生多种类型事故的，应当组织编制综合应急预案。综合应急预案应当规定应急组织机构及其职责、应急预案体系、事故风险描述、预警及信息报告、应急响应、保障措施、应急预案管理等内容。</w:t>
            </w:r>
          </w:p>
        </w:tc>
        <w:tc>
          <w:tcPr>
            <w:tcW w:w="2051" w:type="dxa"/>
            <w:noWrap w:val="0"/>
            <w:vAlign w:val="center"/>
          </w:tcPr>
          <w:p w14:paraId="36D9C2DF">
            <w:pPr>
              <w:pStyle w:val="30"/>
              <w:bidi w:val="0"/>
              <w:rPr>
                <w:rFonts w:hint="eastAsia"/>
                <w:color w:val="auto"/>
                <w:lang w:eastAsia="zh-CN"/>
              </w:rPr>
            </w:pPr>
            <w:r>
              <w:rPr>
                <w:rFonts w:hint="default"/>
                <w:color w:val="auto"/>
              </w:rPr>
              <w:t>《生产安全事故应急预案管理办法》</w:t>
            </w:r>
            <w:r>
              <w:rPr>
                <w:rFonts w:hint="default"/>
                <w:color w:val="auto"/>
                <w:lang w:eastAsia="zh-CN"/>
              </w:rPr>
              <w:t>（</w:t>
            </w:r>
            <w:r>
              <w:rPr>
                <w:rFonts w:hint="default"/>
                <w:color w:val="auto"/>
              </w:rPr>
              <w:t>安监总局令第88号发布，应急管理部2号令修订</w:t>
            </w:r>
            <w:r>
              <w:rPr>
                <w:rFonts w:hint="eastAsia"/>
                <w:color w:val="auto"/>
                <w:lang w:eastAsia="zh-CN"/>
              </w:rPr>
              <w:t>）</w:t>
            </w:r>
          </w:p>
          <w:p w14:paraId="51A89672">
            <w:pPr>
              <w:pStyle w:val="30"/>
              <w:bidi w:val="0"/>
              <w:rPr>
                <w:rFonts w:hint="default"/>
                <w:color w:val="auto"/>
              </w:rPr>
            </w:pPr>
            <w:r>
              <w:rPr>
                <w:rFonts w:hint="default"/>
                <w:color w:val="auto"/>
              </w:rPr>
              <w:t>第十三条</w:t>
            </w:r>
          </w:p>
        </w:tc>
        <w:tc>
          <w:tcPr>
            <w:tcW w:w="2571" w:type="dxa"/>
            <w:noWrap w:val="0"/>
            <w:vAlign w:val="center"/>
          </w:tcPr>
          <w:p w14:paraId="66C9D18D">
            <w:pPr>
              <w:pStyle w:val="30"/>
              <w:bidi w:val="0"/>
              <w:rPr>
                <w:rFonts w:hint="default"/>
                <w:color w:val="auto"/>
              </w:rPr>
            </w:pPr>
            <w:r>
              <w:rPr>
                <w:rFonts w:hint="default"/>
                <w:color w:val="auto"/>
              </w:rPr>
              <w:t>该项目编制有生产安全事故应急预案，预案内容满足要求。</w:t>
            </w:r>
          </w:p>
        </w:tc>
        <w:tc>
          <w:tcPr>
            <w:tcW w:w="717" w:type="dxa"/>
            <w:noWrap w:val="0"/>
            <w:vAlign w:val="center"/>
          </w:tcPr>
          <w:p w14:paraId="4CDACE01">
            <w:pPr>
              <w:pStyle w:val="30"/>
              <w:bidi w:val="0"/>
              <w:rPr>
                <w:rFonts w:hint="default"/>
                <w:color w:val="auto"/>
              </w:rPr>
            </w:pPr>
            <w:r>
              <w:rPr>
                <w:rFonts w:hint="default"/>
                <w:color w:val="auto"/>
              </w:rPr>
              <w:t>符合</w:t>
            </w:r>
          </w:p>
        </w:tc>
      </w:tr>
      <w:tr w14:paraId="6780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632A1BC0">
            <w:pPr>
              <w:pStyle w:val="30"/>
              <w:bidi w:val="0"/>
              <w:jc w:val="both"/>
              <w:rPr>
                <w:rFonts w:hint="default"/>
                <w:color w:val="auto"/>
              </w:rPr>
            </w:pPr>
            <w:r>
              <w:rPr>
                <w:rFonts w:hint="default"/>
                <w:color w:val="auto"/>
              </w:rPr>
              <w:t>生产经营单位的应急预案经评审或者论证后，由本单位主要负责人签署公布，并及时发放到本单位有关部门、岗位和相关应急救援队伍。</w:t>
            </w:r>
          </w:p>
          <w:p w14:paraId="6E5165BB">
            <w:pPr>
              <w:pStyle w:val="30"/>
              <w:bidi w:val="0"/>
              <w:jc w:val="both"/>
              <w:rPr>
                <w:rFonts w:hint="default"/>
                <w:color w:val="auto"/>
              </w:rPr>
            </w:pPr>
            <w:r>
              <w:rPr>
                <w:rFonts w:hint="default"/>
                <w:color w:val="auto"/>
              </w:rPr>
              <w:t>事故风险可能影响周边其他单位、人员的，生产经营单位应当将有关事故风险的性质、影响范围和应急防范措施告知周边的其他单位和人员。</w:t>
            </w:r>
          </w:p>
        </w:tc>
        <w:tc>
          <w:tcPr>
            <w:tcW w:w="2051" w:type="dxa"/>
            <w:noWrap w:val="0"/>
            <w:vAlign w:val="center"/>
          </w:tcPr>
          <w:p w14:paraId="459B07C0">
            <w:pPr>
              <w:pStyle w:val="30"/>
              <w:bidi w:val="0"/>
              <w:rPr>
                <w:rFonts w:hint="eastAsia"/>
                <w:color w:val="auto"/>
                <w:lang w:eastAsia="zh-CN"/>
              </w:rPr>
            </w:pPr>
            <w:r>
              <w:rPr>
                <w:rFonts w:hint="default"/>
                <w:color w:val="auto"/>
              </w:rPr>
              <w:t>《生产安全事故应急预案管理办法》</w:t>
            </w:r>
            <w:r>
              <w:rPr>
                <w:rFonts w:hint="default"/>
                <w:color w:val="auto"/>
                <w:lang w:eastAsia="zh-CN"/>
              </w:rPr>
              <w:t>（</w:t>
            </w:r>
            <w:r>
              <w:rPr>
                <w:rFonts w:hint="default"/>
                <w:color w:val="auto"/>
              </w:rPr>
              <w:t>安监总局令第88号发布，应急管理部2号令修订</w:t>
            </w:r>
            <w:r>
              <w:rPr>
                <w:rFonts w:hint="eastAsia"/>
                <w:color w:val="auto"/>
                <w:lang w:eastAsia="zh-CN"/>
              </w:rPr>
              <w:t>）</w:t>
            </w:r>
          </w:p>
          <w:p w14:paraId="0A894EC0">
            <w:pPr>
              <w:pStyle w:val="30"/>
              <w:bidi w:val="0"/>
              <w:rPr>
                <w:rFonts w:hint="default"/>
                <w:color w:val="auto"/>
              </w:rPr>
            </w:pPr>
            <w:r>
              <w:rPr>
                <w:rFonts w:hint="default"/>
                <w:color w:val="auto"/>
              </w:rPr>
              <w:t>第十四条</w:t>
            </w:r>
          </w:p>
        </w:tc>
        <w:tc>
          <w:tcPr>
            <w:tcW w:w="2571" w:type="dxa"/>
            <w:noWrap w:val="0"/>
            <w:vAlign w:val="center"/>
          </w:tcPr>
          <w:p w14:paraId="361C69F1">
            <w:pPr>
              <w:pStyle w:val="30"/>
              <w:bidi w:val="0"/>
              <w:rPr>
                <w:rFonts w:hint="default"/>
                <w:color w:val="auto"/>
              </w:rPr>
            </w:pPr>
            <w:r>
              <w:rPr>
                <w:rFonts w:hint="default"/>
                <w:color w:val="auto"/>
              </w:rPr>
              <w:t>该项目编制有生产安全事故应急预案，预案经专家评审，由主要负责人签署公布。</w:t>
            </w:r>
          </w:p>
        </w:tc>
        <w:tc>
          <w:tcPr>
            <w:tcW w:w="717" w:type="dxa"/>
            <w:noWrap w:val="0"/>
            <w:vAlign w:val="center"/>
          </w:tcPr>
          <w:p w14:paraId="3F70C0D0">
            <w:pPr>
              <w:pStyle w:val="30"/>
              <w:bidi w:val="0"/>
              <w:rPr>
                <w:rFonts w:hint="default"/>
                <w:color w:val="auto"/>
              </w:rPr>
            </w:pPr>
            <w:r>
              <w:rPr>
                <w:rFonts w:hint="default"/>
                <w:color w:val="auto"/>
              </w:rPr>
              <w:t>符合</w:t>
            </w:r>
          </w:p>
        </w:tc>
      </w:tr>
      <w:tr w14:paraId="281C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59C7D64F">
            <w:pPr>
              <w:pStyle w:val="30"/>
              <w:bidi w:val="0"/>
              <w:jc w:val="both"/>
              <w:rPr>
                <w:rFonts w:hint="default"/>
                <w:color w:val="auto"/>
              </w:rPr>
            </w:pPr>
            <w:r>
              <w:rPr>
                <w:rFonts w:hint="default"/>
                <w:color w:val="auto"/>
              </w:rPr>
              <w:t>生产经营单位应当针对本单位可能发生的生产安全事故的特点和危害，进行风险辨识和评估，制定相应的生产安全事故应急救援预案，并向本单位从业人员公布。</w:t>
            </w:r>
          </w:p>
        </w:tc>
        <w:tc>
          <w:tcPr>
            <w:tcW w:w="2051" w:type="dxa"/>
            <w:noWrap w:val="0"/>
            <w:vAlign w:val="center"/>
          </w:tcPr>
          <w:p w14:paraId="4D24AC56">
            <w:pPr>
              <w:pStyle w:val="30"/>
              <w:bidi w:val="0"/>
              <w:rPr>
                <w:rFonts w:hint="default"/>
                <w:color w:val="auto"/>
                <w:lang w:val="zh-CN"/>
              </w:rPr>
            </w:pPr>
            <w:r>
              <w:rPr>
                <w:rFonts w:hint="default"/>
                <w:color w:val="auto"/>
                <w:lang w:val="zh-CN"/>
              </w:rPr>
              <w:t>《生产安全事故应急条例》（国务院令第708号</w:t>
            </w:r>
            <w:r>
              <w:rPr>
                <w:rFonts w:hint="eastAsia"/>
                <w:color w:val="auto"/>
                <w:lang w:val="zh-CN"/>
              </w:rPr>
              <w:t>）</w:t>
            </w:r>
            <w:r>
              <w:rPr>
                <w:rFonts w:hint="default"/>
                <w:color w:val="auto"/>
                <w:lang w:val="zh-CN"/>
              </w:rPr>
              <w:t>第五条</w:t>
            </w:r>
          </w:p>
        </w:tc>
        <w:tc>
          <w:tcPr>
            <w:tcW w:w="2571" w:type="dxa"/>
            <w:noWrap w:val="0"/>
            <w:vAlign w:val="center"/>
          </w:tcPr>
          <w:p w14:paraId="28AAD0FB">
            <w:pPr>
              <w:pStyle w:val="30"/>
              <w:bidi w:val="0"/>
              <w:rPr>
                <w:rFonts w:hint="default"/>
                <w:color w:val="auto"/>
              </w:rPr>
            </w:pPr>
            <w:r>
              <w:rPr>
                <w:rFonts w:hint="default"/>
                <w:color w:val="auto"/>
              </w:rPr>
              <w:t>该项目生产经营单位针对该项目进行了风险辨识和评估，并制定了相应的生产</w:t>
            </w:r>
            <w:r>
              <w:rPr>
                <w:rFonts w:hint="default"/>
                <w:color w:val="auto"/>
                <w:lang w:val="en-US" w:eastAsia="zh-CN"/>
              </w:rPr>
              <w:t>安全</w:t>
            </w:r>
            <w:r>
              <w:rPr>
                <w:rFonts w:hint="default"/>
                <w:color w:val="auto"/>
              </w:rPr>
              <w:t>事故应急预案。</w:t>
            </w:r>
          </w:p>
        </w:tc>
        <w:tc>
          <w:tcPr>
            <w:tcW w:w="717" w:type="dxa"/>
            <w:noWrap w:val="0"/>
            <w:vAlign w:val="center"/>
          </w:tcPr>
          <w:p w14:paraId="0E4CCFC9">
            <w:pPr>
              <w:pStyle w:val="30"/>
              <w:bidi w:val="0"/>
              <w:rPr>
                <w:rFonts w:hint="default"/>
                <w:color w:val="auto"/>
              </w:rPr>
            </w:pPr>
            <w:r>
              <w:rPr>
                <w:rFonts w:hint="default"/>
                <w:color w:val="auto"/>
              </w:rPr>
              <w:t>符合</w:t>
            </w:r>
          </w:p>
        </w:tc>
      </w:tr>
      <w:tr w14:paraId="17EB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22DCA945">
            <w:pPr>
              <w:pStyle w:val="30"/>
              <w:bidi w:val="0"/>
              <w:jc w:val="both"/>
              <w:rPr>
                <w:rFonts w:hint="default"/>
                <w:color w:val="auto"/>
              </w:rPr>
            </w:pPr>
            <w:r>
              <w:rPr>
                <w:rFonts w:hint="default"/>
                <w:color w:val="auto"/>
              </w:rPr>
              <w:t>易燃易爆物品、危险化学品等危险物品的生产、经营、储存、运输单位，矿山、金属冶炼、城市轨道交通运营、建筑施工单位，以及宾馆、商场、娱乐场所、旅游景区等人员密集场所经营单位，应当建立应急救援队伍；其中，小型企业或者微型企业等规模较小的生产经营单位，可以不建立应急救援队伍，但应当指定兼职的应急救援人员，并且可以与邻近的应急救援队伍签订应急救援协议。</w:t>
            </w:r>
          </w:p>
        </w:tc>
        <w:tc>
          <w:tcPr>
            <w:tcW w:w="2051" w:type="dxa"/>
            <w:noWrap w:val="0"/>
            <w:vAlign w:val="center"/>
          </w:tcPr>
          <w:p w14:paraId="7863D0C3">
            <w:pPr>
              <w:pStyle w:val="30"/>
              <w:bidi w:val="0"/>
              <w:rPr>
                <w:rFonts w:hint="default"/>
                <w:color w:val="auto"/>
                <w:lang w:val="zh-CN"/>
              </w:rPr>
            </w:pPr>
            <w:r>
              <w:rPr>
                <w:rFonts w:hint="default"/>
                <w:color w:val="auto"/>
                <w:lang w:val="zh-CN"/>
              </w:rPr>
              <w:t>《生产安全事故应急条例》</w:t>
            </w:r>
          </w:p>
          <w:p w14:paraId="2ECFE142">
            <w:pPr>
              <w:pStyle w:val="30"/>
              <w:bidi w:val="0"/>
              <w:rPr>
                <w:rFonts w:hint="default"/>
                <w:color w:val="auto"/>
                <w:lang w:val="zh-CN"/>
              </w:rPr>
            </w:pPr>
            <w:r>
              <w:rPr>
                <w:rFonts w:hint="default"/>
                <w:color w:val="auto"/>
                <w:lang w:val="zh-CN"/>
              </w:rPr>
              <w:t>（国务院令第708号</w:t>
            </w:r>
            <w:r>
              <w:rPr>
                <w:rFonts w:hint="eastAsia"/>
                <w:color w:val="auto"/>
                <w:lang w:val="zh-CN"/>
              </w:rPr>
              <w:t>）</w:t>
            </w:r>
          </w:p>
          <w:p w14:paraId="42C35554">
            <w:pPr>
              <w:pStyle w:val="30"/>
              <w:bidi w:val="0"/>
              <w:rPr>
                <w:rFonts w:hint="default"/>
                <w:color w:val="auto"/>
                <w:lang w:val="zh-CN"/>
              </w:rPr>
            </w:pPr>
            <w:r>
              <w:rPr>
                <w:rFonts w:hint="default"/>
                <w:color w:val="auto"/>
                <w:lang w:val="zh-CN"/>
              </w:rPr>
              <w:t>第十条</w:t>
            </w:r>
          </w:p>
        </w:tc>
        <w:tc>
          <w:tcPr>
            <w:tcW w:w="2571" w:type="dxa"/>
            <w:noWrap w:val="0"/>
            <w:vAlign w:val="center"/>
          </w:tcPr>
          <w:p w14:paraId="20230026">
            <w:pPr>
              <w:pStyle w:val="30"/>
              <w:bidi w:val="0"/>
              <w:rPr>
                <w:rFonts w:hint="default"/>
                <w:color w:val="auto"/>
                <w:lang w:val="zh-CN"/>
              </w:rPr>
            </w:pPr>
            <w:r>
              <w:rPr>
                <w:rFonts w:hint="default"/>
                <w:color w:val="auto"/>
                <w:lang w:val="zh-CN"/>
              </w:rPr>
              <w:t>该项目建设单位建立了建了兼职的应急救援队伍。</w:t>
            </w:r>
          </w:p>
        </w:tc>
        <w:tc>
          <w:tcPr>
            <w:tcW w:w="717" w:type="dxa"/>
            <w:noWrap w:val="0"/>
            <w:vAlign w:val="center"/>
          </w:tcPr>
          <w:p w14:paraId="18DF1783">
            <w:pPr>
              <w:pStyle w:val="30"/>
              <w:bidi w:val="0"/>
              <w:rPr>
                <w:rFonts w:hint="default"/>
                <w:color w:val="auto"/>
                <w:lang w:val="zh-CN"/>
              </w:rPr>
            </w:pPr>
            <w:r>
              <w:rPr>
                <w:rFonts w:hint="default"/>
                <w:color w:val="auto"/>
                <w:lang w:val="zh-CN"/>
              </w:rPr>
              <w:t>符合</w:t>
            </w:r>
          </w:p>
        </w:tc>
      </w:tr>
      <w:tr w14:paraId="0C58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64" w:type="dxa"/>
            <w:noWrap w:val="0"/>
            <w:vAlign w:val="center"/>
          </w:tcPr>
          <w:p w14:paraId="1D1C4C9B">
            <w:pPr>
              <w:pStyle w:val="30"/>
              <w:bidi w:val="0"/>
              <w:jc w:val="both"/>
              <w:rPr>
                <w:rFonts w:hint="default"/>
                <w:color w:val="auto"/>
              </w:rPr>
            </w:pPr>
            <w:r>
              <w:rPr>
                <w:rFonts w:hint="default"/>
                <w:color w:val="auto"/>
              </w:rPr>
              <w:t>生产经营单位应当制定本单位的应急预案演练计划，根据本单位的事故风险特点，每年至少组织一次综合应急预案演练或者专项应急预案演练，每半年至少组织一次现场处置方案演练。</w:t>
            </w:r>
          </w:p>
        </w:tc>
        <w:tc>
          <w:tcPr>
            <w:tcW w:w="2051" w:type="dxa"/>
            <w:noWrap w:val="0"/>
            <w:vAlign w:val="center"/>
          </w:tcPr>
          <w:p w14:paraId="35489C0D">
            <w:pPr>
              <w:pStyle w:val="30"/>
              <w:bidi w:val="0"/>
              <w:rPr>
                <w:rFonts w:hint="default"/>
                <w:color w:val="auto"/>
                <w:lang w:val="zh-CN"/>
              </w:rPr>
            </w:pPr>
            <w:r>
              <w:rPr>
                <w:rFonts w:hint="default"/>
                <w:color w:val="auto"/>
                <w:lang w:val="zh-CN"/>
              </w:rPr>
              <w:t>《生产安全事故应急预案管理办法》（国家安全生产监督管理总局令[2016]第88号，应急管理部令2号修改</w:t>
            </w:r>
            <w:r>
              <w:rPr>
                <w:rFonts w:hint="eastAsia"/>
                <w:color w:val="auto"/>
                <w:lang w:val="zh-CN"/>
              </w:rPr>
              <w:t>）</w:t>
            </w:r>
          </w:p>
        </w:tc>
        <w:tc>
          <w:tcPr>
            <w:tcW w:w="2571" w:type="dxa"/>
            <w:noWrap w:val="0"/>
            <w:vAlign w:val="center"/>
          </w:tcPr>
          <w:p w14:paraId="4ABC01BA">
            <w:pPr>
              <w:pStyle w:val="30"/>
              <w:bidi w:val="0"/>
              <w:rPr>
                <w:rFonts w:hint="default"/>
                <w:color w:val="auto"/>
                <w:lang w:val="en-US" w:eastAsia="zh-CN"/>
              </w:rPr>
            </w:pPr>
            <w:r>
              <w:rPr>
                <w:rFonts w:hint="default"/>
                <w:color w:val="auto"/>
              </w:rPr>
              <w:t>该企业</w:t>
            </w:r>
            <w:r>
              <w:rPr>
                <w:rFonts w:hint="default"/>
                <w:color w:val="auto"/>
                <w:lang w:val="en-US" w:eastAsia="zh-CN"/>
              </w:rPr>
              <w:t>已</w:t>
            </w:r>
            <w:r>
              <w:rPr>
                <w:rFonts w:hint="default"/>
                <w:color w:val="auto"/>
              </w:rPr>
              <w:t>组织应急演练。</w:t>
            </w:r>
          </w:p>
        </w:tc>
        <w:tc>
          <w:tcPr>
            <w:tcW w:w="717" w:type="dxa"/>
            <w:noWrap w:val="0"/>
            <w:vAlign w:val="center"/>
          </w:tcPr>
          <w:p w14:paraId="306FC2FE">
            <w:pPr>
              <w:pStyle w:val="30"/>
              <w:bidi w:val="0"/>
              <w:rPr>
                <w:rFonts w:hint="default"/>
                <w:color w:val="auto"/>
                <w:lang w:val="en-US" w:eastAsia="zh-CN"/>
              </w:rPr>
            </w:pPr>
            <w:r>
              <w:rPr>
                <w:rFonts w:hint="default"/>
                <w:color w:val="auto"/>
              </w:rPr>
              <w:t>符合</w:t>
            </w:r>
          </w:p>
        </w:tc>
      </w:tr>
    </w:tbl>
    <w:p w14:paraId="7878DF3D">
      <w:pPr>
        <w:pStyle w:val="4"/>
        <w:bidi w:val="0"/>
        <w:rPr>
          <w:rFonts w:hint="eastAsia"/>
          <w:color w:val="auto"/>
        </w:rPr>
      </w:pPr>
      <w:bookmarkStart w:id="127" w:name="_Toc23986"/>
      <w:r>
        <w:rPr>
          <w:rFonts w:hint="eastAsia"/>
          <w:color w:val="auto"/>
        </w:rPr>
        <w:t>5.6.2</w:t>
      </w:r>
      <w:r>
        <w:rPr>
          <w:rFonts w:hint="eastAsia"/>
          <w:color w:val="auto"/>
          <w:lang w:val="en-US" w:eastAsia="zh-CN"/>
        </w:rPr>
        <w:t xml:space="preserve"> </w:t>
      </w:r>
      <w:r>
        <w:rPr>
          <w:rFonts w:hint="eastAsia"/>
          <w:color w:val="auto"/>
        </w:rPr>
        <w:t>单元评价小结</w:t>
      </w:r>
      <w:bookmarkEnd w:id="127"/>
    </w:p>
    <w:p w14:paraId="6380E549">
      <w:pPr>
        <w:bidi w:val="0"/>
        <w:rPr>
          <w:rFonts w:hint="default" w:eastAsia="宋体"/>
          <w:color w:val="auto"/>
          <w:lang w:val="en-US" w:eastAsia="zh-CN"/>
        </w:rPr>
      </w:pPr>
      <w:r>
        <w:rPr>
          <w:rFonts w:hint="eastAsia"/>
          <w:color w:val="auto"/>
        </w:rPr>
        <w:t>企业依法取得了企业营业执照，安全管理人员持证上岗，企业主要负责人已参加昆明当代人才职业培训学校有限公司组织培训的主要负责人、安全管理员培训班，培训合格，但由于属地应急管理局暂未组织考核，因此暂未取得培训合格证。企业建立、健全了各项安全职责、安全管理制度及安全操作规程，安全管理体系运行有效，建立了安全管理台账并及时填写，但未建立安全风险分级管控和隐患排查治理双重预防机制。企业针对该项目编制了综合应急预案</w:t>
      </w:r>
      <w:r>
        <w:rPr>
          <w:rFonts w:hint="eastAsia"/>
          <w:color w:val="auto"/>
          <w:lang w:eastAsia="zh-CN"/>
        </w:rPr>
        <w:t>；</w:t>
      </w:r>
      <w:r>
        <w:rPr>
          <w:rFonts w:hint="eastAsia"/>
          <w:color w:val="auto"/>
        </w:rPr>
        <w:t>并配发了相应的劳动防护用品。安全管理单元具备安全验收条件。建议企业在完成安全验收后尽快组织进行企业安全风险分级管控和隐患排查治理双重预防机制的建立。</w:t>
      </w:r>
      <w:r>
        <w:rPr>
          <w:rFonts w:hint="eastAsia"/>
          <w:color w:val="auto"/>
          <w:lang w:val="en-US" w:eastAsia="zh-CN"/>
        </w:rPr>
        <w:t>本单元存在以下问题：</w:t>
      </w:r>
    </w:p>
    <w:p w14:paraId="14E26E01">
      <w:pPr>
        <w:bidi w:val="0"/>
        <w:rPr>
          <w:rFonts w:hint="eastAsia"/>
          <w:color w:val="auto"/>
          <w:lang w:val="en-US" w:eastAsia="zh-CN"/>
        </w:rPr>
      </w:pPr>
      <w:r>
        <w:rPr>
          <w:rFonts w:hint="eastAsia"/>
          <w:color w:val="auto"/>
          <w:lang w:val="en-US" w:eastAsia="zh-CN"/>
        </w:rPr>
        <w:t>1、企业未构建安全风险分级管控和隐患排查治理双重预防机制；</w:t>
      </w:r>
    </w:p>
    <w:p w14:paraId="59027B38">
      <w:pPr>
        <w:bidi w:val="0"/>
        <w:rPr>
          <w:rFonts w:hint="eastAsia"/>
          <w:color w:val="auto"/>
        </w:rPr>
      </w:pPr>
      <w:r>
        <w:rPr>
          <w:rFonts w:hint="eastAsia"/>
          <w:color w:val="auto"/>
          <w:lang w:val="en-US" w:eastAsia="zh-CN"/>
        </w:rPr>
        <w:t>2、</w:t>
      </w:r>
      <w:r>
        <w:rPr>
          <w:rFonts w:hint="eastAsia"/>
          <w:color w:val="auto"/>
        </w:rPr>
        <w:t>企业未为从业人员购买工伤保险。</w:t>
      </w:r>
    </w:p>
    <w:p w14:paraId="308AAE3A">
      <w:pPr>
        <w:pStyle w:val="3"/>
        <w:bidi w:val="0"/>
        <w:rPr>
          <w:rFonts w:hint="eastAsia"/>
          <w:color w:val="auto"/>
        </w:rPr>
      </w:pPr>
      <w:bookmarkStart w:id="128" w:name="_Toc19285"/>
      <w:r>
        <w:rPr>
          <w:rFonts w:hint="eastAsia"/>
          <w:color w:val="auto"/>
        </w:rPr>
        <w:t>5.7 危险危害程度评价</w:t>
      </w:r>
      <w:bookmarkEnd w:id="128"/>
    </w:p>
    <w:p w14:paraId="727AB503">
      <w:pPr>
        <w:pStyle w:val="4"/>
        <w:bidi w:val="0"/>
        <w:rPr>
          <w:rFonts w:hint="eastAsia"/>
          <w:color w:val="auto"/>
        </w:rPr>
      </w:pPr>
      <w:bookmarkStart w:id="129" w:name="_Toc16899"/>
      <w:r>
        <w:rPr>
          <w:rFonts w:hint="eastAsia"/>
          <w:color w:val="auto"/>
        </w:rPr>
        <w:t>5.7.1</w:t>
      </w:r>
      <w:r>
        <w:rPr>
          <w:rFonts w:hint="eastAsia"/>
          <w:color w:val="auto"/>
          <w:lang w:val="en-US" w:eastAsia="zh-CN"/>
        </w:rPr>
        <w:t xml:space="preserve"> </w:t>
      </w:r>
      <w:r>
        <w:rPr>
          <w:rFonts w:hint="eastAsia"/>
          <w:color w:val="auto"/>
        </w:rPr>
        <w:t>危险有害因素汇总</w:t>
      </w:r>
      <w:bookmarkEnd w:id="129"/>
    </w:p>
    <w:p w14:paraId="6A720C01">
      <w:pPr>
        <w:bidi w:val="0"/>
        <w:rPr>
          <w:rFonts w:hint="eastAsia"/>
          <w:color w:val="auto"/>
        </w:rPr>
      </w:pPr>
      <w:r>
        <w:rPr>
          <w:rFonts w:hint="eastAsia"/>
          <w:color w:val="auto"/>
        </w:rPr>
        <w:t>根据《重大危险源辨识》（GB 18218-2018）辨识标准和参照《企业职工伤亡事故分类》（GB 6441-1986）、《生产过程危险和有害因素分类与代码》（GB/T 13861-2022），结合前述，项目存在的危险有害因素主要有：机械伤害、物体打击、触电、淹溺、车辆伤害、高处坠落、火灾、容器爆炸、坍塌、滑坡和中毒窒息等。</w:t>
      </w:r>
    </w:p>
    <w:p w14:paraId="64B0D18E">
      <w:pPr>
        <w:pStyle w:val="4"/>
        <w:bidi w:val="0"/>
        <w:rPr>
          <w:rFonts w:hint="eastAsia"/>
          <w:color w:val="auto"/>
        </w:rPr>
      </w:pPr>
      <w:bookmarkStart w:id="130" w:name="_Toc16486"/>
      <w:r>
        <w:rPr>
          <w:rFonts w:hint="eastAsia"/>
          <w:color w:val="auto"/>
        </w:rPr>
        <w:t>5.7.2</w:t>
      </w:r>
      <w:r>
        <w:rPr>
          <w:rFonts w:hint="eastAsia"/>
          <w:color w:val="auto"/>
          <w:lang w:val="en-US" w:eastAsia="zh-CN"/>
        </w:rPr>
        <w:t xml:space="preserve"> </w:t>
      </w:r>
      <w:r>
        <w:rPr>
          <w:rFonts w:hint="eastAsia"/>
          <w:color w:val="auto"/>
        </w:rPr>
        <w:t>危险性分值计算</w:t>
      </w:r>
      <w:bookmarkEnd w:id="130"/>
    </w:p>
    <w:p w14:paraId="42E7E42F">
      <w:pPr>
        <w:bidi w:val="0"/>
        <w:rPr>
          <w:rFonts w:hint="eastAsia"/>
          <w:color w:val="auto"/>
        </w:rPr>
      </w:pPr>
      <w:r>
        <w:rPr>
          <w:rFonts w:hint="eastAsia"/>
          <w:color w:val="auto"/>
        </w:rPr>
        <w:t>通过作业条件危险性分析（LEC）对危险性分值进行计算：</w:t>
      </w:r>
    </w:p>
    <w:p w14:paraId="6ED967AC">
      <w:pPr>
        <w:pStyle w:val="29"/>
        <w:bidi w:val="0"/>
        <w:rPr>
          <w:color w:val="auto"/>
        </w:rPr>
      </w:pPr>
      <w:r>
        <w:rPr>
          <w:rFonts w:hint="eastAsia"/>
          <w:color w:val="auto"/>
        </w:rPr>
        <w:t>表5.7-1  项目危险有害因素汇总</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917"/>
        <w:gridCol w:w="1567"/>
        <w:gridCol w:w="1567"/>
        <w:gridCol w:w="1589"/>
        <w:gridCol w:w="1410"/>
      </w:tblGrid>
      <w:tr w14:paraId="1365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010" w:type="dxa"/>
            <w:noWrap w:val="0"/>
            <w:vAlign w:val="center"/>
          </w:tcPr>
          <w:p w14:paraId="7470F93B">
            <w:pPr>
              <w:pStyle w:val="30"/>
              <w:bidi w:val="0"/>
              <w:rPr>
                <w:rFonts w:hint="default"/>
                <w:b/>
                <w:bCs/>
                <w:color w:val="auto"/>
              </w:rPr>
            </w:pPr>
            <w:r>
              <w:rPr>
                <w:rFonts w:hint="default"/>
                <w:b/>
                <w:bCs/>
                <w:color w:val="auto"/>
              </w:rPr>
              <w:t>序号</w:t>
            </w:r>
          </w:p>
        </w:tc>
        <w:tc>
          <w:tcPr>
            <w:tcW w:w="1917" w:type="dxa"/>
            <w:noWrap w:val="0"/>
            <w:vAlign w:val="center"/>
          </w:tcPr>
          <w:p w14:paraId="29B7E675">
            <w:pPr>
              <w:pStyle w:val="30"/>
              <w:bidi w:val="0"/>
              <w:rPr>
                <w:rFonts w:hint="default"/>
                <w:b/>
                <w:bCs/>
                <w:color w:val="auto"/>
              </w:rPr>
            </w:pPr>
            <w:r>
              <w:rPr>
                <w:rFonts w:hint="default"/>
                <w:b/>
                <w:bCs/>
                <w:color w:val="auto"/>
              </w:rPr>
              <w:t>危险因素分类</w:t>
            </w:r>
          </w:p>
        </w:tc>
        <w:tc>
          <w:tcPr>
            <w:tcW w:w="1567" w:type="dxa"/>
            <w:noWrap w:val="0"/>
            <w:vAlign w:val="center"/>
          </w:tcPr>
          <w:p w14:paraId="054E3D83">
            <w:pPr>
              <w:pStyle w:val="30"/>
              <w:bidi w:val="0"/>
              <w:rPr>
                <w:rFonts w:hint="eastAsia"/>
                <w:b/>
                <w:bCs/>
                <w:color w:val="auto"/>
                <w:lang w:eastAsia="zh-CN"/>
              </w:rPr>
            </w:pPr>
            <w:r>
              <w:rPr>
                <w:rFonts w:hint="default"/>
                <w:b/>
                <w:bCs/>
                <w:color w:val="auto"/>
              </w:rPr>
              <w:t>发生事故可能性大小</w:t>
            </w:r>
            <w:r>
              <w:rPr>
                <w:rFonts w:hint="default"/>
                <w:b/>
                <w:bCs/>
                <w:color w:val="auto"/>
                <w:lang w:eastAsia="zh-CN"/>
              </w:rPr>
              <w:t>（</w:t>
            </w:r>
            <w:r>
              <w:rPr>
                <w:rFonts w:hint="default"/>
                <w:b/>
                <w:bCs/>
                <w:color w:val="auto"/>
              </w:rPr>
              <w:t>L</w:t>
            </w:r>
            <w:r>
              <w:rPr>
                <w:rFonts w:hint="eastAsia"/>
                <w:b/>
                <w:bCs/>
                <w:color w:val="auto"/>
                <w:lang w:eastAsia="zh-CN"/>
              </w:rPr>
              <w:t>）</w:t>
            </w:r>
          </w:p>
        </w:tc>
        <w:tc>
          <w:tcPr>
            <w:tcW w:w="1567" w:type="dxa"/>
            <w:noWrap w:val="0"/>
            <w:vAlign w:val="center"/>
          </w:tcPr>
          <w:p w14:paraId="32982363">
            <w:pPr>
              <w:pStyle w:val="30"/>
              <w:bidi w:val="0"/>
              <w:rPr>
                <w:rFonts w:hint="eastAsia"/>
                <w:b/>
                <w:bCs/>
                <w:color w:val="auto"/>
                <w:lang w:eastAsia="zh-CN"/>
              </w:rPr>
            </w:pPr>
            <w:r>
              <w:rPr>
                <w:rFonts w:hint="default"/>
                <w:b/>
                <w:bCs/>
                <w:color w:val="auto"/>
              </w:rPr>
              <w:t>人体暴露在危险环境中的频繁程度</w:t>
            </w:r>
            <w:r>
              <w:rPr>
                <w:rFonts w:hint="default"/>
                <w:b/>
                <w:bCs/>
                <w:color w:val="auto"/>
                <w:lang w:eastAsia="zh-CN"/>
              </w:rPr>
              <w:t>（</w:t>
            </w:r>
            <w:r>
              <w:rPr>
                <w:rFonts w:hint="default"/>
                <w:b/>
                <w:bCs/>
                <w:color w:val="auto"/>
              </w:rPr>
              <w:t>E</w:t>
            </w:r>
            <w:r>
              <w:rPr>
                <w:rFonts w:hint="eastAsia"/>
                <w:b/>
                <w:bCs/>
                <w:color w:val="auto"/>
                <w:lang w:eastAsia="zh-CN"/>
              </w:rPr>
              <w:t>）</w:t>
            </w:r>
          </w:p>
        </w:tc>
        <w:tc>
          <w:tcPr>
            <w:tcW w:w="1589" w:type="dxa"/>
            <w:noWrap w:val="0"/>
            <w:vAlign w:val="center"/>
          </w:tcPr>
          <w:p w14:paraId="0ACCF615">
            <w:pPr>
              <w:pStyle w:val="30"/>
              <w:bidi w:val="0"/>
              <w:rPr>
                <w:rFonts w:hint="eastAsia"/>
                <w:b/>
                <w:bCs/>
                <w:color w:val="auto"/>
                <w:lang w:eastAsia="zh-CN"/>
              </w:rPr>
            </w:pPr>
            <w:r>
              <w:rPr>
                <w:rFonts w:hint="default"/>
                <w:b/>
                <w:bCs/>
                <w:color w:val="auto"/>
              </w:rPr>
              <w:t>发生事故产生的后果</w:t>
            </w:r>
            <w:r>
              <w:rPr>
                <w:rFonts w:hint="default"/>
                <w:b/>
                <w:bCs/>
                <w:color w:val="auto"/>
                <w:lang w:eastAsia="zh-CN"/>
              </w:rPr>
              <w:t>（</w:t>
            </w:r>
            <w:r>
              <w:rPr>
                <w:rFonts w:hint="default"/>
                <w:b/>
                <w:bCs/>
                <w:color w:val="auto"/>
              </w:rPr>
              <w:t>C</w:t>
            </w:r>
            <w:r>
              <w:rPr>
                <w:rFonts w:hint="eastAsia"/>
                <w:b/>
                <w:bCs/>
                <w:color w:val="auto"/>
                <w:lang w:eastAsia="zh-CN"/>
              </w:rPr>
              <w:t>）</w:t>
            </w:r>
          </w:p>
        </w:tc>
        <w:tc>
          <w:tcPr>
            <w:tcW w:w="1410" w:type="dxa"/>
            <w:noWrap w:val="0"/>
            <w:vAlign w:val="center"/>
          </w:tcPr>
          <w:p w14:paraId="612334DC">
            <w:pPr>
              <w:pStyle w:val="30"/>
              <w:bidi w:val="0"/>
              <w:rPr>
                <w:rFonts w:hint="eastAsia"/>
                <w:b/>
                <w:bCs/>
                <w:color w:val="auto"/>
                <w:lang w:eastAsia="zh-CN"/>
              </w:rPr>
            </w:pPr>
            <w:r>
              <w:rPr>
                <w:rFonts w:hint="default"/>
                <w:b/>
                <w:bCs/>
                <w:color w:val="auto"/>
              </w:rPr>
              <w:t>危险性分值</w:t>
            </w:r>
            <w:r>
              <w:rPr>
                <w:rFonts w:hint="default"/>
                <w:b/>
                <w:bCs/>
                <w:color w:val="auto"/>
                <w:lang w:eastAsia="zh-CN"/>
              </w:rPr>
              <w:t>（</w:t>
            </w:r>
            <w:r>
              <w:rPr>
                <w:rFonts w:hint="default"/>
                <w:b/>
                <w:bCs/>
                <w:color w:val="auto"/>
              </w:rPr>
              <w:t>D</w:t>
            </w:r>
            <w:r>
              <w:rPr>
                <w:rFonts w:hint="eastAsia"/>
                <w:b/>
                <w:bCs/>
                <w:color w:val="auto"/>
                <w:lang w:eastAsia="zh-CN"/>
              </w:rPr>
              <w:t>）</w:t>
            </w:r>
          </w:p>
        </w:tc>
      </w:tr>
      <w:tr w14:paraId="656F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 w:type="dxa"/>
            <w:noWrap w:val="0"/>
            <w:vAlign w:val="center"/>
          </w:tcPr>
          <w:p w14:paraId="2401A89E">
            <w:pPr>
              <w:pStyle w:val="30"/>
              <w:bidi w:val="0"/>
              <w:rPr>
                <w:rFonts w:hint="default"/>
                <w:color w:val="auto"/>
              </w:rPr>
            </w:pPr>
            <w:r>
              <w:rPr>
                <w:rFonts w:hint="default"/>
                <w:color w:val="auto"/>
              </w:rPr>
              <w:t>1</w:t>
            </w:r>
          </w:p>
        </w:tc>
        <w:tc>
          <w:tcPr>
            <w:tcW w:w="1917" w:type="dxa"/>
            <w:noWrap w:val="0"/>
            <w:vAlign w:val="center"/>
          </w:tcPr>
          <w:p w14:paraId="2BFE0174">
            <w:pPr>
              <w:pStyle w:val="30"/>
              <w:bidi w:val="0"/>
              <w:rPr>
                <w:rFonts w:hint="default"/>
                <w:color w:val="auto"/>
              </w:rPr>
            </w:pPr>
            <w:r>
              <w:rPr>
                <w:rFonts w:hint="default"/>
                <w:color w:val="auto"/>
              </w:rPr>
              <w:t>机械伤害</w:t>
            </w:r>
          </w:p>
        </w:tc>
        <w:tc>
          <w:tcPr>
            <w:tcW w:w="1567" w:type="dxa"/>
            <w:noWrap w:val="0"/>
            <w:vAlign w:val="center"/>
          </w:tcPr>
          <w:p w14:paraId="5531AC84">
            <w:pPr>
              <w:pStyle w:val="30"/>
              <w:bidi w:val="0"/>
              <w:rPr>
                <w:rFonts w:hint="default"/>
                <w:color w:val="auto"/>
              </w:rPr>
            </w:pPr>
            <w:r>
              <w:rPr>
                <w:rFonts w:hint="default"/>
                <w:color w:val="auto"/>
              </w:rPr>
              <w:t>3</w:t>
            </w:r>
          </w:p>
        </w:tc>
        <w:tc>
          <w:tcPr>
            <w:tcW w:w="1567" w:type="dxa"/>
            <w:noWrap w:val="0"/>
            <w:vAlign w:val="center"/>
          </w:tcPr>
          <w:p w14:paraId="3BD5E158">
            <w:pPr>
              <w:pStyle w:val="30"/>
              <w:bidi w:val="0"/>
              <w:rPr>
                <w:rFonts w:hint="default"/>
                <w:color w:val="auto"/>
              </w:rPr>
            </w:pPr>
            <w:r>
              <w:rPr>
                <w:rFonts w:hint="default"/>
                <w:color w:val="auto"/>
              </w:rPr>
              <w:t>6</w:t>
            </w:r>
          </w:p>
        </w:tc>
        <w:tc>
          <w:tcPr>
            <w:tcW w:w="1589" w:type="dxa"/>
            <w:noWrap w:val="0"/>
            <w:vAlign w:val="center"/>
          </w:tcPr>
          <w:p w14:paraId="7C467CAC">
            <w:pPr>
              <w:pStyle w:val="30"/>
              <w:bidi w:val="0"/>
              <w:rPr>
                <w:rFonts w:hint="default"/>
                <w:color w:val="auto"/>
              </w:rPr>
            </w:pPr>
            <w:r>
              <w:rPr>
                <w:rFonts w:hint="default"/>
                <w:color w:val="auto"/>
              </w:rPr>
              <w:t>3</w:t>
            </w:r>
          </w:p>
        </w:tc>
        <w:tc>
          <w:tcPr>
            <w:tcW w:w="1410" w:type="dxa"/>
            <w:noWrap w:val="0"/>
            <w:vAlign w:val="center"/>
          </w:tcPr>
          <w:p w14:paraId="3C66B36A">
            <w:pPr>
              <w:pStyle w:val="30"/>
              <w:bidi w:val="0"/>
              <w:rPr>
                <w:rFonts w:hint="default"/>
                <w:color w:val="auto"/>
              </w:rPr>
            </w:pPr>
            <w:r>
              <w:rPr>
                <w:rFonts w:hint="default"/>
                <w:color w:val="auto"/>
              </w:rPr>
              <w:t>54</w:t>
            </w:r>
          </w:p>
        </w:tc>
      </w:tr>
      <w:tr w14:paraId="4298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 w:type="dxa"/>
            <w:noWrap w:val="0"/>
            <w:vAlign w:val="center"/>
          </w:tcPr>
          <w:p w14:paraId="16AB0786">
            <w:pPr>
              <w:pStyle w:val="30"/>
              <w:bidi w:val="0"/>
              <w:rPr>
                <w:rFonts w:hint="default"/>
                <w:color w:val="auto"/>
              </w:rPr>
            </w:pPr>
            <w:r>
              <w:rPr>
                <w:rFonts w:hint="default"/>
                <w:color w:val="auto"/>
              </w:rPr>
              <w:t>2</w:t>
            </w:r>
          </w:p>
        </w:tc>
        <w:tc>
          <w:tcPr>
            <w:tcW w:w="1917" w:type="dxa"/>
            <w:noWrap w:val="0"/>
            <w:vAlign w:val="center"/>
          </w:tcPr>
          <w:p w14:paraId="3F276CE1">
            <w:pPr>
              <w:pStyle w:val="30"/>
              <w:bidi w:val="0"/>
              <w:rPr>
                <w:rFonts w:hint="default"/>
                <w:color w:val="auto"/>
              </w:rPr>
            </w:pPr>
            <w:r>
              <w:rPr>
                <w:rFonts w:hint="default"/>
                <w:color w:val="auto"/>
              </w:rPr>
              <w:t>物体打击</w:t>
            </w:r>
          </w:p>
        </w:tc>
        <w:tc>
          <w:tcPr>
            <w:tcW w:w="1567" w:type="dxa"/>
            <w:noWrap w:val="0"/>
            <w:vAlign w:val="center"/>
          </w:tcPr>
          <w:p w14:paraId="19938E33">
            <w:pPr>
              <w:pStyle w:val="30"/>
              <w:bidi w:val="0"/>
              <w:rPr>
                <w:rFonts w:hint="default"/>
                <w:color w:val="auto"/>
              </w:rPr>
            </w:pPr>
            <w:r>
              <w:rPr>
                <w:rFonts w:hint="default"/>
                <w:color w:val="auto"/>
              </w:rPr>
              <w:t>3</w:t>
            </w:r>
          </w:p>
        </w:tc>
        <w:tc>
          <w:tcPr>
            <w:tcW w:w="1567" w:type="dxa"/>
            <w:noWrap w:val="0"/>
            <w:vAlign w:val="center"/>
          </w:tcPr>
          <w:p w14:paraId="2BA9D9B0">
            <w:pPr>
              <w:pStyle w:val="30"/>
              <w:bidi w:val="0"/>
              <w:rPr>
                <w:rFonts w:hint="default"/>
                <w:color w:val="auto"/>
              </w:rPr>
            </w:pPr>
            <w:r>
              <w:rPr>
                <w:rFonts w:hint="default"/>
                <w:color w:val="auto"/>
              </w:rPr>
              <w:t>6</w:t>
            </w:r>
          </w:p>
        </w:tc>
        <w:tc>
          <w:tcPr>
            <w:tcW w:w="1589" w:type="dxa"/>
            <w:noWrap w:val="0"/>
            <w:vAlign w:val="center"/>
          </w:tcPr>
          <w:p w14:paraId="53430ADC">
            <w:pPr>
              <w:pStyle w:val="30"/>
              <w:bidi w:val="0"/>
              <w:rPr>
                <w:rFonts w:hint="default"/>
                <w:color w:val="auto"/>
              </w:rPr>
            </w:pPr>
            <w:r>
              <w:rPr>
                <w:rFonts w:hint="default"/>
                <w:color w:val="auto"/>
              </w:rPr>
              <w:t>3</w:t>
            </w:r>
          </w:p>
        </w:tc>
        <w:tc>
          <w:tcPr>
            <w:tcW w:w="1410" w:type="dxa"/>
            <w:noWrap w:val="0"/>
            <w:vAlign w:val="center"/>
          </w:tcPr>
          <w:p w14:paraId="26FF37DB">
            <w:pPr>
              <w:pStyle w:val="30"/>
              <w:bidi w:val="0"/>
              <w:rPr>
                <w:rFonts w:hint="default"/>
                <w:color w:val="auto"/>
              </w:rPr>
            </w:pPr>
            <w:r>
              <w:rPr>
                <w:rFonts w:hint="default"/>
                <w:color w:val="auto"/>
              </w:rPr>
              <w:t>54</w:t>
            </w:r>
          </w:p>
        </w:tc>
      </w:tr>
      <w:tr w14:paraId="21CD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 w:type="dxa"/>
            <w:noWrap w:val="0"/>
            <w:vAlign w:val="center"/>
          </w:tcPr>
          <w:p w14:paraId="31FEA831">
            <w:pPr>
              <w:pStyle w:val="30"/>
              <w:bidi w:val="0"/>
              <w:rPr>
                <w:rFonts w:hint="default"/>
                <w:color w:val="auto"/>
              </w:rPr>
            </w:pPr>
            <w:r>
              <w:rPr>
                <w:rFonts w:hint="default"/>
                <w:color w:val="auto"/>
              </w:rPr>
              <w:t>3</w:t>
            </w:r>
          </w:p>
        </w:tc>
        <w:tc>
          <w:tcPr>
            <w:tcW w:w="1917" w:type="dxa"/>
            <w:noWrap w:val="0"/>
            <w:vAlign w:val="center"/>
          </w:tcPr>
          <w:p w14:paraId="69AA7518">
            <w:pPr>
              <w:pStyle w:val="30"/>
              <w:bidi w:val="0"/>
              <w:rPr>
                <w:rFonts w:hint="default"/>
                <w:color w:val="auto"/>
              </w:rPr>
            </w:pPr>
            <w:r>
              <w:rPr>
                <w:rFonts w:hint="default"/>
                <w:color w:val="auto"/>
              </w:rPr>
              <w:t>触电</w:t>
            </w:r>
          </w:p>
        </w:tc>
        <w:tc>
          <w:tcPr>
            <w:tcW w:w="1567" w:type="dxa"/>
            <w:noWrap w:val="0"/>
            <w:vAlign w:val="center"/>
          </w:tcPr>
          <w:p w14:paraId="3D677452">
            <w:pPr>
              <w:pStyle w:val="30"/>
              <w:bidi w:val="0"/>
              <w:rPr>
                <w:rFonts w:hint="default"/>
                <w:color w:val="auto"/>
              </w:rPr>
            </w:pPr>
            <w:r>
              <w:rPr>
                <w:rFonts w:hint="default"/>
                <w:color w:val="auto"/>
              </w:rPr>
              <w:t>3</w:t>
            </w:r>
          </w:p>
        </w:tc>
        <w:tc>
          <w:tcPr>
            <w:tcW w:w="1567" w:type="dxa"/>
            <w:noWrap w:val="0"/>
            <w:vAlign w:val="center"/>
          </w:tcPr>
          <w:p w14:paraId="045A9BAD">
            <w:pPr>
              <w:pStyle w:val="30"/>
              <w:bidi w:val="0"/>
              <w:rPr>
                <w:rFonts w:hint="default"/>
                <w:color w:val="auto"/>
              </w:rPr>
            </w:pPr>
            <w:r>
              <w:rPr>
                <w:rFonts w:hint="default"/>
                <w:color w:val="auto"/>
              </w:rPr>
              <w:t>6</w:t>
            </w:r>
          </w:p>
        </w:tc>
        <w:tc>
          <w:tcPr>
            <w:tcW w:w="1589" w:type="dxa"/>
            <w:noWrap w:val="0"/>
            <w:vAlign w:val="center"/>
          </w:tcPr>
          <w:p w14:paraId="377371CB">
            <w:pPr>
              <w:pStyle w:val="30"/>
              <w:bidi w:val="0"/>
              <w:rPr>
                <w:rFonts w:hint="default"/>
                <w:color w:val="auto"/>
              </w:rPr>
            </w:pPr>
            <w:r>
              <w:rPr>
                <w:rFonts w:hint="default"/>
                <w:color w:val="auto"/>
              </w:rPr>
              <w:t>7</w:t>
            </w:r>
          </w:p>
        </w:tc>
        <w:tc>
          <w:tcPr>
            <w:tcW w:w="1410" w:type="dxa"/>
            <w:noWrap w:val="0"/>
            <w:vAlign w:val="center"/>
          </w:tcPr>
          <w:p w14:paraId="6B0BD729">
            <w:pPr>
              <w:pStyle w:val="30"/>
              <w:bidi w:val="0"/>
              <w:rPr>
                <w:rFonts w:hint="default"/>
                <w:color w:val="auto"/>
              </w:rPr>
            </w:pPr>
            <w:r>
              <w:rPr>
                <w:rFonts w:hint="default"/>
                <w:color w:val="auto"/>
              </w:rPr>
              <w:t>126</w:t>
            </w:r>
          </w:p>
        </w:tc>
      </w:tr>
      <w:tr w14:paraId="4DE9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 w:type="dxa"/>
            <w:noWrap w:val="0"/>
            <w:vAlign w:val="center"/>
          </w:tcPr>
          <w:p w14:paraId="0A989883">
            <w:pPr>
              <w:pStyle w:val="30"/>
              <w:bidi w:val="0"/>
              <w:rPr>
                <w:rFonts w:hint="default"/>
                <w:color w:val="auto"/>
              </w:rPr>
            </w:pPr>
            <w:r>
              <w:rPr>
                <w:rFonts w:hint="default"/>
                <w:color w:val="auto"/>
              </w:rPr>
              <w:t>4</w:t>
            </w:r>
          </w:p>
        </w:tc>
        <w:tc>
          <w:tcPr>
            <w:tcW w:w="1917" w:type="dxa"/>
            <w:noWrap w:val="0"/>
            <w:vAlign w:val="center"/>
          </w:tcPr>
          <w:p w14:paraId="272E0C46">
            <w:pPr>
              <w:pStyle w:val="30"/>
              <w:bidi w:val="0"/>
              <w:rPr>
                <w:rFonts w:hint="default"/>
                <w:color w:val="auto"/>
              </w:rPr>
            </w:pPr>
            <w:r>
              <w:rPr>
                <w:rFonts w:hint="default"/>
                <w:color w:val="auto"/>
              </w:rPr>
              <w:t>淹溺</w:t>
            </w:r>
          </w:p>
        </w:tc>
        <w:tc>
          <w:tcPr>
            <w:tcW w:w="1567" w:type="dxa"/>
            <w:noWrap w:val="0"/>
            <w:vAlign w:val="center"/>
          </w:tcPr>
          <w:p w14:paraId="448D15CE">
            <w:pPr>
              <w:pStyle w:val="30"/>
              <w:bidi w:val="0"/>
              <w:rPr>
                <w:rFonts w:hint="default"/>
                <w:color w:val="auto"/>
              </w:rPr>
            </w:pPr>
            <w:r>
              <w:rPr>
                <w:rFonts w:hint="default"/>
                <w:color w:val="auto"/>
              </w:rPr>
              <w:t>1</w:t>
            </w:r>
          </w:p>
        </w:tc>
        <w:tc>
          <w:tcPr>
            <w:tcW w:w="1567" w:type="dxa"/>
            <w:noWrap w:val="0"/>
            <w:vAlign w:val="center"/>
          </w:tcPr>
          <w:p w14:paraId="5E3B6B52">
            <w:pPr>
              <w:pStyle w:val="30"/>
              <w:bidi w:val="0"/>
              <w:rPr>
                <w:rFonts w:hint="default"/>
                <w:color w:val="auto"/>
              </w:rPr>
            </w:pPr>
            <w:r>
              <w:rPr>
                <w:rFonts w:hint="default"/>
                <w:color w:val="auto"/>
              </w:rPr>
              <w:t>6</w:t>
            </w:r>
          </w:p>
        </w:tc>
        <w:tc>
          <w:tcPr>
            <w:tcW w:w="1589" w:type="dxa"/>
            <w:noWrap w:val="0"/>
            <w:vAlign w:val="center"/>
          </w:tcPr>
          <w:p w14:paraId="1C8D99BA">
            <w:pPr>
              <w:pStyle w:val="30"/>
              <w:bidi w:val="0"/>
              <w:rPr>
                <w:rFonts w:hint="default"/>
                <w:color w:val="auto"/>
              </w:rPr>
            </w:pPr>
            <w:r>
              <w:rPr>
                <w:rFonts w:hint="default"/>
                <w:color w:val="auto"/>
              </w:rPr>
              <w:t>15</w:t>
            </w:r>
          </w:p>
        </w:tc>
        <w:tc>
          <w:tcPr>
            <w:tcW w:w="1410" w:type="dxa"/>
            <w:noWrap w:val="0"/>
            <w:vAlign w:val="center"/>
          </w:tcPr>
          <w:p w14:paraId="61A37D1C">
            <w:pPr>
              <w:pStyle w:val="30"/>
              <w:bidi w:val="0"/>
              <w:rPr>
                <w:rFonts w:hint="default"/>
                <w:color w:val="auto"/>
              </w:rPr>
            </w:pPr>
            <w:r>
              <w:rPr>
                <w:rFonts w:hint="default"/>
                <w:color w:val="auto"/>
              </w:rPr>
              <w:t>90</w:t>
            </w:r>
          </w:p>
        </w:tc>
      </w:tr>
      <w:tr w14:paraId="6B88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 w:type="dxa"/>
            <w:noWrap w:val="0"/>
            <w:vAlign w:val="center"/>
          </w:tcPr>
          <w:p w14:paraId="137BC244">
            <w:pPr>
              <w:pStyle w:val="30"/>
              <w:bidi w:val="0"/>
              <w:rPr>
                <w:rFonts w:hint="default"/>
                <w:color w:val="auto"/>
              </w:rPr>
            </w:pPr>
            <w:r>
              <w:rPr>
                <w:rFonts w:hint="default"/>
                <w:color w:val="auto"/>
              </w:rPr>
              <w:t>5</w:t>
            </w:r>
          </w:p>
        </w:tc>
        <w:tc>
          <w:tcPr>
            <w:tcW w:w="1917" w:type="dxa"/>
            <w:noWrap w:val="0"/>
            <w:vAlign w:val="center"/>
          </w:tcPr>
          <w:p w14:paraId="5EE3010D">
            <w:pPr>
              <w:pStyle w:val="30"/>
              <w:bidi w:val="0"/>
              <w:rPr>
                <w:rFonts w:hint="default"/>
                <w:color w:val="auto"/>
              </w:rPr>
            </w:pPr>
            <w:r>
              <w:rPr>
                <w:rFonts w:hint="default"/>
                <w:color w:val="auto"/>
              </w:rPr>
              <w:t>车辆伤害</w:t>
            </w:r>
          </w:p>
        </w:tc>
        <w:tc>
          <w:tcPr>
            <w:tcW w:w="1567" w:type="dxa"/>
            <w:noWrap w:val="0"/>
            <w:vAlign w:val="center"/>
          </w:tcPr>
          <w:p w14:paraId="42A5CE9E">
            <w:pPr>
              <w:pStyle w:val="30"/>
              <w:bidi w:val="0"/>
              <w:rPr>
                <w:rFonts w:hint="default"/>
                <w:color w:val="auto"/>
              </w:rPr>
            </w:pPr>
            <w:r>
              <w:rPr>
                <w:rFonts w:hint="default"/>
                <w:color w:val="auto"/>
              </w:rPr>
              <w:t>3</w:t>
            </w:r>
          </w:p>
        </w:tc>
        <w:tc>
          <w:tcPr>
            <w:tcW w:w="1567" w:type="dxa"/>
            <w:noWrap w:val="0"/>
            <w:vAlign w:val="center"/>
          </w:tcPr>
          <w:p w14:paraId="48737F92">
            <w:pPr>
              <w:pStyle w:val="30"/>
              <w:bidi w:val="0"/>
              <w:rPr>
                <w:rFonts w:hint="default"/>
                <w:color w:val="auto"/>
              </w:rPr>
            </w:pPr>
            <w:r>
              <w:rPr>
                <w:rFonts w:hint="default"/>
                <w:color w:val="auto"/>
              </w:rPr>
              <w:t>6</w:t>
            </w:r>
          </w:p>
        </w:tc>
        <w:tc>
          <w:tcPr>
            <w:tcW w:w="1589" w:type="dxa"/>
            <w:noWrap w:val="0"/>
            <w:vAlign w:val="center"/>
          </w:tcPr>
          <w:p w14:paraId="75C82690">
            <w:pPr>
              <w:pStyle w:val="30"/>
              <w:bidi w:val="0"/>
              <w:rPr>
                <w:rFonts w:hint="default"/>
                <w:color w:val="auto"/>
              </w:rPr>
            </w:pPr>
            <w:r>
              <w:rPr>
                <w:rFonts w:hint="default"/>
                <w:color w:val="auto"/>
              </w:rPr>
              <w:t>3</w:t>
            </w:r>
          </w:p>
        </w:tc>
        <w:tc>
          <w:tcPr>
            <w:tcW w:w="1410" w:type="dxa"/>
            <w:noWrap w:val="0"/>
            <w:vAlign w:val="center"/>
          </w:tcPr>
          <w:p w14:paraId="59C05D03">
            <w:pPr>
              <w:pStyle w:val="30"/>
              <w:bidi w:val="0"/>
              <w:rPr>
                <w:rFonts w:hint="default"/>
                <w:color w:val="auto"/>
              </w:rPr>
            </w:pPr>
            <w:r>
              <w:rPr>
                <w:rFonts w:hint="default"/>
                <w:color w:val="auto"/>
              </w:rPr>
              <w:t>54</w:t>
            </w:r>
          </w:p>
        </w:tc>
      </w:tr>
      <w:tr w14:paraId="3842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 w:type="dxa"/>
            <w:noWrap w:val="0"/>
            <w:vAlign w:val="center"/>
          </w:tcPr>
          <w:p w14:paraId="4C09E02D">
            <w:pPr>
              <w:pStyle w:val="30"/>
              <w:bidi w:val="0"/>
              <w:rPr>
                <w:rFonts w:hint="default"/>
                <w:color w:val="auto"/>
              </w:rPr>
            </w:pPr>
            <w:r>
              <w:rPr>
                <w:rFonts w:hint="default"/>
                <w:color w:val="auto"/>
              </w:rPr>
              <w:t>6</w:t>
            </w:r>
          </w:p>
        </w:tc>
        <w:tc>
          <w:tcPr>
            <w:tcW w:w="1917" w:type="dxa"/>
            <w:noWrap w:val="0"/>
            <w:vAlign w:val="center"/>
          </w:tcPr>
          <w:p w14:paraId="1D79C7EB">
            <w:pPr>
              <w:pStyle w:val="30"/>
              <w:bidi w:val="0"/>
              <w:rPr>
                <w:rFonts w:hint="default"/>
                <w:color w:val="auto"/>
              </w:rPr>
            </w:pPr>
            <w:r>
              <w:rPr>
                <w:rFonts w:hint="default"/>
                <w:color w:val="auto"/>
              </w:rPr>
              <w:t>火灾</w:t>
            </w:r>
          </w:p>
        </w:tc>
        <w:tc>
          <w:tcPr>
            <w:tcW w:w="1567" w:type="dxa"/>
            <w:noWrap w:val="0"/>
            <w:vAlign w:val="center"/>
          </w:tcPr>
          <w:p w14:paraId="540FD78A">
            <w:pPr>
              <w:pStyle w:val="30"/>
              <w:bidi w:val="0"/>
              <w:rPr>
                <w:rFonts w:hint="default"/>
                <w:color w:val="auto"/>
              </w:rPr>
            </w:pPr>
            <w:r>
              <w:rPr>
                <w:rFonts w:hint="default"/>
                <w:color w:val="auto"/>
              </w:rPr>
              <w:t>3</w:t>
            </w:r>
          </w:p>
        </w:tc>
        <w:tc>
          <w:tcPr>
            <w:tcW w:w="1567" w:type="dxa"/>
            <w:noWrap w:val="0"/>
            <w:vAlign w:val="center"/>
          </w:tcPr>
          <w:p w14:paraId="6BC395CE">
            <w:pPr>
              <w:pStyle w:val="30"/>
              <w:bidi w:val="0"/>
              <w:rPr>
                <w:rFonts w:hint="default"/>
                <w:color w:val="auto"/>
              </w:rPr>
            </w:pPr>
            <w:r>
              <w:rPr>
                <w:rFonts w:hint="default"/>
                <w:color w:val="auto"/>
              </w:rPr>
              <w:t>3</w:t>
            </w:r>
          </w:p>
        </w:tc>
        <w:tc>
          <w:tcPr>
            <w:tcW w:w="1589" w:type="dxa"/>
            <w:noWrap w:val="0"/>
            <w:vAlign w:val="center"/>
          </w:tcPr>
          <w:p w14:paraId="15DB1FF5">
            <w:pPr>
              <w:pStyle w:val="30"/>
              <w:bidi w:val="0"/>
              <w:rPr>
                <w:rFonts w:hint="default"/>
                <w:color w:val="auto"/>
              </w:rPr>
            </w:pPr>
            <w:r>
              <w:rPr>
                <w:rFonts w:hint="default"/>
                <w:color w:val="auto"/>
              </w:rPr>
              <w:t>7</w:t>
            </w:r>
          </w:p>
        </w:tc>
        <w:tc>
          <w:tcPr>
            <w:tcW w:w="1410" w:type="dxa"/>
            <w:noWrap w:val="0"/>
            <w:vAlign w:val="center"/>
          </w:tcPr>
          <w:p w14:paraId="7B177B4C">
            <w:pPr>
              <w:pStyle w:val="30"/>
              <w:bidi w:val="0"/>
              <w:rPr>
                <w:rFonts w:hint="default"/>
                <w:color w:val="auto"/>
              </w:rPr>
            </w:pPr>
            <w:r>
              <w:rPr>
                <w:rFonts w:hint="default"/>
                <w:color w:val="auto"/>
              </w:rPr>
              <w:t>63</w:t>
            </w:r>
          </w:p>
        </w:tc>
      </w:tr>
      <w:tr w14:paraId="507A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 w:type="dxa"/>
            <w:noWrap w:val="0"/>
            <w:vAlign w:val="center"/>
          </w:tcPr>
          <w:p w14:paraId="548CEE30">
            <w:pPr>
              <w:pStyle w:val="30"/>
              <w:bidi w:val="0"/>
              <w:rPr>
                <w:rFonts w:hint="default"/>
                <w:color w:val="auto"/>
              </w:rPr>
            </w:pPr>
            <w:r>
              <w:rPr>
                <w:rFonts w:hint="default"/>
                <w:color w:val="auto"/>
              </w:rPr>
              <w:t>7</w:t>
            </w:r>
          </w:p>
        </w:tc>
        <w:tc>
          <w:tcPr>
            <w:tcW w:w="1917" w:type="dxa"/>
            <w:noWrap w:val="0"/>
            <w:vAlign w:val="center"/>
          </w:tcPr>
          <w:p w14:paraId="620CB268">
            <w:pPr>
              <w:pStyle w:val="30"/>
              <w:bidi w:val="0"/>
              <w:rPr>
                <w:rFonts w:hint="default"/>
                <w:color w:val="auto"/>
              </w:rPr>
            </w:pPr>
            <w:r>
              <w:rPr>
                <w:rFonts w:hint="default"/>
                <w:color w:val="auto"/>
              </w:rPr>
              <w:t>容器爆炸</w:t>
            </w:r>
          </w:p>
        </w:tc>
        <w:tc>
          <w:tcPr>
            <w:tcW w:w="1567" w:type="dxa"/>
            <w:noWrap w:val="0"/>
            <w:vAlign w:val="center"/>
          </w:tcPr>
          <w:p w14:paraId="39008B9E">
            <w:pPr>
              <w:pStyle w:val="30"/>
              <w:bidi w:val="0"/>
              <w:rPr>
                <w:rFonts w:hint="default"/>
                <w:color w:val="auto"/>
              </w:rPr>
            </w:pPr>
            <w:r>
              <w:rPr>
                <w:rFonts w:hint="default"/>
                <w:color w:val="auto"/>
              </w:rPr>
              <w:t>1</w:t>
            </w:r>
          </w:p>
        </w:tc>
        <w:tc>
          <w:tcPr>
            <w:tcW w:w="1567" w:type="dxa"/>
            <w:noWrap w:val="0"/>
            <w:vAlign w:val="center"/>
          </w:tcPr>
          <w:p w14:paraId="7A6176CC">
            <w:pPr>
              <w:pStyle w:val="30"/>
              <w:bidi w:val="0"/>
              <w:rPr>
                <w:rFonts w:hint="default"/>
                <w:color w:val="auto"/>
              </w:rPr>
            </w:pPr>
            <w:r>
              <w:rPr>
                <w:rFonts w:hint="default"/>
                <w:color w:val="auto"/>
              </w:rPr>
              <w:t>3</w:t>
            </w:r>
          </w:p>
        </w:tc>
        <w:tc>
          <w:tcPr>
            <w:tcW w:w="1589" w:type="dxa"/>
            <w:noWrap w:val="0"/>
            <w:vAlign w:val="center"/>
          </w:tcPr>
          <w:p w14:paraId="7DBB18F2">
            <w:pPr>
              <w:pStyle w:val="30"/>
              <w:bidi w:val="0"/>
              <w:rPr>
                <w:rFonts w:hint="default"/>
                <w:color w:val="auto"/>
              </w:rPr>
            </w:pPr>
            <w:r>
              <w:rPr>
                <w:rFonts w:hint="default"/>
                <w:color w:val="auto"/>
              </w:rPr>
              <w:t>7</w:t>
            </w:r>
          </w:p>
        </w:tc>
        <w:tc>
          <w:tcPr>
            <w:tcW w:w="1410" w:type="dxa"/>
            <w:noWrap w:val="0"/>
            <w:vAlign w:val="center"/>
          </w:tcPr>
          <w:p w14:paraId="75D25010">
            <w:pPr>
              <w:pStyle w:val="30"/>
              <w:bidi w:val="0"/>
              <w:rPr>
                <w:rFonts w:hint="default"/>
                <w:color w:val="auto"/>
              </w:rPr>
            </w:pPr>
            <w:r>
              <w:rPr>
                <w:rFonts w:hint="default"/>
                <w:color w:val="auto"/>
              </w:rPr>
              <w:t>21</w:t>
            </w:r>
          </w:p>
        </w:tc>
      </w:tr>
      <w:tr w14:paraId="5AB3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 w:type="dxa"/>
            <w:noWrap w:val="0"/>
            <w:vAlign w:val="center"/>
          </w:tcPr>
          <w:p w14:paraId="55922AF8">
            <w:pPr>
              <w:pStyle w:val="30"/>
              <w:bidi w:val="0"/>
              <w:rPr>
                <w:rFonts w:hint="default"/>
                <w:color w:val="auto"/>
              </w:rPr>
            </w:pPr>
            <w:r>
              <w:rPr>
                <w:rFonts w:hint="default"/>
                <w:color w:val="auto"/>
              </w:rPr>
              <w:t>8</w:t>
            </w:r>
          </w:p>
        </w:tc>
        <w:tc>
          <w:tcPr>
            <w:tcW w:w="1917" w:type="dxa"/>
            <w:noWrap w:val="0"/>
            <w:vAlign w:val="center"/>
          </w:tcPr>
          <w:p w14:paraId="3FC34AC6">
            <w:pPr>
              <w:pStyle w:val="30"/>
              <w:bidi w:val="0"/>
              <w:rPr>
                <w:rFonts w:hint="default"/>
                <w:color w:val="auto"/>
              </w:rPr>
            </w:pPr>
            <w:r>
              <w:rPr>
                <w:rFonts w:hint="default"/>
                <w:color w:val="auto"/>
              </w:rPr>
              <w:t>坍塌、滑坡</w:t>
            </w:r>
          </w:p>
        </w:tc>
        <w:tc>
          <w:tcPr>
            <w:tcW w:w="1567" w:type="dxa"/>
            <w:noWrap w:val="0"/>
            <w:vAlign w:val="center"/>
          </w:tcPr>
          <w:p w14:paraId="0F05E422">
            <w:pPr>
              <w:pStyle w:val="30"/>
              <w:bidi w:val="0"/>
              <w:rPr>
                <w:rFonts w:hint="default"/>
                <w:color w:val="auto"/>
              </w:rPr>
            </w:pPr>
            <w:r>
              <w:rPr>
                <w:rFonts w:hint="default"/>
                <w:color w:val="auto"/>
              </w:rPr>
              <w:t>3</w:t>
            </w:r>
          </w:p>
        </w:tc>
        <w:tc>
          <w:tcPr>
            <w:tcW w:w="1567" w:type="dxa"/>
            <w:noWrap w:val="0"/>
            <w:vAlign w:val="center"/>
          </w:tcPr>
          <w:p w14:paraId="5C3AB1AD">
            <w:pPr>
              <w:pStyle w:val="30"/>
              <w:bidi w:val="0"/>
              <w:rPr>
                <w:rFonts w:hint="default"/>
                <w:color w:val="auto"/>
              </w:rPr>
            </w:pPr>
            <w:r>
              <w:rPr>
                <w:rFonts w:hint="default"/>
                <w:color w:val="auto"/>
              </w:rPr>
              <w:t>6</w:t>
            </w:r>
          </w:p>
        </w:tc>
        <w:tc>
          <w:tcPr>
            <w:tcW w:w="1589" w:type="dxa"/>
            <w:noWrap w:val="0"/>
            <w:vAlign w:val="center"/>
          </w:tcPr>
          <w:p w14:paraId="3D214DB7">
            <w:pPr>
              <w:pStyle w:val="30"/>
              <w:bidi w:val="0"/>
              <w:rPr>
                <w:rFonts w:hint="default"/>
                <w:color w:val="auto"/>
              </w:rPr>
            </w:pPr>
            <w:r>
              <w:rPr>
                <w:rFonts w:hint="default"/>
                <w:color w:val="auto"/>
              </w:rPr>
              <w:t>7</w:t>
            </w:r>
          </w:p>
        </w:tc>
        <w:tc>
          <w:tcPr>
            <w:tcW w:w="1410" w:type="dxa"/>
            <w:noWrap w:val="0"/>
            <w:vAlign w:val="center"/>
          </w:tcPr>
          <w:p w14:paraId="29C1903B">
            <w:pPr>
              <w:pStyle w:val="30"/>
              <w:bidi w:val="0"/>
              <w:rPr>
                <w:rFonts w:hint="default"/>
                <w:color w:val="auto"/>
              </w:rPr>
            </w:pPr>
            <w:r>
              <w:rPr>
                <w:rFonts w:hint="default"/>
                <w:color w:val="auto"/>
              </w:rPr>
              <w:t>126</w:t>
            </w:r>
          </w:p>
        </w:tc>
      </w:tr>
      <w:tr w14:paraId="0974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 w:type="dxa"/>
            <w:noWrap w:val="0"/>
            <w:vAlign w:val="center"/>
          </w:tcPr>
          <w:p w14:paraId="3CBD9D71">
            <w:pPr>
              <w:pStyle w:val="30"/>
              <w:bidi w:val="0"/>
              <w:rPr>
                <w:rFonts w:hint="eastAsia" w:eastAsia="宋体"/>
                <w:color w:val="auto"/>
                <w:lang w:eastAsia="zh-CN"/>
              </w:rPr>
            </w:pPr>
            <w:r>
              <w:rPr>
                <w:rFonts w:hint="eastAsia"/>
                <w:color w:val="auto"/>
                <w:lang w:val="en-US" w:eastAsia="zh-CN"/>
              </w:rPr>
              <w:t>9</w:t>
            </w:r>
          </w:p>
        </w:tc>
        <w:tc>
          <w:tcPr>
            <w:tcW w:w="1917" w:type="dxa"/>
            <w:noWrap w:val="0"/>
            <w:vAlign w:val="center"/>
          </w:tcPr>
          <w:p w14:paraId="75F497C3">
            <w:pPr>
              <w:pStyle w:val="30"/>
              <w:bidi w:val="0"/>
              <w:rPr>
                <w:rFonts w:hint="default"/>
                <w:color w:val="auto"/>
              </w:rPr>
            </w:pPr>
            <w:r>
              <w:rPr>
                <w:rFonts w:hint="default"/>
                <w:color w:val="auto"/>
              </w:rPr>
              <w:t>高处坠落</w:t>
            </w:r>
          </w:p>
        </w:tc>
        <w:tc>
          <w:tcPr>
            <w:tcW w:w="1567" w:type="dxa"/>
            <w:noWrap w:val="0"/>
            <w:vAlign w:val="center"/>
          </w:tcPr>
          <w:p w14:paraId="6EE172F0">
            <w:pPr>
              <w:pStyle w:val="30"/>
              <w:bidi w:val="0"/>
              <w:rPr>
                <w:rFonts w:hint="default"/>
                <w:color w:val="auto"/>
              </w:rPr>
            </w:pPr>
            <w:r>
              <w:rPr>
                <w:rFonts w:hint="default"/>
                <w:color w:val="auto"/>
              </w:rPr>
              <w:t>3</w:t>
            </w:r>
          </w:p>
        </w:tc>
        <w:tc>
          <w:tcPr>
            <w:tcW w:w="1567" w:type="dxa"/>
            <w:noWrap w:val="0"/>
            <w:vAlign w:val="center"/>
          </w:tcPr>
          <w:p w14:paraId="7D6F349C">
            <w:pPr>
              <w:pStyle w:val="30"/>
              <w:bidi w:val="0"/>
              <w:rPr>
                <w:rFonts w:hint="default"/>
                <w:color w:val="auto"/>
              </w:rPr>
            </w:pPr>
            <w:r>
              <w:rPr>
                <w:rFonts w:hint="default"/>
                <w:color w:val="auto"/>
              </w:rPr>
              <w:t>6</w:t>
            </w:r>
          </w:p>
        </w:tc>
        <w:tc>
          <w:tcPr>
            <w:tcW w:w="1589" w:type="dxa"/>
            <w:noWrap w:val="0"/>
            <w:vAlign w:val="center"/>
          </w:tcPr>
          <w:p w14:paraId="2B0DBCCC">
            <w:pPr>
              <w:pStyle w:val="30"/>
              <w:bidi w:val="0"/>
              <w:rPr>
                <w:rFonts w:hint="default"/>
                <w:color w:val="auto"/>
              </w:rPr>
            </w:pPr>
            <w:r>
              <w:rPr>
                <w:rFonts w:hint="default"/>
                <w:color w:val="auto"/>
              </w:rPr>
              <w:t>7</w:t>
            </w:r>
          </w:p>
        </w:tc>
        <w:tc>
          <w:tcPr>
            <w:tcW w:w="1410" w:type="dxa"/>
            <w:noWrap w:val="0"/>
            <w:vAlign w:val="center"/>
          </w:tcPr>
          <w:p w14:paraId="42295E2D">
            <w:pPr>
              <w:pStyle w:val="30"/>
              <w:bidi w:val="0"/>
              <w:rPr>
                <w:rFonts w:hint="default"/>
                <w:color w:val="auto"/>
              </w:rPr>
            </w:pPr>
            <w:r>
              <w:rPr>
                <w:rFonts w:hint="default"/>
                <w:color w:val="auto"/>
              </w:rPr>
              <w:t>126</w:t>
            </w:r>
          </w:p>
        </w:tc>
      </w:tr>
      <w:tr w14:paraId="3F11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 w:type="dxa"/>
            <w:noWrap w:val="0"/>
            <w:vAlign w:val="center"/>
          </w:tcPr>
          <w:p w14:paraId="6111A350">
            <w:pPr>
              <w:pStyle w:val="30"/>
              <w:bidi w:val="0"/>
              <w:rPr>
                <w:rFonts w:hint="eastAsia" w:eastAsia="宋体"/>
                <w:color w:val="auto"/>
                <w:lang w:eastAsia="zh-CN"/>
              </w:rPr>
            </w:pPr>
            <w:r>
              <w:rPr>
                <w:rFonts w:hint="default"/>
                <w:color w:val="auto"/>
              </w:rPr>
              <w:t>1</w:t>
            </w:r>
            <w:r>
              <w:rPr>
                <w:rFonts w:hint="eastAsia"/>
                <w:color w:val="auto"/>
                <w:lang w:val="en-US" w:eastAsia="zh-CN"/>
              </w:rPr>
              <w:t>0</w:t>
            </w:r>
          </w:p>
        </w:tc>
        <w:tc>
          <w:tcPr>
            <w:tcW w:w="1917" w:type="dxa"/>
            <w:noWrap w:val="0"/>
            <w:vAlign w:val="center"/>
          </w:tcPr>
          <w:p w14:paraId="4D3A08D6">
            <w:pPr>
              <w:pStyle w:val="30"/>
              <w:bidi w:val="0"/>
              <w:rPr>
                <w:rFonts w:hint="default"/>
                <w:color w:val="auto"/>
              </w:rPr>
            </w:pPr>
            <w:r>
              <w:rPr>
                <w:rFonts w:hint="default"/>
                <w:color w:val="auto"/>
              </w:rPr>
              <w:t>中毒和窒息</w:t>
            </w:r>
          </w:p>
        </w:tc>
        <w:tc>
          <w:tcPr>
            <w:tcW w:w="1567" w:type="dxa"/>
            <w:noWrap w:val="0"/>
            <w:vAlign w:val="center"/>
          </w:tcPr>
          <w:p w14:paraId="642F5DF5">
            <w:pPr>
              <w:pStyle w:val="30"/>
              <w:bidi w:val="0"/>
              <w:rPr>
                <w:rFonts w:hint="default"/>
                <w:color w:val="auto"/>
              </w:rPr>
            </w:pPr>
            <w:r>
              <w:rPr>
                <w:rFonts w:hint="default"/>
                <w:color w:val="auto"/>
              </w:rPr>
              <w:t>1</w:t>
            </w:r>
          </w:p>
        </w:tc>
        <w:tc>
          <w:tcPr>
            <w:tcW w:w="1567" w:type="dxa"/>
            <w:noWrap w:val="0"/>
            <w:vAlign w:val="center"/>
          </w:tcPr>
          <w:p w14:paraId="5DD7F6D9">
            <w:pPr>
              <w:pStyle w:val="30"/>
              <w:bidi w:val="0"/>
              <w:rPr>
                <w:rFonts w:hint="default"/>
                <w:color w:val="auto"/>
              </w:rPr>
            </w:pPr>
            <w:r>
              <w:rPr>
                <w:rFonts w:hint="default"/>
                <w:color w:val="auto"/>
              </w:rPr>
              <w:t>3</w:t>
            </w:r>
          </w:p>
        </w:tc>
        <w:tc>
          <w:tcPr>
            <w:tcW w:w="1589" w:type="dxa"/>
            <w:noWrap w:val="0"/>
            <w:vAlign w:val="center"/>
          </w:tcPr>
          <w:p w14:paraId="27AA0687">
            <w:pPr>
              <w:pStyle w:val="30"/>
              <w:bidi w:val="0"/>
              <w:rPr>
                <w:rFonts w:hint="default"/>
                <w:color w:val="auto"/>
              </w:rPr>
            </w:pPr>
            <w:r>
              <w:rPr>
                <w:rFonts w:hint="default"/>
                <w:color w:val="auto"/>
              </w:rPr>
              <w:t>15</w:t>
            </w:r>
          </w:p>
        </w:tc>
        <w:tc>
          <w:tcPr>
            <w:tcW w:w="1410" w:type="dxa"/>
            <w:noWrap w:val="0"/>
            <w:vAlign w:val="center"/>
          </w:tcPr>
          <w:p w14:paraId="66728047">
            <w:pPr>
              <w:pStyle w:val="30"/>
              <w:bidi w:val="0"/>
              <w:rPr>
                <w:rFonts w:hint="default"/>
                <w:color w:val="auto"/>
              </w:rPr>
            </w:pPr>
            <w:r>
              <w:rPr>
                <w:rFonts w:hint="default"/>
                <w:color w:val="auto"/>
              </w:rPr>
              <w:t>45</w:t>
            </w:r>
          </w:p>
        </w:tc>
      </w:tr>
      <w:tr w14:paraId="33EB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 w:type="dxa"/>
            <w:noWrap w:val="0"/>
            <w:vAlign w:val="center"/>
          </w:tcPr>
          <w:p w14:paraId="6DF5D0D8">
            <w:pPr>
              <w:pStyle w:val="30"/>
              <w:bidi w:val="0"/>
              <w:rPr>
                <w:rFonts w:hint="eastAsia" w:eastAsia="宋体"/>
                <w:color w:val="auto"/>
                <w:lang w:eastAsia="zh-CN"/>
              </w:rPr>
            </w:pPr>
            <w:r>
              <w:rPr>
                <w:rFonts w:hint="default"/>
                <w:color w:val="auto"/>
              </w:rPr>
              <w:t>1</w:t>
            </w:r>
            <w:r>
              <w:rPr>
                <w:rFonts w:hint="eastAsia"/>
                <w:color w:val="auto"/>
                <w:lang w:val="en-US" w:eastAsia="zh-CN"/>
              </w:rPr>
              <w:t>1</w:t>
            </w:r>
          </w:p>
        </w:tc>
        <w:tc>
          <w:tcPr>
            <w:tcW w:w="1917" w:type="dxa"/>
            <w:noWrap w:val="0"/>
            <w:vAlign w:val="center"/>
          </w:tcPr>
          <w:p w14:paraId="2C6FA533">
            <w:pPr>
              <w:pStyle w:val="30"/>
              <w:bidi w:val="0"/>
              <w:rPr>
                <w:rFonts w:hint="default"/>
                <w:color w:val="auto"/>
              </w:rPr>
            </w:pPr>
            <w:r>
              <w:rPr>
                <w:rFonts w:hint="default"/>
                <w:color w:val="auto"/>
              </w:rPr>
              <w:t>其他伤害</w:t>
            </w:r>
          </w:p>
        </w:tc>
        <w:tc>
          <w:tcPr>
            <w:tcW w:w="1567" w:type="dxa"/>
            <w:noWrap w:val="0"/>
            <w:vAlign w:val="center"/>
          </w:tcPr>
          <w:p w14:paraId="07379574">
            <w:pPr>
              <w:pStyle w:val="30"/>
              <w:bidi w:val="0"/>
              <w:rPr>
                <w:rFonts w:hint="default"/>
                <w:color w:val="auto"/>
              </w:rPr>
            </w:pPr>
            <w:r>
              <w:rPr>
                <w:rFonts w:hint="default"/>
                <w:color w:val="auto"/>
              </w:rPr>
              <w:t>3</w:t>
            </w:r>
          </w:p>
        </w:tc>
        <w:tc>
          <w:tcPr>
            <w:tcW w:w="1567" w:type="dxa"/>
            <w:noWrap w:val="0"/>
            <w:vAlign w:val="center"/>
          </w:tcPr>
          <w:p w14:paraId="1BF67A5B">
            <w:pPr>
              <w:pStyle w:val="30"/>
              <w:bidi w:val="0"/>
              <w:rPr>
                <w:rFonts w:hint="default"/>
                <w:color w:val="auto"/>
              </w:rPr>
            </w:pPr>
            <w:r>
              <w:rPr>
                <w:rFonts w:hint="default"/>
                <w:color w:val="auto"/>
              </w:rPr>
              <w:t>6</w:t>
            </w:r>
          </w:p>
        </w:tc>
        <w:tc>
          <w:tcPr>
            <w:tcW w:w="1589" w:type="dxa"/>
            <w:noWrap w:val="0"/>
            <w:vAlign w:val="center"/>
          </w:tcPr>
          <w:p w14:paraId="6C8C8BE8">
            <w:pPr>
              <w:pStyle w:val="30"/>
              <w:bidi w:val="0"/>
              <w:rPr>
                <w:rFonts w:hint="default"/>
                <w:color w:val="auto"/>
              </w:rPr>
            </w:pPr>
            <w:r>
              <w:rPr>
                <w:rFonts w:hint="default"/>
                <w:color w:val="auto"/>
              </w:rPr>
              <w:t>1</w:t>
            </w:r>
          </w:p>
        </w:tc>
        <w:tc>
          <w:tcPr>
            <w:tcW w:w="1410" w:type="dxa"/>
            <w:noWrap w:val="0"/>
            <w:vAlign w:val="center"/>
          </w:tcPr>
          <w:p w14:paraId="4A349AFF">
            <w:pPr>
              <w:pStyle w:val="30"/>
              <w:bidi w:val="0"/>
              <w:rPr>
                <w:rFonts w:hint="default"/>
                <w:color w:val="auto"/>
              </w:rPr>
            </w:pPr>
            <w:r>
              <w:rPr>
                <w:rFonts w:hint="default"/>
                <w:color w:val="auto"/>
              </w:rPr>
              <w:t>18</w:t>
            </w:r>
          </w:p>
        </w:tc>
      </w:tr>
    </w:tbl>
    <w:p w14:paraId="7F880CE8">
      <w:pPr>
        <w:pStyle w:val="4"/>
        <w:bidi w:val="0"/>
        <w:rPr>
          <w:rFonts w:hint="eastAsia"/>
          <w:color w:val="auto"/>
        </w:rPr>
      </w:pPr>
      <w:bookmarkStart w:id="131" w:name="_Toc31335"/>
      <w:r>
        <w:rPr>
          <w:rFonts w:hint="eastAsia"/>
          <w:color w:val="auto"/>
        </w:rPr>
        <w:t>5.7.3</w:t>
      </w:r>
      <w:r>
        <w:rPr>
          <w:rFonts w:hint="eastAsia"/>
          <w:color w:val="auto"/>
          <w:lang w:val="en-US" w:eastAsia="zh-CN"/>
        </w:rPr>
        <w:t xml:space="preserve"> </w:t>
      </w:r>
      <w:r>
        <w:rPr>
          <w:rFonts w:hint="eastAsia"/>
          <w:color w:val="auto"/>
        </w:rPr>
        <w:t>危险危害程度分析</w:t>
      </w:r>
      <w:bookmarkEnd w:id="131"/>
    </w:p>
    <w:p w14:paraId="277413B9">
      <w:pPr>
        <w:pStyle w:val="29"/>
        <w:bidi w:val="0"/>
        <w:rPr>
          <w:color w:val="auto"/>
        </w:rPr>
      </w:pPr>
      <w:r>
        <w:rPr>
          <w:rFonts w:hint="eastAsia"/>
          <w:color w:val="auto"/>
        </w:rPr>
        <w:t>表5.7-2  项目危险有害因素危险性程度汇总表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
        <w:gridCol w:w="2156"/>
        <w:gridCol w:w="2213"/>
        <w:gridCol w:w="2118"/>
        <w:gridCol w:w="1699"/>
      </w:tblGrid>
      <w:tr w14:paraId="7E9A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65" w:type="dxa"/>
            <w:noWrap w:val="0"/>
            <w:vAlign w:val="center"/>
          </w:tcPr>
          <w:p w14:paraId="0990E6F4">
            <w:pPr>
              <w:pStyle w:val="30"/>
              <w:bidi w:val="0"/>
              <w:rPr>
                <w:rFonts w:hint="default"/>
                <w:b/>
                <w:bCs/>
                <w:color w:val="auto"/>
              </w:rPr>
            </w:pPr>
            <w:r>
              <w:rPr>
                <w:rFonts w:hint="default"/>
                <w:b/>
                <w:bCs/>
                <w:color w:val="auto"/>
              </w:rPr>
              <w:t>序号</w:t>
            </w:r>
          </w:p>
        </w:tc>
        <w:tc>
          <w:tcPr>
            <w:tcW w:w="2156" w:type="dxa"/>
            <w:noWrap w:val="0"/>
            <w:vAlign w:val="center"/>
          </w:tcPr>
          <w:p w14:paraId="1075C97B">
            <w:pPr>
              <w:pStyle w:val="30"/>
              <w:bidi w:val="0"/>
              <w:rPr>
                <w:rFonts w:hint="default"/>
                <w:b/>
                <w:bCs/>
                <w:color w:val="auto"/>
              </w:rPr>
            </w:pPr>
            <w:r>
              <w:rPr>
                <w:rFonts w:hint="default"/>
                <w:b/>
                <w:bCs/>
                <w:color w:val="auto"/>
              </w:rPr>
              <w:t>危险因素分类</w:t>
            </w:r>
          </w:p>
        </w:tc>
        <w:tc>
          <w:tcPr>
            <w:tcW w:w="2213" w:type="dxa"/>
            <w:noWrap w:val="0"/>
            <w:vAlign w:val="center"/>
          </w:tcPr>
          <w:p w14:paraId="273B0C69">
            <w:pPr>
              <w:pStyle w:val="30"/>
              <w:bidi w:val="0"/>
              <w:rPr>
                <w:rFonts w:hint="eastAsia"/>
                <w:b/>
                <w:bCs/>
                <w:color w:val="auto"/>
                <w:lang w:eastAsia="zh-CN"/>
              </w:rPr>
            </w:pPr>
            <w:r>
              <w:rPr>
                <w:rFonts w:hint="default"/>
                <w:b/>
                <w:bCs/>
                <w:color w:val="auto"/>
              </w:rPr>
              <w:t>危险性分值</w:t>
            </w:r>
            <w:r>
              <w:rPr>
                <w:rFonts w:hint="default"/>
                <w:b/>
                <w:bCs/>
                <w:color w:val="auto"/>
                <w:lang w:eastAsia="zh-CN"/>
              </w:rPr>
              <w:t>（</w:t>
            </w:r>
            <w:r>
              <w:rPr>
                <w:rFonts w:hint="default"/>
                <w:b/>
                <w:bCs/>
                <w:color w:val="auto"/>
              </w:rPr>
              <w:t>D</w:t>
            </w:r>
            <w:r>
              <w:rPr>
                <w:rFonts w:hint="eastAsia"/>
                <w:b/>
                <w:bCs/>
                <w:color w:val="auto"/>
                <w:lang w:eastAsia="zh-CN"/>
              </w:rPr>
              <w:t>）</w:t>
            </w:r>
          </w:p>
        </w:tc>
        <w:tc>
          <w:tcPr>
            <w:tcW w:w="2118" w:type="dxa"/>
            <w:noWrap w:val="0"/>
            <w:vAlign w:val="center"/>
          </w:tcPr>
          <w:p w14:paraId="049FFD19">
            <w:pPr>
              <w:pStyle w:val="30"/>
              <w:bidi w:val="0"/>
              <w:rPr>
                <w:rFonts w:hint="default"/>
                <w:b/>
                <w:bCs/>
                <w:color w:val="auto"/>
              </w:rPr>
            </w:pPr>
            <w:r>
              <w:rPr>
                <w:rFonts w:hint="default"/>
                <w:b/>
                <w:bCs/>
                <w:color w:val="auto"/>
              </w:rPr>
              <w:t>危险性程度</w:t>
            </w:r>
          </w:p>
        </w:tc>
        <w:tc>
          <w:tcPr>
            <w:tcW w:w="1699" w:type="dxa"/>
            <w:noWrap w:val="0"/>
            <w:vAlign w:val="center"/>
          </w:tcPr>
          <w:p w14:paraId="74A49FA5">
            <w:pPr>
              <w:pStyle w:val="30"/>
              <w:bidi w:val="0"/>
              <w:rPr>
                <w:rFonts w:hint="default"/>
                <w:b/>
                <w:bCs/>
                <w:color w:val="auto"/>
              </w:rPr>
            </w:pPr>
            <w:r>
              <w:rPr>
                <w:rFonts w:hint="default"/>
                <w:b/>
                <w:bCs/>
                <w:color w:val="auto"/>
              </w:rPr>
              <w:t>备注</w:t>
            </w:r>
          </w:p>
        </w:tc>
      </w:tr>
      <w:tr w14:paraId="05D2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5" w:type="dxa"/>
            <w:noWrap w:val="0"/>
            <w:vAlign w:val="center"/>
          </w:tcPr>
          <w:p w14:paraId="432C074A">
            <w:pPr>
              <w:pStyle w:val="30"/>
              <w:bidi w:val="0"/>
              <w:rPr>
                <w:rFonts w:hint="default"/>
                <w:color w:val="auto"/>
              </w:rPr>
            </w:pPr>
            <w:r>
              <w:rPr>
                <w:rFonts w:hint="default"/>
                <w:color w:val="auto"/>
              </w:rPr>
              <w:t>1</w:t>
            </w:r>
          </w:p>
        </w:tc>
        <w:tc>
          <w:tcPr>
            <w:tcW w:w="2156" w:type="dxa"/>
            <w:noWrap w:val="0"/>
            <w:vAlign w:val="center"/>
          </w:tcPr>
          <w:p w14:paraId="319584E7">
            <w:pPr>
              <w:pStyle w:val="30"/>
              <w:bidi w:val="0"/>
              <w:rPr>
                <w:rFonts w:hint="default"/>
                <w:color w:val="auto"/>
              </w:rPr>
            </w:pPr>
            <w:r>
              <w:rPr>
                <w:rFonts w:hint="default"/>
                <w:color w:val="auto"/>
              </w:rPr>
              <w:t>机械伤害</w:t>
            </w:r>
          </w:p>
        </w:tc>
        <w:tc>
          <w:tcPr>
            <w:tcW w:w="2213" w:type="dxa"/>
            <w:noWrap w:val="0"/>
            <w:vAlign w:val="center"/>
          </w:tcPr>
          <w:p w14:paraId="1623A91D">
            <w:pPr>
              <w:pStyle w:val="30"/>
              <w:bidi w:val="0"/>
              <w:rPr>
                <w:rFonts w:hint="default"/>
                <w:color w:val="auto"/>
              </w:rPr>
            </w:pPr>
            <w:r>
              <w:rPr>
                <w:rFonts w:hint="default"/>
                <w:color w:val="auto"/>
              </w:rPr>
              <w:t>54</w:t>
            </w:r>
          </w:p>
        </w:tc>
        <w:tc>
          <w:tcPr>
            <w:tcW w:w="2118" w:type="dxa"/>
            <w:noWrap w:val="0"/>
            <w:vAlign w:val="center"/>
          </w:tcPr>
          <w:p w14:paraId="72DF5EB9">
            <w:pPr>
              <w:pStyle w:val="30"/>
              <w:bidi w:val="0"/>
              <w:rPr>
                <w:rFonts w:hint="default"/>
                <w:color w:val="auto"/>
              </w:rPr>
            </w:pPr>
            <w:r>
              <w:rPr>
                <w:rFonts w:hint="default"/>
                <w:color w:val="auto"/>
              </w:rPr>
              <w:t>一般危险</w:t>
            </w:r>
          </w:p>
        </w:tc>
        <w:tc>
          <w:tcPr>
            <w:tcW w:w="1699" w:type="dxa"/>
            <w:noWrap w:val="0"/>
            <w:vAlign w:val="center"/>
          </w:tcPr>
          <w:p w14:paraId="796581DF">
            <w:pPr>
              <w:pStyle w:val="30"/>
              <w:bidi w:val="0"/>
              <w:rPr>
                <w:rFonts w:hint="default"/>
                <w:color w:val="auto"/>
              </w:rPr>
            </w:pPr>
          </w:p>
        </w:tc>
      </w:tr>
      <w:tr w14:paraId="0A07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5" w:type="dxa"/>
            <w:noWrap w:val="0"/>
            <w:vAlign w:val="center"/>
          </w:tcPr>
          <w:p w14:paraId="29E23F00">
            <w:pPr>
              <w:pStyle w:val="30"/>
              <w:bidi w:val="0"/>
              <w:rPr>
                <w:rFonts w:hint="default"/>
                <w:color w:val="auto"/>
              </w:rPr>
            </w:pPr>
            <w:r>
              <w:rPr>
                <w:rFonts w:hint="default"/>
                <w:color w:val="auto"/>
              </w:rPr>
              <w:t>2</w:t>
            </w:r>
          </w:p>
        </w:tc>
        <w:tc>
          <w:tcPr>
            <w:tcW w:w="2156" w:type="dxa"/>
            <w:noWrap w:val="0"/>
            <w:vAlign w:val="center"/>
          </w:tcPr>
          <w:p w14:paraId="5E8FF7C4">
            <w:pPr>
              <w:pStyle w:val="30"/>
              <w:bidi w:val="0"/>
              <w:rPr>
                <w:rFonts w:hint="default"/>
                <w:color w:val="auto"/>
              </w:rPr>
            </w:pPr>
            <w:r>
              <w:rPr>
                <w:rFonts w:hint="default"/>
                <w:color w:val="auto"/>
              </w:rPr>
              <w:t>物体打击</w:t>
            </w:r>
          </w:p>
        </w:tc>
        <w:tc>
          <w:tcPr>
            <w:tcW w:w="2213" w:type="dxa"/>
            <w:noWrap w:val="0"/>
            <w:vAlign w:val="center"/>
          </w:tcPr>
          <w:p w14:paraId="2C02E461">
            <w:pPr>
              <w:pStyle w:val="30"/>
              <w:bidi w:val="0"/>
              <w:rPr>
                <w:rFonts w:hint="default"/>
                <w:color w:val="auto"/>
              </w:rPr>
            </w:pPr>
            <w:r>
              <w:rPr>
                <w:rFonts w:hint="default"/>
                <w:color w:val="auto"/>
              </w:rPr>
              <w:t>54</w:t>
            </w:r>
          </w:p>
        </w:tc>
        <w:tc>
          <w:tcPr>
            <w:tcW w:w="2118" w:type="dxa"/>
            <w:noWrap w:val="0"/>
            <w:vAlign w:val="center"/>
          </w:tcPr>
          <w:p w14:paraId="518ACFF5">
            <w:pPr>
              <w:pStyle w:val="30"/>
              <w:bidi w:val="0"/>
              <w:rPr>
                <w:rFonts w:hint="default"/>
                <w:color w:val="auto"/>
              </w:rPr>
            </w:pPr>
            <w:r>
              <w:rPr>
                <w:rFonts w:hint="default"/>
                <w:color w:val="auto"/>
              </w:rPr>
              <w:t>一般危险</w:t>
            </w:r>
          </w:p>
        </w:tc>
        <w:tc>
          <w:tcPr>
            <w:tcW w:w="1699" w:type="dxa"/>
            <w:noWrap w:val="0"/>
            <w:vAlign w:val="center"/>
          </w:tcPr>
          <w:p w14:paraId="7508FFF4">
            <w:pPr>
              <w:pStyle w:val="30"/>
              <w:bidi w:val="0"/>
              <w:rPr>
                <w:rFonts w:hint="default"/>
                <w:color w:val="auto"/>
              </w:rPr>
            </w:pPr>
          </w:p>
        </w:tc>
      </w:tr>
      <w:tr w14:paraId="283D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5" w:type="dxa"/>
            <w:noWrap w:val="0"/>
            <w:vAlign w:val="center"/>
          </w:tcPr>
          <w:p w14:paraId="0D95E6B1">
            <w:pPr>
              <w:pStyle w:val="30"/>
              <w:bidi w:val="0"/>
              <w:rPr>
                <w:rFonts w:hint="default"/>
                <w:color w:val="auto"/>
              </w:rPr>
            </w:pPr>
            <w:r>
              <w:rPr>
                <w:rFonts w:hint="default"/>
                <w:color w:val="auto"/>
              </w:rPr>
              <w:t>3</w:t>
            </w:r>
          </w:p>
        </w:tc>
        <w:tc>
          <w:tcPr>
            <w:tcW w:w="2156" w:type="dxa"/>
            <w:noWrap w:val="0"/>
            <w:vAlign w:val="center"/>
          </w:tcPr>
          <w:p w14:paraId="056C5F66">
            <w:pPr>
              <w:pStyle w:val="30"/>
              <w:bidi w:val="0"/>
              <w:rPr>
                <w:rFonts w:hint="default"/>
                <w:color w:val="auto"/>
              </w:rPr>
            </w:pPr>
            <w:r>
              <w:rPr>
                <w:rFonts w:hint="default"/>
                <w:color w:val="auto"/>
              </w:rPr>
              <w:t>触电</w:t>
            </w:r>
          </w:p>
        </w:tc>
        <w:tc>
          <w:tcPr>
            <w:tcW w:w="2213" w:type="dxa"/>
            <w:noWrap w:val="0"/>
            <w:vAlign w:val="center"/>
          </w:tcPr>
          <w:p w14:paraId="15426AD4">
            <w:pPr>
              <w:pStyle w:val="30"/>
              <w:bidi w:val="0"/>
              <w:rPr>
                <w:rFonts w:hint="default"/>
                <w:color w:val="auto"/>
              </w:rPr>
            </w:pPr>
            <w:r>
              <w:rPr>
                <w:rFonts w:hint="default"/>
                <w:color w:val="auto"/>
              </w:rPr>
              <w:t>126</w:t>
            </w:r>
          </w:p>
        </w:tc>
        <w:tc>
          <w:tcPr>
            <w:tcW w:w="2118" w:type="dxa"/>
            <w:noWrap w:val="0"/>
            <w:vAlign w:val="center"/>
          </w:tcPr>
          <w:p w14:paraId="3766B2B3">
            <w:pPr>
              <w:pStyle w:val="30"/>
              <w:bidi w:val="0"/>
              <w:rPr>
                <w:rFonts w:hint="default"/>
                <w:color w:val="auto"/>
              </w:rPr>
            </w:pPr>
            <w:r>
              <w:rPr>
                <w:rFonts w:hint="default"/>
                <w:color w:val="auto"/>
              </w:rPr>
              <w:t>显著危险</w:t>
            </w:r>
          </w:p>
        </w:tc>
        <w:tc>
          <w:tcPr>
            <w:tcW w:w="1699" w:type="dxa"/>
            <w:noWrap w:val="0"/>
            <w:vAlign w:val="center"/>
          </w:tcPr>
          <w:p w14:paraId="4C7A57C5">
            <w:pPr>
              <w:pStyle w:val="30"/>
              <w:bidi w:val="0"/>
              <w:rPr>
                <w:rFonts w:hint="default"/>
                <w:color w:val="auto"/>
              </w:rPr>
            </w:pPr>
          </w:p>
        </w:tc>
      </w:tr>
      <w:tr w14:paraId="25BA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5" w:type="dxa"/>
            <w:noWrap w:val="0"/>
            <w:vAlign w:val="center"/>
          </w:tcPr>
          <w:p w14:paraId="586593D1">
            <w:pPr>
              <w:pStyle w:val="30"/>
              <w:bidi w:val="0"/>
              <w:rPr>
                <w:rFonts w:hint="default"/>
                <w:color w:val="auto"/>
              </w:rPr>
            </w:pPr>
            <w:r>
              <w:rPr>
                <w:rFonts w:hint="default"/>
                <w:color w:val="auto"/>
              </w:rPr>
              <w:t>4</w:t>
            </w:r>
          </w:p>
        </w:tc>
        <w:tc>
          <w:tcPr>
            <w:tcW w:w="2156" w:type="dxa"/>
            <w:noWrap w:val="0"/>
            <w:vAlign w:val="center"/>
          </w:tcPr>
          <w:p w14:paraId="5B6510FA">
            <w:pPr>
              <w:pStyle w:val="30"/>
              <w:bidi w:val="0"/>
              <w:rPr>
                <w:rFonts w:hint="default"/>
                <w:color w:val="auto"/>
              </w:rPr>
            </w:pPr>
            <w:r>
              <w:rPr>
                <w:rFonts w:hint="default"/>
                <w:color w:val="auto"/>
              </w:rPr>
              <w:t>淹溺</w:t>
            </w:r>
          </w:p>
        </w:tc>
        <w:tc>
          <w:tcPr>
            <w:tcW w:w="2213" w:type="dxa"/>
            <w:noWrap w:val="0"/>
            <w:vAlign w:val="center"/>
          </w:tcPr>
          <w:p w14:paraId="42DE59A0">
            <w:pPr>
              <w:pStyle w:val="30"/>
              <w:bidi w:val="0"/>
              <w:rPr>
                <w:rFonts w:hint="default"/>
                <w:color w:val="auto"/>
              </w:rPr>
            </w:pPr>
            <w:r>
              <w:rPr>
                <w:rFonts w:hint="default"/>
                <w:color w:val="auto"/>
              </w:rPr>
              <w:t>90</w:t>
            </w:r>
          </w:p>
        </w:tc>
        <w:tc>
          <w:tcPr>
            <w:tcW w:w="2118" w:type="dxa"/>
            <w:noWrap w:val="0"/>
            <w:vAlign w:val="center"/>
          </w:tcPr>
          <w:p w14:paraId="6D3566AC">
            <w:pPr>
              <w:pStyle w:val="30"/>
              <w:bidi w:val="0"/>
              <w:rPr>
                <w:rFonts w:hint="default"/>
                <w:color w:val="auto"/>
              </w:rPr>
            </w:pPr>
            <w:r>
              <w:rPr>
                <w:rFonts w:hint="default"/>
                <w:color w:val="auto"/>
              </w:rPr>
              <w:t>显著危险</w:t>
            </w:r>
          </w:p>
        </w:tc>
        <w:tc>
          <w:tcPr>
            <w:tcW w:w="1699" w:type="dxa"/>
            <w:noWrap w:val="0"/>
            <w:vAlign w:val="center"/>
          </w:tcPr>
          <w:p w14:paraId="19BC4156">
            <w:pPr>
              <w:pStyle w:val="30"/>
              <w:bidi w:val="0"/>
              <w:rPr>
                <w:rFonts w:hint="default"/>
                <w:color w:val="auto"/>
              </w:rPr>
            </w:pPr>
          </w:p>
        </w:tc>
      </w:tr>
      <w:tr w14:paraId="2816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5" w:type="dxa"/>
            <w:noWrap w:val="0"/>
            <w:vAlign w:val="center"/>
          </w:tcPr>
          <w:p w14:paraId="156CE436">
            <w:pPr>
              <w:pStyle w:val="30"/>
              <w:bidi w:val="0"/>
              <w:rPr>
                <w:rFonts w:hint="default"/>
                <w:color w:val="auto"/>
              </w:rPr>
            </w:pPr>
            <w:r>
              <w:rPr>
                <w:rFonts w:hint="default"/>
                <w:color w:val="auto"/>
              </w:rPr>
              <w:t>5</w:t>
            </w:r>
          </w:p>
        </w:tc>
        <w:tc>
          <w:tcPr>
            <w:tcW w:w="2156" w:type="dxa"/>
            <w:noWrap w:val="0"/>
            <w:vAlign w:val="center"/>
          </w:tcPr>
          <w:p w14:paraId="575CD938">
            <w:pPr>
              <w:pStyle w:val="30"/>
              <w:bidi w:val="0"/>
              <w:rPr>
                <w:rFonts w:hint="default"/>
                <w:color w:val="auto"/>
              </w:rPr>
            </w:pPr>
            <w:r>
              <w:rPr>
                <w:rFonts w:hint="default"/>
                <w:color w:val="auto"/>
              </w:rPr>
              <w:t>车辆伤害</w:t>
            </w:r>
          </w:p>
        </w:tc>
        <w:tc>
          <w:tcPr>
            <w:tcW w:w="2213" w:type="dxa"/>
            <w:noWrap w:val="0"/>
            <w:vAlign w:val="center"/>
          </w:tcPr>
          <w:p w14:paraId="3E8BF000">
            <w:pPr>
              <w:pStyle w:val="30"/>
              <w:bidi w:val="0"/>
              <w:rPr>
                <w:rFonts w:hint="default"/>
                <w:color w:val="auto"/>
              </w:rPr>
            </w:pPr>
            <w:r>
              <w:rPr>
                <w:rFonts w:hint="default"/>
                <w:color w:val="auto"/>
              </w:rPr>
              <w:t>54</w:t>
            </w:r>
          </w:p>
        </w:tc>
        <w:tc>
          <w:tcPr>
            <w:tcW w:w="2118" w:type="dxa"/>
            <w:noWrap w:val="0"/>
            <w:vAlign w:val="center"/>
          </w:tcPr>
          <w:p w14:paraId="09089C8E">
            <w:pPr>
              <w:pStyle w:val="30"/>
              <w:bidi w:val="0"/>
              <w:rPr>
                <w:rFonts w:hint="default"/>
                <w:color w:val="auto"/>
              </w:rPr>
            </w:pPr>
            <w:r>
              <w:rPr>
                <w:rFonts w:hint="default"/>
                <w:color w:val="auto"/>
              </w:rPr>
              <w:t>一般危险</w:t>
            </w:r>
          </w:p>
        </w:tc>
        <w:tc>
          <w:tcPr>
            <w:tcW w:w="1699" w:type="dxa"/>
            <w:noWrap w:val="0"/>
            <w:vAlign w:val="center"/>
          </w:tcPr>
          <w:p w14:paraId="10A9EB0D">
            <w:pPr>
              <w:pStyle w:val="30"/>
              <w:bidi w:val="0"/>
              <w:rPr>
                <w:rFonts w:hint="default"/>
                <w:color w:val="auto"/>
              </w:rPr>
            </w:pPr>
          </w:p>
        </w:tc>
      </w:tr>
      <w:tr w14:paraId="3421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5" w:type="dxa"/>
            <w:noWrap w:val="0"/>
            <w:vAlign w:val="center"/>
          </w:tcPr>
          <w:p w14:paraId="3FF3BF86">
            <w:pPr>
              <w:pStyle w:val="30"/>
              <w:bidi w:val="0"/>
              <w:rPr>
                <w:rFonts w:hint="default"/>
                <w:color w:val="auto"/>
              </w:rPr>
            </w:pPr>
            <w:r>
              <w:rPr>
                <w:rFonts w:hint="default"/>
                <w:color w:val="auto"/>
              </w:rPr>
              <w:t>6</w:t>
            </w:r>
          </w:p>
        </w:tc>
        <w:tc>
          <w:tcPr>
            <w:tcW w:w="2156" w:type="dxa"/>
            <w:noWrap w:val="0"/>
            <w:vAlign w:val="center"/>
          </w:tcPr>
          <w:p w14:paraId="6F6326A8">
            <w:pPr>
              <w:pStyle w:val="30"/>
              <w:bidi w:val="0"/>
              <w:rPr>
                <w:rFonts w:hint="default"/>
                <w:color w:val="auto"/>
              </w:rPr>
            </w:pPr>
            <w:r>
              <w:rPr>
                <w:rFonts w:hint="default"/>
                <w:color w:val="auto"/>
              </w:rPr>
              <w:t>火灾</w:t>
            </w:r>
          </w:p>
        </w:tc>
        <w:tc>
          <w:tcPr>
            <w:tcW w:w="2213" w:type="dxa"/>
            <w:noWrap w:val="0"/>
            <w:vAlign w:val="center"/>
          </w:tcPr>
          <w:p w14:paraId="7C4818B7">
            <w:pPr>
              <w:pStyle w:val="30"/>
              <w:bidi w:val="0"/>
              <w:rPr>
                <w:rFonts w:hint="default"/>
                <w:color w:val="auto"/>
              </w:rPr>
            </w:pPr>
            <w:r>
              <w:rPr>
                <w:rFonts w:hint="default"/>
                <w:color w:val="auto"/>
              </w:rPr>
              <w:t>63</w:t>
            </w:r>
          </w:p>
        </w:tc>
        <w:tc>
          <w:tcPr>
            <w:tcW w:w="2118" w:type="dxa"/>
            <w:noWrap w:val="0"/>
            <w:vAlign w:val="center"/>
          </w:tcPr>
          <w:p w14:paraId="09A566C5">
            <w:pPr>
              <w:pStyle w:val="30"/>
              <w:bidi w:val="0"/>
              <w:rPr>
                <w:rFonts w:hint="default"/>
                <w:color w:val="auto"/>
              </w:rPr>
            </w:pPr>
            <w:r>
              <w:rPr>
                <w:rFonts w:hint="default"/>
                <w:color w:val="auto"/>
              </w:rPr>
              <w:t>一般危险</w:t>
            </w:r>
          </w:p>
        </w:tc>
        <w:tc>
          <w:tcPr>
            <w:tcW w:w="1699" w:type="dxa"/>
            <w:noWrap w:val="0"/>
            <w:vAlign w:val="center"/>
          </w:tcPr>
          <w:p w14:paraId="740A54EF">
            <w:pPr>
              <w:pStyle w:val="30"/>
              <w:bidi w:val="0"/>
              <w:rPr>
                <w:rFonts w:hint="default"/>
                <w:color w:val="auto"/>
              </w:rPr>
            </w:pPr>
          </w:p>
        </w:tc>
      </w:tr>
      <w:tr w14:paraId="5235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5" w:type="dxa"/>
            <w:noWrap w:val="0"/>
            <w:vAlign w:val="center"/>
          </w:tcPr>
          <w:p w14:paraId="7A8A3F0C">
            <w:pPr>
              <w:pStyle w:val="30"/>
              <w:bidi w:val="0"/>
              <w:rPr>
                <w:rFonts w:hint="default"/>
                <w:color w:val="auto"/>
              </w:rPr>
            </w:pPr>
            <w:r>
              <w:rPr>
                <w:rFonts w:hint="default"/>
                <w:color w:val="auto"/>
              </w:rPr>
              <w:t>7</w:t>
            </w:r>
          </w:p>
        </w:tc>
        <w:tc>
          <w:tcPr>
            <w:tcW w:w="2156" w:type="dxa"/>
            <w:noWrap w:val="0"/>
            <w:vAlign w:val="center"/>
          </w:tcPr>
          <w:p w14:paraId="7BF5F75F">
            <w:pPr>
              <w:pStyle w:val="30"/>
              <w:bidi w:val="0"/>
              <w:rPr>
                <w:rFonts w:hint="default"/>
                <w:color w:val="auto"/>
              </w:rPr>
            </w:pPr>
            <w:r>
              <w:rPr>
                <w:rFonts w:hint="default"/>
                <w:color w:val="auto"/>
              </w:rPr>
              <w:t>容器爆炸</w:t>
            </w:r>
          </w:p>
        </w:tc>
        <w:tc>
          <w:tcPr>
            <w:tcW w:w="2213" w:type="dxa"/>
            <w:noWrap w:val="0"/>
            <w:vAlign w:val="center"/>
          </w:tcPr>
          <w:p w14:paraId="49B50C5F">
            <w:pPr>
              <w:pStyle w:val="30"/>
              <w:bidi w:val="0"/>
              <w:rPr>
                <w:rFonts w:hint="default"/>
                <w:color w:val="auto"/>
              </w:rPr>
            </w:pPr>
            <w:r>
              <w:rPr>
                <w:rFonts w:hint="default"/>
                <w:color w:val="auto"/>
              </w:rPr>
              <w:t>21</w:t>
            </w:r>
          </w:p>
        </w:tc>
        <w:tc>
          <w:tcPr>
            <w:tcW w:w="2118" w:type="dxa"/>
            <w:noWrap w:val="0"/>
            <w:vAlign w:val="center"/>
          </w:tcPr>
          <w:p w14:paraId="5FE47E9E">
            <w:pPr>
              <w:pStyle w:val="30"/>
              <w:bidi w:val="0"/>
              <w:rPr>
                <w:rFonts w:hint="default"/>
                <w:color w:val="auto"/>
              </w:rPr>
            </w:pPr>
            <w:r>
              <w:rPr>
                <w:rFonts w:hint="default"/>
                <w:color w:val="auto"/>
              </w:rPr>
              <w:t>一般危险</w:t>
            </w:r>
          </w:p>
        </w:tc>
        <w:tc>
          <w:tcPr>
            <w:tcW w:w="1699" w:type="dxa"/>
            <w:noWrap w:val="0"/>
            <w:vAlign w:val="center"/>
          </w:tcPr>
          <w:p w14:paraId="6CF9213C">
            <w:pPr>
              <w:pStyle w:val="30"/>
              <w:bidi w:val="0"/>
              <w:rPr>
                <w:rFonts w:hint="default"/>
                <w:color w:val="auto"/>
              </w:rPr>
            </w:pPr>
          </w:p>
        </w:tc>
      </w:tr>
      <w:tr w14:paraId="1E0B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65" w:type="dxa"/>
            <w:noWrap w:val="0"/>
            <w:vAlign w:val="center"/>
          </w:tcPr>
          <w:p w14:paraId="2817FBA3">
            <w:pPr>
              <w:pStyle w:val="30"/>
              <w:bidi w:val="0"/>
              <w:rPr>
                <w:rFonts w:hint="default"/>
                <w:color w:val="auto"/>
              </w:rPr>
            </w:pPr>
            <w:r>
              <w:rPr>
                <w:rFonts w:hint="default"/>
                <w:color w:val="auto"/>
              </w:rPr>
              <w:t>8</w:t>
            </w:r>
          </w:p>
        </w:tc>
        <w:tc>
          <w:tcPr>
            <w:tcW w:w="2156" w:type="dxa"/>
            <w:noWrap w:val="0"/>
            <w:vAlign w:val="center"/>
          </w:tcPr>
          <w:p w14:paraId="4AF7E124">
            <w:pPr>
              <w:pStyle w:val="30"/>
              <w:bidi w:val="0"/>
              <w:rPr>
                <w:rFonts w:hint="default"/>
                <w:color w:val="auto"/>
              </w:rPr>
            </w:pPr>
            <w:r>
              <w:rPr>
                <w:rFonts w:hint="default"/>
                <w:color w:val="auto"/>
              </w:rPr>
              <w:t>坍塌、滑坡</w:t>
            </w:r>
          </w:p>
        </w:tc>
        <w:tc>
          <w:tcPr>
            <w:tcW w:w="2213" w:type="dxa"/>
            <w:noWrap w:val="0"/>
            <w:vAlign w:val="center"/>
          </w:tcPr>
          <w:p w14:paraId="3147BA0B">
            <w:pPr>
              <w:pStyle w:val="30"/>
              <w:bidi w:val="0"/>
              <w:rPr>
                <w:rFonts w:hint="default"/>
                <w:color w:val="auto"/>
              </w:rPr>
            </w:pPr>
            <w:r>
              <w:rPr>
                <w:rFonts w:hint="default"/>
                <w:color w:val="auto"/>
              </w:rPr>
              <w:t>126</w:t>
            </w:r>
          </w:p>
        </w:tc>
        <w:tc>
          <w:tcPr>
            <w:tcW w:w="2118" w:type="dxa"/>
            <w:noWrap w:val="0"/>
            <w:vAlign w:val="center"/>
          </w:tcPr>
          <w:p w14:paraId="631353E2">
            <w:pPr>
              <w:pStyle w:val="30"/>
              <w:bidi w:val="0"/>
              <w:rPr>
                <w:rFonts w:hint="default"/>
                <w:color w:val="auto"/>
              </w:rPr>
            </w:pPr>
            <w:r>
              <w:rPr>
                <w:rFonts w:hint="default"/>
                <w:color w:val="auto"/>
              </w:rPr>
              <w:t>显著危险</w:t>
            </w:r>
          </w:p>
        </w:tc>
        <w:tc>
          <w:tcPr>
            <w:tcW w:w="1699" w:type="dxa"/>
            <w:noWrap w:val="0"/>
            <w:vAlign w:val="center"/>
          </w:tcPr>
          <w:p w14:paraId="42C9272D">
            <w:pPr>
              <w:pStyle w:val="30"/>
              <w:bidi w:val="0"/>
              <w:rPr>
                <w:rFonts w:hint="default"/>
                <w:color w:val="auto"/>
              </w:rPr>
            </w:pPr>
          </w:p>
        </w:tc>
      </w:tr>
      <w:tr w14:paraId="1899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5" w:type="dxa"/>
            <w:noWrap w:val="0"/>
            <w:vAlign w:val="center"/>
          </w:tcPr>
          <w:p w14:paraId="0C2C3FD2">
            <w:pPr>
              <w:pStyle w:val="30"/>
              <w:bidi w:val="0"/>
              <w:rPr>
                <w:rFonts w:hint="eastAsia" w:eastAsia="宋体"/>
                <w:color w:val="auto"/>
                <w:lang w:eastAsia="zh-CN"/>
              </w:rPr>
            </w:pPr>
            <w:r>
              <w:rPr>
                <w:rFonts w:hint="eastAsia"/>
                <w:color w:val="auto"/>
                <w:lang w:val="en-US" w:eastAsia="zh-CN"/>
              </w:rPr>
              <w:t>9</w:t>
            </w:r>
          </w:p>
        </w:tc>
        <w:tc>
          <w:tcPr>
            <w:tcW w:w="2156" w:type="dxa"/>
            <w:noWrap w:val="0"/>
            <w:vAlign w:val="center"/>
          </w:tcPr>
          <w:p w14:paraId="78AF93E9">
            <w:pPr>
              <w:pStyle w:val="30"/>
              <w:bidi w:val="0"/>
              <w:rPr>
                <w:rFonts w:hint="default"/>
                <w:color w:val="auto"/>
              </w:rPr>
            </w:pPr>
            <w:r>
              <w:rPr>
                <w:rFonts w:hint="default"/>
                <w:color w:val="auto"/>
              </w:rPr>
              <w:t>高处坠落</w:t>
            </w:r>
          </w:p>
        </w:tc>
        <w:tc>
          <w:tcPr>
            <w:tcW w:w="2213" w:type="dxa"/>
            <w:noWrap w:val="0"/>
            <w:vAlign w:val="center"/>
          </w:tcPr>
          <w:p w14:paraId="269D96CE">
            <w:pPr>
              <w:pStyle w:val="30"/>
              <w:bidi w:val="0"/>
              <w:rPr>
                <w:rFonts w:hint="default"/>
                <w:color w:val="auto"/>
              </w:rPr>
            </w:pPr>
            <w:r>
              <w:rPr>
                <w:rFonts w:hint="default"/>
                <w:color w:val="auto"/>
              </w:rPr>
              <w:t>126</w:t>
            </w:r>
          </w:p>
        </w:tc>
        <w:tc>
          <w:tcPr>
            <w:tcW w:w="2118" w:type="dxa"/>
            <w:noWrap w:val="0"/>
            <w:vAlign w:val="center"/>
          </w:tcPr>
          <w:p w14:paraId="7A852965">
            <w:pPr>
              <w:pStyle w:val="30"/>
              <w:bidi w:val="0"/>
              <w:rPr>
                <w:rFonts w:hint="default"/>
                <w:color w:val="auto"/>
              </w:rPr>
            </w:pPr>
            <w:r>
              <w:rPr>
                <w:rFonts w:hint="default"/>
                <w:color w:val="auto"/>
              </w:rPr>
              <w:t>显著危险</w:t>
            </w:r>
          </w:p>
        </w:tc>
        <w:tc>
          <w:tcPr>
            <w:tcW w:w="1699" w:type="dxa"/>
            <w:noWrap w:val="0"/>
            <w:vAlign w:val="center"/>
          </w:tcPr>
          <w:p w14:paraId="0153A495">
            <w:pPr>
              <w:pStyle w:val="30"/>
              <w:bidi w:val="0"/>
              <w:rPr>
                <w:rFonts w:hint="default"/>
                <w:color w:val="auto"/>
              </w:rPr>
            </w:pPr>
          </w:p>
        </w:tc>
      </w:tr>
      <w:tr w14:paraId="507C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5" w:type="dxa"/>
            <w:noWrap w:val="0"/>
            <w:vAlign w:val="center"/>
          </w:tcPr>
          <w:p w14:paraId="1C2DC80E">
            <w:pPr>
              <w:pStyle w:val="30"/>
              <w:bidi w:val="0"/>
              <w:rPr>
                <w:rFonts w:hint="eastAsia" w:eastAsia="宋体"/>
                <w:color w:val="auto"/>
                <w:lang w:eastAsia="zh-CN"/>
              </w:rPr>
            </w:pPr>
            <w:r>
              <w:rPr>
                <w:rFonts w:hint="default"/>
                <w:color w:val="auto"/>
              </w:rPr>
              <w:t>1</w:t>
            </w:r>
            <w:r>
              <w:rPr>
                <w:rFonts w:hint="eastAsia"/>
                <w:color w:val="auto"/>
                <w:lang w:val="en-US" w:eastAsia="zh-CN"/>
              </w:rPr>
              <w:t>0</w:t>
            </w:r>
          </w:p>
        </w:tc>
        <w:tc>
          <w:tcPr>
            <w:tcW w:w="2156" w:type="dxa"/>
            <w:noWrap w:val="0"/>
            <w:vAlign w:val="center"/>
          </w:tcPr>
          <w:p w14:paraId="17078834">
            <w:pPr>
              <w:pStyle w:val="30"/>
              <w:bidi w:val="0"/>
              <w:rPr>
                <w:rFonts w:hint="default"/>
                <w:color w:val="auto"/>
              </w:rPr>
            </w:pPr>
            <w:r>
              <w:rPr>
                <w:rFonts w:hint="default"/>
                <w:color w:val="auto"/>
              </w:rPr>
              <w:t>中毒和窒息</w:t>
            </w:r>
          </w:p>
        </w:tc>
        <w:tc>
          <w:tcPr>
            <w:tcW w:w="2213" w:type="dxa"/>
            <w:noWrap w:val="0"/>
            <w:vAlign w:val="center"/>
          </w:tcPr>
          <w:p w14:paraId="7C3C07D7">
            <w:pPr>
              <w:pStyle w:val="30"/>
              <w:bidi w:val="0"/>
              <w:rPr>
                <w:rFonts w:hint="default"/>
                <w:color w:val="auto"/>
              </w:rPr>
            </w:pPr>
            <w:r>
              <w:rPr>
                <w:rFonts w:hint="default"/>
                <w:color w:val="auto"/>
              </w:rPr>
              <w:t>45</w:t>
            </w:r>
          </w:p>
        </w:tc>
        <w:tc>
          <w:tcPr>
            <w:tcW w:w="2118" w:type="dxa"/>
            <w:noWrap w:val="0"/>
            <w:vAlign w:val="center"/>
          </w:tcPr>
          <w:p w14:paraId="6514D62E">
            <w:pPr>
              <w:pStyle w:val="30"/>
              <w:bidi w:val="0"/>
              <w:rPr>
                <w:rFonts w:hint="default"/>
                <w:color w:val="auto"/>
              </w:rPr>
            </w:pPr>
            <w:r>
              <w:rPr>
                <w:rFonts w:hint="default"/>
                <w:color w:val="auto"/>
              </w:rPr>
              <w:t>一般危险</w:t>
            </w:r>
          </w:p>
        </w:tc>
        <w:tc>
          <w:tcPr>
            <w:tcW w:w="1699" w:type="dxa"/>
            <w:noWrap w:val="0"/>
            <w:vAlign w:val="center"/>
          </w:tcPr>
          <w:p w14:paraId="646F0B11">
            <w:pPr>
              <w:pStyle w:val="30"/>
              <w:bidi w:val="0"/>
              <w:rPr>
                <w:rFonts w:hint="default"/>
                <w:color w:val="auto"/>
              </w:rPr>
            </w:pPr>
          </w:p>
        </w:tc>
      </w:tr>
      <w:tr w14:paraId="6211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5" w:type="dxa"/>
            <w:noWrap w:val="0"/>
            <w:vAlign w:val="center"/>
          </w:tcPr>
          <w:p w14:paraId="78CD065D">
            <w:pPr>
              <w:pStyle w:val="30"/>
              <w:bidi w:val="0"/>
              <w:rPr>
                <w:rFonts w:hint="eastAsia" w:eastAsia="宋体"/>
                <w:color w:val="auto"/>
                <w:lang w:eastAsia="zh-CN"/>
              </w:rPr>
            </w:pPr>
            <w:r>
              <w:rPr>
                <w:rFonts w:hint="default"/>
                <w:color w:val="auto"/>
              </w:rPr>
              <w:t>1</w:t>
            </w:r>
            <w:r>
              <w:rPr>
                <w:rFonts w:hint="eastAsia"/>
                <w:color w:val="auto"/>
                <w:lang w:val="en-US" w:eastAsia="zh-CN"/>
              </w:rPr>
              <w:t>1</w:t>
            </w:r>
          </w:p>
        </w:tc>
        <w:tc>
          <w:tcPr>
            <w:tcW w:w="2156" w:type="dxa"/>
            <w:noWrap w:val="0"/>
            <w:vAlign w:val="center"/>
          </w:tcPr>
          <w:p w14:paraId="78D621D4">
            <w:pPr>
              <w:pStyle w:val="30"/>
              <w:bidi w:val="0"/>
              <w:rPr>
                <w:rFonts w:hint="default"/>
                <w:color w:val="auto"/>
              </w:rPr>
            </w:pPr>
            <w:r>
              <w:rPr>
                <w:rFonts w:hint="default"/>
                <w:color w:val="auto"/>
              </w:rPr>
              <w:t>其他伤害</w:t>
            </w:r>
          </w:p>
        </w:tc>
        <w:tc>
          <w:tcPr>
            <w:tcW w:w="2213" w:type="dxa"/>
            <w:noWrap w:val="0"/>
            <w:vAlign w:val="center"/>
          </w:tcPr>
          <w:p w14:paraId="2C2D3643">
            <w:pPr>
              <w:pStyle w:val="30"/>
              <w:bidi w:val="0"/>
              <w:rPr>
                <w:rFonts w:hint="default"/>
                <w:color w:val="auto"/>
              </w:rPr>
            </w:pPr>
            <w:r>
              <w:rPr>
                <w:rFonts w:hint="default"/>
                <w:color w:val="auto"/>
              </w:rPr>
              <w:t>18</w:t>
            </w:r>
          </w:p>
        </w:tc>
        <w:tc>
          <w:tcPr>
            <w:tcW w:w="2118" w:type="dxa"/>
            <w:noWrap w:val="0"/>
            <w:vAlign w:val="center"/>
          </w:tcPr>
          <w:p w14:paraId="4B574921">
            <w:pPr>
              <w:pStyle w:val="30"/>
              <w:bidi w:val="0"/>
              <w:rPr>
                <w:rFonts w:hint="default"/>
                <w:color w:val="auto"/>
              </w:rPr>
            </w:pPr>
            <w:r>
              <w:rPr>
                <w:rFonts w:hint="default"/>
                <w:color w:val="auto"/>
              </w:rPr>
              <w:t>稍有危险</w:t>
            </w:r>
          </w:p>
        </w:tc>
        <w:tc>
          <w:tcPr>
            <w:tcW w:w="1699" w:type="dxa"/>
            <w:noWrap w:val="0"/>
            <w:vAlign w:val="center"/>
          </w:tcPr>
          <w:p w14:paraId="1E020DB7">
            <w:pPr>
              <w:pStyle w:val="30"/>
              <w:bidi w:val="0"/>
              <w:rPr>
                <w:rFonts w:hint="default"/>
                <w:color w:val="auto"/>
              </w:rPr>
            </w:pPr>
          </w:p>
        </w:tc>
      </w:tr>
    </w:tbl>
    <w:p w14:paraId="3EEA7404">
      <w:pPr>
        <w:pStyle w:val="4"/>
        <w:bidi w:val="0"/>
        <w:rPr>
          <w:rFonts w:hint="eastAsia"/>
          <w:color w:val="auto"/>
        </w:rPr>
      </w:pPr>
      <w:bookmarkStart w:id="132" w:name="_Toc22421"/>
      <w:r>
        <w:rPr>
          <w:rFonts w:hint="eastAsia"/>
          <w:color w:val="auto"/>
        </w:rPr>
        <w:t>5.7.4</w:t>
      </w:r>
      <w:r>
        <w:rPr>
          <w:rFonts w:hint="eastAsia"/>
          <w:color w:val="auto"/>
          <w:lang w:val="en-US" w:eastAsia="zh-CN"/>
        </w:rPr>
        <w:t xml:space="preserve"> </w:t>
      </w:r>
      <w:r>
        <w:rPr>
          <w:rFonts w:hint="eastAsia"/>
          <w:color w:val="auto"/>
        </w:rPr>
        <w:t>单元小结</w:t>
      </w:r>
      <w:bookmarkEnd w:id="132"/>
    </w:p>
    <w:p w14:paraId="6090EE91">
      <w:pPr>
        <w:bidi w:val="0"/>
        <w:rPr>
          <w:rFonts w:hint="eastAsia"/>
          <w:color w:val="auto"/>
        </w:rPr>
      </w:pPr>
      <w:r>
        <w:rPr>
          <w:rFonts w:hint="eastAsia"/>
          <w:color w:val="auto"/>
        </w:rPr>
        <w:t>通过作业条件危险性评价法（LEC）对该项目存在的危险危害因素进行危险性程度分析评价，项目存在显著危险的有：高处坠落、触电、淹溺、坍塌、滑坡，一般危险的有：机械伤害、物体打击、车辆伤害、火灾、容器爆炸、中毒和窒息；稍有危险的有：其他伤害。企业已建立安全生产管理制度、岗位操作规程，并编制了生产安全事故应急预案，项目危险性程度在可控范围内。</w:t>
      </w:r>
    </w:p>
    <w:p w14:paraId="78CF2D9F">
      <w:pPr>
        <w:pStyle w:val="3"/>
        <w:bidi w:val="0"/>
        <w:rPr>
          <w:rFonts w:hint="eastAsia"/>
          <w:color w:val="auto"/>
        </w:rPr>
      </w:pPr>
      <w:bookmarkStart w:id="133" w:name="_Toc24171"/>
      <w:r>
        <w:rPr>
          <w:rFonts w:hint="eastAsia"/>
          <w:color w:val="auto"/>
          <w:lang w:val="en-US" w:eastAsia="zh-CN"/>
        </w:rPr>
        <w:t xml:space="preserve">5.8 </w:t>
      </w:r>
      <w:r>
        <w:rPr>
          <w:rFonts w:hint="eastAsia"/>
          <w:color w:val="auto"/>
        </w:rPr>
        <w:t>重大生产安全事故隐患判定单元</w:t>
      </w:r>
      <w:bookmarkEnd w:id="133"/>
    </w:p>
    <w:p w14:paraId="5A7421AB">
      <w:pPr>
        <w:bidi w:val="0"/>
        <w:rPr>
          <w:rFonts w:hint="eastAsia"/>
          <w:color w:val="auto"/>
        </w:rPr>
      </w:pPr>
      <w:r>
        <w:rPr>
          <w:rFonts w:hint="eastAsia"/>
          <w:color w:val="auto"/>
        </w:rPr>
        <w:t>参照《工贸企业重大事故隐患判定标准》（中华人民共和国应急管理部令第10号），对照相关内容逐条进行检查，判定该项目是否存在重大生产安全事故隐患，检查结果见下表。</w:t>
      </w:r>
    </w:p>
    <w:p w14:paraId="64874BAE">
      <w:pPr>
        <w:pStyle w:val="29"/>
        <w:bidi w:val="0"/>
        <w:rPr>
          <w:rFonts w:hint="eastAsia"/>
          <w:color w:val="auto"/>
        </w:rPr>
      </w:pPr>
      <w:r>
        <w:rPr>
          <w:rFonts w:hint="eastAsia"/>
          <w:color w:val="auto"/>
        </w:rPr>
        <w:t>表5.8-1</w:t>
      </w:r>
      <w:r>
        <w:rPr>
          <w:rFonts w:hint="eastAsia"/>
          <w:color w:val="auto"/>
          <w:lang w:val="en-US" w:eastAsia="zh-CN"/>
        </w:rPr>
        <w:t xml:space="preserve"> </w:t>
      </w:r>
      <w:r>
        <w:rPr>
          <w:rFonts w:hint="eastAsia"/>
          <w:color w:val="auto"/>
        </w:rPr>
        <w:t>重大生产安全事故隐患判定表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3224"/>
        <w:gridCol w:w="2964"/>
        <w:gridCol w:w="1456"/>
        <w:gridCol w:w="1029"/>
      </w:tblGrid>
      <w:tr w14:paraId="4629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387" w:type="pct"/>
            <w:noWrap w:val="0"/>
            <w:vAlign w:val="center"/>
          </w:tcPr>
          <w:p w14:paraId="651C0255">
            <w:pPr>
              <w:pStyle w:val="30"/>
              <w:bidi w:val="0"/>
              <w:rPr>
                <w:b/>
                <w:bCs/>
                <w:color w:val="auto"/>
              </w:rPr>
            </w:pPr>
            <w:r>
              <w:rPr>
                <w:b/>
                <w:bCs/>
                <w:color w:val="auto"/>
              </w:rPr>
              <w:t>序号</w:t>
            </w:r>
          </w:p>
        </w:tc>
        <w:tc>
          <w:tcPr>
            <w:tcW w:w="1714" w:type="pct"/>
            <w:noWrap w:val="0"/>
            <w:vAlign w:val="center"/>
          </w:tcPr>
          <w:p w14:paraId="1F720AFC">
            <w:pPr>
              <w:pStyle w:val="30"/>
              <w:bidi w:val="0"/>
              <w:rPr>
                <w:b/>
                <w:bCs/>
                <w:color w:val="auto"/>
              </w:rPr>
            </w:pPr>
            <w:r>
              <w:rPr>
                <w:b/>
                <w:bCs/>
                <w:color w:val="auto"/>
              </w:rPr>
              <w:t>检查内容</w:t>
            </w:r>
          </w:p>
        </w:tc>
        <w:tc>
          <w:tcPr>
            <w:tcW w:w="1576" w:type="pct"/>
            <w:noWrap w:val="0"/>
            <w:vAlign w:val="center"/>
          </w:tcPr>
          <w:p w14:paraId="5EF69408">
            <w:pPr>
              <w:pStyle w:val="30"/>
              <w:bidi w:val="0"/>
              <w:rPr>
                <w:b/>
                <w:bCs/>
                <w:color w:val="auto"/>
              </w:rPr>
            </w:pPr>
            <w:r>
              <w:rPr>
                <w:b/>
                <w:bCs/>
                <w:color w:val="auto"/>
              </w:rPr>
              <w:t>依据标准</w:t>
            </w:r>
          </w:p>
        </w:tc>
        <w:tc>
          <w:tcPr>
            <w:tcW w:w="774" w:type="pct"/>
            <w:noWrap w:val="0"/>
            <w:vAlign w:val="center"/>
          </w:tcPr>
          <w:p w14:paraId="6216BA55">
            <w:pPr>
              <w:pStyle w:val="30"/>
              <w:bidi w:val="0"/>
              <w:rPr>
                <w:b/>
                <w:bCs/>
                <w:color w:val="auto"/>
              </w:rPr>
            </w:pPr>
            <w:r>
              <w:rPr>
                <w:b/>
                <w:bCs/>
                <w:color w:val="auto"/>
              </w:rPr>
              <w:t>检查记录</w:t>
            </w:r>
          </w:p>
        </w:tc>
        <w:tc>
          <w:tcPr>
            <w:tcW w:w="547" w:type="pct"/>
            <w:noWrap w:val="0"/>
            <w:vAlign w:val="center"/>
          </w:tcPr>
          <w:p w14:paraId="02E80A5E">
            <w:pPr>
              <w:pStyle w:val="30"/>
              <w:bidi w:val="0"/>
              <w:rPr>
                <w:b/>
                <w:bCs/>
                <w:color w:val="auto"/>
              </w:rPr>
            </w:pPr>
            <w:r>
              <w:rPr>
                <w:b/>
                <w:bCs/>
                <w:color w:val="auto"/>
              </w:rPr>
              <w:t>结论</w:t>
            </w:r>
          </w:p>
        </w:tc>
      </w:tr>
      <w:tr w14:paraId="67B8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87" w:type="pct"/>
            <w:noWrap w:val="0"/>
            <w:vAlign w:val="center"/>
          </w:tcPr>
          <w:p w14:paraId="511320A0">
            <w:pPr>
              <w:pStyle w:val="30"/>
              <w:bidi w:val="0"/>
              <w:rPr>
                <w:rFonts w:hint="eastAsia"/>
                <w:color w:val="auto"/>
                <w:lang w:val="en-US" w:eastAsia="zh-CN"/>
              </w:rPr>
            </w:pPr>
            <w:r>
              <w:rPr>
                <w:rFonts w:hint="eastAsia"/>
                <w:color w:val="auto"/>
                <w:lang w:val="en-US" w:eastAsia="zh-CN"/>
              </w:rPr>
              <w:t>1</w:t>
            </w:r>
          </w:p>
        </w:tc>
        <w:tc>
          <w:tcPr>
            <w:tcW w:w="1714" w:type="pct"/>
            <w:noWrap w:val="0"/>
            <w:vAlign w:val="center"/>
          </w:tcPr>
          <w:p w14:paraId="388B7D3A">
            <w:pPr>
              <w:pStyle w:val="30"/>
              <w:bidi w:val="0"/>
              <w:rPr>
                <w:rFonts w:hint="default"/>
                <w:color w:val="auto"/>
              </w:rPr>
            </w:pPr>
            <w:r>
              <w:rPr>
                <w:rFonts w:hint="default"/>
                <w:color w:val="auto"/>
              </w:rPr>
              <w:t>未对承包单位、承租单位的安全生产工作统一协调、管理，或者未定期进行安全检查的。</w:t>
            </w:r>
          </w:p>
        </w:tc>
        <w:tc>
          <w:tcPr>
            <w:tcW w:w="1576" w:type="pct"/>
            <w:noWrap w:val="0"/>
            <w:vAlign w:val="center"/>
          </w:tcPr>
          <w:p w14:paraId="1A4AB31A">
            <w:pPr>
              <w:pStyle w:val="30"/>
              <w:bidi w:val="0"/>
              <w:rPr>
                <w:rFonts w:hint="default"/>
                <w:color w:val="auto"/>
              </w:rPr>
            </w:pPr>
            <w:r>
              <w:rPr>
                <w:rFonts w:hint="default"/>
                <w:color w:val="auto"/>
              </w:rPr>
              <w:t>《工贸企业重大事故隐患判定标准》（中华人民共和国应急管理部令第10号）</w:t>
            </w:r>
          </w:p>
          <w:p w14:paraId="47D5D8A0">
            <w:pPr>
              <w:pStyle w:val="30"/>
              <w:bidi w:val="0"/>
              <w:rPr>
                <w:rFonts w:hint="default"/>
                <w:color w:val="auto"/>
              </w:rPr>
            </w:pPr>
            <w:r>
              <w:rPr>
                <w:rFonts w:hint="default"/>
                <w:color w:val="auto"/>
              </w:rPr>
              <w:t>第三条（一）</w:t>
            </w:r>
          </w:p>
        </w:tc>
        <w:tc>
          <w:tcPr>
            <w:tcW w:w="774" w:type="pct"/>
            <w:noWrap w:val="0"/>
            <w:vAlign w:val="center"/>
          </w:tcPr>
          <w:p w14:paraId="333AB73E">
            <w:pPr>
              <w:pStyle w:val="30"/>
              <w:bidi w:val="0"/>
              <w:rPr>
                <w:rFonts w:hint="default"/>
                <w:color w:val="auto"/>
                <w:lang w:val="en-US" w:eastAsia="zh-CN"/>
              </w:rPr>
            </w:pPr>
            <w:r>
              <w:rPr>
                <w:rFonts w:hint="eastAsia"/>
                <w:color w:val="auto"/>
                <w:lang w:val="en-US" w:eastAsia="zh-CN"/>
              </w:rPr>
              <w:t>企业对承包单位进行统一协调、管理。</w:t>
            </w:r>
          </w:p>
        </w:tc>
        <w:tc>
          <w:tcPr>
            <w:tcW w:w="547" w:type="pct"/>
            <w:noWrap w:val="0"/>
            <w:vAlign w:val="center"/>
          </w:tcPr>
          <w:p w14:paraId="5B3DFD3D">
            <w:pPr>
              <w:pStyle w:val="30"/>
              <w:bidi w:val="0"/>
              <w:rPr>
                <w:rFonts w:hint="default"/>
                <w:color w:val="auto"/>
              </w:rPr>
            </w:pPr>
            <w:r>
              <w:rPr>
                <w:rFonts w:hint="default"/>
                <w:color w:val="auto"/>
              </w:rPr>
              <w:t>符合</w:t>
            </w:r>
          </w:p>
        </w:tc>
      </w:tr>
      <w:tr w14:paraId="73E6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87" w:type="pct"/>
            <w:noWrap w:val="0"/>
            <w:vAlign w:val="center"/>
          </w:tcPr>
          <w:p w14:paraId="085F4844">
            <w:pPr>
              <w:pStyle w:val="30"/>
              <w:bidi w:val="0"/>
              <w:rPr>
                <w:rFonts w:hint="eastAsia"/>
                <w:color w:val="auto"/>
                <w:lang w:val="en-US" w:eastAsia="zh-CN"/>
              </w:rPr>
            </w:pPr>
            <w:r>
              <w:rPr>
                <w:rFonts w:hint="eastAsia"/>
                <w:color w:val="auto"/>
                <w:lang w:val="en-US" w:eastAsia="zh-CN"/>
              </w:rPr>
              <w:t>2</w:t>
            </w:r>
          </w:p>
        </w:tc>
        <w:tc>
          <w:tcPr>
            <w:tcW w:w="1714" w:type="pct"/>
            <w:noWrap w:val="0"/>
            <w:vAlign w:val="center"/>
          </w:tcPr>
          <w:p w14:paraId="623A753A">
            <w:pPr>
              <w:pStyle w:val="30"/>
              <w:bidi w:val="0"/>
              <w:rPr>
                <w:rFonts w:hint="default"/>
                <w:color w:val="auto"/>
              </w:rPr>
            </w:pPr>
            <w:r>
              <w:rPr>
                <w:rFonts w:hint="default"/>
                <w:color w:val="auto"/>
              </w:rPr>
              <w:t>特种作业人员未按照规定经专门的安全作业培训并取得相应资格，上岗作业的。</w:t>
            </w:r>
          </w:p>
        </w:tc>
        <w:tc>
          <w:tcPr>
            <w:tcW w:w="1576" w:type="pct"/>
            <w:noWrap w:val="0"/>
            <w:vAlign w:val="center"/>
          </w:tcPr>
          <w:p w14:paraId="7E80B8F2">
            <w:pPr>
              <w:pStyle w:val="30"/>
              <w:bidi w:val="0"/>
              <w:rPr>
                <w:rFonts w:hint="default"/>
                <w:color w:val="auto"/>
              </w:rPr>
            </w:pPr>
            <w:r>
              <w:rPr>
                <w:rFonts w:hint="default"/>
                <w:color w:val="auto"/>
              </w:rPr>
              <w:t>《工贸企业重大事故隐患判定标准》（中华人民共和国应急管理部令第10号）</w:t>
            </w:r>
          </w:p>
          <w:p w14:paraId="6A939A78">
            <w:pPr>
              <w:pStyle w:val="30"/>
              <w:bidi w:val="0"/>
              <w:rPr>
                <w:rFonts w:hint="default"/>
                <w:color w:val="auto"/>
              </w:rPr>
            </w:pPr>
            <w:r>
              <w:rPr>
                <w:rFonts w:hint="default"/>
                <w:color w:val="auto"/>
              </w:rPr>
              <w:t>第三条（二）</w:t>
            </w:r>
          </w:p>
        </w:tc>
        <w:tc>
          <w:tcPr>
            <w:tcW w:w="774" w:type="pct"/>
            <w:noWrap w:val="0"/>
            <w:vAlign w:val="center"/>
          </w:tcPr>
          <w:p w14:paraId="5A0B55EB">
            <w:pPr>
              <w:pStyle w:val="30"/>
              <w:bidi w:val="0"/>
              <w:rPr>
                <w:rFonts w:hint="default"/>
                <w:color w:val="auto"/>
              </w:rPr>
            </w:pPr>
            <w:r>
              <w:rPr>
                <w:rFonts w:hint="default"/>
                <w:color w:val="auto"/>
              </w:rPr>
              <w:t>电工等特种作业人员已按照规定经专门的安全作业培训并取得相应资格，持证上岗。</w:t>
            </w:r>
          </w:p>
        </w:tc>
        <w:tc>
          <w:tcPr>
            <w:tcW w:w="547" w:type="pct"/>
            <w:noWrap w:val="0"/>
            <w:vAlign w:val="center"/>
          </w:tcPr>
          <w:p w14:paraId="3C2D4F05">
            <w:pPr>
              <w:pStyle w:val="30"/>
              <w:bidi w:val="0"/>
              <w:rPr>
                <w:rFonts w:hint="default"/>
                <w:color w:val="auto"/>
              </w:rPr>
            </w:pPr>
            <w:r>
              <w:rPr>
                <w:rFonts w:hint="default"/>
                <w:color w:val="auto"/>
              </w:rPr>
              <w:t>符合</w:t>
            </w:r>
          </w:p>
        </w:tc>
      </w:tr>
      <w:tr w14:paraId="474B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87" w:type="pct"/>
            <w:noWrap w:val="0"/>
            <w:vAlign w:val="center"/>
          </w:tcPr>
          <w:p w14:paraId="22358BB1">
            <w:pPr>
              <w:pStyle w:val="30"/>
              <w:bidi w:val="0"/>
              <w:rPr>
                <w:rFonts w:hint="eastAsia"/>
                <w:color w:val="auto"/>
                <w:lang w:val="en-US" w:eastAsia="zh-CN"/>
              </w:rPr>
            </w:pPr>
            <w:r>
              <w:rPr>
                <w:rFonts w:hint="eastAsia"/>
                <w:color w:val="auto"/>
                <w:lang w:val="en-US" w:eastAsia="zh-CN"/>
              </w:rPr>
              <w:t>3</w:t>
            </w:r>
          </w:p>
        </w:tc>
        <w:tc>
          <w:tcPr>
            <w:tcW w:w="1714" w:type="pct"/>
            <w:noWrap w:val="0"/>
            <w:vAlign w:val="center"/>
          </w:tcPr>
          <w:p w14:paraId="3947EB40">
            <w:pPr>
              <w:pStyle w:val="30"/>
              <w:bidi w:val="0"/>
              <w:rPr>
                <w:rFonts w:hint="default"/>
                <w:color w:val="auto"/>
              </w:rPr>
            </w:pPr>
            <w:r>
              <w:rPr>
                <w:rFonts w:hint="default"/>
                <w:color w:val="auto"/>
              </w:rPr>
              <w:t>未对有限空间进行辨识、建立安全管理台账，并且未设置明显的安全警示标志的；</w:t>
            </w:r>
          </w:p>
        </w:tc>
        <w:tc>
          <w:tcPr>
            <w:tcW w:w="1576" w:type="pct"/>
            <w:noWrap w:val="0"/>
            <w:vAlign w:val="center"/>
          </w:tcPr>
          <w:p w14:paraId="7E86410C">
            <w:pPr>
              <w:pStyle w:val="30"/>
              <w:bidi w:val="0"/>
              <w:rPr>
                <w:rFonts w:hint="default"/>
                <w:color w:val="auto"/>
              </w:rPr>
            </w:pPr>
            <w:r>
              <w:rPr>
                <w:rFonts w:hint="default"/>
                <w:color w:val="auto"/>
              </w:rPr>
              <w:t>《工贸企业重大事故隐患判定标准》（中华人民共和国应急管理部令第10号）</w:t>
            </w:r>
          </w:p>
          <w:p w14:paraId="5FC23BA6">
            <w:pPr>
              <w:pStyle w:val="30"/>
              <w:bidi w:val="0"/>
              <w:rPr>
                <w:rFonts w:hint="default"/>
                <w:color w:val="auto"/>
              </w:rPr>
            </w:pPr>
            <w:r>
              <w:rPr>
                <w:rFonts w:hint="default"/>
                <w:color w:val="auto"/>
              </w:rPr>
              <w:t>第十三条（一）</w:t>
            </w:r>
          </w:p>
        </w:tc>
        <w:tc>
          <w:tcPr>
            <w:tcW w:w="774" w:type="pct"/>
            <w:noWrap w:val="0"/>
            <w:vAlign w:val="center"/>
          </w:tcPr>
          <w:p w14:paraId="33A8CE1A">
            <w:pPr>
              <w:pStyle w:val="30"/>
              <w:bidi w:val="0"/>
              <w:rPr>
                <w:rFonts w:hint="default"/>
                <w:color w:val="auto"/>
              </w:rPr>
            </w:pPr>
            <w:r>
              <w:rPr>
                <w:rFonts w:hint="default"/>
                <w:color w:val="auto"/>
              </w:rPr>
              <w:t>已对有限空间进行辨识，建立了安全管理台账，并在有限空间部位设置了明显的安全警示标志。</w:t>
            </w:r>
          </w:p>
        </w:tc>
        <w:tc>
          <w:tcPr>
            <w:tcW w:w="547" w:type="pct"/>
            <w:noWrap w:val="0"/>
            <w:vAlign w:val="center"/>
          </w:tcPr>
          <w:p w14:paraId="48E33449">
            <w:pPr>
              <w:pStyle w:val="30"/>
              <w:bidi w:val="0"/>
              <w:rPr>
                <w:rFonts w:hint="default"/>
                <w:color w:val="auto"/>
              </w:rPr>
            </w:pPr>
            <w:r>
              <w:rPr>
                <w:rFonts w:hint="default"/>
                <w:color w:val="auto"/>
              </w:rPr>
              <w:t>符合</w:t>
            </w:r>
          </w:p>
        </w:tc>
      </w:tr>
      <w:tr w14:paraId="5CC0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87" w:type="pct"/>
            <w:noWrap w:val="0"/>
            <w:vAlign w:val="center"/>
          </w:tcPr>
          <w:p w14:paraId="717A3F1D">
            <w:pPr>
              <w:pStyle w:val="30"/>
              <w:bidi w:val="0"/>
              <w:rPr>
                <w:rFonts w:hint="eastAsia"/>
                <w:color w:val="auto"/>
                <w:lang w:val="en-US" w:eastAsia="zh-CN"/>
              </w:rPr>
            </w:pPr>
            <w:r>
              <w:rPr>
                <w:rFonts w:hint="eastAsia"/>
                <w:color w:val="auto"/>
                <w:lang w:val="en-US" w:eastAsia="zh-CN"/>
              </w:rPr>
              <w:t>4</w:t>
            </w:r>
          </w:p>
        </w:tc>
        <w:tc>
          <w:tcPr>
            <w:tcW w:w="1714" w:type="pct"/>
            <w:noWrap w:val="0"/>
            <w:vAlign w:val="center"/>
          </w:tcPr>
          <w:p w14:paraId="57716521">
            <w:pPr>
              <w:pStyle w:val="30"/>
              <w:bidi w:val="0"/>
              <w:rPr>
                <w:rFonts w:hint="default"/>
                <w:color w:val="auto"/>
              </w:rPr>
            </w:pPr>
            <w:r>
              <w:rPr>
                <w:rFonts w:hint="default"/>
                <w:color w:val="auto"/>
              </w:rPr>
              <w:t>未落实有限空间作业审批，或者未执行“先通风、再检测、后作业”要求，或者作业现场未设置监护人员的。</w:t>
            </w:r>
          </w:p>
        </w:tc>
        <w:tc>
          <w:tcPr>
            <w:tcW w:w="1576" w:type="pct"/>
            <w:noWrap w:val="0"/>
            <w:vAlign w:val="center"/>
          </w:tcPr>
          <w:p w14:paraId="17B4BD1E">
            <w:pPr>
              <w:pStyle w:val="30"/>
              <w:bidi w:val="0"/>
              <w:rPr>
                <w:rFonts w:hint="default"/>
                <w:color w:val="auto"/>
              </w:rPr>
            </w:pPr>
            <w:r>
              <w:rPr>
                <w:rFonts w:hint="default"/>
                <w:color w:val="auto"/>
              </w:rPr>
              <w:t>《工贸企业重大事故隐患判定标准》（中华人民共和国应急管理部令第10号）</w:t>
            </w:r>
          </w:p>
          <w:p w14:paraId="3E17D759">
            <w:pPr>
              <w:pStyle w:val="30"/>
              <w:bidi w:val="0"/>
              <w:rPr>
                <w:rFonts w:hint="default"/>
                <w:color w:val="auto"/>
              </w:rPr>
            </w:pPr>
            <w:r>
              <w:rPr>
                <w:rFonts w:hint="default"/>
                <w:color w:val="auto"/>
              </w:rPr>
              <w:t>第十三条（二）</w:t>
            </w:r>
          </w:p>
        </w:tc>
        <w:tc>
          <w:tcPr>
            <w:tcW w:w="774" w:type="pct"/>
            <w:noWrap w:val="0"/>
            <w:vAlign w:val="center"/>
          </w:tcPr>
          <w:p w14:paraId="6EC76B23">
            <w:pPr>
              <w:pStyle w:val="30"/>
              <w:bidi w:val="0"/>
              <w:rPr>
                <w:rFonts w:hint="default"/>
                <w:color w:val="auto"/>
                <w:lang w:val="en-US" w:eastAsia="zh-CN"/>
              </w:rPr>
            </w:pPr>
            <w:r>
              <w:rPr>
                <w:rFonts w:hint="eastAsia"/>
                <w:color w:val="auto"/>
                <w:lang w:val="en-US" w:eastAsia="zh-CN"/>
              </w:rPr>
              <w:t>企业制定了有限空间作业作业审批制度。</w:t>
            </w:r>
          </w:p>
        </w:tc>
        <w:tc>
          <w:tcPr>
            <w:tcW w:w="547" w:type="pct"/>
            <w:noWrap w:val="0"/>
            <w:vAlign w:val="center"/>
          </w:tcPr>
          <w:p w14:paraId="145ACE26">
            <w:pPr>
              <w:pStyle w:val="30"/>
              <w:bidi w:val="0"/>
              <w:rPr>
                <w:rFonts w:hint="default"/>
                <w:color w:val="auto"/>
              </w:rPr>
            </w:pPr>
            <w:r>
              <w:rPr>
                <w:rFonts w:hint="default"/>
                <w:color w:val="auto"/>
              </w:rPr>
              <w:t>符合</w:t>
            </w:r>
          </w:p>
        </w:tc>
      </w:tr>
    </w:tbl>
    <w:p w14:paraId="7A7DDCD2">
      <w:pPr>
        <w:bidi w:val="0"/>
        <w:rPr>
          <w:rFonts w:hint="eastAsia"/>
          <w:color w:val="auto"/>
        </w:rPr>
      </w:pPr>
      <w:r>
        <w:rPr>
          <w:rFonts w:hint="eastAsia"/>
          <w:color w:val="auto"/>
        </w:rPr>
        <w:t>通过参照《工贸企业重大事故隐患判定标准》（中华人民共和国应急管理部令第10号）判定检查，该技改项目目前不存在重大事故隐患。</w:t>
      </w:r>
    </w:p>
    <w:p w14:paraId="2B05E068">
      <w:pPr>
        <w:bidi w:val="0"/>
        <w:rPr>
          <w:color w:val="auto"/>
        </w:rPr>
      </w:pPr>
    </w:p>
    <w:p w14:paraId="160197C8">
      <w:pPr>
        <w:rPr>
          <w:color w:val="auto"/>
        </w:rPr>
      </w:pPr>
      <w:r>
        <w:rPr>
          <w:color w:val="auto"/>
        </w:rPr>
        <w:br w:type="page"/>
      </w:r>
    </w:p>
    <w:p w14:paraId="52903FF5">
      <w:pPr>
        <w:pStyle w:val="2"/>
        <w:bidi w:val="0"/>
        <w:rPr>
          <w:rFonts w:hint="eastAsia"/>
          <w:color w:val="auto"/>
        </w:rPr>
      </w:pPr>
      <w:bookmarkStart w:id="134" w:name="_Toc28402"/>
      <w:r>
        <w:rPr>
          <w:rFonts w:hint="eastAsia"/>
          <w:color w:val="auto"/>
        </w:rPr>
        <w:t>6 安全对策措施及建议</w:t>
      </w:r>
      <w:bookmarkEnd w:id="134"/>
    </w:p>
    <w:p w14:paraId="7AFC8C55">
      <w:pPr>
        <w:pStyle w:val="3"/>
        <w:bidi w:val="0"/>
        <w:rPr>
          <w:rFonts w:hint="eastAsia"/>
          <w:color w:val="auto"/>
        </w:rPr>
      </w:pPr>
      <w:bookmarkStart w:id="135" w:name="_Toc3506"/>
      <w:r>
        <w:rPr>
          <w:rFonts w:hint="eastAsia"/>
          <w:color w:val="auto"/>
        </w:rPr>
        <w:t>6.1 存在的主要问题、整改建议及整改情况</w:t>
      </w:r>
      <w:bookmarkEnd w:id="135"/>
    </w:p>
    <w:p w14:paraId="54326B44">
      <w:pPr>
        <w:pStyle w:val="4"/>
        <w:bidi w:val="0"/>
        <w:rPr>
          <w:rFonts w:hint="eastAsia"/>
          <w:color w:val="auto"/>
        </w:rPr>
      </w:pPr>
      <w:bookmarkStart w:id="136" w:name="_Toc16932"/>
      <w:r>
        <w:rPr>
          <w:rFonts w:hint="eastAsia"/>
          <w:color w:val="auto"/>
        </w:rPr>
        <w:t>6.1.1</w:t>
      </w:r>
      <w:r>
        <w:rPr>
          <w:rFonts w:hint="eastAsia"/>
          <w:color w:val="auto"/>
          <w:lang w:val="en-US" w:eastAsia="zh-CN"/>
        </w:rPr>
        <w:t xml:space="preserve"> </w:t>
      </w:r>
      <w:r>
        <w:rPr>
          <w:rFonts w:hint="eastAsia"/>
          <w:color w:val="auto"/>
        </w:rPr>
        <w:t>存在的主要问题及整改建议</w:t>
      </w:r>
      <w:bookmarkEnd w:id="136"/>
    </w:p>
    <w:p w14:paraId="55B9A927">
      <w:pPr>
        <w:bidi w:val="0"/>
        <w:rPr>
          <w:color w:val="auto"/>
        </w:rPr>
      </w:pPr>
      <w:r>
        <w:rPr>
          <w:rFonts w:hint="eastAsia"/>
          <w:color w:val="auto"/>
        </w:rPr>
        <w:t>经过评价小组对</w:t>
      </w:r>
      <w:r>
        <w:rPr>
          <w:rFonts w:hint="eastAsia"/>
          <w:color w:val="auto"/>
          <w:lang w:eastAsia="zh-CN"/>
        </w:rPr>
        <w:t>武定发荣矿业有限责任公司猫街大炉箐繁茂采选厂技术改造项目</w:t>
      </w:r>
      <w:r>
        <w:rPr>
          <w:rFonts w:hint="eastAsia"/>
          <w:color w:val="auto"/>
        </w:rPr>
        <w:t>安全验收评价项目进行现场勘查及查阅相关资料后，存在如下问题需进行整改：</w:t>
      </w:r>
    </w:p>
    <w:p w14:paraId="12DB9EA1">
      <w:pPr>
        <w:bidi w:val="0"/>
        <w:rPr>
          <w:rFonts w:hint="eastAsia" w:eastAsia="宋体"/>
          <w:color w:val="auto"/>
          <w:lang w:eastAsia="zh-CN"/>
        </w:rPr>
      </w:pPr>
      <w:r>
        <w:rPr>
          <w:rFonts w:hint="eastAsia"/>
          <w:color w:val="auto"/>
        </w:rPr>
        <w:t>1、存在问题：场内安全警示标识不足</w:t>
      </w:r>
      <w:r>
        <w:rPr>
          <w:rFonts w:hint="eastAsia"/>
          <w:color w:val="auto"/>
          <w:lang w:eastAsia="zh-CN"/>
        </w:rPr>
        <w:t>。</w:t>
      </w:r>
    </w:p>
    <w:p w14:paraId="0766F2A5">
      <w:pPr>
        <w:bidi w:val="0"/>
        <w:rPr>
          <w:rFonts w:hint="eastAsia"/>
          <w:color w:val="auto"/>
        </w:rPr>
      </w:pPr>
      <w:r>
        <w:rPr>
          <w:rFonts w:hint="eastAsia"/>
          <w:color w:val="auto"/>
        </w:rPr>
        <w:t>整改建议：企业</w:t>
      </w:r>
      <w:r>
        <w:rPr>
          <w:rFonts w:hint="eastAsia"/>
          <w:color w:val="auto"/>
          <w:lang w:val="en-US" w:eastAsia="zh-CN"/>
        </w:rPr>
        <w:t>应</w:t>
      </w:r>
      <w:r>
        <w:rPr>
          <w:rFonts w:hint="eastAsia"/>
          <w:color w:val="auto"/>
        </w:rPr>
        <w:t>完善警示标志的设置：厂区入口处设置“减速慢行”、“限速5km/h”等标识；在作业区域出入口设置“噪声危险”等安全警示标识；检修设备时设置“禁止开动”、“有人作业，禁止合闸”等标志牌；在堆场设置“当心车辆”、“当心坍塌”等安全警示标识，在场内设置其他警示标识。</w:t>
      </w:r>
    </w:p>
    <w:p w14:paraId="6DA36A78">
      <w:pPr>
        <w:bidi w:val="0"/>
        <w:rPr>
          <w:rFonts w:hint="eastAsia"/>
          <w:color w:val="auto"/>
        </w:rPr>
      </w:pPr>
      <w:r>
        <w:rPr>
          <w:rFonts w:hint="eastAsia"/>
          <w:color w:val="auto"/>
        </w:rPr>
        <w:t>2、存在问题：下料斗上方未设置车</w:t>
      </w:r>
      <w:r>
        <w:rPr>
          <w:rFonts w:hint="eastAsia"/>
          <w:color w:val="auto"/>
          <w:lang w:val="en-US" w:eastAsia="zh-CN"/>
        </w:rPr>
        <w:t>挡</w:t>
      </w:r>
      <w:r>
        <w:rPr>
          <w:rFonts w:hint="eastAsia"/>
          <w:color w:val="auto"/>
        </w:rPr>
        <w:t>，料仓口未设置格栅。</w:t>
      </w:r>
    </w:p>
    <w:p w14:paraId="05443E20">
      <w:pPr>
        <w:bidi w:val="0"/>
        <w:rPr>
          <w:rFonts w:hint="eastAsia"/>
          <w:color w:val="auto"/>
        </w:rPr>
      </w:pPr>
      <w:r>
        <w:rPr>
          <w:rFonts w:hint="eastAsia"/>
          <w:color w:val="auto"/>
        </w:rPr>
        <w:t>整改建议：企业</w:t>
      </w:r>
      <w:r>
        <w:rPr>
          <w:rFonts w:hint="eastAsia"/>
          <w:color w:val="auto"/>
          <w:lang w:val="en-US" w:eastAsia="zh-CN"/>
        </w:rPr>
        <w:t>应</w:t>
      </w:r>
      <w:r>
        <w:rPr>
          <w:rFonts w:hint="eastAsia"/>
          <w:color w:val="auto"/>
        </w:rPr>
        <w:t>按照设计要求在下料斗上方设置车</w:t>
      </w:r>
      <w:r>
        <w:rPr>
          <w:rFonts w:hint="eastAsia"/>
          <w:color w:val="auto"/>
          <w:lang w:val="en-US" w:eastAsia="zh-CN"/>
        </w:rPr>
        <w:t>挡</w:t>
      </w:r>
      <w:r>
        <w:rPr>
          <w:rFonts w:hint="eastAsia"/>
          <w:color w:val="auto"/>
        </w:rPr>
        <w:t>，料仓口设置格栅。</w:t>
      </w:r>
    </w:p>
    <w:p w14:paraId="22A46C5B">
      <w:pPr>
        <w:bidi w:val="0"/>
        <w:rPr>
          <w:rFonts w:hint="eastAsia"/>
          <w:color w:val="auto"/>
        </w:rPr>
      </w:pPr>
      <w:r>
        <w:rPr>
          <w:rFonts w:hint="eastAsia"/>
          <w:color w:val="auto"/>
          <w:lang w:val="en-US" w:eastAsia="zh-CN"/>
        </w:rPr>
        <w:t>3</w:t>
      </w:r>
      <w:r>
        <w:rPr>
          <w:rFonts w:hint="eastAsia"/>
          <w:color w:val="auto"/>
        </w:rPr>
        <w:t>、存在问题：原矿堆场周边未设置排水措施，边坡高度较高，无防护措施。</w:t>
      </w:r>
    </w:p>
    <w:p w14:paraId="524A2AE5">
      <w:pPr>
        <w:bidi w:val="0"/>
        <w:rPr>
          <w:color w:val="auto"/>
        </w:rPr>
      </w:pPr>
      <w:r>
        <w:rPr>
          <w:rFonts w:hint="eastAsia"/>
          <w:color w:val="auto"/>
        </w:rPr>
        <w:t>整改建议：企业应按设计要求在原矿堆场周边设置排水沟，边坡边缘设置拦挡。</w:t>
      </w:r>
    </w:p>
    <w:p w14:paraId="20E37C24">
      <w:pPr>
        <w:bidi w:val="0"/>
        <w:rPr>
          <w:rFonts w:hint="eastAsia" w:eastAsia="宋体"/>
          <w:color w:val="auto"/>
          <w:lang w:val="en-US" w:eastAsia="zh-CN"/>
        </w:rPr>
      </w:pPr>
      <w:r>
        <w:rPr>
          <w:rFonts w:hint="eastAsia"/>
          <w:color w:val="auto"/>
          <w:lang w:val="en-US" w:eastAsia="zh-CN"/>
        </w:rPr>
        <w:t>4、</w:t>
      </w:r>
      <w:r>
        <w:rPr>
          <w:rFonts w:hint="eastAsia"/>
          <w:color w:val="auto"/>
        </w:rPr>
        <w:t>存在问题：带式运输机未设置急停拉绳开关。</w:t>
      </w:r>
    </w:p>
    <w:p w14:paraId="732DE9F3">
      <w:pPr>
        <w:bidi w:val="0"/>
        <w:rPr>
          <w:color w:val="auto"/>
        </w:rPr>
      </w:pPr>
      <w:r>
        <w:rPr>
          <w:rFonts w:hint="eastAsia"/>
          <w:color w:val="auto"/>
        </w:rPr>
        <w:t>整改建议：企业应在沿输送机的全长设置急停拉绳开关。拉绳开关的间距不得大于60m。当输送机的长度小于30m时，允许不设拉绳开关而用急停按钮代替，输送机长度方向上的任何一点到急停按钮的距离不得大于10m。拉绳开关使用手动复位开关。</w:t>
      </w:r>
    </w:p>
    <w:p w14:paraId="32FABF20">
      <w:pPr>
        <w:bidi w:val="0"/>
        <w:rPr>
          <w:rFonts w:hint="eastAsia" w:eastAsia="宋体"/>
          <w:color w:val="auto"/>
          <w:lang w:val="en-US" w:eastAsia="zh-CN"/>
        </w:rPr>
      </w:pPr>
      <w:r>
        <w:rPr>
          <w:rFonts w:hint="eastAsia"/>
          <w:color w:val="auto"/>
          <w:lang w:val="en-US" w:eastAsia="zh-CN"/>
        </w:rPr>
        <w:t>5、</w:t>
      </w:r>
      <w:r>
        <w:rPr>
          <w:rFonts w:hint="eastAsia"/>
          <w:color w:val="auto"/>
        </w:rPr>
        <w:t>存在问题：</w:t>
      </w:r>
      <w:r>
        <w:rPr>
          <w:rFonts w:hint="eastAsia"/>
          <w:color w:val="auto"/>
          <w:lang w:val="en-US" w:eastAsia="zh-CN"/>
        </w:rPr>
        <w:t>已停用设备未悬挂停用标识牌。</w:t>
      </w:r>
    </w:p>
    <w:p w14:paraId="64605803">
      <w:pPr>
        <w:bidi w:val="0"/>
        <w:rPr>
          <w:color w:val="auto"/>
        </w:rPr>
      </w:pPr>
      <w:r>
        <w:rPr>
          <w:rFonts w:hint="eastAsia"/>
          <w:color w:val="auto"/>
        </w:rPr>
        <w:t>整改建议：</w:t>
      </w:r>
      <w:r>
        <w:rPr>
          <w:rFonts w:hint="eastAsia"/>
          <w:color w:val="auto"/>
          <w:lang w:val="en-US" w:eastAsia="zh-CN"/>
        </w:rPr>
        <w:t>企业应</w:t>
      </w:r>
      <w:r>
        <w:rPr>
          <w:rFonts w:hint="eastAsia"/>
          <w:color w:val="auto"/>
        </w:rPr>
        <w:t>给已停用的设备悬挂停用标识牌，设置警戒线。</w:t>
      </w:r>
    </w:p>
    <w:p w14:paraId="2EB4919C">
      <w:pPr>
        <w:bidi w:val="0"/>
        <w:rPr>
          <w:rFonts w:hint="eastAsia" w:eastAsia="宋体"/>
          <w:color w:val="auto"/>
          <w:lang w:val="en-US" w:eastAsia="zh-CN"/>
        </w:rPr>
      </w:pPr>
      <w:r>
        <w:rPr>
          <w:rFonts w:hint="eastAsia"/>
          <w:color w:val="auto"/>
          <w:lang w:val="en-US" w:eastAsia="zh-CN"/>
        </w:rPr>
        <w:t>6、</w:t>
      </w:r>
      <w:r>
        <w:rPr>
          <w:rFonts w:hint="eastAsia"/>
          <w:color w:val="auto"/>
        </w:rPr>
        <w:t>存在问题：</w:t>
      </w:r>
      <w:r>
        <w:rPr>
          <w:rFonts w:hint="eastAsia"/>
          <w:color w:val="auto"/>
          <w:lang w:val="en-US" w:eastAsia="zh-CN"/>
        </w:rPr>
        <w:t>场内柱墙无防撞标识。</w:t>
      </w:r>
    </w:p>
    <w:p w14:paraId="75B2EA18">
      <w:pPr>
        <w:bidi w:val="0"/>
        <w:rPr>
          <w:color w:val="auto"/>
        </w:rPr>
      </w:pPr>
      <w:r>
        <w:rPr>
          <w:rFonts w:hint="eastAsia"/>
          <w:color w:val="auto"/>
        </w:rPr>
        <w:t>整改建议：</w:t>
      </w:r>
      <w:r>
        <w:rPr>
          <w:rFonts w:hint="eastAsia"/>
          <w:color w:val="auto"/>
          <w:lang w:val="en-US" w:eastAsia="zh-CN"/>
        </w:rPr>
        <w:t>企业应</w:t>
      </w:r>
      <w:r>
        <w:rPr>
          <w:rFonts w:hint="eastAsia"/>
          <w:color w:val="auto"/>
        </w:rPr>
        <w:t>给场内的柱墙设置防撞色、防撞标识，必要时可设置防撞墩、防撞栏。</w:t>
      </w:r>
    </w:p>
    <w:p w14:paraId="6948D5B6">
      <w:pPr>
        <w:bidi w:val="0"/>
        <w:rPr>
          <w:rFonts w:hint="eastAsia" w:eastAsia="宋体"/>
          <w:color w:val="auto"/>
          <w:lang w:val="en-US" w:eastAsia="zh-CN"/>
        </w:rPr>
      </w:pPr>
      <w:r>
        <w:rPr>
          <w:rFonts w:hint="eastAsia"/>
          <w:color w:val="auto"/>
          <w:lang w:val="en-US" w:eastAsia="zh-CN"/>
        </w:rPr>
        <w:t>7、</w:t>
      </w:r>
      <w:r>
        <w:rPr>
          <w:rFonts w:hint="eastAsia"/>
          <w:color w:val="auto"/>
        </w:rPr>
        <w:t>存在问题：球磨机转动部位未设置隔离防护栏。</w:t>
      </w:r>
    </w:p>
    <w:p w14:paraId="1AA5126F">
      <w:pPr>
        <w:bidi w:val="0"/>
        <w:rPr>
          <w:rFonts w:hint="eastAsia" w:eastAsia="宋体"/>
          <w:color w:val="auto"/>
          <w:lang w:eastAsia="zh-CN"/>
        </w:rPr>
      </w:pPr>
      <w:r>
        <w:rPr>
          <w:rFonts w:hint="eastAsia"/>
          <w:color w:val="auto"/>
        </w:rPr>
        <w:t>整改建议：</w:t>
      </w:r>
      <w:r>
        <w:rPr>
          <w:rFonts w:hint="eastAsia"/>
          <w:color w:val="auto"/>
          <w:lang w:val="en-US" w:eastAsia="zh-CN"/>
        </w:rPr>
        <w:t>企业应</w:t>
      </w:r>
      <w:r>
        <w:rPr>
          <w:rFonts w:hint="eastAsia"/>
          <w:color w:val="auto"/>
        </w:rPr>
        <w:t>在球磨机转动部位设置隔离防护栏</w:t>
      </w:r>
      <w:r>
        <w:rPr>
          <w:rFonts w:hint="eastAsia"/>
          <w:color w:val="auto"/>
          <w:lang w:eastAsia="zh-CN"/>
        </w:rPr>
        <w:t>。</w:t>
      </w:r>
    </w:p>
    <w:p w14:paraId="725DAA4C">
      <w:pPr>
        <w:bidi w:val="0"/>
        <w:rPr>
          <w:rFonts w:hint="eastAsia" w:eastAsia="宋体"/>
          <w:color w:val="auto"/>
          <w:lang w:val="en-US" w:eastAsia="zh-CN"/>
        </w:rPr>
      </w:pPr>
      <w:r>
        <w:rPr>
          <w:rFonts w:hint="eastAsia"/>
          <w:color w:val="auto"/>
          <w:lang w:val="en-US" w:eastAsia="zh-CN"/>
        </w:rPr>
        <w:t>8、</w:t>
      </w:r>
      <w:r>
        <w:rPr>
          <w:rFonts w:hint="eastAsia"/>
          <w:color w:val="auto"/>
        </w:rPr>
        <w:t>存在问题：</w:t>
      </w:r>
      <w:r>
        <w:rPr>
          <w:rFonts w:hint="eastAsia"/>
          <w:color w:val="auto"/>
          <w:lang w:val="en-US" w:eastAsia="zh-CN"/>
        </w:rPr>
        <w:t>原矿堆场未设置安全警示标识。</w:t>
      </w:r>
    </w:p>
    <w:p w14:paraId="09065644">
      <w:pPr>
        <w:bidi w:val="0"/>
        <w:rPr>
          <w:color w:val="auto"/>
        </w:rPr>
      </w:pPr>
      <w:r>
        <w:rPr>
          <w:rFonts w:hint="eastAsia"/>
          <w:color w:val="auto"/>
        </w:rPr>
        <w:t>整改建议：整改建议在原矿堆场设置当心车辆、当心坍塌等警示标识。</w:t>
      </w:r>
    </w:p>
    <w:p w14:paraId="4CC60713">
      <w:pPr>
        <w:bidi w:val="0"/>
        <w:rPr>
          <w:rFonts w:hint="default" w:eastAsia="宋体"/>
          <w:color w:val="auto"/>
          <w:lang w:val="en-US" w:eastAsia="zh-CN"/>
        </w:rPr>
      </w:pPr>
      <w:r>
        <w:rPr>
          <w:rFonts w:hint="eastAsia"/>
          <w:color w:val="auto"/>
          <w:lang w:val="en-US" w:eastAsia="zh-CN"/>
        </w:rPr>
        <w:t>9、</w:t>
      </w:r>
      <w:r>
        <w:rPr>
          <w:rFonts w:hint="eastAsia"/>
          <w:color w:val="auto"/>
        </w:rPr>
        <w:t>存在问题：</w:t>
      </w:r>
      <w:r>
        <w:rPr>
          <w:rFonts w:hint="eastAsia"/>
          <w:color w:val="auto"/>
          <w:lang w:val="en-US" w:eastAsia="zh-CN"/>
        </w:rPr>
        <w:t>皮带等转动部位防护罩不全。</w:t>
      </w:r>
    </w:p>
    <w:p w14:paraId="6C03FF06">
      <w:pPr>
        <w:bidi w:val="0"/>
        <w:rPr>
          <w:color w:val="auto"/>
        </w:rPr>
      </w:pPr>
      <w:r>
        <w:rPr>
          <w:rFonts w:hint="eastAsia"/>
          <w:color w:val="auto"/>
        </w:rPr>
        <w:t>整改建议：企业</w:t>
      </w:r>
      <w:r>
        <w:rPr>
          <w:rFonts w:hint="eastAsia"/>
          <w:color w:val="auto"/>
          <w:lang w:val="en-US" w:eastAsia="zh-CN"/>
        </w:rPr>
        <w:t>应</w:t>
      </w:r>
      <w:r>
        <w:rPr>
          <w:rFonts w:hint="eastAsia"/>
          <w:color w:val="auto"/>
        </w:rPr>
        <w:t>完善皮带等转动部位防护罩或防护栏杆措施。</w:t>
      </w:r>
    </w:p>
    <w:p w14:paraId="06336ADC">
      <w:pPr>
        <w:bidi w:val="0"/>
        <w:rPr>
          <w:rFonts w:hint="default" w:eastAsia="宋体"/>
          <w:color w:val="auto"/>
          <w:lang w:val="en-US" w:eastAsia="zh-CN"/>
        </w:rPr>
      </w:pPr>
      <w:r>
        <w:rPr>
          <w:rFonts w:hint="eastAsia"/>
          <w:color w:val="auto"/>
          <w:lang w:val="en-US" w:eastAsia="zh-CN"/>
        </w:rPr>
        <w:t>10、</w:t>
      </w:r>
      <w:r>
        <w:rPr>
          <w:rFonts w:hint="eastAsia"/>
          <w:color w:val="auto"/>
        </w:rPr>
        <w:t>存在问题：</w:t>
      </w:r>
      <w:r>
        <w:rPr>
          <w:rFonts w:hint="eastAsia"/>
          <w:color w:val="auto"/>
          <w:lang w:val="en-US" w:eastAsia="zh-CN"/>
        </w:rPr>
        <w:t>高处平台通道未设置踢脚板。</w:t>
      </w:r>
    </w:p>
    <w:p w14:paraId="32D1D3E8">
      <w:pPr>
        <w:bidi w:val="0"/>
        <w:rPr>
          <w:color w:val="auto"/>
        </w:rPr>
      </w:pPr>
      <w:r>
        <w:rPr>
          <w:rFonts w:hint="eastAsia"/>
          <w:color w:val="auto"/>
        </w:rPr>
        <w:t>整改建议：企业应在平台、通道或工作面上可能使用工具、机器部件或物品场合，在所有敞开边缘设置带踢脚板的防护栏杆。</w:t>
      </w:r>
    </w:p>
    <w:p w14:paraId="7CB04455">
      <w:pPr>
        <w:bidi w:val="0"/>
        <w:rPr>
          <w:rFonts w:hint="default" w:eastAsia="宋体"/>
          <w:color w:val="auto"/>
          <w:lang w:val="en-US" w:eastAsia="zh-CN"/>
        </w:rPr>
      </w:pPr>
      <w:r>
        <w:rPr>
          <w:rFonts w:hint="eastAsia"/>
          <w:color w:val="auto"/>
          <w:lang w:val="en-US" w:eastAsia="zh-CN"/>
        </w:rPr>
        <w:t>11、</w:t>
      </w:r>
      <w:r>
        <w:rPr>
          <w:rFonts w:hint="eastAsia"/>
          <w:color w:val="auto"/>
        </w:rPr>
        <w:t>存在问题：</w:t>
      </w:r>
      <w:r>
        <w:rPr>
          <w:rFonts w:hint="eastAsia"/>
          <w:color w:val="auto"/>
          <w:lang w:val="en-US" w:eastAsia="zh-CN"/>
        </w:rPr>
        <w:t>破碎车间部分平台和楼梯未设置防护栏。</w:t>
      </w:r>
    </w:p>
    <w:p w14:paraId="504C4093">
      <w:pPr>
        <w:bidi w:val="0"/>
        <w:rPr>
          <w:color w:val="auto"/>
        </w:rPr>
      </w:pPr>
      <w:r>
        <w:rPr>
          <w:rFonts w:hint="eastAsia"/>
          <w:color w:val="auto"/>
        </w:rPr>
        <w:t>整改建议：</w:t>
      </w:r>
      <w:r>
        <w:rPr>
          <w:rFonts w:hint="eastAsia"/>
          <w:color w:val="auto"/>
          <w:lang w:val="en-US" w:eastAsia="zh-CN"/>
        </w:rPr>
        <w:t>企业应</w:t>
      </w:r>
      <w:r>
        <w:rPr>
          <w:rFonts w:hint="eastAsia"/>
          <w:color w:val="auto"/>
        </w:rPr>
        <w:t>在破碎车间的平台和楼梯设置防护栏，厂区内高于2.5m平台边缘设置防护栏。</w:t>
      </w:r>
    </w:p>
    <w:p w14:paraId="0E6BBDA5">
      <w:pPr>
        <w:numPr>
          <w:ilvl w:val="0"/>
          <w:numId w:val="0"/>
        </w:numPr>
        <w:bidi w:val="0"/>
        <w:ind w:firstLine="560" w:firstLineChars="200"/>
        <w:rPr>
          <w:rFonts w:hint="eastAsia"/>
          <w:color w:val="auto"/>
        </w:rPr>
      </w:pPr>
      <w:r>
        <w:rPr>
          <w:rFonts w:hint="eastAsia" w:ascii="Times New Roman" w:hAnsi="Times New Roman" w:eastAsia="宋体" w:cstheme="minorBidi"/>
          <w:color w:val="auto"/>
          <w:kern w:val="2"/>
          <w:sz w:val="28"/>
          <w:szCs w:val="24"/>
          <w:lang w:val="en-US" w:eastAsia="zh-CN" w:bidi="ar-SA"/>
        </w:rPr>
        <w:t>1</w:t>
      </w:r>
      <w:r>
        <w:rPr>
          <w:rFonts w:hint="eastAsia" w:cstheme="minorBidi"/>
          <w:color w:val="auto"/>
          <w:kern w:val="2"/>
          <w:sz w:val="28"/>
          <w:szCs w:val="24"/>
          <w:lang w:val="en-US" w:eastAsia="zh-CN" w:bidi="ar-SA"/>
        </w:rPr>
        <w:t>2</w:t>
      </w:r>
      <w:r>
        <w:rPr>
          <w:rFonts w:hint="eastAsia" w:ascii="Times New Roman" w:hAnsi="Times New Roman" w:eastAsia="宋体" w:cstheme="minorBidi"/>
          <w:color w:val="auto"/>
          <w:kern w:val="2"/>
          <w:sz w:val="28"/>
          <w:szCs w:val="24"/>
          <w:lang w:val="en-US" w:eastAsia="zh-CN" w:bidi="ar-SA"/>
        </w:rPr>
        <w:t>、</w:t>
      </w:r>
      <w:r>
        <w:rPr>
          <w:rFonts w:hint="eastAsia"/>
          <w:color w:val="auto"/>
        </w:rPr>
        <w:t>存在问题：企业未对有限空间作业进行辨识，未设置有限空间安全告知牌。</w:t>
      </w:r>
    </w:p>
    <w:p w14:paraId="6C9211BA">
      <w:pPr>
        <w:bidi w:val="0"/>
        <w:rPr>
          <w:rFonts w:hint="default"/>
          <w:color w:val="auto"/>
          <w:lang w:val="en-US" w:eastAsia="zh-CN"/>
        </w:rPr>
      </w:pPr>
      <w:r>
        <w:rPr>
          <w:rFonts w:hint="eastAsia"/>
          <w:color w:val="auto"/>
        </w:rPr>
        <w:t>整改建议：企业应对有限空间作业进行辨识，建立危险作业管理制度，严格有限空间、临时用电等危险作业审批，设置有限空间安全告知牌。同时企业应完善安全管理台账、管理制度、操作规程、责任制等。</w:t>
      </w:r>
    </w:p>
    <w:p w14:paraId="6DEBDA80">
      <w:pPr>
        <w:bidi w:val="0"/>
        <w:rPr>
          <w:rFonts w:hint="default"/>
          <w:color w:val="auto"/>
          <w:lang w:val="en-US" w:eastAsia="zh-CN"/>
        </w:rPr>
      </w:pPr>
      <w:r>
        <w:rPr>
          <w:rFonts w:hint="eastAsia"/>
          <w:color w:val="auto"/>
          <w:lang w:val="en-US" w:eastAsia="zh-CN"/>
        </w:rPr>
        <w:t>13、</w:t>
      </w:r>
      <w:r>
        <w:rPr>
          <w:rFonts w:hint="eastAsia"/>
          <w:color w:val="auto"/>
        </w:rPr>
        <w:t>存在问题：破碎车间料仓上方部分未设置盖板。</w:t>
      </w:r>
    </w:p>
    <w:p w14:paraId="053DD74E">
      <w:pPr>
        <w:bidi w:val="0"/>
        <w:rPr>
          <w:rFonts w:hint="default"/>
          <w:color w:val="auto"/>
          <w:lang w:val="en-US" w:eastAsia="zh-CN"/>
        </w:rPr>
      </w:pPr>
      <w:r>
        <w:rPr>
          <w:rFonts w:hint="eastAsia"/>
          <w:color w:val="auto"/>
        </w:rPr>
        <w:t>整改建议：</w:t>
      </w:r>
      <w:r>
        <w:rPr>
          <w:rFonts w:hint="eastAsia"/>
          <w:color w:val="auto"/>
          <w:lang w:val="en-US" w:eastAsia="zh-CN"/>
        </w:rPr>
        <w:t>企业应在</w:t>
      </w:r>
      <w:r>
        <w:rPr>
          <w:rFonts w:hint="eastAsia"/>
          <w:color w:val="auto"/>
        </w:rPr>
        <w:t>破碎车间料仓上方设置盖板</w:t>
      </w:r>
      <w:r>
        <w:rPr>
          <w:rFonts w:hint="eastAsia"/>
          <w:color w:val="auto"/>
          <w:lang w:val="en-US" w:eastAsia="zh-CN"/>
        </w:rPr>
        <w:t>或防护栏</w:t>
      </w:r>
      <w:r>
        <w:rPr>
          <w:rFonts w:hint="eastAsia"/>
          <w:color w:val="auto"/>
        </w:rPr>
        <w:t>。</w:t>
      </w:r>
    </w:p>
    <w:p w14:paraId="35071D78">
      <w:pPr>
        <w:bidi w:val="0"/>
        <w:rPr>
          <w:rFonts w:hint="default"/>
          <w:color w:val="auto"/>
          <w:lang w:val="en-US" w:eastAsia="zh-CN"/>
        </w:rPr>
      </w:pPr>
      <w:r>
        <w:rPr>
          <w:rFonts w:hint="eastAsia"/>
          <w:color w:val="auto"/>
          <w:lang w:val="en-US" w:eastAsia="zh-CN"/>
        </w:rPr>
        <w:t>14、</w:t>
      </w:r>
      <w:r>
        <w:rPr>
          <w:rFonts w:hint="eastAsia"/>
          <w:color w:val="auto"/>
        </w:rPr>
        <w:t>存在问题：</w:t>
      </w:r>
      <w:r>
        <w:rPr>
          <w:rFonts w:hint="eastAsia"/>
          <w:color w:val="auto"/>
          <w:lang w:val="en-US" w:eastAsia="zh-CN"/>
        </w:rPr>
        <w:t>药剂贮存与配置槽未设置洗眼器或冲洗设备。</w:t>
      </w:r>
    </w:p>
    <w:p w14:paraId="53878EE4">
      <w:pPr>
        <w:bidi w:val="0"/>
        <w:rPr>
          <w:rFonts w:hint="default"/>
          <w:color w:val="auto"/>
          <w:lang w:val="en-US" w:eastAsia="zh-CN"/>
        </w:rPr>
      </w:pPr>
      <w:r>
        <w:rPr>
          <w:rFonts w:hint="eastAsia"/>
          <w:color w:val="auto"/>
        </w:rPr>
        <w:t>整改建议：</w:t>
      </w:r>
      <w:r>
        <w:rPr>
          <w:rFonts w:hint="eastAsia"/>
          <w:color w:val="auto"/>
          <w:lang w:val="en-US" w:eastAsia="zh-CN"/>
        </w:rPr>
        <w:t>企业应</w:t>
      </w:r>
      <w:r>
        <w:rPr>
          <w:rFonts w:hint="eastAsia"/>
          <w:color w:val="auto"/>
        </w:rPr>
        <w:t>在药剂贮存与配置槽设置洗眼器或冲洗设备（注意服务半径应不大于15m）。</w:t>
      </w:r>
    </w:p>
    <w:p w14:paraId="39491D95">
      <w:pPr>
        <w:pStyle w:val="4"/>
        <w:bidi w:val="0"/>
        <w:rPr>
          <w:rFonts w:hint="default"/>
          <w:color w:val="auto"/>
          <w:lang w:val="en-US" w:eastAsia="zh-CN"/>
        </w:rPr>
      </w:pPr>
      <w:bookmarkStart w:id="137" w:name="_Toc11690"/>
      <w:r>
        <w:rPr>
          <w:rFonts w:hint="default"/>
          <w:color w:val="auto"/>
          <w:lang w:val="en-US" w:eastAsia="zh-CN"/>
        </w:rPr>
        <w:t>6.1.2 现场存在问题整改情况</w:t>
      </w:r>
      <w:bookmarkEnd w:id="137"/>
    </w:p>
    <w:p w14:paraId="0FC7D854">
      <w:pPr>
        <w:bidi w:val="0"/>
        <w:rPr>
          <w:rFonts w:hint="default"/>
          <w:color w:val="auto"/>
          <w:lang w:val="en-US" w:eastAsia="zh-CN"/>
        </w:rPr>
      </w:pPr>
      <w:r>
        <w:rPr>
          <w:rFonts w:hint="default"/>
          <w:color w:val="auto"/>
          <w:lang w:val="en-US" w:eastAsia="zh-CN"/>
        </w:rPr>
        <w:t>经企业提供的整改回复并经现场核实，</w:t>
      </w:r>
      <w:r>
        <w:rPr>
          <w:rFonts w:hint="eastAsia"/>
          <w:color w:val="auto"/>
          <w:lang w:val="en-US" w:eastAsia="zh-CN"/>
        </w:rPr>
        <w:t>整改情况见附件。</w:t>
      </w:r>
    </w:p>
    <w:p w14:paraId="518EB2DD">
      <w:pPr>
        <w:pStyle w:val="3"/>
        <w:bidi w:val="0"/>
        <w:rPr>
          <w:rFonts w:hint="default"/>
          <w:color w:val="auto"/>
          <w:lang w:val="en-US" w:eastAsia="zh-CN"/>
        </w:rPr>
      </w:pPr>
      <w:bookmarkStart w:id="138" w:name="_Toc24506"/>
      <w:r>
        <w:rPr>
          <w:rFonts w:hint="default"/>
          <w:color w:val="auto"/>
          <w:lang w:val="en-US" w:eastAsia="zh-CN"/>
        </w:rPr>
        <w:t>6.2 主要安全对策措施与建议</w:t>
      </w:r>
      <w:bookmarkEnd w:id="138"/>
    </w:p>
    <w:p w14:paraId="19BBE371">
      <w:pPr>
        <w:pStyle w:val="4"/>
        <w:bidi w:val="0"/>
        <w:rPr>
          <w:rFonts w:hint="default"/>
          <w:color w:val="auto"/>
          <w:lang w:val="en-US" w:eastAsia="zh-CN"/>
        </w:rPr>
      </w:pPr>
      <w:bookmarkStart w:id="139" w:name="_Toc32274"/>
      <w:r>
        <w:rPr>
          <w:rFonts w:hint="default"/>
          <w:color w:val="auto"/>
          <w:lang w:val="en-US" w:eastAsia="zh-CN"/>
        </w:rPr>
        <w:t>6.</w:t>
      </w:r>
      <w:r>
        <w:rPr>
          <w:rFonts w:hint="eastAsia"/>
          <w:color w:val="auto"/>
          <w:lang w:val="en-US" w:eastAsia="zh-CN"/>
        </w:rPr>
        <w:t>2.</w:t>
      </w:r>
      <w:r>
        <w:rPr>
          <w:rFonts w:hint="default"/>
          <w:color w:val="auto"/>
          <w:lang w:val="en-US" w:eastAsia="zh-CN"/>
        </w:rPr>
        <w:t>1 厂址及总平面布置单元安全对策措施建议</w:t>
      </w:r>
      <w:bookmarkEnd w:id="139"/>
    </w:p>
    <w:p w14:paraId="649E1F6D">
      <w:pPr>
        <w:bidi w:val="0"/>
        <w:rPr>
          <w:rFonts w:hint="default"/>
          <w:color w:val="auto"/>
          <w:lang w:val="en-US" w:eastAsia="zh-CN"/>
        </w:rPr>
      </w:pPr>
      <w:r>
        <w:rPr>
          <w:rFonts w:hint="default"/>
          <w:color w:val="auto"/>
          <w:lang w:val="en-US" w:eastAsia="zh-CN"/>
        </w:rPr>
        <w:t>1、选厂工业场地稳定与否，对该项目安全生产有较大影响。厂址应避免建设在断层、滑坡上及洪水位下，应避开溶洞、淤泥、腐植土、坑峒、古井等不良地段或文物保护区。</w:t>
      </w:r>
    </w:p>
    <w:p w14:paraId="08BA8C20">
      <w:pPr>
        <w:bidi w:val="0"/>
        <w:rPr>
          <w:rFonts w:hint="default"/>
          <w:color w:val="auto"/>
          <w:lang w:val="en-US" w:eastAsia="zh-CN"/>
        </w:rPr>
      </w:pPr>
      <w:r>
        <w:rPr>
          <w:rFonts w:hint="default"/>
          <w:color w:val="auto"/>
          <w:lang w:val="en-US" w:eastAsia="zh-CN"/>
        </w:rPr>
        <w:t>2、企业应加强对厂区内大型设备的基础进行巡查，发现有松动或下沉等应及时处理。</w:t>
      </w:r>
    </w:p>
    <w:p w14:paraId="5534E49F">
      <w:pPr>
        <w:bidi w:val="0"/>
        <w:rPr>
          <w:rFonts w:hint="default"/>
          <w:color w:val="auto"/>
          <w:lang w:val="en-US" w:eastAsia="zh-CN"/>
        </w:rPr>
      </w:pPr>
      <w:r>
        <w:rPr>
          <w:rFonts w:hint="default"/>
          <w:color w:val="auto"/>
          <w:lang w:val="en-US" w:eastAsia="zh-CN"/>
        </w:rPr>
        <w:t>3、厂区内人行通道及消防通道应保持畅通，不准有物料等堵塞。</w:t>
      </w:r>
    </w:p>
    <w:p w14:paraId="39338531">
      <w:pPr>
        <w:bidi w:val="0"/>
        <w:rPr>
          <w:rFonts w:hint="default"/>
          <w:color w:val="auto"/>
          <w:lang w:val="en-US" w:eastAsia="zh-CN"/>
        </w:rPr>
      </w:pPr>
      <w:r>
        <w:rPr>
          <w:rFonts w:hint="eastAsia"/>
          <w:color w:val="auto"/>
          <w:lang w:val="en-US" w:eastAsia="zh-CN"/>
        </w:rPr>
        <w:t>4</w:t>
      </w:r>
      <w:r>
        <w:rPr>
          <w:rFonts w:hint="default"/>
          <w:color w:val="auto"/>
          <w:lang w:val="en-US" w:eastAsia="zh-CN"/>
        </w:rPr>
        <w:t>、选厂的运输应遵守《工业企业厂内铁路、道路运输安全规程》（GB 4387－2008）的规定。</w:t>
      </w:r>
    </w:p>
    <w:p w14:paraId="1A4E652F">
      <w:pPr>
        <w:bidi w:val="0"/>
        <w:rPr>
          <w:rFonts w:hint="default"/>
          <w:color w:val="auto"/>
          <w:lang w:val="en-US" w:eastAsia="zh-CN"/>
        </w:rPr>
      </w:pPr>
      <w:r>
        <w:rPr>
          <w:rFonts w:hint="eastAsia"/>
          <w:color w:val="auto"/>
          <w:lang w:val="en-US" w:eastAsia="zh-CN"/>
        </w:rPr>
        <w:t>5</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第5.1.1条规定，选择厂址应有完整的地形、工程地质、水文地质、地震、气象及环境影响评价等方面的资料作依据。</w:t>
      </w:r>
    </w:p>
    <w:p w14:paraId="5E391ADD">
      <w:pPr>
        <w:bidi w:val="0"/>
        <w:rPr>
          <w:rFonts w:hint="default"/>
          <w:color w:val="auto"/>
          <w:lang w:val="en-US" w:eastAsia="zh-CN"/>
        </w:rPr>
      </w:pPr>
      <w:r>
        <w:rPr>
          <w:rFonts w:hint="eastAsia"/>
          <w:color w:val="auto"/>
          <w:lang w:val="en-US" w:eastAsia="zh-CN"/>
        </w:rPr>
        <w:t>6</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第5.1.2条规定，选择厂址，宜避开岩溶、流砂、淤泥、湿陷性黄土、断层、塌方、泥石流、滑坡等不良地质地段，否则，应采取可靠的安全措施。</w:t>
      </w:r>
    </w:p>
    <w:p w14:paraId="1DD495DE">
      <w:pPr>
        <w:bidi w:val="0"/>
        <w:rPr>
          <w:rFonts w:hint="default"/>
          <w:color w:val="auto"/>
          <w:lang w:val="en-US" w:eastAsia="zh-CN"/>
        </w:rPr>
      </w:pPr>
      <w:r>
        <w:rPr>
          <w:rFonts w:hint="eastAsia"/>
          <w:color w:val="auto"/>
          <w:lang w:val="en-US" w:eastAsia="zh-CN"/>
        </w:rPr>
        <w:t>7</w:t>
      </w:r>
      <w:r>
        <w:rPr>
          <w:rFonts w:hint="default"/>
          <w:color w:val="auto"/>
          <w:lang w:val="en-US" w:eastAsia="zh-CN"/>
        </w:rPr>
        <w:t>、按工艺流程合理布置厂房，做到功能分区明确、道路通畅、物流高效，厂区建筑物之间符合《建筑设计防火规范》（GB 50016-2014，2018年版）的表3.4.1规定。</w:t>
      </w:r>
    </w:p>
    <w:p w14:paraId="1470F786">
      <w:pPr>
        <w:bidi w:val="0"/>
        <w:rPr>
          <w:rFonts w:hint="default"/>
          <w:color w:val="auto"/>
          <w:lang w:val="en-US" w:eastAsia="zh-CN"/>
        </w:rPr>
      </w:pPr>
      <w:r>
        <w:rPr>
          <w:rFonts w:hint="eastAsia"/>
          <w:color w:val="auto"/>
          <w:lang w:val="en-US" w:eastAsia="zh-CN"/>
        </w:rPr>
        <w:t>8</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第5.2.3条规定，应设置通达厂房、仓库和可燃原料堆场的消防车道（也可利用交通运输道路），其宽度应不小于3.5m。尽头式消防车道，应设回车道或不小于12m×12m的回车场。</w:t>
      </w:r>
    </w:p>
    <w:p w14:paraId="4D84A515">
      <w:pPr>
        <w:bidi w:val="0"/>
        <w:rPr>
          <w:rFonts w:hint="default"/>
          <w:color w:val="auto"/>
          <w:lang w:val="en-US" w:eastAsia="zh-CN"/>
        </w:rPr>
      </w:pPr>
      <w:r>
        <w:rPr>
          <w:rFonts w:hint="eastAsia"/>
          <w:color w:val="auto"/>
          <w:lang w:val="en-US" w:eastAsia="zh-CN"/>
        </w:rPr>
        <w:t>9</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第6.7条规定，荷载较重和振动较大的设备，其基础不应坐落在平台上，而应坐落在地基上。操作平台有集中荷载时应采取特殊加固措施。</w:t>
      </w:r>
    </w:p>
    <w:p w14:paraId="17D0C01A">
      <w:pPr>
        <w:bidi w:val="0"/>
        <w:rPr>
          <w:rFonts w:hint="default"/>
          <w:color w:val="auto"/>
          <w:lang w:val="en-US" w:eastAsia="zh-CN"/>
        </w:rPr>
      </w:pPr>
      <w:r>
        <w:rPr>
          <w:rFonts w:hint="eastAsia"/>
          <w:color w:val="auto"/>
          <w:lang w:val="en-US" w:eastAsia="zh-CN"/>
        </w:rPr>
        <w:t>10</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第6.9条规定，厂房内主要操作通道宽度应不小于1.5m一般设备维护通道宽度应不小于1.0m通道净空高度应小于2.0m。</w:t>
      </w:r>
    </w:p>
    <w:p w14:paraId="49AA8102">
      <w:pPr>
        <w:bidi w:val="0"/>
        <w:rPr>
          <w:rFonts w:hint="default"/>
          <w:color w:val="auto"/>
          <w:lang w:val="en-US" w:eastAsia="zh-CN"/>
        </w:rPr>
      </w:pPr>
      <w:r>
        <w:rPr>
          <w:rFonts w:hint="eastAsia"/>
          <w:color w:val="auto"/>
          <w:lang w:val="en-US" w:eastAsia="zh-CN"/>
        </w:rPr>
        <w:t>11</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第6.11条规定，高度超过0.6m的平台，周围应设栏杆；平台上的孔洞应设栏杆或盖板；必要时，平台边缘应设安全防护板。</w:t>
      </w:r>
    </w:p>
    <w:p w14:paraId="560771EB">
      <w:pPr>
        <w:bidi w:val="0"/>
        <w:rPr>
          <w:rFonts w:hint="default"/>
          <w:color w:val="auto"/>
          <w:lang w:val="en-US" w:eastAsia="zh-CN"/>
        </w:rPr>
      </w:pPr>
      <w:r>
        <w:rPr>
          <w:rFonts w:hint="eastAsia"/>
          <w:color w:val="auto"/>
          <w:lang w:val="en-US" w:eastAsia="zh-CN"/>
        </w:rPr>
        <w:t>12</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第6.12条规定，天桥、通道及走梯，宜用花纹钢板制作。直梯、斜梯、栏杆及平台的制作，应分别符合GB 4053.1、GB 4053.2、GB 4053.3和GB 4053.4的要求。</w:t>
      </w:r>
    </w:p>
    <w:p w14:paraId="3EADC77D">
      <w:pPr>
        <w:bidi w:val="0"/>
        <w:rPr>
          <w:rFonts w:hint="default"/>
          <w:color w:val="auto"/>
          <w:lang w:val="en-US" w:eastAsia="zh-CN"/>
        </w:rPr>
      </w:pPr>
      <w:r>
        <w:rPr>
          <w:rFonts w:hint="eastAsia"/>
          <w:color w:val="auto"/>
          <w:lang w:val="en-US" w:eastAsia="zh-CN"/>
        </w:rPr>
        <w:t>13</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第6.13条规定，应定期检查、维护和清扫栏杆、平台和走梯。</w:t>
      </w:r>
    </w:p>
    <w:p w14:paraId="2BF9BBB8">
      <w:pPr>
        <w:bidi w:val="0"/>
        <w:rPr>
          <w:rFonts w:hint="default"/>
          <w:color w:val="auto"/>
          <w:lang w:val="en-US" w:eastAsia="zh-CN"/>
        </w:rPr>
      </w:pPr>
      <w:r>
        <w:rPr>
          <w:rFonts w:hint="default"/>
          <w:color w:val="auto"/>
          <w:lang w:val="en-US" w:eastAsia="zh-CN"/>
        </w:rPr>
        <w:t>1</w:t>
      </w:r>
      <w:r>
        <w:rPr>
          <w:rFonts w:hint="eastAsia"/>
          <w:color w:val="auto"/>
          <w:lang w:val="en-US" w:eastAsia="zh-CN"/>
        </w:rPr>
        <w:t>4</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第6.17条规定，设备的开关和操作箱，应设在设备附近便于操作的位置。相互联系的设备开关和操作箱，宜集中放置。主要设备电机的安装高度，应便于操作人员检查、维护；如难以满足，应设局部操作平台。</w:t>
      </w:r>
    </w:p>
    <w:p w14:paraId="146E7A54">
      <w:pPr>
        <w:bidi w:val="0"/>
        <w:rPr>
          <w:rFonts w:hint="default"/>
          <w:color w:val="auto"/>
          <w:lang w:val="en-US" w:eastAsia="zh-CN"/>
        </w:rPr>
      </w:pPr>
      <w:r>
        <w:rPr>
          <w:rFonts w:hint="default"/>
          <w:color w:val="auto"/>
          <w:lang w:val="en-US" w:eastAsia="zh-CN"/>
        </w:rPr>
        <w:t>1</w:t>
      </w:r>
      <w:r>
        <w:rPr>
          <w:rFonts w:hint="eastAsia"/>
          <w:color w:val="auto"/>
          <w:lang w:val="en-US" w:eastAsia="zh-CN"/>
        </w:rPr>
        <w:t>5</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第6.18条规定，厂内各类管线、溜槽，不应妨碍操作和行走。</w:t>
      </w:r>
    </w:p>
    <w:p w14:paraId="6209DC3B">
      <w:pPr>
        <w:bidi w:val="0"/>
        <w:rPr>
          <w:rFonts w:hint="default"/>
          <w:color w:val="auto"/>
          <w:lang w:val="en-US" w:eastAsia="zh-CN"/>
        </w:rPr>
      </w:pPr>
      <w:r>
        <w:rPr>
          <w:rFonts w:hint="default"/>
          <w:color w:val="auto"/>
          <w:lang w:val="en-US" w:eastAsia="zh-CN"/>
        </w:rPr>
        <w:t>1</w:t>
      </w:r>
      <w:r>
        <w:rPr>
          <w:rFonts w:hint="eastAsia"/>
          <w:color w:val="auto"/>
          <w:lang w:val="en-US" w:eastAsia="zh-CN"/>
        </w:rPr>
        <w:t>6</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第6.21条规定，厂房应有足够的、供设备（部件）装配和检修用的场地。</w:t>
      </w:r>
    </w:p>
    <w:p w14:paraId="69389416">
      <w:pPr>
        <w:bidi w:val="0"/>
        <w:rPr>
          <w:rFonts w:hint="default"/>
          <w:color w:val="auto"/>
          <w:lang w:val="en-US" w:eastAsia="zh-CN"/>
        </w:rPr>
      </w:pPr>
      <w:r>
        <w:rPr>
          <w:rFonts w:hint="default"/>
          <w:color w:val="auto"/>
          <w:lang w:val="en-US" w:eastAsia="zh-CN"/>
        </w:rPr>
        <w:t>1</w:t>
      </w:r>
      <w:r>
        <w:rPr>
          <w:rFonts w:hint="eastAsia"/>
          <w:color w:val="auto"/>
          <w:lang w:val="en-US" w:eastAsia="zh-CN"/>
        </w:rPr>
        <w:t>7</w:t>
      </w:r>
      <w:r>
        <w:rPr>
          <w:rFonts w:hint="default"/>
          <w:color w:val="auto"/>
          <w:lang w:val="en-US" w:eastAsia="zh-CN"/>
        </w:rPr>
        <w:t>、该场地抗震设防烈度为</w:t>
      </w:r>
      <w:r>
        <w:rPr>
          <w:rFonts w:hint="eastAsia"/>
          <w:color w:val="auto"/>
          <w:lang w:val="en-US" w:eastAsia="zh-CN"/>
        </w:rPr>
        <w:t>7</w:t>
      </w:r>
      <w:r>
        <w:rPr>
          <w:rFonts w:hint="default"/>
          <w:color w:val="auto"/>
          <w:lang w:val="en-US" w:eastAsia="zh-CN"/>
        </w:rPr>
        <w:t>度，须进行抗震设防。</w:t>
      </w:r>
    </w:p>
    <w:p w14:paraId="026E2DCE">
      <w:pPr>
        <w:pStyle w:val="4"/>
        <w:bidi w:val="0"/>
        <w:rPr>
          <w:rFonts w:hint="default"/>
          <w:color w:val="auto"/>
          <w:lang w:val="en-US" w:eastAsia="zh-CN"/>
        </w:rPr>
      </w:pPr>
      <w:bookmarkStart w:id="140" w:name="_Toc3612"/>
      <w:r>
        <w:rPr>
          <w:rFonts w:hint="default"/>
          <w:color w:val="auto"/>
          <w:lang w:val="en-US" w:eastAsia="zh-CN"/>
        </w:rPr>
        <w:t>6.2</w:t>
      </w:r>
      <w:r>
        <w:rPr>
          <w:rFonts w:hint="eastAsia"/>
          <w:color w:val="auto"/>
          <w:lang w:val="en-US" w:eastAsia="zh-CN"/>
        </w:rPr>
        <w:t>.2</w:t>
      </w:r>
      <w:r>
        <w:rPr>
          <w:rFonts w:hint="default"/>
          <w:color w:val="auto"/>
          <w:lang w:val="en-US" w:eastAsia="zh-CN"/>
        </w:rPr>
        <w:t xml:space="preserve"> </w:t>
      </w:r>
      <w:r>
        <w:rPr>
          <w:rFonts w:hint="eastAsia"/>
          <w:color w:val="auto"/>
          <w:lang w:val="en-US" w:eastAsia="zh-CN"/>
        </w:rPr>
        <w:t>生产</w:t>
      </w:r>
      <w:r>
        <w:rPr>
          <w:rFonts w:hint="default"/>
          <w:color w:val="auto"/>
          <w:lang w:val="en-US" w:eastAsia="zh-CN"/>
        </w:rPr>
        <w:t>工艺</w:t>
      </w:r>
      <w:r>
        <w:rPr>
          <w:rFonts w:hint="eastAsia"/>
          <w:color w:val="auto"/>
          <w:lang w:val="en-US" w:eastAsia="zh-CN"/>
        </w:rPr>
        <w:t>及设备</w:t>
      </w:r>
      <w:r>
        <w:rPr>
          <w:rFonts w:hint="default"/>
          <w:color w:val="auto"/>
          <w:lang w:val="en-US" w:eastAsia="zh-CN"/>
        </w:rPr>
        <w:t>单元安全对策措施建议</w:t>
      </w:r>
      <w:bookmarkEnd w:id="140"/>
    </w:p>
    <w:p w14:paraId="78809E74">
      <w:pPr>
        <w:bidi w:val="0"/>
        <w:rPr>
          <w:rFonts w:hint="default"/>
          <w:color w:val="auto"/>
          <w:lang w:val="en-US" w:eastAsia="zh-CN"/>
        </w:rPr>
      </w:pPr>
      <w:r>
        <w:rPr>
          <w:rFonts w:hint="default"/>
          <w:color w:val="auto"/>
          <w:lang w:val="en-US" w:eastAsia="zh-CN"/>
        </w:rPr>
        <w:t>1、做好机械设备及电路的维修保养工作，避免人员伤害事故的发生。</w:t>
      </w:r>
    </w:p>
    <w:p w14:paraId="39FDBFFF">
      <w:pPr>
        <w:bidi w:val="0"/>
        <w:rPr>
          <w:rFonts w:hint="default"/>
          <w:color w:val="auto"/>
          <w:lang w:val="en-US" w:eastAsia="zh-CN"/>
        </w:rPr>
      </w:pPr>
      <w:r>
        <w:rPr>
          <w:rFonts w:hint="default"/>
          <w:color w:val="auto"/>
          <w:lang w:val="en-US" w:eastAsia="zh-CN"/>
        </w:rPr>
        <w:t>2、上班前应穿好一切防护用品，加药时必须穿防滑胶鞋防止滑倒、摔伤。</w:t>
      </w:r>
    </w:p>
    <w:p w14:paraId="6B88E884">
      <w:pPr>
        <w:bidi w:val="0"/>
        <w:rPr>
          <w:rFonts w:hint="default"/>
          <w:color w:val="auto"/>
          <w:lang w:val="en-US" w:eastAsia="zh-CN"/>
        </w:rPr>
      </w:pPr>
      <w:r>
        <w:rPr>
          <w:rFonts w:hint="default"/>
          <w:color w:val="auto"/>
          <w:lang w:val="en-US" w:eastAsia="zh-CN"/>
        </w:rPr>
        <w:t>3、作业平台应设置安全防护栏杆及安全警示标志。</w:t>
      </w:r>
    </w:p>
    <w:p w14:paraId="315A8B4F">
      <w:pPr>
        <w:bidi w:val="0"/>
        <w:rPr>
          <w:rFonts w:hint="default"/>
          <w:color w:val="auto"/>
          <w:lang w:val="en-US" w:eastAsia="zh-CN"/>
        </w:rPr>
      </w:pPr>
      <w:r>
        <w:rPr>
          <w:rFonts w:hint="default"/>
          <w:color w:val="auto"/>
          <w:lang w:val="en-US" w:eastAsia="zh-CN"/>
        </w:rPr>
        <w:t>4、电工作业人员应持证上岗，线路停、送电、应严格执行工作票制度。电气设备可能被人触及的裸露带电部分，应严格按照规定接地、接零保护。</w:t>
      </w:r>
    </w:p>
    <w:p w14:paraId="63933BC9">
      <w:pPr>
        <w:bidi w:val="0"/>
        <w:rPr>
          <w:rFonts w:hint="default"/>
          <w:color w:val="auto"/>
          <w:lang w:val="en-US" w:eastAsia="zh-CN"/>
        </w:rPr>
      </w:pPr>
      <w:r>
        <w:rPr>
          <w:rFonts w:hint="eastAsia"/>
          <w:color w:val="auto"/>
          <w:lang w:val="en-US" w:eastAsia="zh-CN"/>
        </w:rPr>
        <w:t>5</w:t>
      </w:r>
      <w:r>
        <w:rPr>
          <w:rFonts w:hint="default"/>
          <w:color w:val="auto"/>
          <w:lang w:val="en-US" w:eastAsia="zh-CN"/>
        </w:rPr>
        <w:t>、皮带输送机的安全防范措施</w:t>
      </w:r>
    </w:p>
    <w:p w14:paraId="4FA6E6DA">
      <w:pPr>
        <w:bidi w:val="0"/>
        <w:rPr>
          <w:rFonts w:hint="default"/>
          <w:color w:val="auto"/>
          <w:lang w:val="en-US" w:eastAsia="zh-CN"/>
        </w:rPr>
      </w:pPr>
      <w:r>
        <w:rPr>
          <w:rFonts w:hint="default"/>
          <w:color w:val="auto"/>
          <w:lang w:val="en-US" w:eastAsia="zh-CN"/>
        </w:rPr>
        <w:t>①安装打滑保护系统，其工作原理是采用传感器测量胶带运行速度，通过与传感器滚筒线速度进行比较，当有差值输出时，即判断胶带打滑。</w:t>
      </w:r>
    </w:p>
    <w:p w14:paraId="23F57941">
      <w:pPr>
        <w:bidi w:val="0"/>
        <w:rPr>
          <w:rFonts w:hint="default"/>
          <w:color w:val="auto"/>
          <w:lang w:val="en-US" w:eastAsia="zh-CN"/>
        </w:rPr>
      </w:pPr>
      <w:r>
        <w:rPr>
          <w:rFonts w:hint="default"/>
          <w:color w:val="auto"/>
          <w:lang w:val="en-US" w:eastAsia="zh-CN"/>
        </w:rPr>
        <w:t>②皮带输送机安装物料传感器来避免物料的堵塞，当发生堵塞故障时，料位传感器发生信号，用于保护和停机。</w:t>
      </w:r>
    </w:p>
    <w:p w14:paraId="13ADA3CE">
      <w:pPr>
        <w:bidi w:val="0"/>
        <w:rPr>
          <w:rFonts w:hint="default"/>
          <w:color w:val="auto"/>
          <w:lang w:val="en-US" w:eastAsia="zh-CN"/>
        </w:rPr>
      </w:pPr>
      <w:r>
        <w:rPr>
          <w:rFonts w:hint="default"/>
          <w:color w:val="auto"/>
          <w:lang w:val="en-US" w:eastAsia="zh-CN"/>
        </w:rPr>
        <w:t>③安装拉绳开关，拉绳开关是用于皮带输送机沿线紧急停机的一种现场操作保护装置，建议可以选用无源机械双向拉绳开关，可以在紧急情况下，在带式输送机沿线任意位置拉动拉绳，使拉绳开关触点动作，实现紧急停机。</w:t>
      </w:r>
    </w:p>
    <w:p w14:paraId="409BA2DF">
      <w:pPr>
        <w:bidi w:val="0"/>
        <w:rPr>
          <w:rFonts w:hint="default"/>
          <w:color w:val="auto"/>
          <w:lang w:val="en-US" w:eastAsia="zh-CN"/>
        </w:rPr>
      </w:pPr>
      <w:r>
        <w:rPr>
          <w:rFonts w:hint="default"/>
          <w:color w:val="auto"/>
          <w:lang w:val="en-US" w:eastAsia="zh-CN"/>
        </w:rPr>
        <w:t>④利用红外线传感器测量皮带温度，可以灵敏、高效检测皮带温度。</w:t>
      </w:r>
    </w:p>
    <w:p w14:paraId="33780920">
      <w:pPr>
        <w:bidi w:val="0"/>
        <w:rPr>
          <w:rFonts w:hint="default"/>
          <w:color w:val="auto"/>
          <w:lang w:val="en-US" w:eastAsia="zh-CN"/>
        </w:rPr>
      </w:pPr>
      <w:r>
        <w:rPr>
          <w:rFonts w:hint="default"/>
          <w:color w:val="auto"/>
          <w:lang w:val="en-US" w:eastAsia="zh-CN"/>
        </w:rPr>
        <w:t>⑤加强皮带输送机运行管理和维护，当发现胶带打滑，及时停机处理。</w:t>
      </w:r>
    </w:p>
    <w:p w14:paraId="3C432A0A">
      <w:pPr>
        <w:bidi w:val="0"/>
        <w:rPr>
          <w:rFonts w:hint="default"/>
          <w:color w:val="auto"/>
          <w:lang w:val="en-US" w:eastAsia="zh-CN"/>
        </w:rPr>
      </w:pPr>
      <w:r>
        <w:rPr>
          <w:rFonts w:hint="default"/>
          <w:color w:val="auto"/>
          <w:lang w:val="en-US" w:eastAsia="zh-CN"/>
        </w:rPr>
        <w:t>⑥使用打滑保护装置，当皮带输送机打滑时，通过打滑传感器，发出信号，自动切断电源停机。</w:t>
      </w:r>
    </w:p>
    <w:p w14:paraId="7DB01AD6">
      <w:pPr>
        <w:bidi w:val="0"/>
        <w:rPr>
          <w:rFonts w:hint="default"/>
          <w:color w:val="auto"/>
          <w:lang w:val="en-US" w:eastAsia="zh-CN"/>
        </w:rPr>
      </w:pPr>
      <w:r>
        <w:rPr>
          <w:rFonts w:hint="eastAsia"/>
          <w:color w:val="auto"/>
          <w:lang w:val="en-US" w:eastAsia="zh-CN"/>
        </w:rPr>
        <w:t>6</w:t>
      </w:r>
      <w:r>
        <w:rPr>
          <w:rFonts w:hint="default"/>
          <w:color w:val="auto"/>
          <w:lang w:val="en-US" w:eastAsia="zh-CN"/>
        </w:rPr>
        <w:t>、压滤机液压系统存储高压液体，如果未经授权的人员自行拆卸液压系统，可能会导致高压液体喷溅，造成人员伤害。因此，操作人员必须经过专业培训，了解液压系统的结构和操作原理，以及如何安全地处理液压系统中的高压液体。此外，操作人员应严格遵守操作规程，不得擅自拆卸液压系统，以避免发生意外‌。定期对液压系统和电气系统进行检查和维护，确保其安全运行，及时发现并处理潜在的安全隐患‌。</w:t>
      </w:r>
    </w:p>
    <w:p w14:paraId="3BECA249">
      <w:pPr>
        <w:bidi w:val="0"/>
        <w:rPr>
          <w:rFonts w:hint="default"/>
          <w:color w:val="auto"/>
          <w:lang w:val="en-US" w:eastAsia="zh-CN"/>
        </w:rPr>
      </w:pPr>
      <w:r>
        <w:rPr>
          <w:rFonts w:hint="eastAsia"/>
          <w:color w:val="auto"/>
          <w:lang w:val="en-US" w:eastAsia="zh-CN"/>
        </w:rPr>
        <w:t>7</w:t>
      </w:r>
      <w:r>
        <w:rPr>
          <w:rFonts w:hint="default"/>
          <w:color w:val="auto"/>
          <w:lang w:val="en-US" w:eastAsia="zh-CN"/>
        </w:rPr>
        <w:t>、有限空间作业安全措施</w:t>
      </w:r>
    </w:p>
    <w:p w14:paraId="2272387D">
      <w:pPr>
        <w:bidi w:val="0"/>
        <w:rPr>
          <w:rFonts w:hint="default"/>
          <w:color w:val="auto"/>
          <w:lang w:val="en-US" w:eastAsia="zh-CN"/>
        </w:rPr>
      </w:pPr>
      <w:r>
        <w:rPr>
          <w:rFonts w:hint="default"/>
          <w:color w:val="auto"/>
          <w:lang w:val="en-US" w:eastAsia="zh-CN"/>
        </w:rPr>
        <w:t>有限空间作业应当严格遵守“先通风、再检测、后作业”的原则。检测指标包括氧浓度、易燃易爆物质（可燃性气体、爆炸性粉尘）浓度、有毒有害气体浓度。检测应当符合相关国家标准或者行业标准的规定。未经通风和检测合格，任何人员不得进入有限空间作业。检测的时间不得早于作业开始前30min。有限空间作业场所的照明灯具电压应当符合《特低电压限值》（GB/T 3805）等国家标准或者行业标准的规定；作业场所存在可燃性气体、粉尘的，其电气设施设备及照明灯具的防爆安全要求应当符合《爆炸性环境第一部分：设备通用要求》（GB 3836.1）等国家标准或者行业标准的规定。工贸企业有限空间作业还应当符合下列要求：保持有限空间出入口畅通；设置明显的安全警示标志和警示说明；作业前清点作业人员和工器具；作业人员与外部有可靠的通讯联络；监护人员不得离开作业现场，并与作业人员保持联系；存在交叉作业时，采取避免互相伤害的措施。加强个体防护，为相关岗位人员配备相应的防护用品（如防毒面具、防毒手套等）。</w:t>
      </w:r>
    </w:p>
    <w:p w14:paraId="3B67B003">
      <w:pPr>
        <w:bidi w:val="0"/>
        <w:rPr>
          <w:rFonts w:hint="default"/>
          <w:color w:val="auto"/>
          <w:lang w:val="en-US" w:eastAsia="zh-CN"/>
        </w:rPr>
      </w:pPr>
      <w:r>
        <w:rPr>
          <w:rFonts w:hint="default"/>
          <w:color w:val="auto"/>
          <w:lang w:val="en-US" w:eastAsia="zh-CN"/>
        </w:rPr>
        <w:t>建设单位应制定有限空间作业的相关制度、作业规程。</w:t>
      </w:r>
    </w:p>
    <w:p w14:paraId="474EAC8C">
      <w:pPr>
        <w:bidi w:val="0"/>
        <w:rPr>
          <w:rFonts w:hint="default"/>
          <w:color w:val="auto"/>
          <w:lang w:val="en-US" w:eastAsia="zh-CN"/>
        </w:rPr>
      </w:pPr>
      <w:r>
        <w:rPr>
          <w:rFonts w:hint="default"/>
          <w:color w:val="auto"/>
          <w:lang w:val="en-US" w:eastAsia="zh-CN"/>
        </w:rPr>
        <w:t>进有限空间作业时应按要求办理有限空间作业许可证，并执行作业规程。</w:t>
      </w:r>
    </w:p>
    <w:p w14:paraId="62944A94">
      <w:pPr>
        <w:bidi w:val="0"/>
        <w:rPr>
          <w:rFonts w:hint="default"/>
          <w:color w:val="auto"/>
          <w:lang w:val="en-US" w:eastAsia="zh-CN"/>
        </w:rPr>
      </w:pPr>
      <w:r>
        <w:rPr>
          <w:rFonts w:hint="eastAsia"/>
          <w:color w:val="auto"/>
          <w:lang w:val="en-US" w:eastAsia="zh-CN"/>
        </w:rPr>
        <w:t>8</w:t>
      </w:r>
      <w:r>
        <w:rPr>
          <w:rFonts w:hint="default"/>
          <w:color w:val="auto"/>
          <w:lang w:val="en-US" w:eastAsia="zh-CN"/>
        </w:rPr>
        <w:t>、潮湿、易腐蚀的设备设施的电气线路应当穿管。</w:t>
      </w:r>
    </w:p>
    <w:p w14:paraId="4DDADE0E">
      <w:pPr>
        <w:bidi w:val="0"/>
        <w:rPr>
          <w:rFonts w:hint="default"/>
          <w:color w:val="auto"/>
          <w:lang w:val="en-US" w:eastAsia="zh-CN"/>
        </w:rPr>
      </w:pPr>
      <w:r>
        <w:rPr>
          <w:rFonts w:hint="eastAsia"/>
          <w:color w:val="auto"/>
          <w:lang w:val="en-US" w:eastAsia="zh-CN"/>
        </w:rPr>
        <w:t>9</w:t>
      </w:r>
      <w:r>
        <w:rPr>
          <w:rFonts w:hint="default"/>
          <w:color w:val="auto"/>
          <w:lang w:val="en-US" w:eastAsia="zh-CN"/>
        </w:rPr>
        <w:t>、企业应当制定硫化氢防治措施：①在正常生产条件下，选矿车间应增设选矿水pH检测设施，严格控制选矿水pH值，确保加酸点pH≥7.0，这既是满足选矿工艺、确保选矿指标达标的要求，也是硫化氢根本防治措施；②对可能产生硫化氢的非密闭空间位置（药剂室、搅拌桶等）设置机械通风设施，增加气体流动和充氧效果，减少硫化氢的析出。</w:t>
      </w:r>
    </w:p>
    <w:p w14:paraId="1AD58112">
      <w:pPr>
        <w:bidi w:val="0"/>
        <w:rPr>
          <w:rFonts w:hint="default"/>
          <w:color w:val="auto"/>
          <w:lang w:val="en-US" w:eastAsia="zh-CN"/>
        </w:rPr>
      </w:pPr>
      <w:r>
        <w:rPr>
          <w:rFonts w:hint="default"/>
          <w:color w:val="auto"/>
          <w:lang w:val="en-US" w:eastAsia="zh-CN"/>
        </w:rPr>
        <w:t>1</w:t>
      </w:r>
      <w:r>
        <w:rPr>
          <w:rFonts w:hint="eastAsia"/>
          <w:color w:val="auto"/>
          <w:lang w:val="en-US" w:eastAsia="zh-CN"/>
        </w:rPr>
        <w:t>0</w:t>
      </w:r>
      <w:r>
        <w:rPr>
          <w:rFonts w:hint="default"/>
          <w:color w:val="auto"/>
          <w:lang w:val="en-US" w:eastAsia="zh-CN"/>
        </w:rPr>
        <w:t>、对于有毒有害、浓度较高、易挥发等药剂进行统一管理，统一贮存。</w:t>
      </w:r>
    </w:p>
    <w:p w14:paraId="16D1C7EC">
      <w:pPr>
        <w:bidi w:val="0"/>
        <w:rPr>
          <w:rFonts w:hint="default"/>
          <w:color w:val="auto"/>
          <w:lang w:val="en-US" w:eastAsia="zh-CN"/>
        </w:rPr>
      </w:pPr>
      <w:r>
        <w:rPr>
          <w:rFonts w:hint="default"/>
          <w:color w:val="auto"/>
          <w:lang w:val="en-US" w:eastAsia="zh-CN"/>
        </w:rPr>
        <w:t>1</w:t>
      </w:r>
      <w:r>
        <w:rPr>
          <w:rFonts w:hint="eastAsia"/>
          <w:color w:val="auto"/>
          <w:lang w:val="en-US" w:eastAsia="zh-CN"/>
        </w:rPr>
        <w:t>1</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第6.15条规定，道口和有物体碰撞、坠落危险的地点，均应设醒目的警告标志和防护设施。</w:t>
      </w:r>
    </w:p>
    <w:p w14:paraId="76D736E6">
      <w:pPr>
        <w:bidi w:val="0"/>
        <w:rPr>
          <w:rFonts w:hint="default"/>
          <w:color w:val="auto"/>
          <w:lang w:val="en-US" w:eastAsia="zh-CN"/>
        </w:rPr>
      </w:pPr>
      <w:r>
        <w:rPr>
          <w:rFonts w:hint="default"/>
          <w:color w:val="auto"/>
          <w:lang w:val="en-US" w:eastAsia="zh-CN"/>
        </w:rPr>
        <w:t>1</w:t>
      </w:r>
      <w:r>
        <w:rPr>
          <w:rFonts w:hint="eastAsia"/>
          <w:color w:val="auto"/>
          <w:lang w:val="en-US" w:eastAsia="zh-CN"/>
        </w:rPr>
        <w:t>2</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第6.16条规定，设备裸露的转动部分，应设防护罩或防护屏。防护罩、防护屏应分别符合GB 8196、GB 8197的要求。</w:t>
      </w:r>
    </w:p>
    <w:p w14:paraId="055C6AFB">
      <w:pPr>
        <w:bidi w:val="0"/>
        <w:rPr>
          <w:rFonts w:hint="default"/>
          <w:color w:val="auto"/>
          <w:lang w:val="en-US" w:eastAsia="zh-CN"/>
        </w:rPr>
      </w:pPr>
      <w:r>
        <w:rPr>
          <w:rFonts w:hint="default"/>
          <w:color w:val="auto"/>
          <w:lang w:val="en-US" w:eastAsia="zh-CN"/>
        </w:rPr>
        <w:t>1</w:t>
      </w:r>
      <w:r>
        <w:rPr>
          <w:rFonts w:hint="eastAsia"/>
          <w:color w:val="auto"/>
          <w:lang w:val="en-US" w:eastAsia="zh-CN"/>
        </w:rPr>
        <w:t>3</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第7.1.1条规定，运转设备的下列作业，应停车进行：</w:t>
      </w:r>
    </w:p>
    <w:p w14:paraId="04A36F97">
      <w:pPr>
        <w:bidi w:val="0"/>
        <w:rPr>
          <w:rFonts w:hint="default"/>
          <w:color w:val="auto"/>
          <w:lang w:val="en-US" w:eastAsia="zh-CN"/>
        </w:rPr>
      </w:pPr>
      <w:r>
        <w:rPr>
          <w:rFonts w:hint="default"/>
          <w:color w:val="auto"/>
          <w:lang w:val="en-US" w:eastAsia="zh-CN"/>
        </w:rPr>
        <w:t>（1）处理故障</w:t>
      </w:r>
    </w:p>
    <w:p w14:paraId="4CE7CCC6">
      <w:pPr>
        <w:bidi w:val="0"/>
        <w:rPr>
          <w:rFonts w:hint="default"/>
          <w:color w:val="auto"/>
          <w:lang w:val="en-US" w:eastAsia="zh-CN"/>
        </w:rPr>
      </w:pPr>
      <w:r>
        <w:rPr>
          <w:rFonts w:hint="default"/>
          <w:color w:val="auto"/>
          <w:lang w:val="en-US" w:eastAsia="zh-CN"/>
        </w:rPr>
        <w:t>（2）更换部件</w:t>
      </w:r>
    </w:p>
    <w:p w14:paraId="1586B7CD">
      <w:pPr>
        <w:bidi w:val="0"/>
        <w:rPr>
          <w:rFonts w:hint="default"/>
          <w:color w:val="auto"/>
          <w:lang w:val="en-US" w:eastAsia="zh-CN"/>
        </w:rPr>
      </w:pPr>
      <w:r>
        <w:rPr>
          <w:rFonts w:hint="default"/>
          <w:color w:val="auto"/>
          <w:lang w:val="en-US" w:eastAsia="zh-CN"/>
        </w:rPr>
        <w:t>（3）局部调整设备部件</w:t>
      </w:r>
    </w:p>
    <w:p w14:paraId="77ED01B2">
      <w:pPr>
        <w:bidi w:val="0"/>
        <w:rPr>
          <w:rFonts w:hint="default"/>
          <w:color w:val="auto"/>
          <w:lang w:val="en-US" w:eastAsia="zh-CN"/>
        </w:rPr>
      </w:pPr>
      <w:r>
        <w:rPr>
          <w:rFonts w:hint="default"/>
          <w:color w:val="auto"/>
          <w:lang w:val="en-US" w:eastAsia="zh-CN"/>
        </w:rPr>
        <w:t>（4）调整皮带松紧</w:t>
      </w:r>
    </w:p>
    <w:p w14:paraId="001F42FD">
      <w:pPr>
        <w:bidi w:val="0"/>
        <w:rPr>
          <w:rFonts w:hint="default"/>
          <w:color w:val="auto"/>
          <w:lang w:val="en-US" w:eastAsia="zh-CN"/>
        </w:rPr>
      </w:pPr>
      <w:r>
        <w:rPr>
          <w:rFonts w:hint="default"/>
          <w:color w:val="auto"/>
          <w:lang w:val="en-US" w:eastAsia="zh-CN"/>
        </w:rPr>
        <w:t>（5）清扫设备。</w:t>
      </w:r>
    </w:p>
    <w:p w14:paraId="15D0C0CC">
      <w:pPr>
        <w:bidi w:val="0"/>
        <w:rPr>
          <w:rFonts w:hint="default"/>
          <w:color w:val="auto"/>
          <w:lang w:val="en-US" w:eastAsia="zh-CN"/>
        </w:rPr>
      </w:pPr>
      <w:r>
        <w:rPr>
          <w:rFonts w:hint="default"/>
          <w:color w:val="auto"/>
          <w:lang w:val="en-US" w:eastAsia="zh-CN"/>
        </w:rPr>
        <w:t>1</w:t>
      </w:r>
      <w:r>
        <w:rPr>
          <w:rFonts w:hint="eastAsia"/>
          <w:color w:val="auto"/>
          <w:lang w:val="en-US" w:eastAsia="zh-CN"/>
        </w:rPr>
        <w:t>4</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第7.1.3条规定，人员进入停止运转的设备内部或上部，事前应用操作牌换电源牌，切断电源，锁上电源开关，挂上</w:t>
      </w:r>
      <w:r>
        <w:rPr>
          <w:rFonts w:hint="eastAsia"/>
          <w:color w:val="auto"/>
          <w:lang w:val="en-US" w:eastAsia="zh-CN"/>
        </w:rPr>
        <w:t>“</w:t>
      </w:r>
      <w:r>
        <w:rPr>
          <w:rFonts w:hint="default"/>
          <w:color w:val="auto"/>
          <w:lang w:val="en-US" w:eastAsia="zh-CN"/>
        </w:rPr>
        <w:t>有人作业，严禁合闸</w:t>
      </w:r>
      <w:r>
        <w:rPr>
          <w:rFonts w:hint="eastAsia"/>
          <w:color w:val="auto"/>
          <w:lang w:val="en-US" w:eastAsia="zh-CN"/>
        </w:rPr>
        <w:t>”</w:t>
      </w:r>
      <w:r>
        <w:rPr>
          <w:rFonts w:hint="default"/>
          <w:color w:val="auto"/>
          <w:lang w:val="en-US" w:eastAsia="zh-CN"/>
        </w:rPr>
        <w:t>的标志牌，并设专人监护。</w:t>
      </w:r>
    </w:p>
    <w:p w14:paraId="70A073BF">
      <w:pPr>
        <w:bidi w:val="0"/>
        <w:rPr>
          <w:rFonts w:hint="default"/>
          <w:color w:val="auto"/>
          <w:lang w:val="en-US" w:eastAsia="zh-CN"/>
        </w:rPr>
      </w:pPr>
      <w:r>
        <w:rPr>
          <w:rFonts w:hint="eastAsia"/>
          <w:color w:val="auto"/>
          <w:lang w:val="en-US" w:eastAsia="zh-CN"/>
        </w:rPr>
        <w:t>15、</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9条规定，处理分级设备的返砂槽堵塞时不应攀登在分级机、直线振动筛或其他设备上进行。</w:t>
      </w:r>
    </w:p>
    <w:p w14:paraId="63F1E1FA">
      <w:pPr>
        <w:bidi w:val="0"/>
        <w:rPr>
          <w:rFonts w:hint="default"/>
          <w:color w:val="auto"/>
          <w:lang w:val="en-US" w:eastAsia="zh-CN"/>
        </w:rPr>
      </w:pPr>
      <w:r>
        <w:rPr>
          <w:rFonts w:hint="default"/>
          <w:color w:val="auto"/>
          <w:lang w:val="en-US" w:eastAsia="zh-CN"/>
        </w:rPr>
        <w:t>1</w:t>
      </w:r>
      <w:r>
        <w:rPr>
          <w:rFonts w:hint="eastAsia"/>
          <w:color w:val="auto"/>
          <w:lang w:val="en-US" w:eastAsia="zh-CN"/>
        </w:rPr>
        <w:t>6</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w:t>
      </w:r>
      <w:r>
        <w:rPr>
          <w:rFonts w:hint="eastAsia"/>
          <w:color w:val="auto"/>
          <w:lang w:val="en-US" w:eastAsia="zh-CN"/>
        </w:rPr>
        <w:t>7.5.6.1</w:t>
      </w:r>
      <w:r>
        <w:rPr>
          <w:rFonts w:hint="default"/>
          <w:color w:val="auto"/>
          <w:lang w:val="en-US" w:eastAsia="zh-CN"/>
        </w:rPr>
        <w:t>条规定，化学药品应按其性质（剧毒、易爆、易燃、易潮、怕光等）进行分类储存、液体与固体应分开储存</w:t>
      </w:r>
      <w:r>
        <w:rPr>
          <w:rFonts w:hint="eastAsia"/>
          <w:color w:val="auto"/>
          <w:lang w:val="en-US" w:eastAsia="zh-CN"/>
        </w:rPr>
        <w:t>。</w:t>
      </w:r>
    </w:p>
    <w:p w14:paraId="54056A31">
      <w:pPr>
        <w:bidi w:val="0"/>
        <w:rPr>
          <w:rFonts w:hint="default"/>
          <w:color w:val="auto"/>
          <w:lang w:val="en-US" w:eastAsia="zh-CN"/>
        </w:rPr>
      </w:pPr>
      <w:r>
        <w:rPr>
          <w:rFonts w:hint="eastAsia"/>
          <w:color w:val="auto"/>
          <w:lang w:val="en-US" w:eastAsia="zh-CN"/>
        </w:rPr>
        <w:t>17、</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w:t>
      </w:r>
      <w:r>
        <w:rPr>
          <w:rFonts w:hint="eastAsia"/>
          <w:color w:val="auto"/>
          <w:lang w:val="en-US" w:eastAsia="zh-CN"/>
        </w:rPr>
        <w:t>7.5.6.2</w:t>
      </w:r>
      <w:r>
        <w:rPr>
          <w:rFonts w:hint="default"/>
          <w:color w:val="auto"/>
          <w:lang w:val="en-US" w:eastAsia="zh-CN"/>
        </w:rPr>
        <w:t>条规定，易燃、易爆药品应远离火源，分别储存于低温、干燥地点。</w:t>
      </w:r>
    </w:p>
    <w:p w14:paraId="739A4129">
      <w:pPr>
        <w:bidi w:val="0"/>
        <w:rPr>
          <w:rFonts w:hint="default"/>
          <w:color w:val="auto"/>
          <w:lang w:val="en-US" w:eastAsia="zh-CN"/>
        </w:rPr>
      </w:pPr>
      <w:r>
        <w:rPr>
          <w:rFonts w:hint="default"/>
          <w:color w:val="auto"/>
          <w:lang w:val="en-US" w:eastAsia="zh-CN"/>
        </w:rPr>
        <w:t>1</w:t>
      </w:r>
      <w:r>
        <w:rPr>
          <w:rFonts w:hint="eastAsia"/>
          <w:color w:val="auto"/>
          <w:lang w:val="en-US" w:eastAsia="zh-CN"/>
        </w:rPr>
        <w:t>8</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w:t>
      </w:r>
      <w:r>
        <w:rPr>
          <w:rFonts w:hint="eastAsia"/>
          <w:color w:val="auto"/>
          <w:lang w:val="en-US" w:eastAsia="zh-CN"/>
        </w:rPr>
        <w:t>7.5.6.5</w:t>
      </w:r>
      <w:r>
        <w:rPr>
          <w:rFonts w:hint="default"/>
          <w:color w:val="auto"/>
          <w:lang w:val="en-US" w:eastAsia="zh-CN"/>
        </w:rPr>
        <w:t>条规定，储存药剂，应有明显的标签，对有毒、易爆药品还应有特殊标识。不应随意弄掉标签，以免错用药品发生危险。</w:t>
      </w:r>
    </w:p>
    <w:p w14:paraId="24D53BD5">
      <w:pPr>
        <w:bidi w:val="0"/>
        <w:rPr>
          <w:rFonts w:hint="default"/>
          <w:color w:val="auto"/>
          <w:lang w:val="en-US" w:eastAsia="zh-CN"/>
        </w:rPr>
      </w:pPr>
      <w:r>
        <w:rPr>
          <w:rFonts w:hint="default"/>
          <w:color w:val="auto"/>
          <w:lang w:val="en-US" w:eastAsia="zh-CN"/>
        </w:rPr>
        <w:t>1</w:t>
      </w:r>
      <w:r>
        <w:rPr>
          <w:rFonts w:hint="eastAsia"/>
          <w:color w:val="auto"/>
          <w:lang w:val="en-US" w:eastAsia="zh-CN"/>
        </w:rPr>
        <w:t>9</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第7.6.1条规定，操作过滤机应保持均匀给矿，分矿箱和管路应畅通。</w:t>
      </w:r>
    </w:p>
    <w:p w14:paraId="22BFFF7E">
      <w:pPr>
        <w:bidi w:val="0"/>
        <w:rPr>
          <w:rFonts w:hint="default"/>
          <w:color w:val="auto"/>
          <w:lang w:val="en-US" w:eastAsia="zh-CN"/>
        </w:rPr>
      </w:pPr>
      <w:r>
        <w:rPr>
          <w:rFonts w:hint="eastAsia"/>
          <w:color w:val="auto"/>
          <w:lang w:val="en-US" w:eastAsia="zh-CN"/>
        </w:rPr>
        <w:t>20</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第7.6.2条规定，大型内滤式真空过滤机内的人行板道，应设安全装置。</w:t>
      </w:r>
    </w:p>
    <w:p w14:paraId="32676711">
      <w:pPr>
        <w:bidi w:val="0"/>
        <w:rPr>
          <w:rFonts w:hint="default"/>
          <w:color w:val="auto"/>
          <w:lang w:val="en-US" w:eastAsia="zh-CN"/>
        </w:rPr>
      </w:pPr>
      <w:r>
        <w:rPr>
          <w:rFonts w:hint="eastAsia"/>
          <w:color w:val="auto"/>
          <w:lang w:val="en-US" w:eastAsia="zh-CN"/>
        </w:rPr>
        <w:t>21</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第7.6.3条规定，通往周边传动式浓缩机中心盘的走桥和上下走梯，应设置栏杆。</w:t>
      </w:r>
    </w:p>
    <w:p w14:paraId="430A348C">
      <w:pPr>
        <w:bidi w:val="0"/>
        <w:rPr>
          <w:rFonts w:hint="default"/>
          <w:color w:val="auto"/>
          <w:lang w:val="en-US" w:eastAsia="zh-CN"/>
        </w:rPr>
      </w:pPr>
      <w:r>
        <w:rPr>
          <w:rFonts w:hint="eastAsia"/>
          <w:color w:val="auto"/>
          <w:lang w:val="en-US" w:eastAsia="zh-CN"/>
        </w:rPr>
        <w:t>22</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第7.6.4条规定，夜间检查周边传动式浓缩机中心盘或开关流槽闸板，应有良好照明，并在他人监护下进行。</w:t>
      </w:r>
    </w:p>
    <w:p w14:paraId="30B17E28">
      <w:pPr>
        <w:bidi w:val="0"/>
        <w:rPr>
          <w:rFonts w:hint="default"/>
          <w:color w:val="auto"/>
          <w:lang w:val="en-US" w:eastAsia="zh-CN"/>
        </w:rPr>
      </w:pPr>
      <w:r>
        <w:rPr>
          <w:rFonts w:hint="eastAsia"/>
          <w:color w:val="auto"/>
          <w:lang w:val="en-US" w:eastAsia="zh-CN"/>
        </w:rPr>
        <w:t>23</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第7.6.5条规定，浓缩机的溢流槽外沿，应高出地面至少0.4m；否则，应在靠近路边地段设置安全栏杆。</w:t>
      </w:r>
    </w:p>
    <w:p w14:paraId="7722981B">
      <w:pPr>
        <w:bidi w:val="0"/>
        <w:rPr>
          <w:rFonts w:hint="default"/>
          <w:color w:val="auto"/>
          <w:lang w:val="en-US" w:eastAsia="zh-CN"/>
        </w:rPr>
      </w:pPr>
      <w:r>
        <w:rPr>
          <w:rFonts w:hint="eastAsia"/>
          <w:color w:val="auto"/>
          <w:lang w:val="en-US" w:eastAsia="zh-CN"/>
        </w:rPr>
        <w:t>24</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第7.6.6条规定，浓缩机停机之前，应停止给矿，并继续输出矿浆一定时间；恢复正常运行之前，应注意防止浓缩机超负荷运行。</w:t>
      </w:r>
    </w:p>
    <w:p w14:paraId="7DDF4FC5">
      <w:pPr>
        <w:bidi w:val="0"/>
        <w:rPr>
          <w:rFonts w:hint="default"/>
          <w:color w:val="auto"/>
          <w:lang w:val="en-US" w:eastAsia="zh-CN"/>
        </w:rPr>
      </w:pPr>
      <w:r>
        <w:rPr>
          <w:rFonts w:hint="default"/>
          <w:color w:val="auto"/>
          <w:lang w:val="en-US" w:eastAsia="zh-CN"/>
        </w:rPr>
        <w:t>2</w:t>
      </w:r>
      <w:r>
        <w:rPr>
          <w:rFonts w:hint="eastAsia"/>
          <w:color w:val="auto"/>
          <w:lang w:val="en-US" w:eastAsia="zh-CN"/>
        </w:rPr>
        <w:t>5</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第7.6.7条规定，超粒径、超比重的矿物、各种工业垃圾等，不应进入矿浆浓缩池。</w:t>
      </w:r>
    </w:p>
    <w:p w14:paraId="666D39EA">
      <w:pPr>
        <w:bidi w:val="0"/>
        <w:rPr>
          <w:rFonts w:hint="default"/>
          <w:color w:val="auto"/>
          <w:lang w:val="en-US" w:eastAsia="zh-CN"/>
        </w:rPr>
      </w:pPr>
      <w:r>
        <w:rPr>
          <w:rFonts w:hint="default"/>
          <w:color w:val="auto"/>
          <w:lang w:val="en-US" w:eastAsia="zh-CN"/>
        </w:rPr>
        <w:t>2</w:t>
      </w:r>
      <w:r>
        <w:rPr>
          <w:rFonts w:hint="eastAsia"/>
          <w:color w:val="auto"/>
          <w:lang w:val="en-US" w:eastAsia="zh-CN"/>
        </w:rPr>
        <w:t>6</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第7.6.8条规定，须浓缩而未经浓缩的尾矿浆，除非事故处理需要，不得任意送往泵站和尾矿库。</w:t>
      </w:r>
    </w:p>
    <w:p w14:paraId="48809948">
      <w:pPr>
        <w:bidi w:val="0"/>
        <w:rPr>
          <w:rFonts w:hint="default"/>
          <w:color w:val="auto"/>
          <w:lang w:val="en-US" w:eastAsia="zh-CN"/>
        </w:rPr>
      </w:pPr>
      <w:r>
        <w:rPr>
          <w:rFonts w:hint="default"/>
          <w:color w:val="auto"/>
          <w:lang w:val="en-US" w:eastAsia="zh-CN"/>
        </w:rPr>
        <w:t>2</w:t>
      </w:r>
      <w:r>
        <w:rPr>
          <w:rFonts w:hint="eastAsia"/>
          <w:color w:val="auto"/>
          <w:lang w:val="en-US" w:eastAsia="zh-CN"/>
        </w:rPr>
        <w:t>7</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第7.6.9条规定，浓缩池的来矿流槽进口和溢流槽出口的格栅、挡板装置，及排矿管（槽、沟）等易发生尾矿沉积的部位，应定期冲洗清理。</w:t>
      </w:r>
    </w:p>
    <w:p w14:paraId="57DF4E3C">
      <w:pPr>
        <w:bidi w:val="0"/>
        <w:rPr>
          <w:rFonts w:hint="default"/>
          <w:color w:val="auto"/>
          <w:lang w:val="en-US" w:eastAsia="zh-CN"/>
        </w:rPr>
      </w:pPr>
      <w:r>
        <w:rPr>
          <w:rFonts w:hint="default"/>
          <w:color w:val="auto"/>
          <w:lang w:val="en-US" w:eastAsia="zh-CN"/>
        </w:rPr>
        <w:t>2</w:t>
      </w:r>
      <w:r>
        <w:rPr>
          <w:rFonts w:hint="eastAsia"/>
          <w:color w:val="auto"/>
          <w:lang w:val="en-US" w:eastAsia="zh-CN"/>
        </w:rPr>
        <w:t>8</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第8.1.1条规定，砂泵站（特别是高压砂泵站）应设必要的监测仪表，容积式的砂泵站应设超压保护装置。静水压力较高的泵站应在砂泵单向阀后设置安全阀或防水锤。</w:t>
      </w:r>
    </w:p>
    <w:p w14:paraId="0DF6CCB0">
      <w:pPr>
        <w:bidi w:val="0"/>
        <w:rPr>
          <w:rFonts w:hint="default"/>
          <w:color w:val="auto"/>
          <w:lang w:val="en-US" w:eastAsia="zh-CN"/>
        </w:rPr>
      </w:pPr>
      <w:r>
        <w:rPr>
          <w:rFonts w:hint="default"/>
          <w:color w:val="auto"/>
          <w:lang w:val="en-US" w:eastAsia="zh-CN"/>
        </w:rPr>
        <w:t>2</w:t>
      </w:r>
      <w:r>
        <w:rPr>
          <w:rFonts w:hint="eastAsia"/>
          <w:color w:val="auto"/>
          <w:lang w:val="en-US" w:eastAsia="zh-CN"/>
        </w:rPr>
        <w:t>9</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第8.1.3条规定，间接串联或远距离直接串联的尾矿输送系统上的逆止阀及其他安全防护装置应经常检查和维护，确保完好有效。</w:t>
      </w:r>
    </w:p>
    <w:p w14:paraId="53DAFF2C">
      <w:pPr>
        <w:bidi w:val="0"/>
        <w:rPr>
          <w:rFonts w:hint="default"/>
          <w:color w:val="auto"/>
          <w:lang w:val="en-US" w:eastAsia="zh-CN"/>
        </w:rPr>
      </w:pPr>
      <w:r>
        <w:rPr>
          <w:rFonts w:hint="eastAsia"/>
          <w:color w:val="auto"/>
          <w:lang w:val="en-US" w:eastAsia="zh-CN"/>
        </w:rPr>
        <w:t>30</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第8.1.4条规定，矿浆仓来矿处设置的格栅和仓内设置的水位指示装置，应经常冲洗清理与维护。</w:t>
      </w:r>
    </w:p>
    <w:p w14:paraId="3A49404C">
      <w:pPr>
        <w:bidi w:val="0"/>
        <w:rPr>
          <w:rFonts w:hint="default"/>
          <w:color w:val="auto"/>
          <w:lang w:val="en-US" w:eastAsia="zh-CN"/>
        </w:rPr>
      </w:pPr>
      <w:r>
        <w:rPr>
          <w:rFonts w:hint="eastAsia"/>
          <w:color w:val="auto"/>
          <w:lang w:val="en-US" w:eastAsia="zh-CN"/>
        </w:rPr>
        <w:t>31</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第8.1.5条规定，尾矿输送管、槽、沟、渠、洞，应固定专人分班巡视检查和维护管理，防止发生淤积、堵塞、爆管、喷浆、渗漏、坍塌等事故；发现事故应及时处理，对排放的矿浆应妥善处理。</w:t>
      </w:r>
    </w:p>
    <w:p w14:paraId="7ED0986B">
      <w:pPr>
        <w:bidi w:val="0"/>
        <w:rPr>
          <w:rFonts w:hint="default"/>
          <w:color w:val="auto"/>
          <w:lang w:val="en-US" w:eastAsia="zh-CN"/>
        </w:rPr>
      </w:pPr>
      <w:r>
        <w:rPr>
          <w:rFonts w:hint="eastAsia"/>
          <w:color w:val="auto"/>
          <w:lang w:val="en-US" w:eastAsia="zh-CN"/>
        </w:rPr>
        <w:t>32</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第9.2.4条规定，带式输送机应具有相应的防止逆转、胶带撕裂、断绳、断带、跑偏及脱槽的措施，并应有制动装置及清理胶带和滚筒的装置，线路上应有信号、电气联锁和停车装置。</w:t>
      </w:r>
    </w:p>
    <w:p w14:paraId="5957BDE4">
      <w:pPr>
        <w:bidi w:val="0"/>
        <w:rPr>
          <w:rFonts w:hint="default"/>
          <w:color w:val="auto"/>
          <w:lang w:val="en-US" w:eastAsia="zh-CN"/>
        </w:rPr>
      </w:pPr>
      <w:r>
        <w:rPr>
          <w:rFonts w:hint="eastAsia"/>
          <w:color w:val="auto"/>
          <w:lang w:val="en-US" w:eastAsia="zh-CN"/>
        </w:rPr>
        <w:t>33</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第9.2.6条规定，带式输送机运行应遵守下列规定：</w:t>
      </w:r>
    </w:p>
    <w:p w14:paraId="738B728D">
      <w:pPr>
        <w:bidi w:val="0"/>
        <w:rPr>
          <w:rFonts w:hint="default"/>
          <w:color w:val="auto"/>
          <w:lang w:val="en-US" w:eastAsia="zh-CN"/>
        </w:rPr>
      </w:pPr>
      <w:r>
        <w:rPr>
          <w:rFonts w:hint="default"/>
          <w:color w:val="auto"/>
          <w:lang w:val="en-US" w:eastAsia="zh-CN"/>
        </w:rPr>
        <w:t>（1）人员不应乘坐、跨越、钻爬带式输送机</w:t>
      </w:r>
      <w:r>
        <w:rPr>
          <w:rFonts w:hint="eastAsia"/>
          <w:color w:val="auto"/>
          <w:lang w:val="en-US" w:eastAsia="zh-CN"/>
        </w:rPr>
        <w:t>，</w:t>
      </w:r>
      <w:r>
        <w:rPr>
          <w:rFonts w:hint="default"/>
          <w:color w:val="auto"/>
          <w:lang w:val="en-US" w:eastAsia="zh-CN"/>
        </w:rPr>
        <w:t>带式输送机不应运送规定物料以外的其他物料</w:t>
      </w:r>
      <w:r>
        <w:rPr>
          <w:rFonts w:hint="eastAsia"/>
          <w:color w:val="auto"/>
          <w:lang w:val="en-US" w:eastAsia="zh-CN"/>
        </w:rPr>
        <w:t>；</w:t>
      </w:r>
    </w:p>
    <w:p w14:paraId="0BE51607">
      <w:pPr>
        <w:bidi w:val="0"/>
        <w:rPr>
          <w:rFonts w:hint="default"/>
          <w:color w:val="auto"/>
          <w:lang w:val="en-US" w:eastAsia="zh-CN"/>
        </w:rPr>
      </w:pPr>
      <w:r>
        <w:rPr>
          <w:rFonts w:hint="default"/>
          <w:color w:val="auto"/>
          <w:lang w:val="en-US" w:eastAsia="zh-CN"/>
        </w:rPr>
        <w:t>（2）不应从运行中的带式输送机上用手捡矿石</w:t>
      </w:r>
      <w:r>
        <w:rPr>
          <w:rFonts w:hint="eastAsia"/>
          <w:color w:val="auto"/>
          <w:lang w:val="en-US" w:eastAsia="zh-CN"/>
        </w:rPr>
        <w:t>（</w:t>
      </w:r>
      <w:r>
        <w:rPr>
          <w:rFonts w:hint="default"/>
          <w:color w:val="auto"/>
          <w:lang w:val="en-US" w:eastAsia="zh-CN"/>
        </w:rPr>
        <w:t>手选皮带除外</w:t>
      </w:r>
      <w:r>
        <w:rPr>
          <w:rFonts w:hint="eastAsia"/>
          <w:color w:val="auto"/>
          <w:lang w:val="en-US" w:eastAsia="zh-CN"/>
        </w:rPr>
        <w:t>）；</w:t>
      </w:r>
    </w:p>
    <w:p w14:paraId="46450A8C">
      <w:pPr>
        <w:bidi w:val="0"/>
        <w:rPr>
          <w:rFonts w:hint="default"/>
          <w:color w:val="auto"/>
          <w:lang w:val="en-US" w:eastAsia="zh-CN"/>
        </w:rPr>
      </w:pPr>
      <w:r>
        <w:rPr>
          <w:rFonts w:hint="default"/>
          <w:color w:val="auto"/>
          <w:lang w:val="en-US" w:eastAsia="zh-CN"/>
        </w:rPr>
        <w:t>（3）输送带、传动轮和改向轮上的杂物</w:t>
      </w:r>
      <w:r>
        <w:rPr>
          <w:rFonts w:hint="eastAsia"/>
          <w:color w:val="auto"/>
          <w:lang w:val="en-US" w:eastAsia="zh-CN"/>
        </w:rPr>
        <w:t>，</w:t>
      </w:r>
      <w:r>
        <w:rPr>
          <w:rFonts w:hint="default"/>
          <w:color w:val="auto"/>
          <w:lang w:val="en-US" w:eastAsia="zh-CN"/>
        </w:rPr>
        <w:t>应及时停车清除</w:t>
      </w:r>
      <w:r>
        <w:rPr>
          <w:rFonts w:hint="eastAsia"/>
          <w:color w:val="auto"/>
          <w:lang w:val="en-US" w:eastAsia="zh-CN"/>
        </w:rPr>
        <w:t>；</w:t>
      </w:r>
      <w:r>
        <w:rPr>
          <w:rFonts w:hint="default"/>
          <w:color w:val="auto"/>
          <w:lang w:val="en-US" w:eastAsia="zh-CN"/>
        </w:rPr>
        <w:t>不应在运行的输送带下清矿</w:t>
      </w:r>
      <w:r>
        <w:rPr>
          <w:rFonts w:hint="eastAsia"/>
          <w:color w:val="auto"/>
          <w:lang w:val="en-US" w:eastAsia="zh-CN"/>
        </w:rPr>
        <w:t>；</w:t>
      </w:r>
    </w:p>
    <w:p w14:paraId="3CC706BD">
      <w:pPr>
        <w:bidi w:val="0"/>
        <w:rPr>
          <w:rFonts w:hint="default"/>
          <w:color w:val="auto"/>
          <w:lang w:val="en-US" w:eastAsia="zh-CN"/>
        </w:rPr>
      </w:pPr>
      <w:r>
        <w:rPr>
          <w:rFonts w:hint="default"/>
          <w:color w:val="auto"/>
          <w:lang w:val="en-US" w:eastAsia="zh-CN"/>
        </w:rPr>
        <w:t>（4）运行中的带式输送机</w:t>
      </w:r>
      <w:r>
        <w:rPr>
          <w:rFonts w:hint="eastAsia"/>
          <w:color w:val="auto"/>
          <w:lang w:val="en-US" w:eastAsia="zh-CN"/>
        </w:rPr>
        <w:t>，</w:t>
      </w:r>
      <w:r>
        <w:rPr>
          <w:rFonts w:hint="default"/>
          <w:color w:val="auto"/>
          <w:lang w:val="en-US" w:eastAsia="zh-CN"/>
        </w:rPr>
        <w:t>不应进行检修、打扫和注油</w:t>
      </w:r>
      <w:r>
        <w:rPr>
          <w:rFonts w:hint="eastAsia"/>
          <w:color w:val="auto"/>
          <w:lang w:val="en-US" w:eastAsia="zh-CN"/>
        </w:rPr>
        <w:t>，</w:t>
      </w:r>
      <w:r>
        <w:rPr>
          <w:rFonts w:hint="default"/>
          <w:color w:val="auto"/>
          <w:lang w:val="en-US" w:eastAsia="zh-CN"/>
        </w:rPr>
        <w:t>不应用手摸托滚、首尾轮等转动部件。</w:t>
      </w:r>
    </w:p>
    <w:p w14:paraId="25033384">
      <w:pPr>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第9.2.8条规定，更换栏板、清扫器（刮泥板）和托辊，应停车、切断电源进行并应有专人监护。</w:t>
      </w:r>
    </w:p>
    <w:p w14:paraId="16C9E2AE">
      <w:pPr>
        <w:bidi w:val="0"/>
        <w:rPr>
          <w:rFonts w:hint="default"/>
          <w:color w:val="auto"/>
          <w:lang w:val="en-US" w:eastAsia="zh-CN"/>
        </w:rPr>
      </w:pPr>
      <w:r>
        <w:rPr>
          <w:rFonts w:hint="default"/>
          <w:color w:val="auto"/>
          <w:lang w:val="en-US" w:eastAsia="zh-CN"/>
        </w:rPr>
        <w:t>3</w:t>
      </w:r>
      <w:r>
        <w:rPr>
          <w:rFonts w:hint="eastAsia"/>
          <w:color w:val="auto"/>
          <w:lang w:val="en-US" w:eastAsia="zh-CN"/>
        </w:rPr>
        <w:t>5</w:t>
      </w:r>
      <w:r>
        <w:rPr>
          <w:rFonts w:hint="default"/>
          <w:color w:val="auto"/>
          <w:lang w:val="en-US" w:eastAsia="zh-CN"/>
        </w:rPr>
        <w:t>、根据《选矿安全规程》（GB18152-2000）第9.2.9条规定，带式输送机不能启动或打滑时，不应用脚蹬踩、用手推拉或压杠子等办法处理。</w:t>
      </w:r>
    </w:p>
    <w:p w14:paraId="1F2D1AD0">
      <w:pPr>
        <w:pStyle w:val="4"/>
        <w:bidi w:val="0"/>
        <w:rPr>
          <w:rFonts w:hint="default"/>
          <w:color w:val="auto"/>
          <w:lang w:val="en-US" w:eastAsia="zh-CN"/>
        </w:rPr>
      </w:pPr>
      <w:bookmarkStart w:id="141" w:name="_Toc17085"/>
      <w:r>
        <w:rPr>
          <w:rFonts w:hint="eastAsia"/>
          <w:color w:val="auto"/>
          <w:lang w:val="en-US" w:eastAsia="zh-CN"/>
        </w:rPr>
        <w:t>6.2.3 公用工程及辅助设施单元</w:t>
      </w:r>
      <w:r>
        <w:rPr>
          <w:rFonts w:hint="default"/>
          <w:color w:val="auto"/>
          <w:lang w:val="en-US" w:eastAsia="zh-CN"/>
        </w:rPr>
        <w:t>安全对策措施建议</w:t>
      </w:r>
      <w:bookmarkEnd w:id="141"/>
    </w:p>
    <w:p w14:paraId="44EEAF44">
      <w:pPr>
        <w:bidi w:val="0"/>
        <w:rPr>
          <w:rFonts w:hint="default"/>
          <w:color w:val="auto"/>
          <w:lang w:val="en-US" w:eastAsia="zh-CN"/>
        </w:rPr>
      </w:pPr>
      <w:r>
        <w:rPr>
          <w:rFonts w:hint="eastAsia"/>
          <w:color w:val="auto"/>
          <w:lang w:val="en-US" w:eastAsia="zh-CN"/>
        </w:rPr>
        <w:t>1、</w:t>
      </w:r>
      <w:r>
        <w:rPr>
          <w:rFonts w:hint="default"/>
          <w:color w:val="auto"/>
          <w:lang w:val="en-US" w:eastAsia="zh-CN"/>
        </w:rPr>
        <w:t>选厂应完善防雷设施，进行防雷安全检测</w:t>
      </w:r>
      <w:r>
        <w:rPr>
          <w:rFonts w:hint="eastAsia"/>
          <w:color w:val="auto"/>
          <w:lang w:val="en-US" w:eastAsia="zh-CN"/>
        </w:rPr>
        <w:t>。</w:t>
      </w:r>
    </w:p>
    <w:p w14:paraId="19935200">
      <w:pPr>
        <w:bidi w:val="0"/>
        <w:rPr>
          <w:rFonts w:hint="default"/>
          <w:color w:val="auto"/>
          <w:lang w:val="en-US" w:eastAsia="zh-CN"/>
        </w:rPr>
      </w:pPr>
      <w:r>
        <w:rPr>
          <w:rFonts w:hint="eastAsia"/>
          <w:color w:val="auto"/>
          <w:lang w:val="en-US" w:eastAsia="zh-CN"/>
        </w:rPr>
        <w:t>2</w:t>
      </w:r>
      <w:r>
        <w:rPr>
          <w:rFonts w:hint="default"/>
          <w:color w:val="auto"/>
          <w:lang w:val="en-US" w:eastAsia="zh-CN"/>
        </w:rPr>
        <w:t>、做好厂区人工边坡的护坡措施，并做好厂区四周排水和植被绿化工程，防止雨水冲刷产生水土流失。</w:t>
      </w:r>
    </w:p>
    <w:p w14:paraId="6697AB86">
      <w:pPr>
        <w:bidi w:val="0"/>
        <w:rPr>
          <w:rFonts w:hint="default"/>
          <w:color w:val="auto"/>
          <w:lang w:val="en-US" w:eastAsia="zh-CN"/>
        </w:rPr>
      </w:pPr>
      <w:r>
        <w:rPr>
          <w:rFonts w:hint="eastAsia"/>
          <w:color w:val="auto"/>
          <w:lang w:val="en-US" w:eastAsia="zh-CN"/>
        </w:rPr>
        <w:t>3</w:t>
      </w:r>
      <w:r>
        <w:rPr>
          <w:rFonts w:hint="default"/>
          <w:color w:val="auto"/>
          <w:lang w:val="en-US" w:eastAsia="zh-CN"/>
        </w:rPr>
        <w:t>、建立完善的动火管理制度，在禁火区动火必须进行动火审批、动火分析等，严格执行有关规范，采取预防措施，并加强监督检查，确保作业安全。</w:t>
      </w:r>
    </w:p>
    <w:p w14:paraId="625CA830">
      <w:pPr>
        <w:bidi w:val="0"/>
        <w:rPr>
          <w:rFonts w:hint="default"/>
          <w:color w:val="auto"/>
          <w:lang w:val="en-US" w:eastAsia="zh-CN"/>
        </w:rPr>
      </w:pPr>
      <w:r>
        <w:rPr>
          <w:rFonts w:hint="eastAsia"/>
          <w:color w:val="auto"/>
          <w:lang w:val="en-US" w:eastAsia="zh-CN"/>
        </w:rPr>
        <w:t>4</w:t>
      </w:r>
      <w:r>
        <w:rPr>
          <w:rFonts w:hint="default"/>
          <w:color w:val="auto"/>
          <w:lang w:val="en-US" w:eastAsia="zh-CN"/>
        </w:rPr>
        <w:t>、各建筑物之间充分考虑防火安全距离，在主要生产工段及车间配置消防设施。</w:t>
      </w:r>
    </w:p>
    <w:p w14:paraId="1D188245">
      <w:pPr>
        <w:bidi w:val="0"/>
        <w:rPr>
          <w:rFonts w:hint="default"/>
          <w:color w:val="auto"/>
          <w:lang w:val="en-US" w:eastAsia="zh-CN"/>
        </w:rPr>
      </w:pPr>
      <w:r>
        <w:rPr>
          <w:rFonts w:hint="eastAsia"/>
          <w:color w:val="auto"/>
          <w:lang w:val="en-US" w:eastAsia="zh-CN"/>
        </w:rPr>
        <w:t>5</w:t>
      </w:r>
      <w:r>
        <w:rPr>
          <w:rFonts w:hint="default"/>
          <w:color w:val="auto"/>
          <w:lang w:val="en-US" w:eastAsia="zh-CN"/>
        </w:rPr>
        <w:t>、经常对职工进行消防安全知识教育和培训，使其掌握并熟练使用灭火器材。</w:t>
      </w:r>
    </w:p>
    <w:p w14:paraId="2F162801">
      <w:pPr>
        <w:bidi w:val="0"/>
        <w:rPr>
          <w:rFonts w:hint="default"/>
          <w:color w:val="auto"/>
          <w:lang w:val="en-US" w:eastAsia="zh-CN"/>
        </w:rPr>
      </w:pPr>
      <w:r>
        <w:rPr>
          <w:rFonts w:hint="eastAsia"/>
          <w:color w:val="auto"/>
          <w:lang w:val="en-US" w:eastAsia="zh-CN"/>
        </w:rPr>
        <w:t>6</w:t>
      </w:r>
      <w:r>
        <w:rPr>
          <w:rFonts w:hint="default"/>
          <w:color w:val="auto"/>
          <w:lang w:val="en-US" w:eastAsia="zh-CN"/>
        </w:rPr>
        <w:t>、易燃易爆物品进行分类管理，并按不同要求采取相应的消防措施；易燃易爆物品的使用、储存和运输，应执行有关易燃易爆物品的安全管理规定。</w:t>
      </w:r>
    </w:p>
    <w:p w14:paraId="1337BC5B">
      <w:pPr>
        <w:bidi w:val="0"/>
        <w:rPr>
          <w:rFonts w:hint="default"/>
          <w:color w:val="auto"/>
          <w:lang w:val="en-US" w:eastAsia="zh-CN"/>
        </w:rPr>
      </w:pPr>
      <w:r>
        <w:rPr>
          <w:rFonts w:hint="eastAsia"/>
          <w:color w:val="auto"/>
          <w:lang w:val="en-US" w:eastAsia="zh-CN"/>
        </w:rPr>
        <w:t>7</w:t>
      </w:r>
      <w:r>
        <w:rPr>
          <w:rFonts w:hint="default"/>
          <w:color w:val="auto"/>
          <w:lang w:val="en-US" w:eastAsia="zh-CN"/>
        </w:rPr>
        <w:t>、保证电气设备绝缘良好，防止裸露，定期对电气设备进行检修，防止线路老化。</w:t>
      </w:r>
    </w:p>
    <w:p w14:paraId="6752415C">
      <w:pPr>
        <w:bidi w:val="0"/>
        <w:rPr>
          <w:rFonts w:hint="default"/>
          <w:color w:val="auto"/>
          <w:lang w:val="en-US" w:eastAsia="zh-CN"/>
        </w:rPr>
      </w:pPr>
      <w:r>
        <w:rPr>
          <w:rFonts w:hint="eastAsia"/>
          <w:color w:val="auto"/>
          <w:lang w:val="en-US" w:eastAsia="zh-CN"/>
        </w:rPr>
        <w:t>8</w:t>
      </w:r>
      <w:r>
        <w:rPr>
          <w:rFonts w:hint="default"/>
          <w:color w:val="auto"/>
          <w:lang w:val="en-US" w:eastAsia="zh-CN"/>
        </w:rPr>
        <w:t>、厂房、库房等应按国家有关规定设置相应数量的安全出口，楼梯、走道及门的宽度应符合防火规范，安全疏散门应向外开启。</w:t>
      </w:r>
    </w:p>
    <w:p w14:paraId="09365F1B">
      <w:pPr>
        <w:bidi w:val="0"/>
        <w:rPr>
          <w:rFonts w:hint="default"/>
          <w:color w:val="auto"/>
          <w:lang w:val="en-US" w:eastAsia="zh-CN"/>
        </w:rPr>
      </w:pPr>
      <w:r>
        <w:rPr>
          <w:rFonts w:hint="eastAsia"/>
          <w:color w:val="auto"/>
          <w:lang w:val="en-US" w:eastAsia="zh-CN"/>
        </w:rPr>
        <w:t>9</w:t>
      </w:r>
      <w:r>
        <w:rPr>
          <w:rFonts w:hint="default"/>
          <w:color w:val="auto"/>
          <w:lang w:val="en-US" w:eastAsia="zh-CN"/>
        </w:rPr>
        <w:t>、任何单位和个人，严禁擅自将消防设备和消防工具挪作他用。</w:t>
      </w:r>
    </w:p>
    <w:p w14:paraId="253ABB59">
      <w:pPr>
        <w:bidi w:val="0"/>
        <w:rPr>
          <w:rFonts w:hint="default"/>
          <w:color w:val="auto"/>
          <w:lang w:val="en-US" w:eastAsia="zh-CN"/>
        </w:rPr>
      </w:pPr>
      <w:r>
        <w:rPr>
          <w:rFonts w:hint="default"/>
          <w:color w:val="auto"/>
          <w:lang w:val="en-US" w:eastAsia="zh-CN"/>
        </w:rPr>
        <w:t>1</w:t>
      </w:r>
      <w:r>
        <w:rPr>
          <w:rFonts w:hint="eastAsia"/>
          <w:color w:val="auto"/>
          <w:lang w:val="en-US" w:eastAsia="zh-CN"/>
        </w:rPr>
        <w:t>0</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第11.2条规定，应按生产的火灾危险性分类，合理选择建构筑物的耐火等级，并采取相应的消防措施。</w:t>
      </w:r>
    </w:p>
    <w:p w14:paraId="39BA36A5">
      <w:pPr>
        <w:bidi w:val="0"/>
        <w:rPr>
          <w:rFonts w:hint="default"/>
          <w:color w:val="auto"/>
          <w:lang w:val="en-US" w:eastAsia="zh-CN"/>
        </w:rPr>
      </w:pPr>
      <w:r>
        <w:rPr>
          <w:rFonts w:hint="default"/>
          <w:color w:val="auto"/>
          <w:lang w:val="en-US" w:eastAsia="zh-CN"/>
        </w:rPr>
        <w:t>1</w:t>
      </w:r>
      <w:r>
        <w:rPr>
          <w:rFonts w:hint="eastAsia"/>
          <w:color w:val="auto"/>
          <w:lang w:val="en-US" w:eastAsia="zh-CN"/>
        </w:rPr>
        <w:t>1</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第11.3条规定，厂房、库房、站房、地下室，应按国家有关规定设置适当数量的安全出口。安全疏散距离和楼梯、走道及门的宽度应符合防火规范，安全疏散门应向外开启。</w:t>
      </w:r>
    </w:p>
    <w:p w14:paraId="1D4F4F8A">
      <w:pPr>
        <w:bidi w:val="0"/>
        <w:rPr>
          <w:rFonts w:hint="default"/>
          <w:color w:val="auto"/>
          <w:lang w:val="en-US" w:eastAsia="zh-CN"/>
        </w:rPr>
      </w:pPr>
      <w:r>
        <w:rPr>
          <w:rFonts w:hint="default"/>
          <w:color w:val="auto"/>
          <w:lang w:val="en-US" w:eastAsia="zh-CN"/>
        </w:rPr>
        <w:t>1</w:t>
      </w:r>
      <w:r>
        <w:rPr>
          <w:rFonts w:hint="eastAsia"/>
          <w:color w:val="auto"/>
          <w:lang w:val="en-US" w:eastAsia="zh-CN"/>
        </w:rPr>
        <w:t>2</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第11.9条规定，应经常对职工进行消防安全教育熟练使用灭火器材。</w:t>
      </w:r>
    </w:p>
    <w:p w14:paraId="052B9869">
      <w:pPr>
        <w:bidi w:val="0"/>
        <w:rPr>
          <w:rFonts w:hint="default"/>
          <w:color w:val="auto"/>
          <w:lang w:val="en-US" w:eastAsia="zh-CN"/>
        </w:rPr>
      </w:pPr>
      <w:r>
        <w:rPr>
          <w:rFonts w:hint="default"/>
          <w:color w:val="auto"/>
          <w:lang w:val="en-US" w:eastAsia="zh-CN"/>
        </w:rPr>
        <w:t>1</w:t>
      </w:r>
      <w:r>
        <w:rPr>
          <w:rFonts w:hint="eastAsia"/>
          <w:color w:val="auto"/>
          <w:lang w:val="en-US" w:eastAsia="zh-CN"/>
        </w:rPr>
        <w:t>3</w:t>
      </w:r>
      <w:r>
        <w:rPr>
          <w:rFonts w:hint="default"/>
          <w:color w:val="auto"/>
          <w:lang w:val="en-US" w:eastAsia="zh-CN"/>
        </w:rPr>
        <w:t>、建筑物的防火间距应符合《建筑设计防火规范》（GB 0016-2014，2018版）3.4.1的要求。</w:t>
      </w:r>
    </w:p>
    <w:p w14:paraId="6F1F5273">
      <w:pPr>
        <w:bidi w:val="0"/>
        <w:rPr>
          <w:rFonts w:hint="default"/>
          <w:color w:val="auto"/>
          <w:lang w:val="en-US" w:eastAsia="zh-CN"/>
        </w:rPr>
      </w:pPr>
      <w:r>
        <w:rPr>
          <w:rFonts w:hint="default"/>
          <w:color w:val="auto"/>
          <w:lang w:val="en-US" w:eastAsia="zh-CN"/>
        </w:rPr>
        <w:t>1</w:t>
      </w:r>
      <w:r>
        <w:rPr>
          <w:rFonts w:hint="eastAsia"/>
          <w:color w:val="auto"/>
          <w:lang w:val="en-US" w:eastAsia="zh-CN"/>
        </w:rPr>
        <w:t>4</w:t>
      </w:r>
      <w:r>
        <w:rPr>
          <w:rFonts w:hint="default"/>
          <w:color w:val="auto"/>
          <w:lang w:val="en-US" w:eastAsia="zh-CN"/>
        </w:rPr>
        <w:t>、根据《建筑设计防火规范》（GB 0016-2014，2018版）第7.1.8条规定，消防车道应符合下列要求：</w:t>
      </w:r>
    </w:p>
    <w:p w14:paraId="1FBDC7D9">
      <w:pPr>
        <w:bidi w:val="0"/>
        <w:rPr>
          <w:rFonts w:hint="default"/>
          <w:color w:val="auto"/>
          <w:lang w:val="en-US" w:eastAsia="zh-CN"/>
        </w:rPr>
      </w:pPr>
      <w:r>
        <w:rPr>
          <w:rFonts w:hint="default"/>
          <w:color w:val="auto"/>
          <w:lang w:val="en-US" w:eastAsia="zh-CN"/>
        </w:rPr>
        <w:t>（1）车道的净宽度和净空高度均不应小于4.0m；</w:t>
      </w:r>
    </w:p>
    <w:p w14:paraId="7D4642A8">
      <w:pPr>
        <w:bidi w:val="0"/>
        <w:rPr>
          <w:rFonts w:hint="default"/>
          <w:color w:val="auto"/>
          <w:lang w:val="en-US" w:eastAsia="zh-CN"/>
        </w:rPr>
      </w:pPr>
      <w:r>
        <w:rPr>
          <w:rFonts w:hint="default"/>
          <w:color w:val="auto"/>
          <w:lang w:val="en-US" w:eastAsia="zh-CN"/>
        </w:rPr>
        <w:t>（2）转弯半径应满足消防车转弯的要求；</w:t>
      </w:r>
    </w:p>
    <w:p w14:paraId="4207BFF9">
      <w:pPr>
        <w:bidi w:val="0"/>
        <w:rPr>
          <w:rFonts w:hint="default"/>
          <w:color w:val="auto"/>
          <w:lang w:val="en-US" w:eastAsia="zh-CN"/>
        </w:rPr>
      </w:pPr>
      <w:r>
        <w:rPr>
          <w:rFonts w:hint="default"/>
          <w:color w:val="auto"/>
          <w:lang w:val="en-US" w:eastAsia="zh-CN"/>
        </w:rPr>
        <w:t>（3）消防车道与建筑之间不应设置妨碍消防车操作的树木、架空管线等障碍物；</w:t>
      </w:r>
    </w:p>
    <w:p w14:paraId="24C732A4">
      <w:pPr>
        <w:bidi w:val="0"/>
        <w:rPr>
          <w:rFonts w:hint="default"/>
          <w:color w:val="auto"/>
          <w:lang w:val="en-US" w:eastAsia="zh-CN"/>
        </w:rPr>
      </w:pPr>
      <w:r>
        <w:rPr>
          <w:rFonts w:hint="default"/>
          <w:color w:val="auto"/>
          <w:lang w:val="en-US" w:eastAsia="zh-CN"/>
        </w:rPr>
        <w:t>（4）消防车道靠建筑外墙一侧的边缘距离建筑外墙不宜小于5m；</w:t>
      </w:r>
    </w:p>
    <w:p w14:paraId="66DF87E7">
      <w:pPr>
        <w:bidi w:val="0"/>
        <w:rPr>
          <w:rFonts w:hint="default"/>
          <w:color w:val="auto"/>
          <w:lang w:val="en-US" w:eastAsia="zh-CN"/>
        </w:rPr>
      </w:pPr>
      <w:r>
        <w:rPr>
          <w:rFonts w:hint="default"/>
          <w:color w:val="auto"/>
          <w:lang w:val="en-US" w:eastAsia="zh-CN"/>
        </w:rPr>
        <w:t>（5）消防车道的坡度不宜大于8%。</w:t>
      </w:r>
    </w:p>
    <w:p w14:paraId="32AE5876">
      <w:pPr>
        <w:bidi w:val="0"/>
        <w:rPr>
          <w:rFonts w:hint="default"/>
          <w:color w:val="auto"/>
          <w:lang w:val="en-US" w:eastAsia="zh-CN"/>
        </w:rPr>
      </w:pPr>
      <w:r>
        <w:rPr>
          <w:rFonts w:hint="default"/>
          <w:color w:val="auto"/>
          <w:lang w:val="en-US" w:eastAsia="zh-CN"/>
        </w:rPr>
        <w:t>1</w:t>
      </w:r>
      <w:r>
        <w:rPr>
          <w:rFonts w:hint="eastAsia"/>
          <w:color w:val="auto"/>
          <w:lang w:val="en-US" w:eastAsia="zh-CN"/>
        </w:rPr>
        <w:t>5</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第12.8条规定，厂区生活饮水和生产卫生用水，其水源选择、水源卫生防护及水质标准，应符合 GB 5749 和《工业企业设计卫生标准》的有关规定。</w:t>
      </w:r>
    </w:p>
    <w:p w14:paraId="29A2A254">
      <w:pPr>
        <w:bidi w:val="0"/>
        <w:rPr>
          <w:rFonts w:hint="default"/>
          <w:color w:val="auto"/>
          <w:lang w:val="en-US" w:eastAsia="zh-CN"/>
        </w:rPr>
      </w:pPr>
      <w:r>
        <w:rPr>
          <w:rFonts w:hint="default"/>
          <w:color w:val="auto"/>
          <w:lang w:val="en-US" w:eastAsia="zh-CN"/>
        </w:rPr>
        <w:t>应每月进行一次水质检验，水质不合格的不应作为饮用水源。</w:t>
      </w:r>
    </w:p>
    <w:p w14:paraId="20702E93">
      <w:pPr>
        <w:bidi w:val="0"/>
        <w:rPr>
          <w:rFonts w:hint="default"/>
          <w:color w:val="auto"/>
          <w:lang w:val="en-US" w:eastAsia="zh-CN"/>
        </w:rPr>
      </w:pPr>
      <w:r>
        <w:rPr>
          <w:rFonts w:hint="default"/>
          <w:color w:val="auto"/>
          <w:lang w:val="en-US" w:eastAsia="zh-CN"/>
        </w:rPr>
        <w:t>1</w:t>
      </w:r>
      <w:r>
        <w:rPr>
          <w:rFonts w:hint="eastAsia"/>
          <w:color w:val="auto"/>
          <w:lang w:val="en-US" w:eastAsia="zh-CN"/>
        </w:rPr>
        <w:t>6</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第12.9条规定，生产车间应设饮水站，及时供给职工符合卫生标准的饮用水。户外作业的人员，应发给随身携带的水壶。</w:t>
      </w:r>
    </w:p>
    <w:p w14:paraId="616532C1">
      <w:pPr>
        <w:bidi w:val="0"/>
        <w:rPr>
          <w:rFonts w:hint="default"/>
          <w:color w:val="auto"/>
          <w:lang w:val="en-US" w:eastAsia="zh-CN"/>
        </w:rPr>
      </w:pPr>
      <w:r>
        <w:rPr>
          <w:rFonts w:hint="default"/>
          <w:color w:val="auto"/>
          <w:lang w:val="en-US" w:eastAsia="zh-CN"/>
        </w:rPr>
        <w:t>1</w:t>
      </w:r>
      <w:r>
        <w:rPr>
          <w:rFonts w:hint="eastAsia"/>
          <w:color w:val="auto"/>
          <w:lang w:val="en-US" w:eastAsia="zh-CN"/>
        </w:rPr>
        <w:t>7</w:t>
      </w:r>
      <w:r>
        <w:rPr>
          <w:rFonts w:hint="default"/>
          <w:color w:val="auto"/>
          <w:lang w:val="en-US" w:eastAsia="zh-CN"/>
        </w:rPr>
        <w:t>、根据《建筑灭火器配置设计规范》（GB 50140-2005）第5.1.1条规定，灭火器应设置在位置明显和便于取用的地点，且不得影响安全疏散。</w:t>
      </w:r>
    </w:p>
    <w:p w14:paraId="609F54EF">
      <w:pPr>
        <w:bidi w:val="0"/>
        <w:rPr>
          <w:rFonts w:hint="default"/>
          <w:color w:val="auto"/>
          <w:lang w:val="en-US" w:eastAsia="zh-CN"/>
        </w:rPr>
      </w:pPr>
      <w:r>
        <w:rPr>
          <w:rFonts w:hint="eastAsia"/>
          <w:color w:val="auto"/>
          <w:lang w:val="en-US" w:eastAsia="zh-CN"/>
        </w:rPr>
        <w:t>18</w:t>
      </w:r>
      <w:r>
        <w:rPr>
          <w:rFonts w:hint="default"/>
          <w:color w:val="auto"/>
          <w:lang w:val="en-US" w:eastAsia="zh-CN"/>
        </w:rPr>
        <w:t>、根据《建筑灭火器配置设计规范》（GB 50140-2005）第5.1.3条规定，灭火器的摆放应稳固，其铭牌应朝外。手提式灭火器宜设置在灭火器箱内或挂钩、托架上</w:t>
      </w:r>
      <w:r>
        <w:rPr>
          <w:rFonts w:hint="eastAsia"/>
          <w:color w:val="auto"/>
          <w:lang w:val="en-US" w:eastAsia="zh-CN"/>
        </w:rPr>
        <w:t>，</w:t>
      </w:r>
      <w:r>
        <w:rPr>
          <w:rFonts w:hint="default"/>
          <w:color w:val="auto"/>
          <w:lang w:val="en-US" w:eastAsia="zh-CN"/>
        </w:rPr>
        <w:t>其顶部离地面高度不应大于1.50m；底部离地面高度不宜小于0.08m。灭火器箱不得上锁。</w:t>
      </w:r>
    </w:p>
    <w:p w14:paraId="7B67FE77">
      <w:pPr>
        <w:bidi w:val="0"/>
        <w:rPr>
          <w:rFonts w:hint="default"/>
          <w:color w:val="auto"/>
          <w:lang w:val="en-US" w:eastAsia="zh-CN"/>
        </w:rPr>
      </w:pPr>
      <w:r>
        <w:rPr>
          <w:rFonts w:hint="eastAsia"/>
          <w:color w:val="auto"/>
          <w:lang w:val="en-US" w:eastAsia="zh-CN"/>
        </w:rPr>
        <w:t>19</w:t>
      </w:r>
      <w:r>
        <w:rPr>
          <w:rFonts w:hint="default"/>
          <w:color w:val="auto"/>
          <w:lang w:val="en-US" w:eastAsia="zh-CN"/>
        </w:rPr>
        <w:t>、灭火器的保护距离，应符合《建筑灭火器配置设计规范》（GB 50140-2005）第5.2条规定。</w:t>
      </w:r>
    </w:p>
    <w:p w14:paraId="0E81EA74">
      <w:pPr>
        <w:bidi w:val="0"/>
        <w:rPr>
          <w:rFonts w:hint="default"/>
          <w:color w:val="auto"/>
          <w:lang w:val="en-US" w:eastAsia="zh-CN"/>
        </w:rPr>
      </w:pPr>
      <w:r>
        <w:rPr>
          <w:rFonts w:hint="default"/>
          <w:color w:val="auto"/>
          <w:lang w:val="en-US" w:eastAsia="zh-CN"/>
        </w:rPr>
        <w:t>2</w:t>
      </w:r>
      <w:r>
        <w:rPr>
          <w:rFonts w:hint="eastAsia"/>
          <w:color w:val="auto"/>
          <w:lang w:val="en-US" w:eastAsia="zh-CN"/>
        </w:rPr>
        <w:t>0</w:t>
      </w:r>
      <w:r>
        <w:rPr>
          <w:rFonts w:hint="default"/>
          <w:color w:val="auto"/>
          <w:lang w:val="en-US" w:eastAsia="zh-CN"/>
        </w:rPr>
        <w:t>、根据《建筑灭火器配置设计规范》（GB 50140-2005）第6.1.1条规定，一个计算单元内配置的灭火器数量不得少于2具。</w:t>
      </w:r>
    </w:p>
    <w:p w14:paraId="36778733">
      <w:pPr>
        <w:bidi w:val="0"/>
        <w:rPr>
          <w:rFonts w:hint="default"/>
          <w:color w:val="auto"/>
          <w:lang w:val="en-US" w:eastAsia="zh-CN"/>
        </w:rPr>
      </w:pPr>
      <w:r>
        <w:rPr>
          <w:rFonts w:hint="default"/>
          <w:color w:val="auto"/>
          <w:lang w:val="en-US" w:eastAsia="zh-CN"/>
        </w:rPr>
        <w:t>2</w:t>
      </w:r>
      <w:r>
        <w:rPr>
          <w:rFonts w:hint="eastAsia"/>
          <w:color w:val="auto"/>
          <w:lang w:val="en-US" w:eastAsia="zh-CN"/>
        </w:rPr>
        <w:t>1</w:t>
      </w:r>
      <w:r>
        <w:rPr>
          <w:rFonts w:hint="default"/>
          <w:color w:val="auto"/>
          <w:lang w:val="en-US" w:eastAsia="zh-CN"/>
        </w:rPr>
        <w:t>、根据《建筑灭火器配置设计规范》（GB 50140-2005）第6.1.2条规定，每个设置点的灭火器数量不宜多于5具。</w:t>
      </w:r>
    </w:p>
    <w:p w14:paraId="5E0C8484">
      <w:pPr>
        <w:bidi w:val="0"/>
        <w:rPr>
          <w:rFonts w:hint="default"/>
          <w:color w:val="auto"/>
          <w:lang w:val="en-US" w:eastAsia="zh-CN"/>
        </w:rPr>
      </w:pPr>
      <w:r>
        <w:rPr>
          <w:rFonts w:hint="eastAsia"/>
          <w:color w:val="auto"/>
          <w:lang w:val="en-US" w:eastAsia="zh-CN"/>
        </w:rPr>
        <w:t>22</w:t>
      </w:r>
      <w:r>
        <w:rPr>
          <w:rFonts w:hint="default"/>
          <w:color w:val="auto"/>
          <w:lang w:val="en-US" w:eastAsia="zh-CN"/>
        </w:rPr>
        <w:t>、手持电动工具、电气施工机械、施工临时用电设备及潮湿场所用电设备等在有条件的情况下加装漏电保护装置，防止触电危及人身安全。</w:t>
      </w:r>
    </w:p>
    <w:p w14:paraId="71ECD32E">
      <w:pPr>
        <w:bidi w:val="0"/>
        <w:rPr>
          <w:rFonts w:hint="default"/>
          <w:color w:val="auto"/>
          <w:lang w:val="en-US" w:eastAsia="zh-CN"/>
        </w:rPr>
      </w:pPr>
      <w:r>
        <w:rPr>
          <w:rFonts w:hint="eastAsia"/>
          <w:color w:val="auto"/>
          <w:lang w:val="en-US" w:eastAsia="zh-CN"/>
        </w:rPr>
        <w:t>23</w:t>
      </w:r>
      <w:r>
        <w:rPr>
          <w:rFonts w:hint="default"/>
          <w:color w:val="auto"/>
          <w:lang w:val="en-US" w:eastAsia="zh-CN"/>
        </w:rPr>
        <w:t>、高低压配电室配电柜前、后两端的操作维护通道宽度应满足GB50053的有关规定。</w:t>
      </w:r>
    </w:p>
    <w:p w14:paraId="631AAB15">
      <w:pPr>
        <w:bidi w:val="0"/>
        <w:rPr>
          <w:rFonts w:hint="default"/>
          <w:color w:val="auto"/>
          <w:lang w:val="en-US" w:eastAsia="zh-CN"/>
        </w:rPr>
      </w:pPr>
      <w:r>
        <w:rPr>
          <w:rFonts w:hint="eastAsia"/>
          <w:color w:val="auto"/>
          <w:lang w:val="en-US" w:eastAsia="zh-CN"/>
        </w:rPr>
        <w:t>24</w:t>
      </w:r>
      <w:r>
        <w:rPr>
          <w:rFonts w:hint="default"/>
          <w:color w:val="auto"/>
          <w:lang w:val="en-US" w:eastAsia="zh-CN"/>
        </w:rPr>
        <w:t>、应避免电气线路发生短路、过负荷，防止引发电气火灾。</w:t>
      </w:r>
    </w:p>
    <w:p w14:paraId="0C8B7AC7">
      <w:pPr>
        <w:bidi w:val="0"/>
        <w:rPr>
          <w:rFonts w:hint="default"/>
          <w:color w:val="auto"/>
          <w:lang w:val="en-US" w:eastAsia="zh-CN"/>
        </w:rPr>
      </w:pPr>
      <w:r>
        <w:rPr>
          <w:rFonts w:hint="eastAsia"/>
          <w:color w:val="auto"/>
          <w:lang w:val="en-US" w:eastAsia="zh-CN"/>
        </w:rPr>
        <w:t>25</w:t>
      </w:r>
      <w:r>
        <w:rPr>
          <w:rFonts w:hint="default"/>
          <w:color w:val="auto"/>
          <w:lang w:val="en-US" w:eastAsia="zh-CN"/>
        </w:rPr>
        <w:t>、在带电的导线、设备、变压器开关附近，不应有损坏电气绝缘或引起电气火灾的热源。</w:t>
      </w:r>
    </w:p>
    <w:p w14:paraId="1633FF87">
      <w:pPr>
        <w:bidi w:val="0"/>
        <w:rPr>
          <w:rFonts w:hint="default"/>
          <w:color w:val="auto"/>
          <w:lang w:val="en-US" w:eastAsia="zh-CN"/>
        </w:rPr>
      </w:pPr>
      <w:r>
        <w:rPr>
          <w:rFonts w:hint="eastAsia"/>
          <w:color w:val="auto"/>
          <w:lang w:val="en-US" w:eastAsia="zh-CN"/>
        </w:rPr>
        <w:t>26</w:t>
      </w:r>
      <w:r>
        <w:rPr>
          <w:rFonts w:hint="default"/>
          <w:color w:val="auto"/>
          <w:lang w:val="en-US" w:eastAsia="zh-CN"/>
        </w:rPr>
        <w:t>、电源进线上应装设带漏电保护功能的断路器，以有效地消除接地电弧产生的隐患，从而大幅度降低我国单相接地短路引发的火灾。</w:t>
      </w:r>
    </w:p>
    <w:p w14:paraId="17ED7151">
      <w:pPr>
        <w:bidi w:val="0"/>
        <w:rPr>
          <w:rFonts w:hint="default"/>
          <w:color w:val="auto"/>
          <w:lang w:val="en-US" w:eastAsia="zh-CN"/>
        </w:rPr>
      </w:pPr>
      <w:r>
        <w:rPr>
          <w:rFonts w:hint="eastAsia"/>
          <w:color w:val="auto"/>
          <w:lang w:val="en-US" w:eastAsia="zh-CN"/>
        </w:rPr>
        <w:t>27</w:t>
      </w:r>
      <w:r>
        <w:rPr>
          <w:rFonts w:hint="default"/>
          <w:color w:val="auto"/>
          <w:lang w:val="en-US" w:eastAsia="zh-CN"/>
        </w:rPr>
        <w:t>、严禁明接头、鸡爪子接头和电缆不正常包扎，防止引起火灾。</w:t>
      </w:r>
    </w:p>
    <w:p w14:paraId="2F202794">
      <w:pPr>
        <w:bidi w:val="0"/>
        <w:rPr>
          <w:rFonts w:hint="default"/>
          <w:color w:val="auto"/>
          <w:lang w:val="en-US" w:eastAsia="zh-CN"/>
        </w:rPr>
      </w:pPr>
      <w:r>
        <w:rPr>
          <w:rFonts w:hint="eastAsia"/>
          <w:color w:val="auto"/>
          <w:lang w:val="en-US" w:eastAsia="zh-CN"/>
        </w:rPr>
        <w:t>28</w:t>
      </w:r>
      <w:r>
        <w:rPr>
          <w:rFonts w:hint="default"/>
          <w:color w:val="auto"/>
          <w:lang w:val="en-US" w:eastAsia="zh-CN"/>
        </w:rPr>
        <w:t>、项目电力装置，应符合GB50070和其他有关规范、规程的要求。</w:t>
      </w:r>
    </w:p>
    <w:p w14:paraId="45E76EC2">
      <w:pPr>
        <w:bidi w:val="0"/>
        <w:rPr>
          <w:rFonts w:hint="default"/>
          <w:color w:val="auto"/>
          <w:lang w:val="en-US" w:eastAsia="zh-CN"/>
        </w:rPr>
      </w:pPr>
      <w:r>
        <w:rPr>
          <w:rFonts w:hint="eastAsia"/>
          <w:color w:val="auto"/>
          <w:lang w:val="en-US" w:eastAsia="zh-CN"/>
        </w:rPr>
        <w:t>29</w:t>
      </w:r>
      <w:r>
        <w:rPr>
          <w:rFonts w:hint="default"/>
          <w:color w:val="auto"/>
          <w:lang w:val="en-US" w:eastAsia="zh-CN"/>
        </w:rPr>
        <w:t>、施工选用的设备和器材应符合国家现行技术标准的规定，并有合格的有效证件，要把住设备、器材的质量关，严格做好进料验收，特别是各种电器元件、导线及绝缘材料。</w:t>
      </w:r>
    </w:p>
    <w:p w14:paraId="516C3499">
      <w:pPr>
        <w:bidi w:val="0"/>
        <w:rPr>
          <w:rFonts w:hint="default"/>
          <w:color w:val="auto"/>
          <w:lang w:val="en-US" w:eastAsia="zh-CN"/>
        </w:rPr>
      </w:pPr>
      <w:r>
        <w:rPr>
          <w:rFonts w:hint="eastAsia"/>
          <w:color w:val="auto"/>
          <w:lang w:val="en-US" w:eastAsia="zh-CN"/>
        </w:rPr>
        <w:t>30</w:t>
      </w:r>
      <w:r>
        <w:rPr>
          <w:rFonts w:hint="default"/>
          <w:color w:val="auto"/>
          <w:lang w:val="en-US" w:eastAsia="zh-CN"/>
        </w:rPr>
        <w:t>、电气设备可能被人触及的裸露带电部分，应进行可靠接地、接零保护。</w:t>
      </w:r>
    </w:p>
    <w:p w14:paraId="4711594F">
      <w:pPr>
        <w:bidi w:val="0"/>
        <w:rPr>
          <w:rFonts w:hint="default"/>
          <w:color w:val="auto"/>
          <w:lang w:val="en-US" w:eastAsia="zh-CN"/>
        </w:rPr>
      </w:pPr>
      <w:r>
        <w:rPr>
          <w:rFonts w:hint="eastAsia"/>
          <w:color w:val="auto"/>
          <w:lang w:val="en-US" w:eastAsia="zh-CN"/>
        </w:rPr>
        <w:t>31</w:t>
      </w:r>
      <w:r>
        <w:rPr>
          <w:rFonts w:hint="default"/>
          <w:color w:val="auto"/>
          <w:lang w:val="en-US" w:eastAsia="zh-CN"/>
        </w:rPr>
        <w:t>、停电和送电，应严格执行操作票制度。</w:t>
      </w:r>
    </w:p>
    <w:p w14:paraId="51028B34">
      <w:pPr>
        <w:bidi w:val="0"/>
        <w:rPr>
          <w:rFonts w:hint="default"/>
          <w:color w:val="auto"/>
          <w:lang w:val="en-US" w:eastAsia="zh-CN"/>
        </w:rPr>
      </w:pPr>
      <w:r>
        <w:rPr>
          <w:rFonts w:hint="eastAsia"/>
          <w:color w:val="auto"/>
          <w:lang w:val="en-US" w:eastAsia="zh-CN"/>
        </w:rPr>
        <w:t>32</w:t>
      </w:r>
      <w:r>
        <w:rPr>
          <w:rFonts w:hint="default"/>
          <w:color w:val="auto"/>
          <w:lang w:val="en-US" w:eastAsia="zh-CN"/>
        </w:rPr>
        <w:t>、熔断器、熔丝、熔片、热继电器等保险装置，使用前应进行核对，不应任意更换或代用。</w:t>
      </w:r>
    </w:p>
    <w:p w14:paraId="0C3A6D5A">
      <w:pPr>
        <w:bidi w:val="0"/>
        <w:rPr>
          <w:rFonts w:hint="default"/>
          <w:color w:val="auto"/>
          <w:lang w:val="en-US" w:eastAsia="zh-CN"/>
        </w:rPr>
      </w:pPr>
      <w:r>
        <w:rPr>
          <w:rFonts w:hint="eastAsia"/>
          <w:color w:val="auto"/>
          <w:lang w:val="en-US" w:eastAsia="zh-CN"/>
        </w:rPr>
        <w:t>33</w:t>
      </w:r>
      <w:r>
        <w:rPr>
          <w:rFonts w:hint="default"/>
          <w:color w:val="auto"/>
          <w:lang w:val="en-US" w:eastAsia="zh-CN"/>
        </w:rPr>
        <w:t>、企业供配电、电力装置的过电压保护、电气设备的保护接地以及建筑物的防雷接地等，设计严格按照国家标准有关设计规范规定执行，确保设备及人身安全，供电可靠。</w:t>
      </w:r>
    </w:p>
    <w:p w14:paraId="353C4F8D">
      <w:pPr>
        <w:bidi w:val="0"/>
        <w:rPr>
          <w:rFonts w:hint="default"/>
          <w:color w:val="auto"/>
          <w:lang w:val="en-US" w:eastAsia="zh-CN"/>
        </w:rPr>
      </w:pPr>
      <w:r>
        <w:rPr>
          <w:rFonts w:hint="eastAsia"/>
          <w:color w:val="auto"/>
          <w:lang w:val="en-US" w:eastAsia="zh-CN"/>
        </w:rPr>
        <w:t>34</w:t>
      </w:r>
      <w:r>
        <w:rPr>
          <w:rFonts w:hint="default"/>
          <w:color w:val="auto"/>
          <w:lang w:val="en-US" w:eastAsia="zh-CN"/>
        </w:rPr>
        <w:t>、供电线路在进线端设置避雷装置，防止高电位的侵入，确保供电的可靠性。</w:t>
      </w:r>
    </w:p>
    <w:p w14:paraId="3F47FEBB">
      <w:pPr>
        <w:bidi w:val="0"/>
        <w:rPr>
          <w:rFonts w:hint="default"/>
          <w:color w:val="auto"/>
          <w:lang w:val="en-US" w:eastAsia="zh-CN"/>
        </w:rPr>
      </w:pPr>
      <w:r>
        <w:rPr>
          <w:rFonts w:hint="eastAsia"/>
          <w:color w:val="auto"/>
          <w:lang w:val="en-US" w:eastAsia="zh-CN"/>
        </w:rPr>
        <w:t>35</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第6.26条规定，检修设备应事先切断电源，用操作牌换电源牌，在操作箱上挂好</w:t>
      </w:r>
      <w:r>
        <w:rPr>
          <w:rFonts w:hint="eastAsia"/>
          <w:color w:val="auto"/>
          <w:lang w:val="en-US" w:eastAsia="zh-CN"/>
        </w:rPr>
        <w:t>“</w:t>
      </w:r>
      <w:r>
        <w:rPr>
          <w:rFonts w:hint="default"/>
          <w:color w:val="auto"/>
          <w:lang w:val="en-US" w:eastAsia="zh-CN"/>
        </w:rPr>
        <w:t>禁止开动</w:t>
      </w:r>
      <w:r>
        <w:rPr>
          <w:rFonts w:hint="eastAsia"/>
          <w:color w:val="auto"/>
          <w:lang w:val="en-US" w:eastAsia="zh-CN"/>
        </w:rPr>
        <w:t>”</w:t>
      </w:r>
      <w:r>
        <w:rPr>
          <w:rFonts w:hint="default"/>
          <w:color w:val="auto"/>
          <w:lang w:val="en-US" w:eastAsia="zh-CN"/>
        </w:rPr>
        <w:t>标志牌方可开始作业。</w:t>
      </w:r>
    </w:p>
    <w:p w14:paraId="6680159E">
      <w:pPr>
        <w:bidi w:val="0"/>
        <w:rPr>
          <w:rFonts w:hint="default"/>
          <w:color w:val="auto"/>
          <w:lang w:val="en-US" w:eastAsia="zh-CN"/>
        </w:rPr>
      </w:pPr>
      <w:r>
        <w:rPr>
          <w:rFonts w:hint="eastAsia"/>
          <w:color w:val="auto"/>
          <w:lang w:val="en-US" w:eastAsia="zh-CN"/>
        </w:rPr>
        <w:t>36</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第10.1.2条规定，电气作业人员应经过专门的安全技术培训考核，持证上岗。</w:t>
      </w:r>
    </w:p>
    <w:p w14:paraId="0F79069C">
      <w:pPr>
        <w:bidi w:val="0"/>
        <w:rPr>
          <w:rFonts w:hint="default"/>
          <w:color w:val="auto"/>
          <w:lang w:val="en-US" w:eastAsia="zh-CN"/>
        </w:rPr>
      </w:pPr>
      <w:r>
        <w:rPr>
          <w:rFonts w:hint="eastAsia"/>
          <w:color w:val="auto"/>
          <w:lang w:val="en-US" w:eastAsia="zh-CN"/>
        </w:rPr>
        <w:t>37</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第10.1.4条规定，所有电气设备和线路，应根据对人的危害程度设置明显的警示标志、防护网和安全遮栏。</w:t>
      </w:r>
    </w:p>
    <w:p w14:paraId="391FAA8C">
      <w:pPr>
        <w:bidi w:val="0"/>
        <w:rPr>
          <w:rFonts w:hint="default"/>
          <w:color w:val="auto"/>
          <w:lang w:val="en-US" w:eastAsia="zh-CN"/>
        </w:rPr>
      </w:pPr>
      <w:r>
        <w:rPr>
          <w:rFonts w:hint="eastAsia"/>
          <w:color w:val="auto"/>
          <w:lang w:val="en-US" w:eastAsia="zh-CN"/>
        </w:rPr>
        <w:t>38</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第10.1.5条规定，电气作业人员作业时，应穿戴防护用品和使用防护用具。修理、调试电气设备和线路，应由电气作业人员进行。</w:t>
      </w:r>
    </w:p>
    <w:p w14:paraId="327B482B">
      <w:pPr>
        <w:bidi w:val="0"/>
        <w:rPr>
          <w:rFonts w:hint="default"/>
          <w:color w:val="auto"/>
          <w:lang w:val="en-US" w:eastAsia="zh-CN"/>
        </w:rPr>
      </w:pPr>
      <w:r>
        <w:rPr>
          <w:rFonts w:hint="eastAsia"/>
          <w:color w:val="auto"/>
          <w:lang w:val="en-US" w:eastAsia="zh-CN"/>
        </w:rPr>
        <w:t>39</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第10.1.6条规定，电气设备可能被人触及的裸露带电部分，应设置安全防护罩或遮栏及警示牌。</w:t>
      </w:r>
    </w:p>
    <w:p w14:paraId="02A8447E">
      <w:pPr>
        <w:bidi w:val="0"/>
        <w:rPr>
          <w:rFonts w:hint="default"/>
          <w:color w:val="auto"/>
          <w:lang w:val="en-US" w:eastAsia="zh-CN"/>
        </w:rPr>
      </w:pPr>
      <w:r>
        <w:rPr>
          <w:rFonts w:hint="eastAsia"/>
          <w:color w:val="auto"/>
          <w:lang w:val="en-US" w:eastAsia="zh-CN"/>
        </w:rPr>
        <w:t>40</w:t>
      </w:r>
      <w:r>
        <w:rPr>
          <w:rFonts w:hint="default"/>
          <w:color w:val="auto"/>
          <w:lang w:val="en-US" w:eastAsia="zh-CN"/>
        </w:rPr>
        <w:t>、根据</w:t>
      </w:r>
      <w:r>
        <w:rPr>
          <w:rFonts w:hint="eastAsia"/>
          <w:color w:val="auto"/>
          <w:lang w:val="en-US" w:eastAsia="zh-CN"/>
        </w:rPr>
        <w:t>《选矿安全规程》（GB/T 18152-2000）</w:t>
      </w:r>
      <w:r>
        <w:rPr>
          <w:rFonts w:hint="default"/>
          <w:color w:val="auto"/>
          <w:lang w:val="en-US" w:eastAsia="zh-CN"/>
        </w:rPr>
        <w:t>第10.5.4条规定，电气设备及装置的金属框架或外壳、电缆的金属包皮，应可靠接地，接地电阻应不超过2Q。</w:t>
      </w:r>
    </w:p>
    <w:p w14:paraId="1170C004">
      <w:pPr>
        <w:bidi w:val="0"/>
        <w:rPr>
          <w:rFonts w:hint="default"/>
          <w:color w:val="auto"/>
          <w:lang w:val="en-US" w:eastAsia="zh-CN"/>
        </w:rPr>
      </w:pPr>
      <w:r>
        <w:rPr>
          <w:rFonts w:hint="eastAsia"/>
          <w:color w:val="auto"/>
          <w:lang w:val="en-US" w:eastAsia="zh-CN"/>
        </w:rPr>
        <w:t>41</w:t>
      </w:r>
      <w:r>
        <w:rPr>
          <w:rFonts w:hint="default"/>
          <w:color w:val="auto"/>
          <w:lang w:val="en-US" w:eastAsia="zh-CN"/>
        </w:rPr>
        <w:t>、根据《20kV及以下变电所设计规范》（GB 50053-2013）第2.0.1条规定，变电所的所址应根据下列要求，经技术经济等因素综合分析和比较后确定：</w:t>
      </w:r>
    </w:p>
    <w:p w14:paraId="08DBD842">
      <w:pPr>
        <w:bidi w:val="0"/>
        <w:rPr>
          <w:rFonts w:hint="default"/>
          <w:color w:val="auto"/>
          <w:lang w:val="en-US" w:eastAsia="zh-CN"/>
        </w:rPr>
      </w:pPr>
      <w:r>
        <w:rPr>
          <w:rFonts w:hint="default"/>
          <w:color w:val="auto"/>
          <w:lang w:val="en-US" w:eastAsia="zh-CN"/>
        </w:rPr>
        <w:t>（1）宜接近负荷中心；</w:t>
      </w:r>
    </w:p>
    <w:p w14:paraId="40D2E649">
      <w:pPr>
        <w:bidi w:val="0"/>
        <w:rPr>
          <w:rFonts w:hint="default"/>
          <w:color w:val="auto"/>
          <w:lang w:val="en-US" w:eastAsia="zh-CN"/>
        </w:rPr>
      </w:pPr>
      <w:r>
        <w:rPr>
          <w:rFonts w:hint="default"/>
          <w:color w:val="auto"/>
          <w:lang w:val="en-US" w:eastAsia="zh-CN"/>
        </w:rPr>
        <w:t>（2）宜接近电源侧；</w:t>
      </w:r>
    </w:p>
    <w:p w14:paraId="201482E2">
      <w:pPr>
        <w:bidi w:val="0"/>
        <w:rPr>
          <w:rFonts w:hint="default"/>
          <w:color w:val="auto"/>
          <w:lang w:val="en-US" w:eastAsia="zh-CN"/>
        </w:rPr>
      </w:pPr>
      <w:r>
        <w:rPr>
          <w:rFonts w:hint="default"/>
          <w:color w:val="auto"/>
          <w:lang w:val="en-US" w:eastAsia="zh-CN"/>
        </w:rPr>
        <w:t>（3）应方便进出线；</w:t>
      </w:r>
    </w:p>
    <w:p w14:paraId="3A91C540">
      <w:pPr>
        <w:bidi w:val="0"/>
        <w:rPr>
          <w:rFonts w:hint="default"/>
          <w:color w:val="auto"/>
          <w:lang w:val="en-US" w:eastAsia="zh-CN"/>
        </w:rPr>
      </w:pPr>
      <w:r>
        <w:rPr>
          <w:rFonts w:hint="default"/>
          <w:color w:val="auto"/>
          <w:lang w:val="en-US" w:eastAsia="zh-CN"/>
        </w:rPr>
        <w:t>（4）应方便设备运输；</w:t>
      </w:r>
    </w:p>
    <w:p w14:paraId="4F37A0D4">
      <w:pPr>
        <w:bidi w:val="0"/>
        <w:rPr>
          <w:rFonts w:hint="default"/>
          <w:color w:val="auto"/>
          <w:lang w:val="en-US" w:eastAsia="zh-CN"/>
        </w:rPr>
      </w:pPr>
      <w:r>
        <w:rPr>
          <w:rFonts w:hint="default"/>
          <w:color w:val="auto"/>
          <w:lang w:val="en-US" w:eastAsia="zh-CN"/>
        </w:rPr>
        <w:t>（5）不应设在有剧烈振动或高温的场所；</w:t>
      </w:r>
    </w:p>
    <w:p w14:paraId="181DFE5A">
      <w:pPr>
        <w:bidi w:val="0"/>
        <w:rPr>
          <w:rFonts w:hint="default"/>
          <w:color w:val="auto"/>
          <w:lang w:val="en-US" w:eastAsia="zh-CN"/>
        </w:rPr>
      </w:pPr>
      <w:r>
        <w:rPr>
          <w:rFonts w:hint="default"/>
          <w:color w:val="auto"/>
          <w:lang w:val="en-US" w:eastAsia="zh-CN"/>
        </w:rPr>
        <w:t>（6）不宜设在多尘或有腐蚀性物质的场所，当无法远离时，不应设在污染源盛行风向的下风侧，或应采取有效的防护措施；</w:t>
      </w:r>
    </w:p>
    <w:p w14:paraId="19121298">
      <w:pPr>
        <w:bidi w:val="0"/>
        <w:rPr>
          <w:rFonts w:hint="default"/>
          <w:color w:val="auto"/>
          <w:lang w:val="en-US" w:eastAsia="zh-CN"/>
        </w:rPr>
      </w:pPr>
      <w:r>
        <w:rPr>
          <w:rFonts w:hint="default"/>
          <w:color w:val="auto"/>
          <w:lang w:val="en-US" w:eastAsia="zh-CN"/>
        </w:rPr>
        <w:t>（7）不应设在厕所、浴室、厨房或其他经常积水场所的正下方处，也不宜设在与上述场所相贴邻的地方，当贴邻时，相邻的隔墙应做无渗漏、无结露的防水处理；</w:t>
      </w:r>
    </w:p>
    <w:p w14:paraId="0F0F9943">
      <w:pPr>
        <w:bidi w:val="0"/>
        <w:rPr>
          <w:rFonts w:hint="default"/>
          <w:color w:val="auto"/>
          <w:lang w:val="en-US" w:eastAsia="zh-CN"/>
        </w:rPr>
      </w:pPr>
      <w:r>
        <w:rPr>
          <w:rFonts w:hint="default"/>
          <w:color w:val="auto"/>
          <w:lang w:val="en-US" w:eastAsia="zh-CN"/>
        </w:rPr>
        <w:t>（8）当与有爆炸或火灾危险的建筑物毗连时，变电所的所址应符合现行国家标准《爆炸和火灾危险环境电力装置设计规范》（GB 50058）的有关规定；</w:t>
      </w:r>
    </w:p>
    <w:p w14:paraId="26C5439A">
      <w:pPr>
        <w:bidi w:val="0"/>
        <w:rPr>
          <w:rFonts w:hint="default"/>
          <w:color w:val="auto"/>
          <w:lang w:val="en-US" w:eastAsia="zh-CN"/>
        </w:rPr>
      </w:pPr>
      <w:r>
        <w:rPr>
          <w:rFonts w:hint="default"/>
          <w:color w:val="auto"/>
          <w:lang w:val="en-US" w:eastAsia="zh-CN"/>
        </w:rPr>
        <w:t>（9）不应设在地势低注和可能积水的场所；</w:t>
      </w:r>
    </w:p>
    <w:p w14:paraId="0D3AB777">
      <w:pPr>
        <w:bidi w:val="0"/>
        <w:rPr>
          <w:rFonts w:hint="default"/>
          <w:color w:val="auto"/>
          <w:lang w:val="en-US" w:eastAsia="zh-CN"/>
        </w:rPr>
      </w:pPr>
      <w:r>
        <w:rPr>
          <w:rFonts w:hint="default"/>
          <w:color w:val="auto"/>
          <w:lang w:val="en-US" w:eastAsia="zh-CN"/>
        </w:rPr>
        <w:t>（10）不宜设在对防电磁干扰有较高要求的设备机房的正上方、正下方或与其贴邻的场所，当需要设在上述场所时，应采取防电磁干扰的措施。</w:t>
      </w:r>
    </w:p>
    <w:p w14:paraId="357B0B43">
      <w:pPr>
        <w:bidi w:val="0"/>
        <w:rPr>
          <w:rFonts w:hint="default"/>
          <w:color w:val="auto"/>
          <w:lang w:val="en-US" w:eastAsia="zh-CN"/>
        </w:rPr>
      </w:pPr>
      <w:r>
        <w:rPr>
          <w:rFonts w:hint="eastAsia"/>
          <w:color w:val="auto"/>
          <w:lang w:val="en-US" w:eastAsia="zh-CN"/>
        </w:rPr>
        <w:t>42</w:t>
      </w:r>
      <w:r>
        <w:rPr>
          <w:rFonts w:hint="default"/>
          <w:color w:val="auto"/>
          <w:lang w:val="en-US" w:eastAsia="zh-CN"/>
        </w:rPr>
        <w:t>、根据《20kV及以下变电所设计规范》（GB 50053-2013）第3.1.4条规定，电气设备的接地应符合现行国家标准《交流电气装置的接地设计规范》GB/T50065和《低压电气装置》（或《建筑物电气装置》）GB/T16895系列标准的有关规定。</w:t>
      </w:r>
    </w:p>
    <w:p w14:paraId="50438D1D">
      <w:pPr>
        <w:bidi w:val="0"/>
        <w:rPr>
          <w:rFonts w:hint="default"/>
          <w:color w:val="auto"/>
          <w:lang w:val="en-US" w:eastAsia="zh-CN"/>
        </w:rPr>
      </w:pPr>
      <w:r>
        <w:rPr>
          <w:rFonts w:hint="eastAsia"/>
          <w:color w:val="auto"/>
          <w:lang w:val="en-US" w:eastAsia="zh-CN"/>
        </w:rPr>
        <w:t>43</w:t>
      </w:r>
      <w:r>
        <w:rPr>
          <w:rFonts w:hint="default"/>
          <w:color w:val="auto"/>
          <w:lang w:val="en-US" w:eastAsia="zh-CN"/>
        </w:rPr>
        <w:t>、根据《20kV及以下变电所设计规范》（GB 50053-2013）第4.2.2条规定，露天或半露天变电所的变压器四周应设高度不低于1.8m的固定围栏或围墙，变压器外廓与围栏或围墙的净距不应小于0.8m，变压器底部距地面不应小于0.3m。油重小于1000kg的相邻油浸变压器外廓之间的净距不应小于1.5m；油重1000kg～2500kg的相邻油浸变压器外廓之间的净距不应小于3.0m；油重大于2500kg的相邻油浸变压器外廓之间的净距不应小于5m；当不能满足上述要求时，应设置防火墙。</w:t>
      </w:r>
    </w:p>
    <w:p w14:paraId="47937811">
      <w:pPr>
        <w:bidi w:val="0"/>
        <w:rPr>
          <w:rFonts w:hint="default"/>
          <w:color w:val="auto"/>
          <w:lang w:val="en-US" w:eastAsia="zh-CN"/>
        </w:rPr>
      </w:pPr>
      <w:r>
        <w:rPr>
          <w:rFonts w:hint="eastAsia"/>
          <w:color w:val="auto"/>
          <w:lang w:val="en-US" w:eastAsia="zh-CN"/>
        </w:rPr>
        <w:t>44</w:t>
      </w:r>
      <w:r>
        <w:rPr>
          <w:rFonts w:hint="default"/>
          <w:color w:val="auto"/>
          <w:lang w:val="en-US" w:eastAsia="zh-CN"/>
        </w:rPr>
        <w:t>、根据《20kV及以下变电所设计规范》（GB 50053-2013）第4.2.3条规定，当露天或半露天变压器供给一级负荷用电时，相邻油浸变压器的净距不应小于5m；当小于5m时，应设置防火墙。</w:t>
      </w:r>
    </w:p>
    <w:p w14:paraId="26C48258">
      <w:pPr>
        <w:bidi w:val="0"/>
        <w:rPr>
          <w:rFonts w:hint="default"/>
          <w:color w:val="auto"/>
          <w:lang w:val="en-US" w:eastAsia="zh-CN"/>
        </w:rPr>
      </w:pPr>
      <w:r>
        <w:rPr>
          <w:rFonts w:hint="eastAsia"/>
          <w:color w:val="auto"/>
          <w:lang w:val="en-US" w:eastAsia="zh-CN"/>
        </w:rPr>
        <w:t>45</w:t>
      </w:r>
      <w:r>
        <w:rPr>
          <w:rFonts w:hint="default"/>
          <w:color w:val="auto"/>
          <w:lang w:val="en-US" w:eastAsia="zh-CN"/>
        </w:rPr>
        <w:t>、根据《低压配电设计规范》（GB 50054-2011）第4.1.2条规定，配电设备的布置必须遵循安全、可靠、适用和经济等原则，应便于安装、操作、搬运、检修、试验和监测。</w:t>
      </w:r>
    </w:p>
    <w:p w14:paraId="1C5F6479">
      <w:pPr>
        <w:bidi w:val="0"/>
        <w:rPr>
          <w:rFonts w:hint="default"/>
          <w:color w:val="auto"/>
          <w:lang w:val="en-US" w:eastAsia="zh-CN"/>
        </w:rPr>
      </w:pPr>
      <w:r>
        <w:rPr>
          <w:rFonts w:hint="eastAsia"/>
          <w:color w:val="auto"/>
          <w:lang w:val="en-US" w:eastAsia="zh-CN"/>
        </w:rPr>
        <w:t>46</w:t>
      </w:r>
      <w:r>
        <w:rPr>
          <w:rFonts w:hint="default"/>
          <w:color w:val="auto"/>
          <w:lang w:val="en-US" w:eastAsia="zh-CN"/>
        </w:rPr>
        <w:t>、根据《电气装置安装工程 接地装置施工及验收规范》（GB 50169-2016）第3.0.4条规定，电气装置的下列金属部分，均必须接地：</w:t>
      </w:r>
    </w:p>
    <w:p w14:paraId="21AA25FD">
      <w:pPr>
        <w:bidi w:val="0"/>
        <w:rPr>
          <w:rFonts w:hint="default"/>
          <w:color w:val="auto"/>
          <w:lang w:val="en-US" w:eastAsia="zh-CN"/>
        </w:rPr>
      </w:pPr>
      <w:r>
        <w:rPr>
          <w:rFonts w:hint="default"/>
          <w:color w:val="auto"/>
          <w:lang w:val="en-US" w:eastAsia="zh-CN"/>
        </w:rPr>
        <w:t>（1）电气设备的金属底座、框架及外壳和传动装置。</w:t>
      </w:r>
    </w:p>
    <w:p w14:paraId="34FBDE9D">
      <w:pPr>
        <w:bidi w:val="0"/>
        <w:rPr>
          <w:rFonts w:hint="default"/>
          <w:color w:val="auto"/>
          <w:lang w:val="en-US" w:eastAsia="zh-CN"/>
        </w:rPr>
      </w:pPr>
      <w:r>
        <w:rPr>
          <w:rFonts w:hint="default"/>
          <w:color w:val="auto"/>
          <w:lang w:val="en-US" w:eastAsia="zh-CN"/>
        </w:rPr>
        <w:t>（2）携带式或移动式用电器具的金属底座和外壳。</w:t>
      </w:r>
    </w:p>
    <w:p w14:paraId="4C1D4015">
      <w:pPr>
        <w:bidi w:val="0"/>
        <w:rPr>
          <w:rFonts w:hint="default"/>
          <w:color w:val="auto"/>
          <w:lang w:val="en-US" w:eastAsia="zh-CN"/>
        </w:rPr>
      </w:pPr>
      <w:r>
        <w:rPr>
          <w:rFonts w:hint="default"/>
          <w:color w:val="auto"/>
          <w:lang w:val="en-US" w:eastAsia="zh-CN"/>
        </w:rPr>
        <w:t>（3）箱式变电站的金属箱体。</w:t>
      </w:r>
    </w:p>
    <w:p w14:paraId="657EE361">
      <w:pPr>
        <w:bidi w:val="0"/>
        <w:rPr>
          <w:rFonts w:hint="default"/>
          <w:color w:val="auto"/>
          <w:lang w:val="en-US" w:eastAsia="zh-CN"/>
        </w:rPr>
      </w:pPr>
      <w:r>
        <w:rPr>
          <w:rFonts w:hint="default"/>
          <w:color w:val="auto"/>
          <w:lang w:val="en-US" w:eastAsia="zh-CN"/>
        </w:rPr>
        <w:t>（4）互感器的二次绕组。</w:t>
      </w:r>
    </w:p>
    <w:p w14:paraId="773A924C">
      <w:pPr>
        <w:bidi w:val="0"/>
        <w:rPr>
          <w:rFonts w:hint="default"/>
          <w:color w:val="auto"/>
          <w:lang w:val="en-US" w:eastAsia="zh-CN"/>
        </w:rPr>
      </w:pPr>
      <w:r>
        <w:rPr>
          <w:rFonts w:hint="default"/>
          <w:color w:val="auto"/>
          <w:lang w:val="en-US" w:eastAsia="zh-CN"/>
        </w:rPr>
        <w:t>（5）配电、控制、保护用的屏（柜、箱）及操作台的金属框架和底座。</w:t>
      </w:r>
    </w:p>
    <w:p w14:paraId="7C58853D">
      <w:pPr>
        <w:bidi w:val="0"/>
        <w:rPr>
          <w:rFonts w:hint="default"/>
          <w:color w:val="auto"/>
          <w:lang w:val="en-US" w:eastAsia="zh-CN"/>
        </w:rPr>
      </w:pPr>
      <w:r>
        <w:rPr>
          <w:rFonts w:hint="default"/>
          <w:color w:val="auto"/>
          <w:lang w:val="en-US" w:eastAsia="zh-CN"/>
        </w:rPr>
        <w:t>（6）电力电缆的金属护层、接头盒、终端头和金属保护管及二次电缆的屏蔽层。</w:t>
      </w:r>
    </w:p>
    <w:p w14:paraId="0EAF1D82">
      <w:pPr>
        <w:bidi w:val="0"/>
        <w:rPr>
          <w:rFonts w:hint="default"/>
          <w:color w:val="auto"/>
          <w:lang w:val="en-US" w:eastAsia="zh-CN"/>
        </w:rPr>
      </w:pPr>
      <w:r>
        <w:rPr>
          <w:rFonts w:hint="default"/>
          <w:color w:val="auto"/>
          <w:lang w:val="en-US" w:eastAsia="zh-CN"/>
        </w:rPr>
        <w:t>（7）电缆桥架、支架和井架。</w:t>
      </w:r>
    </w:p>
    <w:p w14:paraId="0CBB5D50">
      <w:pPr>
        <w:bidi w:val="0"/>
        <w:rPr>
          <w:rFonts w:hint="default"/>
          <w:color w:val="auto"/>
          <w:lang w:val="en-US" w:eastAsia="zh-CN"/>
        </w:rPr>
      </w:pPr>
      <w:r>
        <w:rPr>
          <w:rFonts w:hint="default"/>
          <w:color w:val="auto"/>
          <w:lang w:val="en-US" w:eastAsia="zh-CN"/>
        </w:rPr>
        <w:t>（8）变电站（换流站）构、支架。</w:t>
      </w:r>
    </w:p>
    <w:p w14:paraId="48D86A70">
      <w:pPr>
        <w:bidi w:val="0"/>
        <w:rPr>
          <w:rFonts w:hint="default"/>
          <w:color w:val="auto"/>
          <w:lang w:val="en-US" w:eastAsia="zh-CN"/>
        </w:rPr>
      </w:pPr>
      <w:r>
        <w:rPr>
          <w:rFonts w:hint="default"/>
          <w:color w:val="auto"/>
          <w:lang w:val="en-US" w:eastAsia="zh-CN"/>
        </w:rPr>
        <w:t>（9）装有架空地线或电气设备的电力线路杆塔。</w:t>
      </w:r>
    </w:p>
    <w:p w14:paraId="013C6339">
      <w:pPr>
        <w:bidi w:val="0"/>
        <w:rPr>
          <w:rFonts w:hint="default"/>
          <w:color w:val="auto"/>
          <w:lang w:val="en-US" w:eastAsia="zh-CN"/>
        </w:rPr>
      </w:pPr>
      <w:r>
        <w:rPr>
          <w:rFonts w:hint="default"/>
          <w:color w:val="auto"/>
          <w:lang w:val="en-US" w:eastAsia="zh-CN"/>
        </w:rPr>
        <w:t>（10）配电装置的金属遮栏。</w:t>
      </w:r>
    </w:p>
    <w:p w14:paraId="4DFB4298">
      <w:pPr>
        <w:bidi w:val="0"/>
        <w:rPr>
          <w:rFonts w:hint="default"/>
          <w:color w:val="auto"/>
          <w:lang w:val="en-US" w:eastAsia="zh-CN"/>
        </w:rPr>
      </w:pPr>
      <w:r>
        <w:rPr>
          <w:rFonts w:hint="default"/>
          <w:color w:val="auto"/>
          <w:lang w:val="en-US" w:eastAsia="zh-CN"/>
        </w:rPr>
        <w:t>（11）电热设备的金属外壳。</w:t>
      </w:r>
    </w:p>
    <w:p w14:paraId="798D81CD">
      <w:pPr>
        <w:bidi w:val="0"/>
        <w:rPr>
          <w:rFonts w:hint="default"/>
          <w:color w:val="auto"/>
          <w:lang w:val="en-US" w:eastAsia="zh-CN"/>
        </w:rPr>
      </w:pPr>
      <w:r>
        <w:rPr>
          <w:rFonts w:hint="eastAsia"/>
          <w:color w:val="auto"/>
          <w:lang w:val="en-US" w:eastAsia="zh-CN"/>
        </w:rPr>
        <w:t>47</w:t>
      </w:r>
      <w:r>
        <w:rPr>
          <w:rFonts w:hint="default"/>
          <w:color w:val="auto"/>
          <w:lang w:val="en-US" w:eastAsia="zh-CN"/>
        </w:rPr>
        <w:t>、根据《电气装置安装工程 接地装置施工及验收规范》（GB 50169-2016）第4.2.9条规定，电气装置的接地必须单独与接地母线或接地网相连接，严禁在一条接地线中串接两个及两个以上需要接地的电气装置。</w:t>
      </w:r>
    </w:p>
    <w:p w14:paraId="64FA7C3B">
      <w:pPr>
        <w:bidi w:val="0"/>
        <w:rPr>
          <w:rFonts w:hint="default"/>
          <w:color w:val="auto"/>
          <w:lang w:val="en-US" w:eastAsia="zh-CN"/>
        </w:rPr>
      </w:pPr>
      <w:r>
        <w:rPr>
          <w:rFonts w:hint="eastAsia"/>
          <w:color w:val="auto"/>
          <w:lang w:val="en-US" w:eastAsia="zh-CN"/>
        </w:rPr>
        <w:t>48</w:t>
      </w:r>
      <w:r>
        <w:rPr>
          <w:rFonts w:hint="default"/>
          <w:color w:val="auto"/>
          <w:lang w:val="en-US" w:eastAsia="zh-CN"/>
        </w:rPr>
        <w:t>、根据《电气装置安装工程 接地装置施工及验收规范》（GB 50169-2016）第4.11.3条规定，接地线与变压器中性点的连接应牢固，且防松垫圈等零件应齐全。</w:t>
      </w:r>
    </w:p>
    <w:p w14:paraId="37B25690">
      <w:pPr>
        <w:bidi w:val="0"/>
        <w:rPr>
          <w:rFonts w:hint="default"/>
          <w:color w:val="auto"/>
          <w:lang w:val="en-US" w:eastAsia="zh-CN"/>
        </w:rPr>
      </w:pPr>
      <w:r>
        <w:rPr>
          <w:rFonts w:hint="eastAsia"/>
          <w:color w:val="auto"/>
          <w:lang w:val="en-US" w:eastAsia="zh-CN"/>
        </w:rPr>
        <w:t>49</w:t>
      </w:r>
      <w:r>
        <w:rPr>
          <w:rFonts w:hint="default"/>
          <w:color w:val="auto"/>
          <w:lang w:val="en-US" w:eastAsia="zh-CN"/>
        </w:rPr>
        <w:t>、根据《电气装置安装工程 接地装置施工及验收规范》（GB 50169-2016）第4.12.1条规定，接地装置的设置应符合设计要求。</w:t>
      </w:r>
    </w:p>
    <w:p w14:paraId="19D44607">
      <w:pPr>
        <w:bidi w:val="0"/>
        <w:rPr>
          <w:rFonts w:hint="default"/>
          <w:color w:val="auto"/>
          <w:lang w:val="en-US" w:eastAsia="zh-CN"/>
        </w:rPr>
      </w:pPr>
      <w:r>
        <w:rPr>
          <w:rFonts w:hint="eastAsia"/>
          <w:color w:val="auto"/>
          <w:lang w:val="en-US" w:eastAsia="zh-CN"/>
        </w:rPr>
        <w:t>50</w:t>
      </w:r>
      <w:r>
        <w:rPr>
          <w:rFonts w:hint="default"/>
          <w:color w:val="auto"/>
          <w:lang w:val="en-US" w:eastAsia="zh-CN"/>
        </w:rPr>
        <w:t>、根据《电气装置安装工程 接地装置施工及验收规范》（GB 50169-2016）第4.12.2条规定，电气装置的系统接地、保护接地及建筑物的防雷接地等采用同一接地装置，接地装置的接地电阻值应符合其中最小值的要求。</w:t>
      </w:r>
    </w:p>
    <w:p w14:paraId="44DD4DBE">
      <w:pPr>
        <w:bidi w:val="0"/>
        <w:rPr>
          <w:rFonts w:hint="default"/>
          <w:color w:val="auto"/>
          <w:lang w:val="en-US" w:eastAsia="zh-CN"/>
        </w:rPr>
      </w:pPr>
      <w:r>
        <w:rPr>
          <w:rFonts w:hint="eastAsia"/>
          <w:color w:val="auto"/>
          <w:lang w:val="en-US" w:eastAsia="zh-CN"/>
        </w:rPr>
        <w:t>51</w:t>
      </w:r>
      <w:r>
        <w:rPr>
          <w:rFonts w:hint="default"/>
          <w:color w:val="auto"/>
          <w:lang w:val="en-US" w:eastAsia="zh-CN"/>
        </w:rPr>
        <w:t>、根据《电气装置安装工程 接地装置施工及验收规范》（GB 50169-2016）第4.13.1条规定，携带式和移动式用电设备应用专用的绿/黄双色绝缘多股软铜绞线接地。移动式用电设备的接地线截面积不应小于2.5mm²，携带式用电设备的接地线截面积不应小于1.5mm²。</w:t>
      </w:r>
    </w:p>
    <w:p w14:paraId="4EF017E4">
      <w:pPr>
        <w:bidi w:val="0"/>
        <w:rPr>
          <w:rFonts w:hint="default"/>
          <w:color w:val="auto"/>
          <w:lang w:val="en-US" w:eastAsia="zh-CN"/>
        </w:rPr>
      </w:pPr>
      <w:r>
        <w:rPr>
          <w:rFonts w:hint="eastAsia"/>
          <w:color w:val="auto"/>
          <w:lang w:val="en-US" w:eastAsia="zh-CN"/>
        </w:rPr>
        <w:t>52</w:t>
      </w:r>
      <w:r>
        <w:rPr>
          <w:rFonts w:hint="default"/>
          <w:color w:val="auto"/>
          <w:lang w:val="en-US" w:eastAsia="zh-CN"/>
        </w:rPr>
        <w:t>、根据《建筑物防雷设计规范》（GB 50057-2010）第4.1.2条规定，各类防雷建筑物应设内部防雷装置，并应符合下列规定：</w:t>
      </w:r>
    </w:p>
    <w:p w14:paraId="7DBE676F">
      <w:pPr>
        <w:bidi w:val="0"/>
        <w:rPr>
          <w:rFonts w:hint="default"/>
          <w:color w:val="auto"/>
          <w:lang w:val="en-US" w:eastAsia="zh-CN"/>
        </w:rPr>
      </w:pPr>
      <w:r>
        <w:rPr>
          <w:rFonts w:hint="default"/>
          <w:color w:val="auto"/>
          <w:lang w:val="en-US" w:eastAsia="zh-CN"/>
        </w:rPr>
        <w:t>（1）在建筑物的地下室或地面层处，下列物体应与防雷装置做防雷等电位连接：</w:t>
      </w:r>
    </w:p>
    <w:p w14:paraId="2B81CD9F">
      <w:pPr>
        <w:bidi w:val="0"/>
        <w:rPr>
          <w:rFonts w:hint="default"/>
          <w:color w:val="auto"/>
          <w:lang w:val="en-US" w:eastAsia="zh-CN"/>
        </w:rPr>
      </w:pPr>
      <w:r>
        <w:rPr>
          <w:rFonts w:hint="default"/>
          <w:color w:val="auto"/>
          <w:lang w:val="en-US" w:eastAsia="zh-CN"/>
        </w:rPr>
        <w:t>1）建筑物金属体。</w:t>
      </w:r>
    </w:p>
    <w:p w14:paraId="3AA74A9A">
      <w:pPr>
        <w:bidi w:val="0"/>
        <w:rPr>
          <w:rFonts w:hint="default"/>
          <w:color w:val="auto"/>
          <w:lang w:val="en-US" w:eastAsia="zh-CN"/>
        </w:rPr>
      </w:pPr>
      <w:r>
        <w:rPr>
          <w:rFonts w:hint="default"/>
          <w:color w:val="auto"/>
          <w:lang w:val="en-US" w:eastAsia="zh-CN"/>
        </w:rPr>
        <w:t>2）金属装置。</w:t>
      </w:r>
    </w:p>
    <w:p w14:paraId="06FAFB6D">
      <w:pPr>
        <w:bidi w:val="0"/>
        <w:rPr>
          <w:rFonts w:hint="default"/>
          <w:color w:val="auto"/>
          <w:lang w:val="en-US" w:eastAsia="zh-CN"/>
        </w:rPr>
      </w:pPr>
      <w:r>
        <w:rPr>
          <w:rFonts w:hint="default"/>
          <w:color w:val="auto"/>
          <w:lang w:val="en-US" w:eastAsia="zh-CN"/>
        </w:rPr>
        <w:t>3）建筑物内系统。</w:t>
      </w:r>
    </w:p>
    <w:p w14:paraId="2DD5F4CE">
      <w:pPr>
        <w:bidi w:val="0"/>
        <w:rPr>
          <w:rFonts w:hint="default"/>
          <w:color w:val="auto"/>
          <w:lang w:val="en-US" w:eastAsia="zh-CN"/>
        </w:rPr>
      </w:pPr>
      <w:r>
        <w:rPr>
          <w:rFonts w:hint="default"/>
          <w:color w:val="auto"/>
          <w:lang w:val="en-US" w:eastAsia="zh-CN"/>
        </w:rPr>
        <w:t>4）进出建筑物的金属管线。</w:t>
      </w:r>
    </w:p>
    <w:p w14:paraId="441B01D2">
      <w:pPr>
        <w:bidi w:val="0"/>
        <w:rPr>
          <w:rFonts w:hint="default"/>
          <w:color w:val="auto"/>
          <w:lang w:val="en-US" w:eastAsia="zh-CN"/>
        </w:rPr>
      </w:pPr>
      <w:r>
        <w:rPr>
          <w:rFonts w:hint="default"/>
          <w:color w:val="auto"/>
          <w:lang w:val="en-US" w:eastAsia="zh-CN"/>
        </w:rPr>
        <w:t>（2）除本条第1款的措施外，外部防雷装置与建筑物金属体、金属装置、建筑物内系统之间，尚应满足间隔距离的要求。</w:t>
      </w:r>
    </w:p>
    <w:p w14:paraId="45417FAB">
      <w:pPr>
        <w:pStyle w:val="4"/>
        <w:bidi w:val="0"/>
        <w:rPr>
          <w:rFonts w:hint="default"/>
          <w:color w:val="auto"/>
          <w:lang w:val="en-US" w:eastAsia="zh-CN"/>
        </w:rPr>
      </w:pPr>
      <w:bookmarkStart w:id="142" w:name="_Toc17616"/>
      <w:r>
        <w:rPr>
          <w:rFonts w:hint="default"/>
          <w:color w:val="auto"/>
          <w:lang w:val="en-US" w:eastAsia="zh-CN"/>
        </w:rPr>
        <w:t>6.</w:t>
      </w:r>
      <w:r>
        <w:rPr>
          <w:rFonts w:hint="eastAsia"/>
          <w:color w:val="auto"/>
          <w:lang w:val="en-US" w:eastAsia="zh-CN"/>
        </w:rPr>
        <w:t>2.5</w:t>
      </w:r>
      <w:r>
        <w:rPr>
          <w:rFonts w:hint="default"/>
          <w:color w:val="auto"/>
          <w:lang w:val="en-US" w:eastAsia="zh-CN"/>
        </w:rPr>
        <w:t xml:space="preserve"> </w:t>
      </w:r>
      <w:r>
        <w:rPr>
          <w:rFonts w:hint="eastAsia"/>
          <w:color w:val="auto"/>
          <w:lang w:val="en-US" w:eastAsia="zh-CN"/>
        </w:rPr>
        <w:t>安全设施单元</w:t>
      </w:r>
      <w:r>
        <w:rPr>
          <w:rFonts w:hint="default"/>
          <w:color w:val="auto"/>
          <w:lang w:val="en-US" w:eastAsia="zh-CN"/>
        </w:rPr>
        <w:t>安全对策措施与建议</w:t>
      </w:r>
      <w:bookmarkEnd w:id="142"/>
    </w:p>
    <w:p w14:paraId="0AA09995">
      <w:pPr>
        <w:bidi w:val="0"/>
        <w:rPr>
          <w:rFonts w:hint="default"/>
          <w:color w:val="auto"/>
          <w:lang w:val="en-US" w:eastAsia="zh-CN"/>
        </w:rPr>
      </w:pPr>
      <w:r>
        <w:rPr>
          <w:rFonts w:hint="default"/>
          <w:color w:val="auto"/>
          <w:lang w:val="en-US" w:eastAsia="zh-CN"/>
        </w:rPr>
        <w:t>1、根据</w:t>
      </w:r>
      <w:r>
        <w:rPr>
          <w:rFonts w:hint="eastAsia"/>
          <w:color w:val="auto"/>
          <w:lang w:val="en-US" w:eastAsia="zh-CN"/>
        </w:rPr>
        <w:t>《选矿安全规程》（GB/T 18152-2000）</w:t>
      </w:r>
      <w:r>
        <w:rPr>
          <w:rFonts w:hint="default"/>
          <w:color w:val="auto"/>
          <w:lang w:val="en-US" w:eastAsia="zh-CN"/>
        </w:rPr>
        <w:t>第6.30条规定，进行高处作业（包括45°以上的斜坡），应系安全带。</w:t>
      </w:r>
    </w:p>
    <w:p w14:paraId="24FC88F7">
      <w:pPr>
        <w:bidi w:val="0"/>
        <w:rPr>
          <w:rFonts w:hint="default"/>
          <w:color w:val="auto"/>
          <w:lang w:val="en-US" w:eastAsia="zh-CN"/>
        </w:rPr>
      </w:pPr>
      <w:r>
        <w:rPr>
          <w:rFonts w:hint="default"/>
          <w:color w:val="auto"/>
          <w:lang w:val="en-US" w:eastAsia="zh-CN"/>
        </w:rPr>
        <w:t>2、根据</w:t>
      </w:r>
      <w:r>
        <w:rPr>
          <w:rFonts w:hint="eastAsia"/>
          <w:color w:val="auto"/>
          <w:lang w:val="en-US" w:eastAsia="zh-CN"/>
        </w:rPr>
        <w:t>《选矿安全规程》（GB/T 18152-2000）</w:t>
      </w:r>
      <w:r>
        <w:rPr>
          <w:rFonts w:hint="default"/>
          <w:color w:val="auto"/>
          <w:lang w:val="en-US" w:eastAsia="zh-CN"/>
        </w:rPr>
        <w:t>第12.1条规定，招收新职工应经过健康检查，按国家有关规定不适合从事选矿生产的人员不应录用。</w:t>
      </w:r>
    </w:p>
    <w:p w14:paraId="41CDA526">
      <w:pPr>
        <w:bidi w:val="0"/>
        <w:rPr>
          <w:rFonts w:hint="default"/>
          <w:color w:val="auto"/>
          <w:lang w:val="en-US" w:eastAsia="zh-CN"/>
        </w:rPr>
      </w:pPr>
      <w:r>
        <w:rPr>
          <w:rFonts w:hint="default"/>
          <w:color w:val="auto"/>
          <w:lang w:val="en-US" w:eastAsia="zh-CN"/>
        </w:rPr>
        <w:t>3、根据</w:t>
      </w:r>
      <w:r>
        <w:rPr>
          <w:rFonts w:hint="eastAsia"/>
          <w:color w:val="auto"/>
          <w:lang w:val="en-US" w:eastAsia="zh-CN"/>
        </w:rPr>
        <w:t>《选矿安全规程》（GB/T 18152-2000）</w:t>
      </w:r>
      <w:r>
        <w:rPr>
          <w:rFonts w:hint="default"/>
          <w:color w:val="auto"/>
          <w:lang w:val="en-US" w:eastAsia="zh-CN"/>
        </w:rPr>
        <w:t>第12.7条规定，作业场所的噪声不应超过85dB（A），否则应采取综合防噪措施。</w:t>
      </w:r>
    </w:p>
    <w:p w14:paraId="45064533">
      <w:pPr>
        <w:bidi w:val="0"/>
        <w:rPr>
          <w:rFonts w:hint="default"/>
          <w:color w:val="auto"/>
          <w:lang w:val="en-US" w:eastAsia="zh-CN"/>
        </w:rPr>
      </w:pPr>
      <w:r>
        <w:rPr>
          <w:rFonts w:hint="default"/>
          <w:color w:val="auto"/>
          <w:lang w:val="en-US" w:eastAsia="zh-CN"/>
        </w:rPr>
        <w:t>4、根据</w:t>
      </w:r>
      <w:r>
        <w:rPr>
          <w:rFonts w:hint="eastAsia"/>
          <w:color w:val="auto"/>
          <w:lang w:val="en-US" w:eastAsia="zh-CN"/>
        </w:rPr>
        <w:t>《选矿安全规程》（GB/T 18152-2000）</w:t>
      </w:r>
      <w:r>
        <w:rPr>
          <w:rFonts w:hint="default"/>
          <w:color w:val="auto"/>
          <w:lang w:val="en-US" w:eastAsia="zh-CN"/>
        </w:rPr>
        <w:t>第12.11条规定，应根据气候特点采取防暑降温或防冻避寒措施。</w:t>
      </w:r>
    </w:p>
    <w:p w14:paraId="17B89976">
      <w:pPr>
        <w:bidi w:val="0"/>
        <w:rPr>
          <w:rFonts w:hint="default"/>
          <w:color w:val="auto"/>
          <w:lang w:val="en-US" w:eastAsia="zh-CN"/>
        </w:rPr>
      </w:pPr>
      <w:r>
        <w:rPr>
          <w:rFonts w:hint="default"/>
          <w:color w:val="auto"/>
          <w:lang w:val="en-US" w:eastAsia="zh-CN"/>
        </w:rPr>
        <w:t>5、根据《安全标志及其使用导则》（GB 2894-2008）第9.1条规定，标志牌应设在与安全有关的醒目地方，并使大家看见后，有足够的时间来注意它所表示的内容。环境信息标志宜设在有关场所的入口处和醒目处；局部信息标志应设在所涉及的相应危险地点或设备（部件）附近的醒目处。</w:t>
      </w:r>
    </w:p>
    <w:p w14:paraId="3D10D101">
      <w:pPr>
        <w:bidi w:val="0"/>
        <w:rPr>
          <w:rFonts w:hint="default"/>
          <w:color w:val="auto"/>
          <w:lang w:val="en-US" w:eastAsia="zh-CN"/>
        </w:rPr>
      </w:pPr>
      <w:r>
        <w:rPr>
          <w:rFonts w:hint="default"/>
          <w:color w:val="auto"/>
          <w:lang w:val="en-US" w:eastAsia="zh-CN"/>
        </w:rPr>
        <w:t>6、根据《安全标志及其使用导则》（GB 2894-2008）第9.2条规定，标志牌不应设在门、窗、架等可移动的物体上，以免标志牌随母体物体相应移动，影响认读。标志牌前不得放置妨碍认读的障碍物。</w:t>
      </w:r>
    </w:p>
    <w:p w14:paraId="69A0FBBA">
      <w:pPr>
        <w:bidi w:val="0"/>
        <w:rPr>
          <w:rFonts w:hint="default"/>
          <w:color w:val="auto"/>
          <w:lang w:val="en-US" w:eastAsia="zh-CN"/>
        </w:rPr>
      </w:pPr>
      <w:r>
        <w:rPr>
          <w:rFonts w:hint="default"/>
          <w:color w:val="auto"/>
          <w:lang w:val="en-US" w:eastAsia="zh-CN"/>
        </w:rPr>
        <w:t>7、根据《安全标志及其使用导则》（GB 2894-2008）第9.3条规定，标志牌的平面与视线夹角应接近90°，观察者位于最大观察距离时，最小夹角不低于75°。</w:t>
      </w:r>
    </w:p>
    <w:p w14:paraId="739EA6C4">
      <w:pPr>
        <w:bidi w:val="0"/>
        <w:rPr>
          <w:rFonts w:hint="default"/>
          <w:color w:val="auto"/>
          <w:lang w:val="en-US" w:eastAsia="zh-CN"/>
        </w:rPr>
      </w:pPr>
      <w:r>
        <w:rPr>
          <w:rFonts w:hint="default"/>
          <w:color w:val="auto"/>
          <w:lang w:val="en-US" w:eastAsia="zh-CN"/>
        </w:rPr>
        <w:t>8、根据《安全标志及其使用导则》（GB 2894-2008）第9.4条规定，标志牌应设置在明亮的环境中，</w:t>
      </w:r>
    </w:p>
    <w:p w14:paraId="3C497ED2">
      <w:pPr>
        <w:bidi w:val="0"/>
        <w:rPr>
          <w:rFonts w:hint="default"/>
          <w:color w:val="auto"/>
          <w:lang w:val="en-US" w:eastAsia="zh-CN"/>
        </w:rPr>
      </w:pPr>
      <w:r>
        <w:rPr>
          <w:rFonts w:hint="default"/>
          <w:color w:val="auto"/>
          <w:lang w:val="en-US" w:eastAsia="zh-CN"/>
        </w:rPr>
        <w:t>9、根据《安全标志及其使用导则》（GB 2894-2008）第9.5条规定，多个标志牌在一起设置时，应按警告、禁止、指令、提示类型的顺序，先左后右、先上后下地排列。</w:t>
      </w:r>
    </w:p>
    <w:p w14:paraId="4A5ACB5B">
      <w:pPr>
        <w:bidi w:val="0"/>
        <w:rPr>
          <w:rFonts w:hint="default"/>
          <w:color w:val="auto"/>
          <w:lang w:val="en-US" w:eastAsia="zh-CN"/>
        </w:rPr>
      </w:pPr>
      <w:r>
        <w:rPr>
          <w:rFonts w:hint="default"/>
          <w:color w:val="auto"/>
          <w:lang w:val="en-US" w:eastAsia="zh-CN"/>
        </w:rPr>
        <w:t>10、根据《安全标志及其使用导则》（GB 2894-2008）第9.6条规定，标志牌的固定方式分附着式、悬挂式和柱式三种。悬挂式和附着式的固定应稳固不倾斜，柱式的标志牌和支架应牢固地联接在一起。</w:t>
      </w:r>
    </w:p>
    <w:p w14:paraId="6930AFC8">
      <w:pPr>
        <w:bidi w:val="0"/>
        <w:rPr>
          <w:rFonts w:hint="default"/>
          <w:color w:val="auto"/>
          <w:lang w:val="en-US" w:eastAsia="zh-CN"/>
        </w:rPr>
      </w:pPr>
      <w:r>
        <w:rPr>
          <w:rFonts w:hint="default"/>
          <w:color w:val="auto"/>
          <w:lang w:val="en-US" w:eastAsia="zh-CN"/>
        </w:rPr>
        <w:t>11、根据《安全标志及其使用导则》（GB 2894-2008）第10.1条规定，安全标志牌至少每半年检查一次，如发现有破损、变形、褪色等不符合要求时应及时修整或更换。</w:t>
      </w:r>
    </w:p>
    <w:p w14:paraId="303A7630">
      <w:pPr>
        <w:bidi w:val="0"/>
        <w:rPr>
          <w:rFonts w:hint="default"/>
          <w:color w:val="auto"/>
          <w:lang w:val="en-US" w:eastAsia="zh-CN"/>
        </w:rPr>
      </w:pPr>
      <w:r>
        <w:rPr>
          <w:rFonts w:hint="default"/>
          <w:color w:val="auto"/>
          <w:lang w:val="en-US" w:eastAsia="zh-CN"/>
        </w:rPr>
        <w:t>12、根据《安全标志及其使用导则》（GB 2894-2008）第10.2条规定，在修整或更换激光安全标志时应有临时的标志替换，以避免发生意外的伤害。</w:t>
      </w:r>
    </w:p>
    <w:p w14:paraId="15FCB4CF">
      <w:pPr>
        <w:bidi w:val="0"/>
        <w:rPr>
          <w:rFonts w:hint="default"/>
          <w:color w:val="auto"/>
          <w:lang w:val="en-US" w:eastAsia="zh-CN"/>
        </w:rPr>
      </w:pPr>
      <w:r>
        <w:rPr>
          <w:rFonts w:hint="default"/>
          <w:color w:val="auto"/>
          <w:lang w:val="en-US" w:eastAsia="zh-CN"/>
        </w:rPr>
        <w:t>13、根据《安全标志及其使用导则》（GB 2894-2008）第A.4条规定，检查与维修：凡涂有安全色的部位，每半年应检查一次，应保持整洁、明亮，如有变色、褪色等不符合安全色范围，逆反射系数低于70%或安全色的使用环境改变时，应及时重涂或更换，以保证安全色正确、醒目，达到安全警示的目的。</w:t>
      </w:r>
    </w:p>
    <w:p w14:paraId="4D146648">
      <w:pPr>
        <w:bidi w:val="0"/>
        <w:rPr>
          <w:rFonts w:hint="default"/>
          <w:color w:val="auto"/>
          <w:lang w:val="en-US" w:eastAsia="zh-CN"/>
        </w:rPr>
      </w:pPr>
      <w:r>
        <w:rPr>
          <w:rFonts w:hint="default"/>
          <w:color w:val="auto"/>
          <w:lang w:val="en-US" w:eastAsia="zh-CN"/>
        </w:rPr>
        <w:t>14、根据《个体防护装备配备规范第1部分：总则》（GB39800.1-2020）第5.1.1条规定，用人单位应建立健全个体防护装备管理制度，至少应包括采购</w:t>
      </w:r>
      <w:r>
        <w:rPr>
          <w:rFonts w:hint="eastAsia"/>
          <w:color w:val="auto"/>
          <w:lang w:val="en-US" w:eastAsia="zh-CN"/>
        </w:rPr>
        <w:t>，</w:t>
      </w:r>
      <w:r>
        <w:rPr>
          <w:rFonts w:hint="default"/>
          <w:color w:val="auto"/>
          <w:lang w:val="en-US" w:eastAsia="zh-CN"/>
        </w:rPr>
        <w:t>验收、保管、选择、发放、使用、报废、培训等内容，并应建立健全个体防护装备管理档案。</w:t>
      </w:r>
    </w:p>
    <w:p w14:paraId="3BFC31AD">
      <w:pPr>
        <w:bidi w:val="0"/>
        <w:rPr>
          <w:rFonts w:hint="default"/>
          <w:color w:val="auto"/>
          <w:lang w:val="en-US" w:eastAsia="zh-CN"/>
        </w:rPr>
      </w:pPr>
      <w:r>
        <w:rPr>
          <w:rFonts w:hint="default"/>
          <w:color w:val="auto"/>
          <w:lang w:val="en-US" w:eastAsia="zh-CN"/>
        </w:rPr>
        <w:t>15、根据《个体防护装备配备规范第1部分：总则》（GB39800.1-2020）第5.1.2条规定，用人单位应在入库前对个体防护装备进行进货验收，确定产品是否符合国家或行业标准；对国家规定应进行定期强检的个体防护装备，用人单位应按相关规定</w:t>
      </w:r>
      <w:r>
        <w:rPr>
          <w:rFonts w:hint="eastAsia"/>
          <w:color w:val="auto"/>
          <w:lang w:val="en-US" w:eastAsia="zh-CN"/>
        </w:rPr>
        <w:t>，</w:t>
      </w:r>
      <w:r>
        <w:rPr>
          <w:rFonts w:hint="default"/>
          <w:color w:val="auto"/>
          <w:lang w:val="en-US" w:eastAsia="zh-CN"/>
        </w:rPr>
        <w:t>委托具有检测资质的检验检测机构进行定期检验。</w:t>
      </w:r>
    </w:p>
    <w:p w14:paraId="4AF7BFF5">
      <w:pPr>
        <w:bidi w:val="0"/>
        <w:rPr>
          <w:rFonts w:hint="default"/>
          <w:color w:val="auto"/>
          <w:lang w:val="en-US" w:eastAsia="zh-CN"/>
        </w:rPr>
      </w:pPr>
      <w:r>
        <w:rPr>
          <w:rFonts w:hint="default"/>
          <w:color w:val="auto"/>
          <w:lang w:val="en-US" w:eastAsia="zh-CN"/>
        </w:rPr>
        <w:t>16、根据《个体防护装备配备规范第1部分：总则》（GB39800.1-2020）第5.1.3条规定，在作业过程中发现存在其他危害因素，现有个体防护装备不能满足作业安全要求，需要另外配备时，应立即停止相关作业，按照本部分的要求配备相应的个体防护装备后，方可继续作业。</w:t>
      </w:r>
    </w:p>
    <w:p w14:paraId="6AE97B53">
      <w:pPr>
        <w:bidi w:val="0"/>
        <w:rPr>
          <w:rFonts w:hint="default"/>
          <w:color w:val="auto"/>
          <w:lang w:val="en-US" w:eastAsia="zh-CN"/>
        </w:rPr>
      </w:pPr>
      <w:r>
        <w:rPr>
          <w:rFonts w:hint="default"/>
          <w:color w:val="auto"/>
          <w:lang w:val="en-US" w:eastAsia="zh-CN"/>
        </w:rPr>
        <w:t>17、根据《个体防护装备配备规范第1部分：总则》（GB39800.1-2020）第5.3.1条规定，出现以下情况之一，用人单位应给子判废和更换新品：</w:t>
      </w:r>
    </w:p>
    <w:p w14:paraId="4B5A4877">
      <w:pPr>
        <w:bidi w:val="0"/>
        <w:rPr>
          <w:rFonts w:hint="default"/>
          <w:color w:val="auto"/>
          <w:lang w:val="en-US" w:eastAsia="zh-CN"/>
        </w:rPr>
      </w:pPr>
      <w:r>
        <w:rPr>
          <w:rFonts w:hint="default"/>
          <w:color w:val="auto"/>
          <w:lang w:val="en-US" w:eastAsia="zh-CN"/>
        </w:rPr>
        <w:t>（1）个体防护装备经检验或检查被判定不合格；</w:t>
      </w:r>
    </w:p>
    <w:p w14:paraId="130FCDB2">
      <w:pPr>
        <w:bidi w:val="0"/>
        <w:rPr>
          <w:rFonts w:hint="default"/>
          <w:color w:val="auto"/>
          <w:lang w:val="en-US" w:eastAsia="zh-CN"/>
        </w:rPr>
      </w:pPr>
      <w:r>
        <w:rPr>
          <w:rFonts w:hint="default"/>
          <w:color w:val="auto"/>
          <w:lang w:val="en-US" w:eastAsia="zh-CN"/>
        </w:rPr>
        <w:t>（2）个体防护装备超过有效期；</w:t>
      </w:r>
    </w:p>
    <w:p w14:paraId="2CF0364B">
      <w:pPr>
        <w:bidi w:val="0"/>
        <w:rPr>
          <w:rFonts w:hint="default"/>
          <w:color w:val="auto"/>
          <w:lang w:val="en-US" w:eastAsia="zh-CN"/>
        </w:rPr>
      </w:pPr>
      <w:r>
        <w:rPr>
          <w:rFonts w:hint="default"/>
          <w:color w:val="auto"/>
          <w:lang w:val="en-US" w:eastAsia="zh-CN"/>
        </w:rPr>
        <w:t>（3）个体防护装备功能已经失效；</w:t>
      </w:r>
    </w:p>
    <w:p w14:paraId="6E8BA66F">
      <w:pPr>
        <w:bidi w:val="0"/>
        <w:rPr>
          <w:rFonts w:hint="default"/>
          <w:color w:val="auto"/>
          <w:lang w:val="en-US" w:eastAsia="zh-CN"/>
        </w:rPr>
      </w:pPr>
      <w:r>
        <w:rPr>
          <w:rFonts w:hint="default"/>
          <w:color w:val="auto"/>
          <w:lang w:val="en-US" w:eastAsia="zh-CN"/>
        </w:rPr>
        <w:t>（4）个体防护装备的使用说明书中规定的其他判废或更换条件。</w:t>
      </w:r>
    </w:p>
    <w:p w14:paraId="02260FDB">
      <w:pPr>
        <w:bidi w:val="0"/>
        <w:rPr>
          <w:rFonts w:hint="default"/>
          <w:color w:val="auto"/>
          <w:lang w:val="en-US" w:eastAsia="zh-CN"/>
        </w:rPr>
      </w:pPr>
      <w:r>
        <w:rPr>
          <w:rFonts w:hint="default"/>
          <w:color w:val="auto"/>
          <w:lang w:val="en-US" w:eastAsia="zh-CN"/>
        </w:rPr>
        <w:t>18、根据《个体防护装备配备规范第1部分：总则》（GB39800.1-2020）第5.3.2条规定，被判废或被更换后的个体防护装备不得再次使用。</w:t>
      </w:r>
    </w:p>
    <w:p w14:paraId="68C42873">
      <w:pPr>
        <w:bidi w:val="0"/>
        <w:rPr>
          <w:rFonts w:hint="default"/>
          <w:color w:val="auto"/>
          <w:lang w:val="en-US" w:eastAsia="zh-CN"/>
        </w:rPr>
      </w:pPr>
      <w:r>
        <w:rPr>
          <w:rFonts w:hint="default"/>
          <w:color w:val="auto"/>
          <w:lang w:val="en-US" w:eastAsia="zh-CN"/>
        </w:rPr>
        <w:t>19、根据《个体防护装备配备规范第1部分：总则》（GB39800.1-2020）第5.4.2条规定，用人单位应按计划定期对作业人员进行培训</w:t>
      </w:r>
      <w:r>
        <w:rPr>
          <w:rFonts w:hint="eastAsia"/>
          <w:color w:val="auto"/>
          <w:lang w:val="en-US" w:eastAsia="zh-CN"/>
        </w:rPr>
        <w:t>，</w:t>
      </w:r>
      <w:r>
        <w:rPr>
          <w:rFonts w:hint="default"/>
          <w:color w:val="auto"/>
          <w:lang w:val="en-US" w:eastAsia="zh-CN"/>
        </w:rPr>
        <w:t>培训内容至少应包括工作中存在的危害种类和法律法规</w:t>
      </w:r>
      <w:r>
        <w:rPr>
          <w:rFonts w:hint="eastAsia"/>
          <w:color w:val="auto"/>
          <w:lang w:val="en-US" w:eastAsia="zh-CN"/>
        </w:rPr>
        <w:t>，</w:t>
      </w:r>
      <w:r>
        <w:rPr>
          <w:rFonts w:hint="default"/>
          <w:color w:val="auto"/>
          <w:lang w:val="en-US" w:eastAsia="zh-CN"/>
        </w:rPr>
        <w:t>标准等规定的防护要求</w:t>
      </w:r>
      <w:r>
        <w:rPr>
          <w:rFonts w:hint="eastAsia"/>
          <w:color w:val="auto"/>
          <w:lang w:val="en-US" w:eastAsia="zh-CN"/>
        </w:rPr>
        <w:t>，</w:t>
      </w:r>
      <w:r>
        <w:rPr>
          <w:rFonts w:hint="default"/>
          <w:color w:val="auto"/>
          <w:lang w:val="en-US" w:eastAsia="zh-CN"/>
        </w:rPr>
        <w:t>本单位采取的控制措施</w:t>
      </w:r>
      <w:r>
        <w:rPr>
          <w:rFonts w:hint="eastAsia"/>
          <w:color w:val="auto"/>
          <w:lang w:val="en-US" w:eastAsia="zh-CN"/>
        </w:rPr>
        <w:t>，</w:t>
      </w:r>
      <w:r>
        <w:rPr>
          <w:rFonts w:hint="default"/>
          <w:color w:val="auto"/>
          <w:lang w:val="en-US" w:eastAsia="zh-CN"/>
        </w:rPr>
        <w:t>以及个体防护装备的选择</w:t>
      </w:r>
      <w:r>
        <w:rPr>
          <w:rFonts w:hint="eastAsia"/>
          <w:color w:val="auto"/>
          <w:lang w:val="en-US" w:eastAsia="zh-CN"/>
        </w:rPr>
        <w:t>，</w:t>
      </w:r>
      <w:r>
        <w:rPr>
          <w:rFonts w:hint="default"/>
          <w:color w:val="auto"/>
          <w:lang w:val="en-US" w:eastAsia="zh-CN"/>
        </w:rPr>
        <w:t>防护效果</w:t>
      </w:r>
      <w:r>
        <w:rPr>
          <w:rFonts w:hint="eastAsia"/>
          <w:color w:val="auto"/>
          <w:lang w:val="en-US" w:eastAsia="zh-CN"/>
        </w:rPr>
        <w:t>，</w:t>
      </w:r>
      <w:r>
        <w:rPr>
          <w:rFonts w:hint="default"/>
          <w:color w:val="auto"/>
          <w:lang w:val="en-US" w:eastAsia="zh-CN"/>
        </w:rPr>
        <w:t>使用方法及维护、保养方法、检查方法等。</w:t>
      </w:r>
    </w:p>
    <w:p w14:paraId="4348406A">
      <w:pPr>
        <w:bidi w:val="0"/>
        <w:rPr>
          <w:rFonts w:hint="default"/>
          <w:color w:val="auto"/>
          <w:lang w:val="en-US" w:eastAsia="zh-CN"/>
        </w:rPr>
      </w:pPr>
      <w:r>
        <w:rPr>
          <w:rFonts w:hint="default"/>
          <w:color w:val="auto"/>
          <w:lang w:val="en-US" w:eastAsia="zh-CN"/>
        </w:rPr>
        <w:t>20、根据《个体防护装备配备规范第1部分：总则》（GB39800.1-2020）第5.4.3条规定，当有新员工人职、员工转岗、个体防护装备配备发生变化，法律法规及标准发生变化等情况，需要培训时用人单位应及时进行培训。</w:t>
      </w:r>
    </w:p>
    <w:p w14:paraId="212E5A77">
      <w:pPr>
        <w:bidi w:val="0"/>
        <w:rPr>
          <w:rFonts w:hint="default"/>
          <w:color w:val="auto"/>
          <w:lang w:val="en-US" w:eastAsia="zh-CN"/>
        </w:rPr>
      </w:pPr>
      <w:r>
        <w:rPr>
          <w:rFonts w:hint="default"/>
          <w:color w:val="auto"/>
          <w:lang w:val="en-US" w:eastAsia="zh-CN"/>
        </w:rPr>
        <w:t>21、根据《个体防护装备配备规范第1部分：总则》（GB39800.1-2020）第5.4.4条规定，未按规定佩戴和使用个体防护装备的作业人员，不得上岗作业。</w:t>
      </w:r>
    </w:p>
    <w:p w14:paraId="06A841DE">
      <w:pPr>
        <w:bidi w:val="0"/>
        <w:rPr>
          <w:rFonts w:hint="default"/>
          <w:color w:val="auto"/>
          <w:lang w:val="en-US" w:eastAsia="zh-CN"/>
        </w:rPr>
      </w:pPr>
      <w:r>
        <w:rPr>
          <w:rFonts w:hint="default"/>
          <w:color w:val="auto"/>
          <w:lang w:val="en-US" w:eastAsia="zh-CN"/>
        </w:rPr>
        <w:t>22、根据《个体防护装备配备规范第1部分：总则》（GB39800.1-2020）第5.4.5条规定，作业人员应熟练掌握个体防护装备正确佩戴和使用方法，用人单位应监督作业人员个体防护装备的使用情况。</w:t>
      </w:r>
    </w:p>
    <w:p w14:paraId="12510028">
      <w:pPr>
        <w:pStyle w:val="4"/>
        <w:bidi w:val="0"/>
        <w:rPr>
          <w:rFonts w:hint="default"/>
          <w:color w:val="auto"/>
          <w:lang w:val="en-US" w:eastAsia="zh-CN"/>
        </w:rPr>
      </w:pPr>
      <w:bookmarkStart w:id="143" w:name="_Toc13345"/>
      <w:r>
        <w:rPr>
          <w:rFonts w:hint="default"/>
          <w:color w:val="auto"/>
          <w:lang w:val="en-US" w:eastAsia="zh-CN"/>
        </w:rPr>
        <w:t>6.</w:t>
      </w:r>
      <w:r>
        <w:rPr>
          <w:rFonts w:hint="eastAsia"/>
          <w:color w:val="auto"/>
          <w:lang w:val="en-US" w:eastAsia="zh-CN"/>
        </w:rPr>
        <w:t>2.6</w:t>
      </w:r>
      <w:r>
        <w:rPr>
          <w:rFonts w:hint="default"/>
          <w:color w:val="auto"/>
          <w:lang w:val="en-US" w:eastAsia="zh-CN"/>
        </w:rPr>
        <w:t xml:space="preserve"> 安全管理单元安全对策措施建议</w:t>
      </w:r>
      <w:bookmarkEnd w:id="143"/>
    </w:p>
    <w:p w14:paraId="2E92FC51">
      <w:pPr>
        <w:bidi w:val="0"/>
        <w:rPr>
          <w:rFonts w:hint="default"/>
          <w:color w:val="auto"/>
          <w:lang w:val="en-US" w:eastAsia="zh-CN"/>
        </w:rPr>
      </w:pPr>
      <w:r>
        <w:rPr>
          <w:rFonts w:hint="eastAsia"/>
          <w:color w:val="auto"/>
          <w:lang w:val="en-US" w:eastAsia="zh-CN"/>
        </w:rPr>
        <w:t>1、主要负责人、安全管理人员应尽快取得安全生产知识和管理能力考核合格证，企业应为从业人员购买工伤保险，构建安全风险分级管控和隐患排查治理双重预防机制。</w:t>
      </w:r>
    </w:p>
    <w:p w14:paraId="561D81CE">
      <w:pPr>
        <w:bidi w:val="0"/>
        <w:rPr>
          <w:rFonts w:hint="default"/>
          <w:color w:val="auto"/>
          <w:lang w:val="en-US" w:eastAsia="zh-CN"/>
        </w:rPr>
      </w:pPr>
      <w:r>
        <w:rPr>
          <w:rFonts w:hint="eastAsia"/>
          <w:color w:val="auto"/>
          <w:lang w:val="en-US" w:eastAsia="zh-CN"/>
        </w:rPr>
        <w:t>2</w:t>
      </w:r>
      <w:r>
        <w:rPr>
          <w:rFonts w:hint="default"/>
          <w:color w:val="auto"/>
          <w:lang w:val="en-US" w:eastAsia="zh-CN"/>
        </w:rPr>
        <w:t>、应认真加强工艺操作管理，严格控制好各种工艺指标。</w:t>
      </w:r>
    </w:p>
    <w:p w14:paraId="2804AB67">
      <w:pPr>
        <w:bidi w:val="0"/>
        <w:rPr>
          <w:rFonts w:hint="default"/>
          <w:color w:val="auto"/>
          <w:lang w:val="en-US" w:eastAsia="zh-CN"/>
        </w:rPr>
      </w:pPr>
      <w:r>
        <w:rPr>
          <w:rFonts w:hint="eastAsia"/>
          <w:color w:val="auto"/>
          <w:lang w:val="en-US" w:eastAsia="zh-CN"/>
        </w:rPr>
        <w:t>3</w:t>
      </w:r>
      <w:r>
        <w:rPr>
          <w:rFonts w:hint="default"/>
          <w:color w:val="auto"/>
          <w:lang w:val="en-US" w:eastAsia="zh-CN"/>
        </w:rPr>
        <w:t>、企业应定期检维修设备设施，并完善各生产工段的安全防护设施，定期检查维护纯水系统和污水系统，保障供、排水的稳定。</w:t>
      </w:r>
    </w:p>
    <w:p w14:paraId="584EE086">
      <w:pPr>
        <w:bidi w:val="0"/>
        <w:rPr>
          <w:rFonts w:hint="default"/>
          <w:color w:val="auto"/>
          <w:lang w:val="en-US" w:eastAsia="zh-CN"/>
        </w:rPr>
      </w:pPr>
      <w:r>
        <w:rPr>
          <w:rFonts w:hint="eastAsia"/>
          <w:color w:val="auto"/>
          <w:lang w:val="en-US" w:eastAsia="zh-CN"/>
        </w:rPr>
        <w:t>4</w:t>
      </w:r>
      <w:r>
        <w:rPr>
          <w:rFonts w:hint="default"/>
          <w:color w:val="auto"/>
          <w:lang w:val="en-US" w:eastAsia="zh-CN"/>
        </w:rPr>
        <w:t>、企业应建立健全各安全管理台帐并如实记录。</w:t>
      </w:r>
    </w:p>
    <w:p w14:paraId="6D6A8DE9">
      <w:pPr>
        <w:bidi w:val="0"/>
        <w:rPr>
          <w:rFonts w:hint="default"/>
          <w:color w:val="auto"/>
          <w:lang w:val="en-US" w:eastAsia="zh-CN"/>
        </w:rPr>
      </w:pPr>
      <w:r>
        <w:rPr>
          <w:rFonts w:hint="eastAsia"/>
          <w:color w:val="auto"/>
          <w:lang w:val="en-US" w:eastAsia="zh-CN"/>
        </w:rPr>
        <w:t>5</w:t>
      </w:r>
      <w:r>
        <w:rPr>
          <w:rFonts w:hint="default"/>
          <w:color w:val="auto"/>
          <w:lang w:val="en-US" w:eastAsia="zh-CN"/>
        </w:rPr>
        <w:t>、根据《中华人民共和国安全生产法》（中华人民共和国主席令第88号）第四条规定，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73DA1919">
      <w:pPr>
        <w:bidi w:val="0"/>
        <w:rPr>
          <w:rFonts w:hint="default"/>
          <w:color w:val="auto"/>
          <w:lang w:val="en-US" w:eastAsia="zh-CN"/>
        </w:rPr>
      </w:pPr>
      <w:r>
        <w:rPr>
          <w:rFonts w:hint="eastAsia"/>
          <w:color w:val="auto"/>
          <w:lang w:val="en-US" w:eastAsia="zh-CN"/>
        </w:rPr>
        <w:t>6</w:t>
      </w:r>
      <w:r>
        <w:rPr>
          <w:rFonts w:hint="default"/>
          <w:color w:val="auto"/>
          <w:lang w:val="en-US" w:eastAsia="zh-CN"/>
        </w:rPr>
        <w:t>、根据《中华人民共和国安全生产法》（中华人民共和国主席令第88号）第二十一条规定，生产经营单位的主要负责人对本单位安全生产工作负有下列职责：</w:t>
      </w:r>
    </w:p>
    <w:p w14:paraId="0B8C61B6">
      <w:pPr>
        <w:bidi w:val="0"/>
        <w:rPr>
          <w:rFonts w:hint="default"/>
          <w:color w:val="auto"/>
          <w:lang w:val="en-US" w:eastAsia="zh-CN"/>
        </w:rPr>
      </w:pPr>
      <w:r>
        <w:rPr>
          <w:rFonts w:hint="default"/>
          <w:color w:val="auto"/>
          <w:lang w:val="en-US" w:eastAsia="zh-CN"/>
        </w:rPr>
        <w:t>（一）建立健全并落实本单位全员安全生产责任制，加强安全生产标准化建设；</w:t>
      </w:r>
    </w:p>
    <w:p w14:paraId="15865D7F">
      <w:pPr>
        <w:bidi w:val="0"/>
        <w:rPr>
          <w:rFonts w:hint="default"/>
          <w:color w:val="auto"/>
          <w:lang w:val="en-US" w:eastAsia="zh-CN"/>
        </w:rPr>
      </w:pPr>
      <w:r>
        <w:rPr>
          <w:rFonts w:hint="default"/>
          <w:color w:val="auto"/>
          <w:lang w:val="en-US" w:eastAsia="zh-CN"/>
        </w:rPr>
        <w:t>（二）组织制定并实施本单位安全生产规章制度和操作规程；</w:t>
      </w:r>
    </w:p>
    <w:p w14:paraId="6C574270">
      <w:pPr>
        <w:bidi w:val="0"/>
        <w:rPr>
          <w:rFonts w:hint="default"/>
          <w:color w:val="auto"/>
          <w:lang w:val="en-US" w:eastAsia="zh-CN"/>
        </w:rPr>
      </w:pPr>
      <w:r>
        <w:rPr>
          <w:rFonts w:hint="default"/>
          <w:color w:val="auto"/>
          <w:lang w:val="en-US" w:eastAsia="zh-CN"/>
        </w:rPr>
        <w:t>（三）组织制定并实施本单位安全生产教育和培训计划；</w:t>
      </w:r>
    </w:p>
    <w:p w14:paraId="1829C9E8">
      <w:pPr>
        <w:bidi w:val="0"/>
        <w:rPr>
          <w:rFonts w:hint="default"/>
          <w:color w:val="auto"/>
          <w:lang w:val="en-US" w:eastAsia="zh-CN"/>
        </w:rPr>
      </w:pPr>
      <w:r>
        <w:rPr>
          <w:rFonts w:hint="default"/>
          <w:color w:val="auto"/>
          <w:lang w:val="en-US" w:eastAsia="zh-CN"/>
        </w:rPr>
        <w:t>（四）保证本单位安全生产投入的有效实施；</w:t>
      </w:r>
    </w:p>
    <w:p w14:paraId="2F17053D">
      <w:pPr>
        <w:bidi w:val="0"/>
        <w:rPr>
          <w:rFonts w:hint="default"/>
          <w:color w:val="auto"/>
          <w:lang w:val="en-US" w:eastAsia="zh-CN"/>
        </w:rPr>
      </w:pPr>
      <w:r>
        <w:rPr>
          <w:rFonts w:hint="default"/>
          <w:color w:val="auto"/>
          <w:lang w:val="en-US" w:eastAsia="zh-CN"/>
        </w:rPr>
        <w:t>（五）组织建立并落实安全风险分级管控和隐患排查治理双重预防工作机制，督促、检查本单位的安全生产工作，及时消除生产安全事故隐患；</w:t>
      </w:r>
    </w:p>
    <w:p w14:paraId="0A379C4D">
      <w:pPr>
        <w:bidi w:val="0"/>
        <w:rPr>
          <w:rFonts w:hint="default"/>
          <w:color w:val="auto"/>
          <w:lang w:val="en-US" w:eastAsia="zh-CN"/>
        </w:rPr>
      </w:pPr>
      <w:r>
        <w:rPr>
          <w:rFonts w:hint="default"/>
          <w:color w:val="auto"/>
          <w:lang w:val="en-US" w:eastAsia="zh-CN"/>
        </w:rPr>
        <w:t>（六）组织制定并实施本单位的生产安全事故应急救援预案；</w:t>
      </w:r>
    </w:p>
    <w:p w14:paraId="53CD6046">
      <w:pPr>
        <w:bidi w:val="0"/>
        <w:rPr>
          <w:rFonts w:hint="default"/>
          <w:color w:val="auto"/>
          <w:lang w:val="en-US" w:eastAsia="zh-CN"/>
        </w:rPr>
      </w:pPr>
      <w:r>
        <w:rPr>
          <w:rFonts w:hint="default"/>
          <w:color w:val="auto"/>
          <w:lang w:val="en-US" w:eastAsia="zh-CN"/>
        </w:rPr>
        <w:t>（七）及时、如实报告生产安全事故。</w:t>
      </w:r>
    </w:p>
    <w:p w14:paraId="4A323300">
      <w:pPr>
        <w:bidi w:val="0"/>
        <w:rPr>
          <w:rFonts w:hint="default"/>
          <w:color w:val="auto"/>
          <w:lang w:val="en-US" w:eastAsia="zh-CN"/>
        </w:rPr>
      </w:pPr>
      <w:r>
        <w:rPr>
          <w:rFonts w:hint="eastAsia"/>
          <w:color w:val="auto"/>
          <w:lang w:val="en-US" w:eastAsia="zh-CN"/>
        </w:rPr>
        <w:t>7</w:t>
      </w:r>
      <w:r>
        <w:rPr>
          <w:rFonts w:hint="default"/>
          <w:color w:val="auto"/>
          <w:lang w:val="en-US" w:eastAsia="zh-CN"/>
        </w:rPr>
        <w:t>、根据《中华人民共和国安全生产法》（中华人民共和国主席令第88号）第二十二条规定，生产经营单位的全员安全生产责任制应当明确各岗位的责任人员、责任范围和考核标准等内容。</w:t>
      </w:r>
    </w:p>
    <w:p w14:paraId="4BA1A1BC">
      <w:pPr>
        <w:bidi w:val="0"/>
        <w:rPr>
          <w:rFonts w:hint="default"/>
          <w:color w:val="auto"/>
          <w:lang w:val="en-US" w:eastAsia="zh-CN"/>
        </w:rPr>
      </w:pPr>
      <w:r>
        <w:rPr>
          <w:rFonts w:hint="default"/>
          <w:color w:val="auto"/>
          <w:lang w:val="en-US" w:eastAsia="zh-CN"/>
        </w:rPr>
        <w:t>生产经营单位应当建立相应的机制，加强对全员安全生产责任制落实情况的监督考核，保证全员安全生产责任制的落实。</w:t>
      </w:r>
    </w:p>
    <w:p w14:paraId="54459931">
      <w:pPr>
        <w:bidi w:val="0"/>
        <w:rPr>
          <w:rFonts w:hint="default"/>
          <w:color w:val="auto"/>
          <w:lang w:val="en-US" w:eastAsia="zh-CN"/>
        </w:rPr>
      </w:pPr>
      <w:r>
        <w:rPr>
          <w:rFonts w:hint="eastAsia"/>
          <w:color w:val="auto"/>
          <w:lang w:val="en-US" w:eastAsia="zh-CN"/>
        </w:rPr>
        <w:t>8</w:t>
      </w:r>
      <w:r>
        <w:rPr>
          <w:rFonts w:hint="default"/>
          <w:color w:val="auto"/>
          <w:lang w:val="en-US" w:eastAsia="zh-CN"/>
        </w:rPr>
        <w:t>、根据《中华人民共和国安全生产法》（中华人民共和国主席令第88号）第二十四条规定，矿山、金属冶炼、建筑施工、运输单位和危险物品的生产、经营、储存、装卸单位，应当设置安全生产管理机构或者配备专职安全生产管理人员。</w:t>
      </w:r>
    </w:p>
    <w:p w14:paraId="116E99B4">
      <w:pPr>
        <w:bidi w:val="0"/>
        <w:rPr>
          <w:rFonts w:hint="default"/>
          <w:color w:val="auto"/>
          <w:lang w:val="en-US" w:eastAsia="zh-CN"/>
        </w:rPr>
      </w:pPr>
      <w:r>
        <w:rPr>
          <w:rFonts w:hint="default"/>
          <w:color w:val="auto"/>
          <w:lang w:val="en-US" w:eastAsia="zh-CN"/>
        </w:rPr>
        <w:t>前款规定以外的其他生产经营单位，从业人员超过一百人的，应当设置安全生产管理机构或者配备专职安全生产管理人员；从业人员在一百人以下的，应当配备专职或者兼职的安全生产管理人员。</w:t>
      </w:r>
    </w:p>
    <w:p w14:paraId="1D02B2FC">
      <w:pPr>
        <w:bidi w:val="0"/>
        <w:rPr>
          <w:rFonts w:hint="default"/>
          <w:color w:val="auto"/>
          <w:lang w:val="en-US" w:eastAsia="zh-CN"/>
        </w:rPr>
      </w:pPr>
      <w:r>
        <w:rPr>
          <w:rFonts w:hint="eastAsia"/>
          <w:color w:val="auto"/>
          <w:lang w:val="en-US" w:eastAsia="zh-CN"/>
        </w:rPr>
        <w:t>9</w:t>
      </w:r>
      <w:r>
        <w:rPr>
          <w:rFonts w:hint="default"/>
          <w:color w:val="auto"/>
          <w:lang w:val="en-US" w:eastAsia="zh-CN"/>
        </w:rPr>
        <w:t>、根据《中华人民共和国安全生产法》（中华人民共和国主席令第88号）第二十八条规定，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3C895D88">
      <w:pPr>
        <w:bidi w:val="0"/>
        <w:rPr>
          <w:rFonts w:hint="default"/>
          <w:color w:val="auto"/>
          <w:lang w:val="en-US" w:eastAsia="zh-CN"/>
        </w:rPr>
      </w:pPr>
      <w:r>
        <w:rPr>
          <w:rFonts w:hint="default"/>
          <w:color w:val="auto"/>
          <w:lang w:val="en-US" w:eastAsia="zh-CN"/>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07439178">
      <w:pPr>
        <w:bidi w:val="0"/>
        <w:rPr>
          <w:rFonts w:hint="default"/>
          <w:color w:val="auto"/>
          <w:lang w:val="en-US" w:eastAsia="zh-CN"/>
        </w:rPr>
      </w:pPr>
      <w:r>
        <w:rPr>
          <w:rFonts w:hint="default"/>
          <w:color w:val="auto"/>
          <w:lang w:val="en-US" w:eastAsia="zh-CN"/>
        </w:rPr>
        <w:t>生产经营单位接收中等职业学校、高等学校学生实习的，应当对实习学生进行相应的安全生产教育和培训，提供必要的劳动防护用品。学校应当协助生产经营单位对实习学生进行安全生产教育和培训。</w:t>
      </w:r>
    </w:p>
    <w:p w14:paraId="127F02AC">
      <w:pPr>
        <w:bidi w:val="0"/>
        <w:rPr>
          <w:rFonts w:hint="default"/>
          <w:color w:val="auto"/>
          <w:lang w:val="en-US" w:eastAsia="zh-CN"/>
        </w:rPr>
      </w:pPr>
      <w:r>
        <w:rPr>
          <w:rFonts w:hint="default"/>
          <w:color w:val="auto"/>
          <w:lang w:val="en-US" w:eastAsia="zh-CN"/>
        </w:rPr>
        <w:t>生产经营单位应当建立安全生产教育和培训档案，如实记录安全生产教育和培训的时间、内容、参加人员以及考核结果等情况。</w:t>
      </w:r>
    </w:p>
    <w:p w14:paraId="48911920">
      <w:pPr>
        <w:bidi w:val="0"/>
        <w:rPr>
          <w:rFonts w:hint="default"/>
          <w:color w:val="auto"/>
          <w:lang w:val="en-US" w:eastAsia="zh-CN"/>
        </w:rPr>
      </w:pPr>
      <w:r>
        <w:rPr>
          <w:rFonts w:hint="eastAsia"/>
          <w:color w:val="auto"/>
          <w:lang w:val="en-US" w:eastAsia="zh-CN"/>
        </w:rPr>
        <w:t>10</w:t>
      </w:r>
      <w:r>
        <w:rPr>
          <w:rFonts w:hint="default"/>
          <w:color w:val="auto"/>
          <w:lang w:val="en-US" w:eastAsia="zh-CN"/>
        </w:rPr>
        <w:t>、根据《中华人民共和国安全生产法》（中华人民共和国主席令第88号）第三十条规定，生产经营单位的特种作业人员必须按照国家有关规定经专门的安全作业培训，取得相应资格，方可上岗作业。</w:t>
      </w:r>
    </w:p>
    <w:p w14:paraId="114F773E">
      <w:pPr>
        <w:bidi w:val="0"/>
        <w:rPr>
          <w:rFonts w:hint="default"/>
          <w:color w:val="auto"/>
          <w:lang w:val="en-US" w:eastAsia="zh-CN"/>
        </w:rPr>
      </w:pPr>
      <w:r>
        <w:rPr>
          <w:rFonts w:hint="default"/>
          <w:color w:val="auto"/>
          <w:lang w:val="en-US" w:eastAsia="zh-CN"/>
        </w:rPr>
        <w:t>特种作业人员的范围由国务院应急管理部门会同国务院有关部门确定。</w:t>
      </w:r>
    </w:p>
    <w:p w14:paraId="3996AADF">
      <w:pPr>
        <w:bidi w:val="0"/>
        <w:rPr>
          <w:rFonts w:hint="default"/>
          <w:color w:val="auto"/>
          <w:lang w:val="en-US" w:eastAsia="zh-CN"/>
        </w:rPr>
      </w:pPr>
      <w:r>
        <w:rPr>
          <w:rFonts w:hint="default"/>
          <w:color w:val="auto"/>
          <w:lang w:val="en-US" w:eastAsia="zh-CN"/>
        </w:rPr>
        <w:t>1</w:t>
      </w:r>
      <w:r>
        <w:rPr>
          <w:rFonts w:hint="eastAsia"/>
          <w:color w:val="auto"/>
          <w:lang w:val="en-US" w:eastAsia="zh-CN"/>
        </w:rPr>
        <w:t>1</w:t>
      </w:r>
      <w:r>
        <w:rPr>
          <w:rFonts w:hint="default"/>
          <w:color w:val="auto"/>
          <w:lang w:val="en-US" w:eastAsia="zh-CN"/>
        </w:rPr>
        <w:t>、根据《中华人民共和国安全生产法》（中华人民共和国主席令第88号）第三十一条规定，生产经营单位新建、改建、扩建工程项目的安全设施，必须与主体工程同时设计、同时施工、同时投入生产和使用。安全设施投资应当纳入建设项目概算。</w:t>
      </w:r>
    </w:p>
    <w:p w14:paraId="3A732552">
      <w:pPr>
        <w:bidi w:val="0"/>
        <w:rPr>
          <w:rFonts w:hint="default"/>
          <w:color w:val="auto"/>
          <w:lang w:val="en-US" w:eastAsia="zh-CN"/>
        </w:rPr>
      </w:pPr>
      <w:r>
        <w:rPr>
          <w:rFonts w:hint="default"/>
          <w:color w:val="auto"/>
          <w:lang w:val="en-US" w:eastAsia="zh-CN"/>
        </w:rPr>
        <w:t>1</w:t>
      </w:r>
      <w:r>
        <w:rPr>
          <w:rFonts w:hint="eastAsia"/>
          <w:color w:val="auto"/>
          <w:lang w:val="en-US" w:eastAsia="zh-CN"/>
        </w:rPr>
        <w:t>2</w:t>
      </w:r>
      <w:r>
        <w:rPr>
          <w:rFonts w:hint="default"/>
          <w:color w:val="auto"/>
          <w:lang w:val="en-US" w:eastAsia="zh-CN"/>
        </w:rPr>
        <w:t>、根据《中华人民共和国安全生产法》（中华人民共和国主席令第88号）第三十五条规定，生产经营单位应当在有较大危险因素的生产经营场所和有关设施、设备上，设置明显的安全警示标志。</w:t>
      </w:r>
    </w:p>
    <w:p w14:paraId="74E942DC">
      <w:pPr>
        <w:bidi w:val="0"/>
        <w:rPr>
          <w:rFonts w:hint="default"/>
          <w:color w:val="auto"/>
          <w:lang w:val="en-US" w:eastAsia="zh-CN"/>
        </w:rPr>
      </w:pPr>
      <w:r>
        <w:rPr>
          <w:rFonts w:hint="default"/>
          <w:color w:val="auto"/>
          <w:lang w:val="en-US" w:eastAsia="zh-CN"/>
        </w:rPr>
        <w:t>1</w:t>
      </w:r>
      <w:r>
        <w:rPr>
          <w:rFonts w:hint="eastAsia"/>
          <w:color w:val="auto"/>
          <w:lang w:val="en-US" w:eastAsia="zh-CN"/>
        </w:rPr>
        <w:t>3</w:t>
      </w:r>
      <w:r>
        <w:rPr>
          <w:rFonts w:hint="default"/>
          <w:color w:val="auto"/>
          <w:lang w:val="en-US" w:eastAsia="zh-CN"/>
        </w:rPr>
        <w:t>、根据《中华人民共和国安全生产法》（中华人民共和国主席令第88号）第四十条规定，生产经营单位对重大危险源应当登记建档，进行定期检测、评估、监控，并制定应急预案，告知从业人员和相关人员在紧急情况下应当采取的应急措施。</w:t>
      </w:r>
    </w:p>
    <w:p w14:paraId="349A0B7A">
      <w:pPr>
        <w:bidi w:val="0"/>
        <w:rPr>
          <w:rFonts w:hint="default"/>
          <w:color w:val="auto"/>
          <w:lang w:val="en-US" w:eastAsia="zh-CN"/>
        </w:rPr>
      </w:pPr>
      <w:r>
        <w:rPr>
          <w:rFonts w:hint="default"/>
          <w:color w:val="auto"/>
          <w:lang w:val="en-US" w:eastAsia="zh-CN"/>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14:paraId="3411A4B4">
      <w:pPr>
        <w:bidi w:val="0"/>
        <w:rPr>
          <w:rFonts w:hint="default"/>
          <w:color w:val="auto"/>
          <w:lang w:val="en-US" w:eastAsia="zh-CN"/>
        </w:rPr>
      </w:pPr>
      <w:r>
        <w:rPr>
          <w:rFonts w:hint="default"/>
          <w:color w:val="auto"/>
          <w:lang w:val="en-US" w:eastAsia="zh-CN"/>
        </w:rPr>
        <w:t>1</w:t>
      </w:r>
      <w:r>
        <w:rPr>
          <w:rFonts w:hint="eastAsia"/>
          <w:color w:val="auto"/>
          <w:lang w:val="en-US" w:eastAsia="zh-CN"/>
        </w:rPr>
        <w:t>4</w:t>
      </w:r>
      <w:r>
        <w:rPr>
          <w:rFonts w:hint="default"/>
          <w:color w:val="auto"/>
          <w:lang w:val="en-US" w:eastAsia="zh-CN"/>
        </w:rPr>
        <w:t>、根据《中华人民共和国安全生产法》（中华人民共和国主席令第88号）第四十一条规定，生产经营单位应当建立安全风险分级管控制度，按照安全风险分级采取相应的管控措施。</w:t>
      </w:r>
    </w:p>
    <w:p w14:paraId="23AEF59C">
      <w:pPr>
        <w:bidi w:val="0"/>
        <w:rPr>
          <w:rFonts w:hint="default"/>
          <w:color w:val="auto"/>
          <w:lang w:val="en-US" w:eastAsia="zh-CN"/>
        </w:rPr>
      </w:pPr>
      <w:r>
        <w:rPr>
          <w:rFonts w:hint="default"/>
          <w:color w:val="auto"/>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53751E60">
      <w:pPr>
        <w:bidi w:val="0"/>
        <w:rPr>
          <w:rFonts w:hint="default"/>
          <w:color w:val="auto"/>
          <w:lang w:val="en-US" w:eastAsia="zh-CN"/>
        </w:rPr>
      </w:pPr>
      <w:r>
        <w:rPr>
          <w:rFonts w:hint="default"/>
          <w:color w:val="auto"/>
          <w:lang w:val="en-US" w:eastAsia="zh-CN"/>
        </w:rPr>
        <w:t>1</w:t>
      </w:r>
      <w:r>
        <w:rPr>
          <w:rFonts w:hint="eastAsia"/>
          <w:color w:val="auto"/>
          <w:lang w:val="en-US" w:eastAsia="zh-CN"/>
        </w:rPr>
        <w:t>5</w:t>
      </w:r>
      <w:r>
        <w:rPr>
          <w:rFonts w:hint="default"/>
          <w:color w:val="auto"/>
          <w:lang w:val="en-US" w:eastAsia="zh-CN"/>
        </w:rPr>
        <w:t>、根据《中华人民共和国安全生产法》（中华人民共和国主席令第88号）第四十四条规定，生产经营单位应当教育和督促从业人员严格执行本单位的安全生产规章制度和安全操作规程；并向从业人员如实告知作业场所和工作岗位存在的危险因素、防范措施以及事故应急措施。</w:t>
      </w:r>
    </w:p>
    <w:p w14:paraId="17C756DF">
      <w:pPr>
        <w:bidi w:val="0"/>
        <w:rPr>
          <w:rFonts w:hint="default"/>
          <w:color w:val="auto"/>
          <w:lang w:val="en-US" w:eastAsia="zh-CN"/>
        </w:rPr>
      </w:pPr>
      <w:r>
        <w:rPr>
          <w:rFonts w:hint="default"/>
          <w:color w:val="auto"/>
          <w:lang w:val="en-US" w:eastAsia="zh-CN"/>
        </w:rPr>
        <w:t>生产经营单位应当关注从业人员的身体、心理状况和行为习惯，加强对从业人员的心理疏导、精神慰藉，严格落实岗位安全生产责任，防范从业人员行为异常导致事故发生。</w:t>
      </w:r>
    </w:p>
    <w:p w14:paraId="656418F1">
      <w:pPr>
        <w:bidi w:val="0"/>
        <w:rPr>
          <w:rFonts w:hint="default"/>
          <w:color w:val="auto"/>
          <w:lang w:val="en-US" w:eastAsia="zh-CN"/>
        </w:rPr>
      </w:pPr>
      <w:r>
        <w:rPr>
          <w:rFonts w:hint="default"/>
          <w:color w:val="auto"/>
          <w:lang w:val="en-US" w:eastAsia="zh-CN"/>
        </w:rPr>
        <w:t>1</w:t>
      </w:r>
      <w:r>
        <w:rPr>
          <w:rFonts w:hint="eastAsia"/>
          <w:color w:val="auto"/>
          <w:lang w:val="en-US" w:eastAsia="zh-CN"/>
        </w:rPr>
        <w:t>6</w:t>
      </w:r>
      <w:r>
        <w:rPr>
          <w:rFonts w:hint="default"/>
          <w:color w:val="auto"/>
          <w:lang w:val="en-US" w:eastAsia="zh-CN"/>
        </w:rPr>
        <w:t>、根据《中华人民共和国安全生产法》（中华人民共和国主席令第88号）第四十五条规定，生产经营单位必须为从业人员提供符合国家标准或者行业标准的劳动防护用品，并监督、教育从业人员按照使用规则佩戴、使用。</w:t>
      </w:r>
    </w:p>
    <w:p w14:paraId="4524136E">
      <w:pPr>
        <w:bidi w:val="0"/>
        <w:rPr>
          <w:rFonts w:hint="default"/>
          <w:color w:val="auto"/>
          <w:lang w:val="en-US" w:eastAsia="zh-CN"/>
        </w:rPr>
      </w:pPr>
      <w:r>
        <w:rPr>
          <w:rFonts w:hint="default"/>
          <w:color w:val="auto"/>
          <w:lang w:val="en-US" w:eastAsia="zh-CN"/>
        </w:rPr>
        <w:t>1</w:t>
      </w:r>
      <w:r>
        <w:rPr>
          <w:rFonts w:hint="eastAsia"/>
          <w:color w:val="auto"/>
          <w:lang w:val="en-US" w:eastAsia="zh-CN"/>
        </w:rPr>
        <w:t>7</w:t>
      </w:r>
      <w:r>
        <w:rPr>
          <w:rFonts w:hint="default"/>
          <w:color w:val="auto"/>
          <w:lang w:val="en-US" w:eastAsia="zh-CN"/>
        </w:rPr>
        <w:t>、根据《中华人民共和国安全生产法》（中华人民共和国主席令第88号）第四十六条规定，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14:paraId="4A28C1C4">
      <w:pPr>
        <w:bidi w:val="0"/>
        <w:rPr>
          <w:rFonts w:hint="default"/>
          <w:color w:val="auto"/>
          <w:lang w:val="en-US" w:eastAsia="zh-CN"/>
        </w:rPr>
      </w:pPr>
      <w:r>
        <w:rPr>
          <w:rFonts w:hint="default"/>
          <w:color w:val="auto"/>
          <w:lang w:val="en-US" w:eastAsia="zh-CN"/>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14:paraId="09B9D11C">
      <w:pPr>
        <w:bidi w:val="0"/>
        <w:rPr>
          <w:rFonts w:hint="default"/>
          <w:color w:val="auto"/>
          <w:lang w:val="en-US" w:eastAsia="zh-CN"/>
        </w:rPr>
      </w:pPr>
      <w:r>
        <w:rPr>
          <w:rFonts w:hint="default"/>
          <w:color w:val="auto"/>
          <w:lang w:val="en-US" w:eastAsia="zh-CN"/>
        </w:rPr>
        <w:t>1</w:t>
      </w:r>
      <w:r>
        <w:rPr>
          <w:rFonts w:hint="eastAsia"/>
          <w:color w:val="auto"/>
          <w:lang w:val="en-US" w:eastAsia="zh-CN"/>
        </w:rPr>
        <w:t>8</w:t>
      </w:r>
      <w:r>
        <w:rPr>
          <w:rFonts w:hint="default"/>
          <w:color w:val="auto"/>
          <w:lang w:val="en-US" w:eastAsia="zh-CN"/>
        </w:rPr>
        <w:t>、根据《中华人民共和国安全生产法》（中华人民共和国主席令第88号）第五十一条规定，生产经营单位必须依法参加工伤保险，为从业人员缴纳保险费。</w:t>
      </w:r>
    </w:p>
    <w:p w14:paraId="3CF09811">
      <w:pPr>
        <w:bidi w:val="0"/>
        <w:rPr>
          <w:rFonts w:hint="default"/>
          <w:color w:val="auto"/>
          <w:lang w:val="en-US" w:eastAsia="zh-CN"/>
        </w:rPr>
      </w:pPr>
      <w:r>
        <w:rPr>
          <w:rFonts w:hint="default"/>
          <w:color w:val="auto"/>
          <w:lang w:val="en-US" w:eastAsia="zh-CN"/>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14:paraId="1868F995">
      <w:pPr>
        <w:bidi w:val="0"/>
        <w:rPr>
          <w:rFonts w:hint="default"/>
          <w:color w:val="auto"/>
          <w:lang w:val="en-US" w:eastAsia="zh-CN"/>
        </w:rPr>
      </w:pPr>
      <w:r>
        <w:rPr>
          <w:rFonts w:hint="default"/>
          <w:color w:val="auto"/>
          <w:lang w:val="en-US" w:eastAsia="zh-CN"/>
        </w:rPr>
        <w:t>1</w:t>
      </w:r>
      <w:r>
        <w:rPr>
          <w:rFonts w:hint="eastAsia"/>
          <w:color w:val="auto"/>
          <w:lang w:val="en-US" w:eastAsia="zh-CN"/>
        </w:rPr>
        <w:t>9</w:t>
      </w:r>
      <w:r>
        <w:rPr>
          <w:rFonts w:hint="default"/>
          <w:color w:val="auto"/>
          <w:lang w:val="en-US" w:eastAsia="zh-CN"/>
        </w:rPr>
        <w:t>、根据《中华人民共和国安全生产法》（中华人民共和国主席令第88号）第五十七条规定，从业人员在作业过程中，应当严格落实岗位安全责任，遵守本单位的安全生产规章制度和操作规程，服从管理，正确佩戴和使用劳动防护用品。</w:t>
      </w:r>
    </w:p>
    <w:p w14:paraId="5D850863">
      <w:pPr>
        <w:bidi w:val="0"/>
        <w:rPr>
          <w:rFonts w:hint="default"/>
          <w:color w:val="auto"/>
          <w:lang w:val="en-US" w:eastAsia="zh-CN"/>
        </w:rPr>
      </w:pPr>
      <w:r>
        <w:rPr>
          <w:rFonts w:hint="eastAsia"/>
          <w:color w:val="auto"/>
          <w:lang w:val="en-US" w:eastAsia="zh-CN"/>
        </w:rPr>
        <w:t>20</w:t>
      </w:r>
      <w:r>
        <w:rPr>
          <w:rFonts w:hint="default"/>
          <w:color w:val="auto"/>
          <w:lang w:val="en-US" w:eastAsia="zh-CN"/>
        </w:rPr>
        <w:t>、根据《中华人民共和国安全生产法》（中华人民共和国主席令第88号）第八十一条规定，生产经营单位应当制定本单位生产安全事故应急救援预案，与所在地县级以上地方人民政府组织制定的生产安全事故应急救援预案相衔接，并定期组织演练。</w:t>
      </w:r>
    </w:p>
    <w:p w14:paraId="42514C53">
      <w:pPr>
        <w:bidi w:val="0"/>
        <w:rPr>
          <w:rFonts w:hint="default"/>
          <w:color w:val="auto"/>
          <w:lang w:val="en-US" w:eastAsia="zh-CN"/>
        </w:rPr>
      </w:pPr>
      <w:r>
        <w:rPr>
          <w:rFonts w:hint="default"/>
          <w:color w:val="auto"/>
          <w:lang w:val="en-US" w:eastAsia="zh-CN"/>
        </w:rPr>
        <w:t>2</w:t>
      </w:r>
      <w:r>
        <w:rPr>
          <w:rFonts w:hint="eastAsia"/>
          <w:color w:val="auto"/>
          <w:lang w:val="en-US" w:eastAsia="zh-CN"/>
        </w:rPr>
        <w:t>1</w:t>
      </w:r>
      <w:r>
        <w:rPr>
          <w:rFonts w:hint="default"/>
          <w:color w:val="auto"/>
          <w:lang w:val="en-US" w:eastAsia="zh-CN"/>
        </w:rPr>
        <w:t>、根据《云南省安全生产条例》（云南省第十二届人民代表大会常务委员会第63号）第十三条生产经营单位应当保证安全生产所必需的资金投入。有关生产经营单位应当按照规定提取、使用安全生产费用，在成本中据实列支，专门用于改善安全生产条件。</w:t>
      </w:r>
    </w:p>
    <w:p w14:paraId="0F1D8D41">
      <w:pPr>
        <w:bidi w:val="0"/>
        <w:rPr>
          <w:rFonts w:hint="default"/>
          <w:color w:val="auto"/>
          <w:lang w:val="en-US" w:eastAsia="zh-CN"/>
        </w:rPr>
      </w:pPr>
      <w:r>
        <w:rPr>
          <w:rFonts w:hint="default"/>
          <w:color w:val="auto"/>
          <w:lang w:val="en-US" w:eastAsia="zh-CN"/>
        </w:rPr>
        <w:t>2</w:t>
      </w:r>
      <w:r>
        <w:rPr>
          <w:rFonts w:hint="eastAsia"/>
          <w:color w:val="auto"/>
          <w:lang w:val="en-US" w:eastAsia="zh-CN"/>
        </w:rPr>
        <w:t>2</w:t>
      </w:r>
      <w:r>
        <w:rPr>
          <w:rFonts w:hint="default"/>
          <w:color w:val="auto"/>
          <w:lang w:val="en-US" w:eastAsia="zh-CN"/>
        </w:rPr>
        <w:t>、根据《云南省安全生产条例》（云南省第十二届人民代表大会常务委员会第63号）第十八条规定，生产经营单位应当建立健全下列制度：</w:t>
      </w:r>
    </w:p>
    <w:p w14:paraId="56E07C18">
      <w:pPr>
        <w:bidi w:val="0"/>
        <w:rPr>
          <w:rFonts w:hint="default"/>
          <w:color w:val="auto"/>
          <w:lang w:val="en-US" w:eastAsia="zh-CN"/>
        </w:rPr>
      </w:pPr>
      <w:r>
        <w:rPr>
          <w:rFonts w:hint="default"/>
          <w:color w:val="auto"/>
          <w:lang w:val="en-US" w:eastAsia="zh-CN"/>
        </w:rPr>
        <w:t>（一）安全生产责任制度；</w:t>
      </w:r>
    </w:p>
    <w:p w14:paraId="44898741">
      <w:pPr>
        <w:bidi w:val="0"/>
        <w:rPr>
          <w:rFonts w:hint="default"/>
          <w:color w:val="auto"/>
          <w:lang w:val="en-US" w:eastAsia="zh-CN"/>
        </w:rPr>
      </w:pPr>
      <w:r>
        <w:rPr>
          <w:rFonts w:hint="default"/>
          <w:color w:val="auto"/>
          <w:lang w:val="en-US" w:eastAsia="zh-CN"/>
        </w:rPr>
        <w:t>（二）安全生产例会制度；</w:t>
      </w:r>
    </w:p>
    <w:p w14:paraId="2542EB02">
      <w:pPr>
        <w:bidi w:val="0"/>
        <w:rPr>
          <w:rFonts w:hint="default"/>
          <w:color w:val="auto"/>
          <w:lang w:val="en-US" w:eastAsia="zh-CN"/>
        </w:rPr>
      </w:pPr>
      <w:r>
        <w:rPr>
          <w:rFonts w:hint="default"/>
          <w:color w:val="auto"/>
          <w:lang w:val="en-US" w:eastAsia="zh-CN"/>
        </w:rPr>
        <w:t>（三）安全生产奖惩制度；</w:t>
      </w:r>
    </w:p>
    <w:p w14:paraId="7E9E73F4">
      <w:pPr>
        <w:bidi w:val="0"/>
        <w:rPr>
          <w:rFonts w:hint="default"/>
          <w:color w:val="auto"/>
          <w:lang w:val="en-US" w:eastAsia="zh-CN"/>
        </w:rPr>
      </w:pPr>
      <w:r>
        <w:rPr>
          <w:rFonts w:hint="default"/>
          <w:color w:val="auto"/>
          <w:lang w:val="en-US" w:eastAsia="zh-CN"/>
        </w:rPr>
        <w:t>（四）安全生产教育培训制度；</w:t>
      </w:r>
    </w:p>
    <w:p w14:paraId="6D5A351B">
      <w:pPr>
        <w:bidi w:val="0"/>
        <w:rPr>
          <w:rFonts w:hint="default"/>
          <w:color w:val="auto"/>
          <w:lang w:val="en-US" w:eastAsia="zh-CN"/>
        </w:rPr>
      </w:pPr>
      <w:r>
        <w:rPr>
          <w:rFonts w:hint="default"/>
          <w:color w:val="auto"/>
          <w:lang w:val="en-US" w:eastAsia="zh-CN"/>
        </w:rPr>
        <w:t>（五）安全生产检查制度；</w:t>
      </w:r>
    </w:p>
    <w:p w14:paraId="65604D66">
      <w:pPr>
        <w:bidi w:val="0"/>
        <w:rPr>
          <w:rFonts w:hint="default"/>
          <w:color w:val="auto"/>
          <w:lang w:val="en-US" w:eastAsia="zh-CN"/>
        </w:rPr>
      </w:pPr>
      <w:r>
        <w:rPr>
          <w:rFonts w:hint="default"/>
          <w:color w:val="auto"/>
          <w:lang w:val="en-US" w:eastAsia="zh-CN"/>
        </w:rPr>
        <w:t>（六）生产经营场所、设备、设施安全管理制度；</w:t>
      </w:r>
    </w:p>
    <w:p w14:paraId="41A943E8">
      <w:pPr>
        <w:bidi w:val="0"/>
        <w:rPr>
          <w:rFonts w:hint="default"/>
          <w:color w:val="auto"/>
          <w:lang w:val="en-US" w:eastAsia="zh-CN"/>
        </w:rPr>
      </w:pPr>
      <w:r>
        <w:rPr>
          <w:rFonts w:hint="default"/>
          <w:color w:val="auto"/>
          <w:lang w:val="en-US" w:eastAsia="zh-CN"/>
        </w:rPr>
        <w:t>（七）安全生产风险分级管理控制制度；</w:t>
      </w:r>
    </w:p>
    <w:p w14:paraId="4075F41E">
      <w:pPr>
        <w:bidi w:val="0"/>
        <w:rPr>
          <w:rFonts w:hint="default"/>
          <w:color w:val="auto"/>
          <w:lang w:val="en-US" w:eastAsia="zh-CN"/>
        </w:rPr>
      </w:pPr>
      <w:r>
        <w:rPr>
          <w:rFonts w:hint="default"/>
          <w:color w:val="auto"/>
          <w:lang w:val="en-US" w:eastAsia="zh-CN"/>
        </w:rPr>
        <w:t>（八）危险源管理制度；</w:t>
      </w:r>
    </w:p>
    <w:p w14:paraId="41935DFF">
      <w:pPr>
        <w:bidi w:val="0"/>
        <w:rPr>
          <w:rFonts w:hint="default"/>
          <w:color w:val="auto"/>
          <w:lang w:val="en-US" w:eastAsia="zh-CN"/>
        </w:rPr>
      </w:pPr>
      <w:r>
        <w:rPr>
          <w:rFonts w:hint="default"/>
          <w:color w:val="auto"/>
          <w:lang w:val="en-US" w:eastAsia="zh-CN"/>
        </w:rPr>
        <w:t>（九）安全生产应急管理和事故报告处理制度；</w:t>
      </w:r>
    </w:p>
    <w:p w14:paraId="34FA3A13">
      <w:pPr>
        <w:bidi w:val="0"/>
        <w:rPr>
          <w:rFonts w:hint="default"/>
          <w:color w:val="auto"/>
          <w:lang w:val="en-US" w:eastAsia="zh-CN"/>
        </w:rPr>
      </w:pPr>
      <w:r>
        <w:rPr>
          <w:rFonts w:hint="default"/>
          <w:color w:val="auto"/>
          <w:lang w:val="en-US" w:eastAsia="zh-CN"/>
        </w:rPr>
        <w:t>（十）危险作业、特种作业人员、劳动防护用品管理制度；</w:t>
      </w:r>
    </w:p>
    <w:p w14:paraId="000A48CB">
      <w:pPr>
        <w:bidi w:val="0"/>
        <w:rPr>
          <w:rFonts w:hint="default"/>
          <w:color w:val="auto"/>
          <w:lang w:val="en-US" w:eastAsia="zh-CN"/>
        </w:rPr>
      </w:pPr>
      <w:r>
        <w:rPr>
          <w:rFonts w:hint="default"/>
          <w:color w:val="auto"/>
          <w:lang w:val="en-US" w:eastAsia="zh-CN"/>
        </w:rPr>
        <w:t>（十一）法律法规规定的其他安全生产制度。</w:t>
      </w:r>
    </w:p>
    <w:p w14:paraId="79082016">
      <w:pPr>
        <w:bidi w:val="0"/>
        <w:rPr>
          <w:rFonts w:hint="default"/>
          <w:color w:val="auto"/>
          <w:lang w:val="en-US" w:eastAsia="zh-CN"/>
        </w:rPr>
      </w:pPr>
      <w:r>
        <w:rPr>
          <w:rFonts w:hint="default"/>
          <w:color w:val="auto"/>
          <w:lang w:val="en-US" w:eastAsia="zh-CN"/>
        </w:rPr>
        <w:t>2</w:t>
      </w:r>
      <w:r>
        <w:rPr>
          <w:rFonts w:hint="eastAsia"/>
          <w:color w:val="auto"/>
          <w:lang w:val="en-US" w:eastAsia="zh-CN"/>
        </w:rPr>
        <w:t>3</w:t>
      </w:r>
      <w:r>
        <w:rPr>
          <w:rFonts w:hint="default"/>
          <w:color w:val="auto"/>
          <w:lang w:val="en-US" w:eastAsia="zh-CN"/>
        </w:rPr>
        <w:t>、根据《云南省安全生产条例》（云南省第十二届人民代表大会常务委员会第63号）第二十一条规定，生产经营单位进行高处作业、有限空间作业、危险物品充装和接卸作业、危险场所动火作业等危险作业，应当严格执行操作规程，落实安全措施，加强现场安全管理。</w:t>
      </w:r>
    </w:p>
    <w:p w14:paraId="50B7D20F">
      <w:pPr>
        <w:bidi w:val="0"/>
        <w:rPr>
          <w:rFonts w:hint="default"/>
          <w:color w:val="auto"/>
          <w:lang w:val="en-US" w:eastAsia="zh-CN"/>
        </w:rPr>
      </w:pPr>
      <w:r>
        <w:rPr>
          <w:rFonts w:hint="default"/>
          <w:color w:val="auto"/>
          <w:lang w:val="en-US" w:eastAsia="zh-CN"/>
        </w:rPr>
        <w:t>2</w:t>
      </w:r>
      <w:r>
        <w:rPr>
          <w:rFonts w:hint="eastAsia"/>
          <w:color w:val="auto"/>
          <w:lang w:val="en-US" w:eastAsia="zh-CN"/>
        </w:rPr>
        <w:t>4</w:t>
      </w:r>
      <w:r>
        <w:rPr>
          <w:rFonts w:hint="default"/>
          <w:color w:val="auto"/>
          <w:lang w:val="en-US" w:eastAsia="zh-CN"/>
        </w:rPr>
        <w:t>、根据《云南省安全生产条例》（云南省第十二届人民代表大会常务委员会第63号）第二十二条规定，生产经营单位应当按照有关规定对从业人员、被派遣劳动者和实习人员，以及离岗后重新上岗、换岗和采用新工艺、新技术、新材料或者使用新设备人员进行安全生产教育和培训。未经安全生产教育和培训合格的，不得安排上岗作业。</w:t>
      </w:r>
    </w:p>
    <w:p w14:paraId="2D227C5F">
      <w:pPr>
        <w:bidi w:val="0"/>
        <w:rPr>
          <w:rFonts w:hint="default"/>
          <w:color w:val="auto"/>
          <w:lang w:val="en-US" w:eastAsia="zh-CN"/>
        </w:rPr>
      </w:pPr>
      <w:r>
        <w:rPr>
          <w:rFonts w:hint="default"/>
          <w:color w:val="auto"/>
          <w:lang w:val="en-US" w:eastAsia="zh-CN"/>
        </w:rPr>
        <w:t>生产经营单位应当建立安全生产教育和培训档案，如实记录安全生产教育和培训的时间、地点、内容、师资、参加人员、考核结果等情况。</w:t>
      </w:r>
    </w:p>
    <w:p w14:paraId="413EFC69">
      <w:pPr>
        <w:rPr>
          <w:rFonts w:hint="default"/>
          <w:color w:val="auto"/>
          <w:lang w:val="en-US" w:eastAsia="zh-CN"/>
        </w:rPr>
      </w:pPr>
      <w:r>
        <w:rPr>
          <w:rFonts w:hint="default"/>
          <w:color w:val="auto"/>
          <w:lang w:val="en-US" w:eastAsia="zh-CN"/>
        </w:rPr>
        <w:br w:type="page"/>
      </w:r>
    </w:p>
    <w:p w14:paraId="0DAA2C29">
      <w:pPr>
        <w:pStyle w:val="2"/>
        <w:bidi w:val="0"/>
        <w:rPr>
          <w:rFonts w:hint="default"/>
          <w:color w:val="auto"/>
          <w:lang w:val="en-US" w:eastAsia="zh-CN"/>
        </w:rPr>
      </w:pPr>
      <w:r>
        <w:rPr>
          <w:rFonts w:hint="eastAsia"/>
          <w:color w:val="auto"/>
          <w:lang w:val="en-US" w:eastAsia="zh-CN"/>
        </w:rPr>
        <w:t xml:space="preserve"> </w:t>
      </w:r>
      <w:bookmarkStart w:id="144" w:name="_Toc17722"/>
      <w:r>
        <w:rPr>
          <w:rFonts w:hint="default"/>
          <w:color w:val="auto"/>
          <w:lang w:val="en-US" w:eastAsia="zh-CN"/>
        </w:rPr>
        <w:t>7 安全验收评价结论</w:t>
      </w:r>
      <w:bookmarkEnd w:id="144"/>
    </w:p>
    <w:p w14:paraId="62E5EB1D">
      <w:pPr>
        <w:pStyle w:val="3"/>
        <w:bidi w:val="0"/>
        <w:rPr>
          <w:rFonts w:hint="default"/>
          <w:color w:val="auto"/>
          <w:lang w:val="en-US" w:eastAsia="zh-CN"/>
        </w:rPr>
      </w:pPr>
      <w:bookmarkStart w:id="145" w:name="_Toc30142"/>
      <w:r>
        <w:rPr>
          <w:rFonts w:hint="default"/>
          <w:color w:val="auto"/>
          <w:lang w:val="en-US" w:eastAsia="zh-CN"/>
        </w:rPr>
        <w:t>7.1 存在的主要危险、有害因素</w:t>
      </w:r>
      <w:bookmarkEnd w:id="145"/>
    </w:p>
    <w:p w14:paraId="0B883E95">
      <w:pPr>
        <w:bidi w:val="0"/>
        <w:rPr>
          <w:rFonts w:hint="default"/>
          <w:color w:val="auto"/>
          <w:lang w:val="en-US" w:eastAsia="zh-CN"/>
        </w:rPr>
      </w:pPr>
      <w:r>
        <w:rPr>
          <w:rFonts w:hint="default"/>
          <w:color w:val="auto"/>
          <w:lang w:val="en-US" w:eastAsia="zh-CN"/>
        </w:rPr>
        <w:t>本报告按照《安全验收评价导则》（AQ 8003-2007）的相关要求，根据《企业职工伤亡事故分类》（GB 6441-1986）、《生产过程危险和有害因素分类与代码》（GB/T 13861-2022）的规定，按引起事故的先发诱导性原因、起因物、致害物、伤害方式等，对该项目进行了危险、有害因素分析、辨识，其结果表明：</w:t>
      </w:r>
    </w:p>
    <w:p w14:paraId="33008D88">
      <w:pPr>
        <w:bidi w:val="0"/>
        <w:rPr>
          <w:rFonts w:hint="eastAsia"/>
          <w:color w:val="auto"/>
          <w:lang w:val="en-US" w:eastAsia="zh-CN"/>
        </w:rPr>
      </w:pPr>
      <w:r>
        <w:rPr>
          <w:rFonts w:hint="eastAsia"/>
          <w:color w:val="auto"/>
          <w:lang w:val="en-US" w:eastAsia="zh-CN"/>
        </w:rPr>
        <w:t>1、通过对该选矿厂的生产工艺、原料、辅助材料、产品进行分析后，得出该项目在生产过程中涉及的主要危险、有害物质有：润滑油，乙炔[溶解的]，氧气[压缩的]，2号油（起泡剂），730A（起泡剂，主要成分为α，α，4-三甲基-3-环已烯-1-甲醇、1.3，3．三甲基双环[2.2.1]庚-2-醇、樟脑、以及C6-8醇、醚、酮按合适的比例组成，不在《危险化学品目录（2022年调整版）》内，但属可燃性液体）、丁基钠黄药（丁基钠黄药，不在《危险化学品目录（2022年调整版）》内）等。</w:t>
      </w:r>
    </w:p>
    <w:p w14:paraId="021BA367">
      <w:pPr>
        <w:bidi w:val="0"/>
        <w:rPr>
          <w:rFonts w:hint="default"/>
          <w:color w:val="auto"/>
          <w:lang w:val="en-US" w:eastAsia="zh-CN"/>
        </w:rPr>
      </w:pPr>
      <w:r>
        <w:rPr>
          <w:rFonts w:hint="eastAsia"/>
          <w:color w:val="auto"/>
          <w:lang w:val="en-US" w:eastAsia="zh-CN"/>
        </w:rPr>
        <w:t>此外，由于硫化钠等硫酸盐在酸性环境下可能产生硫化氢气体、厌氧条件下硫酸盐还原菌SRB还原SO</w:t>
      </w:r>
      <w:r>
        <w:rPr>
          <w:rFonts w:hint="eastAsia"/>
          <w:color w:val="auto"/>
          <w:vertAlign w:val="subscript"/>
          <w:lang w:val="en-US" w:eastAsia="zh-CN"/>
        </w:rPr>
        <w:t>4</w:t>
      </w:r>
      <w:r>
        <w:rPr>
          <w:rFonts w:hint="eastAsia"/>
          <w:color w:val="auto"/>
          <w:vertAlign w:val="superscript"/>
          <w:lang w:val="en-US" w:eastAsia="zh-CN"/>
        </w:rPr>
        <w:t>2-</w:t>
      </w:r>
      <w:r>
        <w:rPr>
          <w:rFonts w:hint="eastAsia"/>
          <w:color w:val="auto"/>
          <w:lang w:val="en-US" w:eastAsia="zh-CN"/>
        </w:rPr>
        <w:t>产生H</w:t>
      </w:r>
      <w:r>
        <w:rPr>
          <w:rFonts w:hint="eastAsia"/>
          <w:color w:val="auto"/>
          <w:vertAlign w:val="subscript"/>
          <w:lang w:val="en-US" w:eastAsia="zh-CN"/>
        </w:rPr>
        <w:t>2</w:t>
      </w:r>
      <w:r>
        <w:rPr>
          <w:rFonts w:hint="eastAsia"/>
          <w:color w:val="auto"/>
          <w:lang w:val="en-US" w:eastAsia="zh-CN"/>
        </w:rPr>
        <w:t>S气体、含硫的有机物在微生物的作用下产生H</w:t>
      </w:r>
      <w:r>
        <w:rPr>
          <w:rFonts w:hint="eastAsia"/>
          <w:color w:val="auto"/>
          <w:vertAlign w:val="subscript"/>
          <w:lang w:val="en-US" w:eastAsia="zh-CN"/>
        </w:rPr>
        <w:t>2</w:t>
      </w:r>
      <w:r>
        <w:rPr>
          <w:rFonts w:hint="eastAsia"/>
          <w:color w:val="auto"/>
          <w:lang w:val="en-US" w:eastAsia="zh-CN"/>
        </w:rPr>
        <w:t>S气体，故在浮选过程中，药剂搅拌桶、回水池等有限空间可能产生硫化氢气体（危险化学品，危险特性为易燃气体，类别1；加压气体；急性毒性-吸入，类别2*；危害水生环境-急性危害，类别1）。</w:t>
      </w:r>
    </w:p>
    <w:p w14:paraId="42868211">
      <w:pPr>
        <w:bidi w:val="0"/>
        <w:rPr>
          <w:rFonts w:hint="default"/>
          <w:color w:val="auto"/>
          <w:lang w:val="en-US" w:eastAsia="zh-CN"/>
        </w:rPr>
      </w:pPr>
      <w:r>
        <w:rPr>
          <w:rFonts w:hint="default"/>
          <w:color w:val="auto"/>
          <w:lang w:val="en-US" w:eastAsia="zh-CN"/>
        </w:rPr>
        <w:t>2、该项目主要存在的危险有害因素是：机械伤害、物体打击、触电、淹溺、车辆伤害、高处坠落、火灾、容器爆炸、化学腐蚀及化学灼伤</w:t>
      </w:r>
      <w:r>
        <w:rPr>
          <w:rFonts w:hint="eastAsia"/>
          <w:color w:val="auto"/>
          <w:lang w:val="en-US" w:eastAsia="zh-CN"/>
        </w:rPr>
        <w:t>、</w:t>
      </w:r>
      <w:r>
        <w:rPr>
          <w:rFonts w:hint="default"/>
          <w:color w:val="auto"/>
          <w:lang w:val="en-US" w:eastAsia="zh-CN"/>
        </w:rPr>
        <w:t>坍塌、滑坡</w:t>
      </w:r>
      <w:r>
        <w:rPr>
          <w:rFonts w:hint="eastAsia"/>
          <w:color w:val="auto"/>
          <w:lang w:val="en-US" w:eastAsia="zh-CN"/>
        </w:rPr>
        <w:t>、</w:t>
      </w:r>
      <w:r>
        <w:rPr>
          <w:rFonts w:hint="default"/>
          <w:color w:val="auto"/>
          <w:lang w:val="en-US" w:eastAsia="zh-CN"/>
        </w:rPr>
        <w:t>中毒窒息</w:t>
      </w:r>
      <w:r>
        <w:rPr>
          <w:rFonts w:hint="eastAsia"/>
          <w:color w:val="auto"/>
          <w:lang w:val="en-US" w:eastAsia="zh-CN"/>
        </w:rPr>
        <w:t>和</w:t>
      </w:r>
      <w:r>
        <w:rPr>
          <w:rFonts w:hint="eastAsia"/>
          <w:color w:val="auto"/>
        </w:rPr>
        <w:t>设备、设施、工具、附件缺陷</w:t>
      </w:r>
      <w:r>
        <w:rPr>
          <w:rFonts w:hint="default"/>
          <w:color w:val="auto"/>
          <w:lang w:val="en-US" w:eastAsia="zh-CN"/>
        </w:rPr>
        <w:t>等。</w:t>
      </w:r>
    </w:p>
    <w:p w14:paraId="0A956728">
      <w:pPr>
        <w:bidi w:val="0"/>
        <w:rPr>
          <w:rFonts w:hint="default"/>
          <w:color w:val="auto"/>
          <w:lang w:val="en-US" w:eastAsia="zh-CN"/>
        </w:rPr>
      </w:pPr>
      <w:r>
        <w:rPr>
          <w:rFonts w:hint="default"/>
          <w:color w:val="auto"/>
          <w:lang w:val="en-US" w:eastAsia="zh-CN"/>
        </w:rPr>
        <w:t>3、事故易发及危险点是：各高平台及设备转动部位。</w:t>
      </w:r>
    </w:p>
    <w:p w14:paraId="12F38613">
      <w:pPr>
        <w:bidi w:val="0"/>
        <w:rPr>
          <w:rFonts w:hint="default"/>
          <w:color w:val="auto"/>
          <w:lang w:val="en-US" w:eastAsia="zh-CN"/>
        </w:rPr>
      </w:pPr>
      <w:r>
        <w:rPr>
          <w:rFonts w:hint="default"/>
          <w:color w:val="auto"/>
          <w:lang w:val="en-US" w:eastAsia="zh-CN"/>
        </w:rPr>
        <w:t>4、项目使用的危险化学品不构成重大危险源。</w:t>
      </w:r>
    </w:p>
    <w:p w14:paraId="7547B48C">
      <w:pPr>
        <w:pStyle w:val="3"/>
        <w:bidi w:val="0"/>
        <w:rPr>
          <w:rFonts w:hint="default"/>
          <w:color w:val="auto"/>
          <w:lang w:val="en-US" w:eastAsia="zh-CN"/>
        </w:rPr>
      </w:pPr>
      <w:bookmarkStart w:id="146" w:name="_Toc30202"/>
      <w:r>
        <w:rPr>
          <w:rFonts w:hint="default"/>
          <w:color w:val="auto"/>
          <w:lang w:val="en-US" w:eastAsia="zh-CN"/>
        </w:rPr>
        <w:t>7.2</w:t>
      </w:r>
      <w:r>
        <w:rPr>
          <w:rFonts w:hint="eastAsia"/>
          <w:color w:val="auto"/>
          <w:lang w:val="en-US" w:eastAsia="zh-CN"/>
        </w:rPr>
        <w:t xml:space="preserve"> </w:t>
      </w:r>
      <w:r>
        <w:rPr>
          <w:rFonts w:hint="default"/>
          <w:color w:val="auto"/>
          <w:lang w:val="en-US" w:eastAsia="zh-CN"/>
        </w:rPr>
        <w:t>单元评价综述</w:t>
      </w:r>
      <w:bookmarkEnd w:id="146"/>
    </w:p>
    <w:p w14:paraId="7FB578B7">
      <w:pPr>
        <w:bidi w:val="0"/>
        <w:rPr>
          <w:rFonts w:hint="default"/>
          <w:color w:val="auto"/>
          <w:lang w:val="en-US" w:eastAsia="zh-CN"/>
        </w:rPr>
      </w:pPr>
      <w:r>
        <w:rPr>
          <w:rFonts w:hint="default"/>
          <w:color w:val="auto"/>
          <w:lang w:val="en-US" w:eastAsia="zh-CN"/>
        </w:rPr>
        <w:t>1、建设程序单元</w:t>
      </w:r>
    </w:p>
    <w:p w14:paraId="1C60744E">
      <w:pPr>
        <w:bidi w:val="0"/>
        <w:rPr>
          <w:rFonts w:hint="default"/>
          <w:color w:val="auto"/>
          <w:lang w:val="en-US" w:eastAsia="zh-CN"/>
        </w:rPr>
      </w:pPr>
      <w:r>
        <w:rPr>
          <w:rFonts w:hint="default"/>
          <w:color w:val="auto"/>
          <w:lang w:val="en-US" w:eastAsia="zh-CN"/>
        </w:rPr>
        <w:t>本项目为技术改造建设项目，取得了投资备案证，该项目由有资质的单位完成了可研、安全预评价、初步设计及安全设施设计，并由有资质的单位完成了本项目的安全设施的施工建设，本项目的建设程序符合相关规范的要求。</w:t>
      </w:r>
    </w:p>
    <w:p w14:paraId="0FF2E5BC">
      <w:pPr>
        <w:bidi w:val="0"/>
        <w:rPr>
          <w:rFonts w:hint="default"/>
          <w:color w:val="auto"/>
          <w:lang w:val="en-US" w:eastAsia="zh-CN"/>
        </w:rPr>
      </w:pPr>
      <w:r>
        <w:rPr>
          <w:rFonts w:hint="default"/>
          <w:color w:val="auto"/>
          <w:lang w:val="en-US" w:eastAsia="zh-CN"/>
        </w:rPr>
        <w:t>2、厂址及总平面布置单元</w:t>
      </w:r>
    </w:p>
    <w:p w14:paraId="2FE2B2CA">
      <w:pPr>
        <w:bidi w:val="0"/>
        <w:rPr>
          <w:rFonts w:hint="default"/>
          <w:color w:val="auto"/>
          <w:lang w:val="en-US" w:eastAsia="zh-CN"/>
        </w:rPr>
      </w:pPr>
      <w:r>
        <w:rPr>
          <w:rFonts w:hint="default"/>
          <w:color w:val="auto"/>
          <w:lang w:val="en-US" w:eastAsia="zh-CN"/>
        </w:rPr>
        <w:t>本项目位于云南省楚雄州武定县猫街镇仓房村委会，选址符合当地规划；项目的总平面布置按工艺流程依山而建，总平面布置合理，功能设置分区划分明确，符合《工业企业总平面设计规范》及《选矿安全规程》等相关规范的要求，具备安全验收条件。</w:t>
      </w:r>
    </w:p>
    <w:p w14:paraId="4F4ADF71">
      <w:pPr>
        <w:bidi w:val="0"/>
        <w:rPr>
          <w:rFonts w:hint="default"/>
          <w:color w:val="auto"/>
          <w:lang w:val="en-US" w:eastAsia="zh-CN"/>
        </w:rPr>
      </w:pPr>
      <w:r>
        <w:rPr>
          <w:rFonts w:hint="default"/>
          <w:color w:val="auto"/>
          <w:lang w:val="en-US" w:eastAsia="zh-CN"/>
        </w:rPr>
        <w:t>3、生产工艺及设备单元</w:t>
      </w:r>
    </w:p>
    <w:p w14:paraId="14353508">
      <w:pPr>
        <w:bidi w:val="0"/>
        <w:rPr>
          <w:rFonts w:hint="default"/>
          <w:color w:val="auto"/>
          <w:lang w:val="en-US" w:eastAsia="zh-CN"/>
        </w:rPr>
      </w:pPr>
      <w:r>
        <w:rPr>
          <w:rFonts w:hint="default"/>
          <w:color w:val="auto"/>
          <w:lang w:val="en-US" w:eastAsia="zh-CN"/>
        </w:rPr>
        <w:t>本项目采用两段破碎，磨矿采用一段闭路磨矿，优先选铜，铜浮选采用一粗一扫二精流程，铁磁选采用磁选流程的生产工艺，设备设施选用符合国家标准的产品，生产工艺成熟可靠，设备满足安全生产要求，安全设施均按《安全设施设计》的要求建设，符合《选矿安全规程》及《安全设施设计》等相关规范的要求，具备安全验收条件。</w:t>
      </w:r>
    </w:p>
    <w:p w14:paraId="6BEE44D8">
      <w:pPr>
        <w:bidi w:val="0"/>
        <w:rPr>
          <w:rFonts w:hint="default"/>
          <w:color w:val="auto"/>
          <w:lang w:val="en-US" w:eastAsia="zh-CN"/>
        </w:rPr>
      </w:pPr>
      <w:r>
        <w:rPr>
          <w:rFonts w:hint="default"/>
          <w:color w:val="auto"/>
          <w:lang w:val="en-US" w:eastAsia="zh-CN"/>
        </w:rPr>
        <w:t>4、公用工程及辅助设施单元</w:t>
      </w:r>
    </w:p>
    <w:p w14:paraId="79D7FA46">
      <w:pPr>
        <w:bidi w:val="0"/>
        <w:rPr>
          <w:rFonts w:hint="default"/>
          <w:color w:val="auto"/>
          <w:lang w:val="en-US" w:eastAsia="zh-CN"/>
        </w:rPr>
      </w:pPr>
      <w:r>
        <w:rPr>
          <w:rFonts w:hint="default"/>
          <w:color w:val="auto"/>
          <w:lang w:val="en-US" w:eastAsia="zh-CN"/>
        </w:rPr>
        <w:t>本项目供配电系统、给排水系统、消防给水系统及灭火器配置均按《安全设施设计》要求建设，满足《选矿安全规程》等规范的要求。同时，本项目为湿式作业；电气设施场所等危险区域配置相应的消防设施，基本能满足消防安全需要，具备安全验收条件。</w:t>
      </w:r>
    </w:p>
    <w:p w14:paraId="44429ABF">
      <w:pPr>
        <w:bidi w:val="0"/>
        <w:rPr>
          <w:rFonts w:hint="default"/>
          <w:color w:val="auto"/>
          <w:lang w:val="en-US" w:eastAsia="zh-CN"/>
        </w:rPr>
      </w:pPr>
      <w:r>
        <w:rPr>
          <w:rFonts w:hint="default"/>
          <w:color w:val="auto"/>
          <w:lang w:val="en-US" w:eastAsia="zh-CN"/>
        </w:rPr>
        <w:t>5、安全设施单元</w:t>
      </w:r>
    </w:p>
    <w:p w14:paraId="5F0811F5">
      <w:pPr>
        <w:bidi w:val="0"/>
        <w:rPr>
          <w:rFonts w:hint="default"/>
          <w:color w:val="auto"/>
          <w:lang w:val="en-US" w:eastAsia="zh-CN"/>
        </w:rPr>
      </w:pPr>
      <w:r>
        <w:rPr>
          <w:rFonts w:hint="default"/>
          <w:color w:val="auto"/>
          <w:lang w:val="en-US" w:eastAsia="zh-CN"/>
        </w:rPr>
        <w:t>本项目采取的常规防护设施能满足日常安全生产需求，应急设施能满足应急需求，个体防护设施配置到位，具备安全验收条件。</w:t>
      </w:r>
    </w:p>
    <w:p w14:paraId="36C9FDE7">
      <w:pPr>
        <w:bidi w:val="0"/>
        <w:rPr>
          <w:rFonts w:hint="default"/>
          <w:color w:val="auto"/>
          <w:lang w:val="en-US" w:eastAsia="zh-CN"/>
        </w:rPr>
      </w:pPr>
      <w:r>
        <w:rPr>
          <w:rFonts w:hint="default"/>
          <w:color w:val="auto"/>
          <w:lang w:val="en-US" w:eastAsia="zh-CN"/>
        </w:rPr>
        <w:t>6、安全管理单元</w:t>
      </w:r>
    </w:p>
    <w:p w14:paraId="5B9BF73E">
      <w:pPr>
        <w:bidi w:val="0"/>
        <w:rPr>
          <w:rFonts w:hint="default"/>
          <w:color w:val="auto"/>
          <w:lang w:val="en-US" w:eastAsia="zh-CN"/>
        </w:rPr>
      </w:pPr>
      <w:r>
        <w:rPr>
          <w:rFonts w:hint="default"/>
          <w:color w:val="auto"/>
          <w:lang w:val="en-US" w:eastAsia="zh-CN"/>
        </w:rPr>
        <w:t>本项目依法取得了企业营业执照，设置有职业健康安全环保部，企业任命了主要负责人及安全管理人员，安全管理人员已参加了安全生产知识和管理能力培训，安全管理人员已持证上岗</w:t>
      </w:r>
      <w:r>
        <w:rPr>
          <w:rFonts w:hint="eastAsia"/>
          <w:color w:val="auto"/>
          <w:lang w:val="en-US" w:eastAsia="zh-CN"/>
        </w:rPr>
        <w:t>，安全管理人员、企业主要负责人已参加昆明当代人才职业培训学校有限公司组织培训的主要负责人、安全管理员培训班，培训合格，待属地应急管理局组织考核，即可取得培训合格证</w:t>
      </w:r>
      <w:r>
        <w:rPr>
          <w:rFonts w:hint="default"/>
          <w:color w:val="auto"/>
          <w:lang w:val="en-US" w:eastAsia="zh-CN"/>
        </w:rPr>
        <w:t>。企业建立、健全了各项安全职责、安全管理制度及安全操作规程，针对本项目编制了综合应急预案，预案已经专家评审并进行了备案；特种作业人员持证上岗，并配发了相应的劳动防护用品，企业安全管理《中华人民共和国安全生产法》等规范的要求，具备安全验收条件。</w:t>
      </w:r>
    </w:p>
    <w:p w14:paraId="179A26A3">
      <w:pPr>
        <w:bidi w:val="0"/>
        <w:rPr>
          <w:rFonts w:hint="default"/>
          <w:color w:val="auto"/>
          <w:lang w:val="en-US" w:eastAsia="zh-CN"/>
        </w:rPr>
      </w:pPr>
      <w:r>
        <w:rPr>
          <w:rFonts w:hint="default"/>
          <w:color w:val="auto"/>
          <w:lang w:val="en-US" w:eastAsia="zh-CN"/>
        </w:rPr>
        <w:t>7、参照《工贸企业重大事故隐患判定标准》（中华人民共和国应急管理部令第10号）检查判定，本项目目前不存在重大生产安全事故隐患。</w:t>
      </w:r>
    </w:p>
    <w:p w14:paraId="47C63BAB">
      <w:pPr>
        <w:pStyle w:val="3"/>
        <w:bidi w:val="0"/>
        <w:rPr>
          <w:rFonts w:hint="default"/>
          <w:color w:val="auto"/>
          <w:lang w:val="en-US" w:eastAsia="zh-CN"/>
        </w:rPr>
      </w:pPr>
      <w:bookmarkStart w:id="147" w:name="_Toc18527"/>
      <w:r>
        <w:rPr>
          <w:rFonts w:hint="default"/>
          <w:color w:val="auto"/>
          <w:lang w:val="en-US" w:eastAsia="zh-CN"/>
        </w:rPr>
        <w:t>7.3</w:t>
      </w:r>
      <w:r>
        <w:rPr>
          <w:rFonts w:hint="eastAsia"/>
          <w:color w:val="auto"/>
          <w:lang w:val="en-US" w:eastAsia="zh-CN"/>
        </w:rPr>
        <w:t xml:space="preserve"> </w:t>
      </w:r>
      <w:r>
        <w:rPr>
          <w:rFonts w:hint="default"/>
          <w:color w:val="auto"/>
          <w:lang w:val="en-US" w:eastAsia="zh-CN"/>
        </w:rPr>
        <w:t>评价结论</w:t>
      </w:r>
      <w:bookmarkEnd w:id="147"/>
    </w:p>
    <w:p w14:paraId="26FAC126">
      <w:pPr>
        <w:bidi w:val="0"/>
        <w:rPr>
          <w:rFonts w:hint="default"/>
          <w:color w:val="auto"/>
          <w:lang w:val="en-US" w:eastAsia="zh-CN"/>
        </w:rPr>
      </w:pPr>
      <w:r>
        <w:rPr>
          <w:rFonts w:hint="default"/>
          <w:color w:val="auto"/>
          <w:lang w:val="en-US" w:eastAsia="zh-CN"/>
        </w:rPr>
        <w:t>通过对本项目建设程序、厂址及总平面布置、所采用的工艺及装置设施、公用工程、安全设施及措施、已建立的安全管理体系等方面的综合分析评价，得出本项目的安全验收评价结论如下：</w:t>
      </w:r>
    </w:p>
    <w:p w14:paraId="20EE2F97">
      <w:pPr>
        <w:bidi w:val="0"/>
        <w:rPr>
          <w:rFonts w:hint="default"/>
          <w:color w:val="auto"/>
          <w:lang w:val="en-US" w:eastAsia="zh-CN"/>
        </w:rPr>
      </w:pPr>
      <w:r>
        <w:rPr>
          <w:rFonts w:hint="default"/>
          <w:color w:val="auto"/>
          <w:lang w:val="en-US" w:eastAsia="zh-CN"/>
        </w:rPr>
        <w:t>本项目建设程序符合安全</w:t>
      </w:r>
      <w:r>
        <w:rPr>
          <w:rFonts w:hint="eastAsia"/>
          <w:color w:val="auto"/>
          <w:lang w:val="en-US" w:eastAsia="zh-CN"/>
        </w:rPr>
        <w:t>“</w:t>
      </w:r>
      <w:r>
        <w:rPr>
          <w:rFonts w:hint="default"/>
          <w:color w:val="auto"/>
          <w:lang w:val="en-US" w:eastAsia="zh-CN"/>
        </w:rPr>
        <w:t>三同时</w:t>
      </w:r>
      <w:r>
        <w:rPr>
          <w:rFonts w:hint="eastAsia"/>
          <w:color w:val="auto"/>
          <w:lang w:val="en-US" w:eastAsia="zh-CN"/>
        </w:rPr>
        <w:t>”</w:t>
      </w:r>
      <w:r>
        <w:rPr>
          <w:rFonts w:hint="default"/>
          <w:color w:val="auto"/>
          <w:lang w:val="en-US" w:eastAsia="zh-CN"/>
        </w:rPr>
        <w:t>要求，项目的总平面布置合理，采用的工艺系统及设备设施符合现行标准和规范要求，项目的公用工程能够满足项目安全运行需求；安全设施设计中提出的安全设施和安全技术措施基本得到落实，项目的安全管理机构、安全管理制度健全，安全生产责任制落实到位，安全生产保障系统运作有效，符合现行国家安全生产相关的法律、法规及技术标准的要求。</w:t>
      </w:r>
    </w:p>
    <w:p w14:paraId="094DD752">
      <w:pPr>
        <w:bidi w:val="0"/>
        <w:rPr>
          <w:rFonts w:hint="default"/>
          <w:b/>
          <w:bCs/>
          <w:color w:val="auto"/>
          <w:lang w:val="en-US" w:eastAsia="zh-CN"/>
        </w:rPr>
      </w:pPr>
      <w:r>
        <w:rPr>
          <w:rFonts w:hint="default"/>
          <w:b/>
          <w:bCs/>
          <w:color w:val="auto"/>
          <w:lang w:val="en-US" w:eastAsia="zh-CN"/>
        </w:rPr>
        <w:t>评价组认为：武定发荣矿业有限责任公司猫街大炉箐繁茂采选厂技术改造项目，建设程序符合</w:t>
      </w:r>
      <w:r>
        <w:rPr>
          <w:rFonts w:hint="eastAsia"/>
          <w:b/>
          <w:bCs/>
          <w:color w:val="auto"/>
          <w:lang w:val="en-US" w:eastAsia="zh-CN"/>
        </w:rPr>
        <w:t>“</w:t>
      </w:r>
      <w:r>
        <w:rPr>
          <w:rFonts w:hint="default"/>
          <w:b/>
          <w:bCs/>
          <w:color w:val="auto"/>
          <w:lang w:val="en-US" w:eastAsia="zh-CN"/>
        </w:rPr>
        <w:t>三同时</w:t>
      </w:r>
      <w:r>
        <w:rPr>
          <w:rFonts w:hint="eastAsia"/>
          <w:b/>
          <w:bCs/>
          <w:color w:val="auto"/>
          <w:lang w:val="en-US" w:eastAsia="zh-CN"/>
        </w:rPr>
        <w:t>”</w:t>
      </w:r>
      <w:r>
        <w:rPr>
          <w:rFonts w:hint="default"/>
          <w:b/>
          <w:bCs/>
          <w:color w:val="auto"/>
          <w:lang w:val="en-US" w:eastAsia="zh-CN"/>
        </w:rPr>
        <w:t>要求，安全设施设计中的安全设施和安全措施已得到落实，符合相关法律、法规、标准及规范的要求，具备安全验收的条件。</w:t>
      </w:r>
    </w:p>
    <w:p w14:paraId="363AA876">
      <w:pPr>
        <w:rPr>
          <w:rFonts w:hint="default"/>
          <w:color w:val="auto"/>
          <w:lang w:val="en-US" w:eastAsia="zh-CN"/>
        </w:rPr>
      </w:pPr>
      <w:r>
        <w:rPr>
          <w:rFonts w:hint="default"/>
          <w:color w:val="auto"/>
          <w:lang w:val="en-US" w:eastAsia="zh-CN"/>
        </w:rPr>
        <w:br w:type="page"/>
      </w:r>
    </w:p>
    <w:p w14:paraId="02EE04B4">
      <w:pPr>
        <w:pStyle w:val="2"/>
        <w:bidi w:val="0"/>
        <w:rPr>
          <w:rFonts w:hint="default"/>
          <w:color w:val="auto"/>
          <w:lang w:val="en-US"/>
        </w:rPr>
      </w:pPr>
      <w:bookmarkStart w:id="148" w:name="_Toc32402"/>
      <w:r>
        <w:rPr>
          <w:rFonts w:hint="eastAsia"/>
          <w:color w:val="auto"/>
          <w:lang w:val="en-US" w:eastAsia="zh-CN"/>
        </w:rPr>
        <w:t xml:space="preserve">9 </w:t>
      </w:r>
      <w:r>
        <w:rPr>
          <w:rFonts w:hint="eastAsia"/>
          <w:color w:val="auto"/>
        </w:rPr>
        <w:t>附件</w:t>
      </w:r>
      <w:r>
        <w:rPr>
          <w:rFonts w:hint="eastAsia"/>
          <w:color w:val="auto"/>
          <w:lang w:val="en-US" w:eastAsia="zh-CN"/>
        </w:rPr>
        <w:t>和附图</w:t>
      </w:r>
      <w:bookmarkEnd w:id="148"/>
    </w:p>
    <w:p w14:paraId="46909DF1">
      <w:pPr>
        <w:pStyle w:val="3"/>
        <w:bidi w:val="0"/>
        <w:rPr>
          <w:rFonts w:hint="default"/>
          <w:color w:val="auto"/>
          <w:lang w:val="en-US" w:eastAsia="zh-CN"/>
        </w:rPr>
      </w:pPr>
      <w:bookmarkStart w:id="149" w:name="_Toc8131"/>
      <w:r>
        <w:rPr>
          <w:rFonts w:hint="eastAsia"/>
          <w:color w:val="auto"/>
          <w:lang w:val="en-US" w:eastAsia="zh-CN"/>
        </w:rPr>
        <w:t>9.1 附件</w:t>
      </w:r>
      <w:bookmarkEnd w:id="149"/>
    </w:p>
    <w:p w14:paraId="3BA6538D">
      <w:pPr>
        <w:bidi w:val="0"/>
        <w:rPr>
          <w:rFonts w:hint="eastAsia" w:eastAsia="宋体"/>
          <w:color w:val="auto"/>
          <w:lang w:eastAsia="zh-CN"/>
        </w:rPr>
      </w:pPr>
      <w:r>
        <w:rPr>
          <w:rFonts w:hint="eastAsia"/>
          <w:color w:val="auto"/>
        </w:rPr>
        <w:t>1</w:t>
      </w:r>
      <w:r>
        <w:rPr>
          <w:rFonts w:hint="eastAsia"/>
          <w:color w:val="auto"/>
          <w:lang w:eastAsia="zh-CN"/>
        </w:rPr>
        <w:t>、</w:t>
      </w:r>
      <w:r>
        <w:rPr>
          <w:rFonts w:hint="eastAsia"/>
          <w:color w:val="auto"/>
        </w:rPr>
        <w:t>安全验收评价委托书</w:t>
      </w:r>
      <w:r>
        <w:rPr>
          <w:rFonts w:hint="eastAsia"/>
          <w:color w:val="auto"/>
          <w:lang w:eastAsia="zh-CN"/>
        </w:rPr>
        <w:t>；</w:t>
      </w:r>
    </w:p>
    <w:p w14:paraId="3ABDF49A">
      <w:pPr>
        <w:bidi w:val="0"/>
        <w:rPr>
          <w:rFonts w:hint="eastAsia" w:eastAsia="宋体"/>
          <w:color w:val="auto"/>
          <w:lang w:eastAsia="zh-CN"/>
        </w:rPr>
      </w:pPr>
      <w:r>
        <w:rPr>
          <w:rFonts w:hint="eastAsia"/>
          <w:color w:val="auto"/>
        </w:rPr>
        <w:t>2</w:t>
      </w:r>
      <w:r>
        <w:rPr>
          <w:rFonts w:hint="eastAsia"/>
          <w:color w:val="auto"/>
          <w:lang w:eastAsia="zh-CN"/>
        </w:rPr>
        <w:t>、</w:t>
      </w:r>
      <w:r>
        <w:rPr>
          <w:rFonts w:hint="eastAsia"/>
          <w:color w:val="auto"/>
        </w:rPr>
        <w:t>材料真实性承诺书</w:t>
      </w:r>
      <w:r>
        <w:rPr>
          <w:rFonts w:hint="eastAsia"/>
          <w:color w:val="auto"/>
          <w:lang w:eastAsia="zh-CN"/>
        </w:rPr>
        <w:t>；</w:t>
      </w:r>
    </w:p>
    <w:p w14:paraId="3EC3B4B1">
      <w:pPr>
        <w:bidi w:val="0"/>
        <w:rPr>
          <w:rFonts w:hint="eastAsia"/>
          <w:color w:val="auto"/>
        </w:rPr>
      </w:pPr>
      <w:r>
        <w:rPr>
          <w:rFonts w:hint="eastAsia"/>
          <w:color w:val="auto"/>
        </w:rPr>
        <w:t>3</w:t>
      </w:r>
      <w:r>
        <w:rPr>
          <w:rFonts w:hint="eastAsia"/>
          <w:color w:val="auto"/>
          <w:lang w:eastAsia="zh-CN"/>
        </w:rPr>
        <w:t>、</w:t>
      </w:r>
      <w:r>
        <w:rPr>
          <w:rFonts w:hint="eastAsia"/>
          <w:color w:val="auto"/>
          <w:lang w:val="en-US" w:eastAsia="zh-CN"/>
        </w:rPr>
        <w:t>营业执照；</w:t>
      </w:r>
    </w:p>
    <w:p w14:paraId="7B2DDF73">
      <w:pPr>
        <w:bidi w:val="0"/>
        <w:rPr>
          <w:rFonts w:hint="default"/>
          <w:color w:val="auto"/>
          <w:lang w:val="en-US" w:eastAsia="zh-CN"/>
        </w:rPr>
      </w:pPr>
      <w:r>
        <w:rPr>
          <w:rFonts w:hint="eastAsia"/>
          <w:color w:val="auto"/>
          <w:lang w:val="en-US" w:eastAsia="zh-CN"/>
        </w:rPr>
        <w:t>4、尾矿库安全生产许可证；</w:t>
      </w:r>
    </w:p>
    <w:p w14:paraId="6684277F">
      <w:pPr>
        <w:bidi w:val="0"/>
        <w:rPr>
          <w:rFonts w:hint="default" w:eastAsia="宋体"/>
          <w:color w:val="auto"/>
          <w:lang w:val="en-US" w:eastAsia="zh-CN"/>
        </w:rPr>
      </w:pPr>
      <w:r>
        <w:rPr>
          <w:rFonts w:hint="eastAsia"/>
          <w:color w:val="auto"/>
          <w:lang w:val="en-US" w:eastAsia="zh-CN"/>
        </w:rPr>
        <w:t>5、土地租赁协议；</w:t>
      </w:r>
    </w:p>
    <w:p w14:paraId="46668695">
      <w:pPr>
        <w:bidi w:val="0"/>
        <w:rPr>
          <w:rFonts w:hint="eastAsia" w:eastAsia="宋体"/>
          <w:color w:val="auto"/>
          <w:lang w:eastAsia="zh-CN"/>
        </w:rPr>
      </w:pPr>
      <w:r>
        <w:rPr>
          <w:rFonts w:hint="eastAsia"/>
          <w:color w:val="auto"/>
          <w:lang w:val="en-US" w:eastAsia="zh-CN"/>
        </w:rPr>
        <w:t>6</w:t>
      </w:r>
      <w:r>
        <w:rPr>
          <w:rFonts w:hint="eastAsia"/>
          <w:color w:val="auto"/>
          <w:lang w:eastAsia="zh-CN"/>
        </w:rPr>
        <w:t>、</w:t>
      </w:r>
      <w:r>
        <w:rPr>
          <w:rFonts w:hint="eastAsia"/>
          <w:color w:val="auto"/>
        </w:rPr>
        <w:t>项目投资备案证</w:t>
      </w:r>
      <w:r>
        <w:rPr>
          <w:rFonts w:hint="eastAsia"/>
          <w:color w:val="auto"/>
          <w:lang w:eastAsia="zh-CN"/>
        </w:rPr>
        <w:t>；</w:t>
      </w:r>
    </w:p>
    <w:p w14:paraId="03B2DE71">
      <w:pPr>
        <w:bidi w:val="0"/>
        <w:rPr>
          <w:rFonts w:hint="default"/>
          <w:color w:val="auto"/>
          <w:lang w:val="en-US" w:eastAsia="zh-CN"/>
        </w:rPr>
      </w:pPr>
      <w:r>
        <w:rPr>
          <w:rFonts w:hint="eastAsia"/>
          <w:color w:val="auto"/>
          <w:lang w:val="en-US" w:eastAsia="zh-CN"/>
        </w:rPr>
        <w:t>7、岩土工程勘察报告封面、扉页及资质；</w:t>
      </w:r>
    </w:p>
    <w:p w14:paraId="63B56A08">
      <w:pPr>
        <w:bidi w:val="0"/>
        <w:rPr>
          <w:rFonts w:hint="eastAsia" w:eastAsia="宋体"/>
          <w:color w:val="auto"/>
          <w:lang w:eastAsia="zh-CN"/>
        </w:rPr>
      </w:pPr>
      <w:r>
        <w:rPr>
          <w:rFonts w:hint="eastAsia"/>
          <w:color w:val="auto"/>
          <w:lang w:val="en-US" w:eastAsia="zh-CN"/>
        </w:rPr>
        <w:t>8</w:t>
      </w:r>
      <w:r>
        <w:rPr>
          <w:rFonts w:hint="eastAsia"/>
          <w:color w:val="auto"/>
          <w:lang w:eastAsia="zh-CN"/>
        </w:rPr>
        <w:t>、</w:t>
      </w:r>
      <w:r>
        <w:rPr>
          <w:rFonts w:hint="eastAsia"/>
          <w:color w:val="auto"/>
        </w:rPr>
        <w:t>初步设计封面</w:t>
      </w:r>
      <w:r>
        <w:rPr>
          <w:rFonts w:hint="eastAsia"/>
          <w:color w:val="auto"/>
          <w:lang w:eastAsia="zh-CN"/>
        </w:rPr>
        <w:t>、</w:t>
      </w:r>
      <w:r>
        <w:rPr>
          <w:rFonts w:hint="eastAsia"/>
          <w:color w:val="auto"/>
          <w:lang w:val="en-US" w:eastAsia="zh-CN"/>
        </w:rPr>
        <w:t>扉页及资质</w:t>
      </w:r>
      <w:r>
        <w:rPr>
          <w:rFonts w:hint="eastAsia"/>
          <w:color w:val="auto"/>
          <w:lang w:eastAsia="zh-CN"/>
        </w:rPr>
        <w:t>；</w:t>
      </w:r>
    </w:p>
    <w:p w14:paraId="6123F800">
      <w:pPr>
        <w:bidi w:val="0"/>
        <w:rPr>
          <w:rFonts w:hint="eastAsia" w:eastAsia="宋体"/>
          <w:color w:val="auto"/>
          <w:lang w:eastAsia="zh-CN"/>
        </w:rPr>
      </w:pPr>
      <w:r>
        <w:rPr>
          <w:rFonts w:hint="eastAsia"/>
          <w:color w:val="auto"/>
          <w:lang w:val="en-US" w:eastAsia="zh-CN"/>
        </w:rPr>
        <w:t>9</w:t>
      </w:r>
      <w:r>
        <w:rPr>
          <w:rFonts w:hint="eastAsia"/>
          <w:color w:val="auto"/>
          <w:lang w:eastAsia="zh-CN"/>
        </w:rPr>
        <w:t>、</w:t>
      </w:r>
      <w:r>
        <w:rPr>
          <w:rFonts w:hint="eastAsia"/>
          <w:color w:val="auto"/>
        </w:rPr>
        <w:t>安全预评价封面、扉页及资质</w:t>
      </w:r>
      <w:r>
        <w:rPr>
          <w:rFonts w:hint="eastAsia"/>
          <w:color w:val="auto"/>
          <w:lang w:eastAsia="zh-CN"/>
        </w:rPr>
        <w:t>；</w:t>
      </w:r>
    </w:p>
    <w:p w14:paraId="6FDC64D9">
      <w:pPr>
        <w:bidi w:val="0"/>
        <w:rPr>
          <w:rFonts w:hint="eastAsia" w:eastAsia="宋体"/>
          <w:color w:val="auto"/>
          <w:lang w:eastAsia="zh-CN"/>
        </w:rPr>
      </w:pPr>
      <w:r>
        <w:rPr>
          <w:rFonts w:hint="eastAsia"/>
          <w:color w:val="auto"/>
          <w:lang w:val="en-US" w:eastAsia="zh-CN"/>
        </w:rPr>
        <w:t>10</w:t>
      </w:r>
      <w:r>
        <w:rPr>
          <w:rFonts w:hint="eastAsia"/>
          <w:color w:val="auto"/>
          <w:lang w:eastAsia="zh-CN"/>
        </w:rPr>
        <w:t>、</w:t>
      </w:r>
      <w:r>
        <w:rPr>
          <w:rFonts w:hint="eastAsia"/>
          <w:color w:val="auto"/>
        </w:rPr>
        <w:t>安全设施设计</w:t>
      </w:r>
      <w:r>
        <w:rPr>
          <w:rFonts w:hint="eastAsia"/>
          <w:color w:val="auto"/>
          <w:lang w:val="en-US" w:eastAsia="zh-CN"/>
        </w:rPr>
        <w:t>扉页</w:t>
      </w:r>
      <w:r>
        <w:rPr>
          <w:rFonts w:hint="eastAsia"/>
          <w:color w:val="auto"/>
        </w:rPr>
        <w:t>及资质</w:t>
      </w:r>
      <w:r>
        <w:rPr>
          <w:rFonts w:hint="eastAsia"/>
          <w:color w:val="auto"/>
          <w:lang w:eastAsia="zh-CN"/>
        </w:rPr>
        <w:t>；</w:t>
      </w:r>
    </w:p>
    <w:p w14:paraId="406F3B59">
      <w:pPr>
        <w:bidi w:val="0"/>
        <w:rPr>
          <w:rFonts w:hint="eastAsia" w:eastAsia="宋体"/>
          <w:color w:val="auto"/>
          <w:lang w:eastAsia="zh-CN"/>
        </w:rPr>
      </w:pPr>
      <w:r>
        <w:rPr>
          <w:rFonts w:hint="eastAsia"/>
          <w:color w:val="auto"/>
          <w:lang w:val="en-US" w:eastAsia="zh-CN"/>
        </w:rPr>
        <w:t>11、</w:t>
      </w:r>
      <w:r>
        <w:rPr>
          <w:rFonts w:hint="eastAsia"/>
          <w:color w:val="auto"/>
        </w:rPr>
        <w:t>安全设施设计审批书</w:t>
      </w:r>
      <w:r>
        <w:rPr>
          <w:rFonts w:hint="eastAsia"/>
          <w:color w:val="auto"/>
          <w:lang w:eastAsia="zh-CN"/>
        </w:rPr>
        <w:t>；</w:t>
      </w:r>
    </w:p>
    <w:p w14:paraId="779DEE94">
      <w:pPr>
        <w:bidi w:val="0"/>
        <w:rPr>
          <w:rFonts w:hint="eastAsia" w:eastAsia="宋体"/>
          <w:color w:val="auto"/>
          <w:lang w:eastAsia="zh-CN"/>
        </w:rPr>
      </w:pPr>
      <w:r>
        <w:rPr>
          <w:rFonts w:hint="eastAsia"/>
          <w:color w:val="auto"/>
          <w:lang w:val="en-US" w:eastAsia="zh-CN"/>
        </w:rPr>
        <w:t>12</w:t>
      </w:r>
      <w:r>
        <w:rPr>
          <w:rFonts w:hint="eastAsia"/>
          <w:color w:val="auto"/>
          <w:lang w:eastAsia="zh-CN"/>
        </w:rPr>
        <w:t>、</w:t>
      </w:r>
      <w:r>
        <w:rPr>
          <w:rFonts w:hint="eastAsia"/>
          <w:color w:val="auto"/>
        </w:rPr>
        <w:t>安全管理人员培训合格证</w:t>
      </w:r>
      <w:r>
        <w:rPr>
          <w:rFonts w:hint="eastAsia"/>
          <w:color w:val="auto"/>
          <w:lang w:eastAsia="zh-CN"/>
        </w:rPr>
        <w:t>；</w:t>
      </w:r>
    </w:p>
    <w:p w14:paraId="171B176F">
      <w:pPr>
        <w:bidi w:val="0"/>
        <w:rPr>
          <w:rFonts w:hint="eastAsia" w:eastAsia="宋体"/>
          <w:color w:val="auto"/>
          <w:lang w:val="en-US" w:eastAsia="zh-CN"/>
        </w:rPr>
      </w:pPr>
      <w:r>
        <w:rPr>
          <w:rFonts w:hint="eastAsia"/>
          <w:color w:val="auto"/>
          <w:lang w:val="en-US" w:eastAsia="zh-CN"/>
        </w:rPr>
        <w:t>13、特种作业人员操作证</w:t>
      </w:r>
      <w:r>
        <w:rPr>
          <w:rFonts w:hint="eastAsia"/>
          <w:color w:val="auto"/>
          <w:lang w:eastAsia="zh-CN"/>
        </w:rPr>
        <w:t>；</w:t>
      </w:r>
    </w:p>
    <w:p w14:paraId="75A24400">
      <w:pPr>
        <w:bidi w:val="0"/>
        <w:rPr>
          <w:rFonts w:hint="eastAsia"/>
          <w:color w:val="auto"/>
          <w:lang w:val="en-US" w:eastAsia="zh-CN"/>
        </w:rPr>
      </w:pPr>
      <w:r>
        <w:rPr>
          <w:rFonts w:hint="eastAsia"/>
          <w:color w:val="auto"/>
          <w:lang w:val="en-US" w:eastAsia="zh-CN"/>
        </w:rPr>
        <w:t>14、主要负责人参加安全管理培训证明；</w:t>
      </w:r>
    </w:p>
    <w:p w14:paraId="5A90B426">
      <w:pPr>
        <w:bidi w:val="0"/>
        <w:rPr>
          <w:rFonts w:hint="eastAsia" w:eastAsia="宋体"/>
          <w:color w:val="auto"/>
          <w:lang w:eastAsia="zh-CN"/>
        </w:rPr>
      </w:pPr>
      <w:r>
        <w:rPr>
          <w:rFonts w:hint="eastAsia"/>
          <w:color w:val="auto"/>
          <w:lang w:val="en-US" w:eastAsia="zh-CN"/>
        </w:rPr>
        <w:t>15</w:t>
      </w:r>
      <w:r>
        <w:rPr>
          <w:rFonts w:hint="eastAsia"/>
          <w:color w:val="auto"/>
          <w:lang w:eastAsia="zh-CN"/>
        </w:rPr>
        <w:t>、</w:t>
      </w:r>
      <w:r>
        <w:rPr>
          <w:rFonts w:hint="eastAsia"/>
          <w:color w:val="auto"/>
        </w:rPr>
        <w:t>安全管理机构成立及主要负责人、安全员任命文件</w:t>
      </w:r>
      <w:r>
        <w:rPr>
          <w:rFonts w:hint="eastAsia"/>
          <w:color w:val="auto"/>
          <w:lang w:eastAsia="zh-CN"/>
        </w:rPr>
        <w:t>；</w:t>
      </w:r>
    </w:p>
    <w:p w14:paraId="1D1B9B5D">
      <w:pPr>
        <w:bidi w:val="0"/>
        <w:rPr>
          <w:rFonts w:hint="eastAsia" w:eastAsia="宋体"/>
          <w:color w:val="auto"/>
          <w:lang w:eastAsia="zh-CN"/>
        </w:rPr>
      </w:pPr>
      <w:r>
        <w:rPr>
          <w:rFonts w:hint="eastAsia"/>
          <w:color w:val="auto"/>
        </w:rPr>
        <w:t>1</w:t>
      </w:r>
      <w:r>
        <w:rPr>
          <w:rFonts w:hint="eastAsia"/>
          <w:color w:val="auto"/>
          <w:lang w:val="en-US" w:eastAsia="zh-CN"/>
        </w:rPr>
        <w:t>6</w:t>
      </w:r>
      <w:r>
        <w:rPr>
          <w:rFonts w:hint="eastAsia"/>
          <w:color w:val="auto"/>
          <w:lang w:eastAsia="zh-CN"/>
        </w:rPr>
        <w:t>、</w:t>
      </w:r>
      <w:r>
        <w:rPr>
          <w:rFonts w:hint="eastAsia"/>
          <w:color w:val="auto"/>
        </w:rPr>
        <w:t>安全管理制度、责任制及安全操作规程封面及目录</w:t>
      </w:r>
      <w:r>
        <w:rPr>
          <w:rFonts w:hint="eastAsia"/>
          <w:color w:val="auto"/>
          <w:lang w:eastAsia="zh-CN"/>
        </w:rPr>
        <w:t>；</w:t>
      </w:r>
    </w:p>
    <w:p w14:paraId="311E8771">
      <w:pPr>
        <w:bidi w:val="0"/>
        <w:rPr>
          <w:rFonts w:hint="eastAsia" w:eastAsia="宋体"/>
          <w:color w:val="auto"/>
          <w:lang w:eastAsia="zh-CN"/>
        </w:rPr>
      </w:pPr>
      <w:r>
        <w:rPr>
          <w:rFonts w:hint="eastAsia"/>
          <w:color w:val="auto"/>
        </w:rPr>
        <w:t>1</w:t>
      </w:r>
      <w:r>
        <w:rPr>
          <w:rFonts w:hint="eastAsia"/>
          <w:color w:val="auto"/>
          <w:lang w:val="en-US" w:eastAsia="zh-CN"/>
        </w:rPr>
        <w:t>7</w:t>
      </w:r>
      <w:r>
        <w:rPr>
          <w:rFonts w:hint="eastAsia"/>
          <w:color w:val="auto"/>
          <w:lang w:eastAsia="zh-CN"/>
        </w:rPr>
        <w:t>、</w:t>
      </w:r>
      <w:r>
        <w:rPr>
          <w:rFonts w:hint="eastAsia"/>
          <w:color w:val="auto"/>
        </w:rPr>
        <w:t>部分安全管理台账记录</w:t>
      </w:r>
      <w:r>
        <w:rPr>
          <w:rFonts w:hint="eastAsia"/>
          <w:color w:val="auto"/>
          <w:lang w:eastAsia="zh-CN"/>
        </w:rPr>
        <w:t>；</w:t>
      </w:r>
    </w:p>
    <w:p w14:paraId="0EBBCE87">
      <w:pPr>
        <w:bidi w:val="0"/>
        <w:rPr>
          <w:rFonts w:hint="eastAsia" w:eastAsia="宋体"/>
          <w:color w:val="auto"/>
          <w:lang w:eastAsia="zh-CN"/>
        </w:rPr>
      </w:pPr>
      <w:r>
        <w:rPr>
          <w:rFonts w:hint="eastAsia"/>
          <w:color w:val="auto"/>
        </w:rPr>
        <w:t>1</w:t>
      </w:r>
      <w:r>
        <w:rPr>
          <w:rFonts w:hint="eastAsia"/>
          <w:color w:val="auto"/>
          <w:lang w:val="en-US" w:eastAsia="zh-CN"/>
        </w:rPr>
        <w:t>8</w:t>
      </w:r>
      <w:r>
        <w:rPr>
          <w:rFonts w:hint="eastAsia"/>
          <w:color w:val="auto"/>
          <w:lang w:eastAsia="zh-CN"/>
        </w:rPr>
        <w:t>、</w:t>
      </w:r>
      <w:r>
        <w:rPr>
          <w:rFonts w:hint="eastAsia"/>
          <w:color w:val="auto"/>
          <w:lang w:val="en-US" w:eastAsia="zh-CN"/>
        </w:rPr>
        <w:t>安全生产责任保险</w:t>
      </w:r>
      <w:r>
        <w:rPr>
          <w:rFonts w:hint="eastAsia"/>
          <w:color w:val="auto"/>
        </w:rPr>
        <w:t>缴费证明</w:t>
      </w:r>
      <w:r>
        <w:rPr>
          <w:rFonts w:hint="eastAsia"/>
          <w:color w:val="auto"/>
          <w:lang w:eastAsia="zh-CN"/>
        </w:rPr>
        <w:t>；</w:t>
      </w:r>
    </w:p>
    <w:p w14:paraId="0810CDD6">
      <w:pPr>
        <w:bidi w:val="0"/>
        <w:rPr>
          <w:rFonts w:hint="eastAsia" w:eastAsia="宋体"/>
          <w:color w:val="auto"/>
          <w:lang w:eastAsia="zh-CN"/>
        </w:rPr>
      </w:pPr>
      <w:r>
        <w:rPr>
          <w:rFonts w:hint="eastAsia"/>
          <w:color w:val="auto"/>
        </w:rPr>
        <w:t>1</w:t>
      </w:r>
      <w:r>
        <w:rPr>
          <w:rFonts w:hint="eastAsia"/>
          <w:color w:val="auto"/>
          <w:lang w:val="en-US" w:eastAsia="zh-CN"/>
        </w:rPr>
        <w:t>9</w:t>
      </w:r>
      <w:r>
        <w:rPr>
          <w:rFonts w:hint="eastAsia"/>
          <w:color w:val="auto"/>
          <w:lang w:eastAsia="zh-CN"/>
        </w:rPr>
        <w:t>、</w:t>
      </w:r>
      <w:r>
        <w:rPr>
          <w:rFonts w:hint="eastAsia"/>
          <w:color w:val="auto"/>
        </w:rPr>
        <w:t>生产安全事故应急预案备案证明</w:t>
      </w:r>
      <w:r>
        <w:rPr>
          <w:rFonts w:hint="eastAsia"/>
          <w:color w:val="auto"/>
          <w:lang w:eastAsia="zh-CN"/>
        </w:rPr>
        <w:t>；</w:t>
      </w:r>
    </w:p>
    <w:p w14:paraId="5D967C36">
      <w:pPr>
        <w:bidi w:val="0"/>
        <w:rPr>
          <w:rFonts w:hint="default" w:eastAsia="宋体"/>
          <w:color w:val="auto"/>
          <w:lang w:val="en-US" w:eastAsia="zh-CN"/>
        </w:rPr>
      </w:pPr>
      <w:r>
        <w:rPr>
          <w:rFonts w:hint="eastAsia"/>
          <w:color w:val="auto"/>
          <w:lang w:val="en-US" w:eastAsia="zh-CN"/>
        </w:rPr>
        <w:t>20、医疗救护协议；</w:t>
      </w:r>
    </w:p>
    <w:p w14:paraId="6DAE50AF">
      <w:pPr>
        <w:bidi w:val="0"/>
        <w:rPr>
          <w:rFonts w:hint="default"/>
          <w:color w:val="auto"/>
          <w:lang w:val="en-US" w:eastAsia="zh-CN"/>
        </w:rPr>
      </w:pPr>
      <w:r>
        <w:rPr>
          <w:rFonts w:hint="eastAsia"/>
          <w:color w:val="auto"/>
          <w:lang w:val="en-US" w:eastAsia="zh-CN"/>
        </w:rPr>
        <w:t>21、铜、铁矿原矿销售和加工协议；</w:t>
      </w:r>
    </w:p>
    <w:p w14:paraId="401A6887">
      <w:pPr>
        <w:bidi w:val="0"/>
        <w:rPr>
          <w:rFonts w:hint="eastAsia" w:eastAsia="宋体"/>
          <w:color w:val="auto"/>
          <w:lang w:eastAsia="zh-CN"/>
        </w:rPr>
      </w:pPr>
      <w:r>
        <w:rPr>
          <w:rFonts w:hint="eastAsia"/>
          <w:color w:val="auto"/>
          <w:lang w:val="en-US" w:eastAsia="zh-CN"/>
        </w:rPr>
        <w:t>22</w:t>
      </w:r>
      <w:r>
        <w:rPr>
          <w:rFonts w:hint="eastAsia"/>
          <w:color w:val="auto"/>
          <w:lang w:eastAsia="zh-CN"/>
        </w:rPr>
        <w:t>、</w:t>
      </w:r>
      <w:r>
        <w:rPr>
          <w:rFonts w:hint="eastAsia"/>
          <w:color w:val="auto"/>
        </w:rPr>
        <w:t>试生产报告</w:t>
      </w:r>
      <w:r>
        <w:rPr>
          <w:rFonts w:hint="eastAsia"/>
          <w:color w:val="auto"/>
          <w:lang w:eastAsia="zh-CN"/>
        </w:rPr>
        <w:t>；</w:t>
      </w:r>
    </w:p>
    <w:p w14:paraId="11E013DD">
      <w:pPr>
        <w:bidi w:val="0"/>
        <w:rPr>
          <w:rFonts w:hint="eastAsia" w:eastAsia="宋体"/>
          <w:color w:val="auto"/>
          <w:lang w:eastAsia="zh-CN"/>
        </w:rPr>
      </w:pPr>
      <w:r>
        <w:rPr>
          <w:rFonts w:hint="eastAsia"/>
          <w:color w:val="auto"/>
          <w:lang w:val="en-US" w:eastAsia="zh-CN"/>
        </w:rPr>
        <w:t>23</w:t>
      </w:r>
      <w:r>
        <w:rPr>
          <w:rFonts w:hint="eastAsia"/>
          <w:color w:val="auto"/>
          <w:lang w:eastAsia="zh-CN"/>
        </w:rPr>
        <w:t>、</w:t>
      </w:r>
      <w:r>
        <w:rPr>
          <w:rFonts w:hint="eastAsia"/>
          <w:color w:val="auto"/>
        </w:rPr>
        <w:t>施工总结报告</w:t>
      </w:r>
      <w:r>
        <w:rPr>
          <w:rFonts w:hint="eastAsia"/>
          <w:color w:val="auto"/>
          <w:lang w:eastAsia="zh-CN"/>
        </w:rPr>
        <w:t>；</w:t>
      </w:r>
    </w:p>
    <w:p w14:paraId="11A03136">
      <w:pPr>
        <w:bidi w:val="0"/>
        <w:rPr>
          <w:rFonts w:hint="default"/>
          <w:color w:val="auto"/>
          <w:lang w:val="en-US" w:eastAsia="zh-CN"/>
        </w:rPr>
      </w:pPr>
      <w:r>
        <w:rPr>
          <w:rFonts w:hint="eastAsia"/>
          <w:color w:val="auto"/>
          <w:lang w:val="en-US" w:eastAsia="zh-CN"/>
        </w:rPr>
        <w:t>24、施工监理报告；</w:t>
      </w:r>
    </w:p>
    <w:p w14:paraId="24226383">
      <w:pPr>
        <w:bidi w:val="0"/>
        <w:rPr>
          <w:rFonts w:hint="eastAsia" w:eastAsia="宋体"/>
          <w:color w:val="auto"/>
          <w:lang w:val="en-US" w:eastAsia="zh-CN"/>
        </w:rPr>
      </w:pPr>
      <w:r>
        <w:rPr>
          <w:rFonts w:hint="eastAsia"/>
          <w:color w:val="auto"/>
          <w:lang w:val="en-US" w:eastAsia="zh-CN"/>
        </w:rPr>
        <w:t>25、</w:t>
      </w:r>
      <w:r>
        <w:rPr>
          <w:rFonts w:hint="eastAsia"/>
          <w:color w:val="auto"/>
        </w:rPr>
        <w:t>整改回复</w:t>
      </w:r>
      <w:r>
        <w:rPr>
          <w:rFonts w:hint="eastAsia"/>
          <w:color w:val="auto"/>
          <w:lang w:eastAsia="zh-CN"/>
        </w:rPr>
        <w:t>。</w:t>
      </w:r>
    </w:p>
    <w:p w14:paraId="1435304D">
      <w:pPr>
        <w:pStyle w:val="3"/>
        <w:bidi w:val="0"/>
        <w:rPr>
          <w:rFonts w:hint="eastAsia"/>
          <w:color w:val="auto"/>
          <w:lang w:val="en-US" w:eastAsia="zh-CN"/>
        </w:rPr>
      </w:pPr>
      <w:bookmarkStart w:id="150" w:name="_Toc19717"/>
      <w:r>
        <w:rPr>
          <w:rFonts w:hint="eastAsia"/>
          <w:color w:val="auto"/>
          <w:lang w:val="en-US" w:eastAsia="zh-CN"/>
        </w:rPr>
        <w:t>9.2 附图</w:t>
      </w:r>
      <w:bookmarkEnd w:id="150"/>
    </w:p>
    <w:p w14:paraId="05CB9139">
      <w:pPr>
        <w:bidi w:val="0"/>
        <w:rPr>
          <w:rFonts w:hint="default" w:eastAsia="宋体"/>
          <w:color w:val="auto"/>
          <w:lang w:val="en-US" w:eastAsia="zh-CN"/>
        </w:rPr>
      </w:pPr>
      <w:r>
        <w:rPr>
          <w:rFonts w:hint="eastAsia"/>
          <w:color w:val="auto"/>
          <w:lang w:val="en-US" w:eastAsia="zh-CN"/>
        </w:rPr>
        <w:t>1、总平面布置竣工图；</w:t>
      </w:r>
    </w:p>
    <w:p w14:paraId="7A00B245">
      <w:pPr>
        <w:bidi w:val="0"/>
        <w:rPr>
          <w:rFonts w:hint="default" w:eastAsia="宋体"/>
          <w:color w:val="auto"/>
          <w:lang w:val="en-US" w:eastAsia="zh-CN"/>
        </w:rPr>
      </w:pPr>
      <w:r>
        <w:rPr>
          <w:rFonts w:hint="eastAsia"/>
          <w:color w:val="auto"/>
          <w:lang w:val="en-US" w:eastAsia="zh-CN"/>
        </w:rPr>
        <w:t>2、工艺流程竣工图；</w:t>
      </w:r>
    </w:p>
    <w:p w14:paraId="4277A180">
      <w:pPr>
        <w:bidi w:val="0"/>
        <w:rPr>
          <w:rFonts w:hint="default" w:eastAsia="宋体"/>
          <w:color w:val="auto"/>
          <w:lang w:val="en-US" w:eastAsia="zh-CN"/>
        </w:rPr>
      </w:pPr>
      <w:r>
        <w:rPr>
          <w:rFonts w:hint="eastAsia"/>
          <w:color w:val="auto"/>
          <w:lang w:val="en-US" w:eastAsia="zh-CN"/>
        </w:rPr>
        <w:t>3、设备布置竣工图；</w:t>
      </w:r>
    </w:p>
    <w:p w14:paraId="452213C5">
      <w:pPr>
        <w:bidi w:val="0"/>
        <w:rPr>
          <w:rFonts w:hint="default" w:eastAsia="宋体"/>
          <w:color w:val="auto"/>
          <w:lang w:val="en-US" w:eastAsia="zh-CN"/>
        </w:rPr>
      </w:pPr>
      <w:r>
        <w:rPr>
          <w:rFonts w:hint="eastAsia"/>
          <w:color w:val="auto"/>
          <w:lang w:val="en-US" w:eastAsia="zh-CN"/>
        </w:rPr>
        <w:t>4、消防设施及消防器材总平面布置竣工图；</w:t>
      </w:r>
    </w:p>
    <w:p w14:paraId="18FF6920">
      <w:pPr>
        <w:bidi w:val="0"/>
        <w:rPr>
          <w:rFonts w:hint="eastAsia"/>
          <w:color w:val="auto"/>
          <w:lang w:val="en-US" w:eastAsia="zh-CN"/>
        </w:rPr>
      </w:pPr>
      <w:r>
        <w:rPr>
          <w:rFonts w:hint="eastAsia"/>
          <w:color w:val="auto"/>
          <w:lang w:val="en-US" w:eastAsia="zh-CN"/>
        </w:rPr>
        <w:t>5、防雷接地竣工图。</w:t>
      </w:r>
    </w:p>
    <w:p w14:paraId="52207608">
      <w:pPr>
        <w:bidi w:val="0"/>
        <w:rPr>
          <w:rFonts w:hint="eastAsia"/>
          <w:color w:val="auto"/>
          <w:lang w:val="en-US" w:eastAsia="zh-CN"/>
        </w:rPr>
        <w:sectPr>
          <w:headerReference r:id="rId10" w:type="default"/>
          <w:footerReference r:id="rId11" w:type="default"/>
          <w:pgSz w:w="11905" w:h="16838"/>
          <w:pgMar w:top="1417" w:right="1134" w:bottom="1134" w:left="1587" w:header="850" w:footer="992" w:gutter="0"/>
          <w:pgBorders>
            <w:top w:val="thinThickSmallGap" w:color="auto" w:sz="12" w:space="1"/>
            <w:left w:val="none" w:sz="0" w:space="0"/>
            <w:bottom w:val="thickThinSmallGap" w:color="auto" w:sz="12" w:space="1"/>
            <w:right w:val="none" w:sz="0" w:space="0"/>
          </w:pgBorders>
          <w:pgNumType w:fmt="decimal" w:start="1"/>
          <w:cols w:space="0" w:num="1"/>
          <w:rtlGutter w:val="0"/>
          <w:docGrid w:type="lines" w:linePitch="386" w:charSpace="0"/>
        </w:sectPr>
      </w:pPr>
    </w:p>
    <w:p w14:paraId="08C4BE97">
      <w:pPr>
        <w:numPr>
          <w:ilvl w:val="0"/>
          <w:numId w:val="0"/>
        </w:numPr>
        <w:bidi w:val="0"/>
        <w:jc w:val="center"/>
        <w:rPr>
          <w:rFonts w:hint="default"/>
          <w:color w:val="auto"/>
          <w:lang w:val="en-US" w:eastAsia="zh-CN"/>
        </w:rPr>
      </w:pPr>
      <w:bookmarkStart w:id="151" w:name="_GoBack"/>
      <w:bookmarkEnd w:id="151"/>
    </w:p>
    <w:sectPr>
      <w:footerReference r:id="rId12" w:type="default"/>
      <w:pgSz w:w="11905" w:h="16838"/>
      <w:pgMar w:top="1417" w:right="1134" w:bottom="1134" w:left="1587" w:header="850" w:footer="992" w:gutter="0"/>
      <w:pgBorders>
        <w:top w:val="thinThickSmallGap" w:color="auto" w:sz="12" w:space="1"/>
        <w:left w:val="none" w:sz="0" w:space="0"/>
        <w:bottom w:val="thickThinSmallGap" w:color="auto" w:sz="12" w:space="1"/>
        <w:right w:val="none" w:sz="0" w:space="0"/>
      </w:pgBorders>
      <w:pgNumType w:fmt="numberInDash" w:start="1"/>
      <w:cols w:space="0" w:num="1"/>
      <w:rtlGutter w:val="0"/>
      <w:docGrid w:type="lines" w:linePitch="3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A8736">
    <w:pPr>
      <w:pStyle w:val="12"/>
      <w:rPr>
        <w:rFonts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D7E89">
    <w:pPr>
      <w:keepNext w:val="0"/>
      <w:keepLines w:val="0"/>
      <w:pageBreakBefore w:val="0"/>
      <w:widowControl w:val="0"/>
      <w:pBdr>
        <w:top w:val="none" w:color="auto" w:sz="0" w:space="1"/>
        <w:left w:val="none" w:color="auto" w:sz="0" w:space="0"/>
        <w:bottom w:val="none" w:color="auto" w:sz="0" w:space="0"/>
        <w:right w:val="none" w:color="auto" w:sz="0" w:space="0"/>
        <w:between w:val="none" w:color="auto" w:sz="0" w:space="0"/>
      </w:pBdr>
      <w:tabs>
        <w:tab w:val="center" w:pos="4153"/>
      </w:tabs>
      <w:kinsoku/>
      <w:wordWrap/>
      <w:overflowPunct/>
      <w:topLinePunct w:val="0"/>
      <w:bidi w:val="0"/>
      <w:adjustRightInd/>
      <w:snapToGrid w:val="0"/>
      <w:spacing w:line="500" w:lineRule="exact"/>
      <w:ind w:firstLine="0" w:firstLineChars="0"/>
      <w:rPr>
        <w:rFonts w:hint="eastAsia" w:ascii="Times New Roman" w:hAnsi="Times New Roman" w:eastAsia="宋体" w:cs="Times New Roman"/>
        <w:sz w:val="21"/>
        <w:lang w:eastAsia="zh-CN"/>
      </w:rPr>
    </w:pPr>
    <w:r>
      <w:rPr>
        <w:rFonts w:hint="eastAsia" w:ascii="Times New Roman" w:hAnsi="Times New Roman" w:eastAsia="宋体" w:cs="Times New Roman"/>
        <w:sz w:val="21"/>
        <w:lang w:eastAsia="zh-CN"/>
      </w:rPr>
      <w:drawing>
        <wp:inline distT="0" distB="0" distL="114300" distR="114300">
          <wp:extent cx="337820" cy="127635"/>
          <wp:effectExtent l="0" t="0" r="0" b="5715"/>
          <wp:docPr id="182"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4"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ascii="Times New Roman" w:hAnsi="Times New Roman" w:eastAsia="宋体" w:cs="Times New Roman"/>
        <w:sz w:val="21"/>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8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05C25AED">
                          <w:pPr>
                            <w:pStyle w:val="12"/>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w:t>
                          </w:r>
                          <w:r>
                            <w:rPr>
                              <w:sz w:val="21"/>
                              <w:szCs w:val="21"/>
                            </w:rPr>
                            <w:fldChar w:fldCharType="end"/>
                          </w:r>
                        </w:p>
                      </w:txbxContent>
                    </wps:txbx>
                    <wps:bodyPr rot="0" vert="horz" wrap="none" lIns="0" tIns="0" rIns="0" bIns="0" anchor="t" anchorCtr="0">
                      <a:spAutoFit/>
                    </wps:bodyPr>
                  </wps:wsp>
                </a:graphicData>
              </a:graphic>
            </wp:anchor>
          </w:drawing>
        </mc:Choice>
        <mc:Fallback>
          <w:pict>
            <v:shape id="文本框 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ifdr9MAAAAFAQAADwAA&#10;AAAAAAABACAAAAAiAAAAZHJzL2Rvd25yZXYueG1sUEsBAhQAFAAAAAgAh07iQCpd5X7iAQAAxgMA&#10;AA4AAAAAAAAAAQAgAAAAIgEAAGRycy9lMm9Eb2MueG1sUEsFBgAAAAAGAAYAWQEAAHYFAAAAAA==&#10;">
              <v:fill on="f" focussize="0,0"/>
              <v:stroke on="f" weight="1pt"/>
              <v:imagedata o:title=""/>
              <o:lock v:ext="edit" aspectratio="f"/>
              <v:textbox inset="0mm,0mm,0mm,0mm" style="mso-fit-shape-to-text:t;">
                <w:txbxContent>
                  <w:p w14:paraId="05C25AED">
                    <w:pPr>
                      <w:pStyle w:val="12"/>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w:t>
                    </w:r>
                    <w:r>
                      <w:rPr>
                        <w:sz w:val="21"/>
                        <w:szCs w:val="21"/>
                      </w:rPr>
                      <w:fldChar w:fldCharType="end"/>
                    </w:r>
                  </w:p>
                </w:txbxContent>
              </v:textbox>
            </v:shape>
          </w:pict>
        </mc:Fallback>
      </mc:AlternateContent>
    </w:r>
    <w:r>
      <w:rPr>
        <w:rFonts w:hint="eastAsia" w:ascii="Times New Roman" w:hAnsi="Times New Roman" w:eastAsia="宋体" w:cs="Times New Roman"/>
        <w:sz w:val="21"/>
        <w:szCs w:val="21"/>
        <w:lang w:eastAsia="zh-CN"/>
      </w:rPr>
      <w:t>辽宁诺诚安全科技有限公司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A6333">
    <w:pPr>
      <w:keepNext w:val="0"/>
      <w:keepLines w:val="0"/>
      <w:pageBreakBefore w:val="0"/>
      <w:widowControl w:val="0"/>
      <w:pBdr>
        <w:top w:val="none" w:color="auto" w:sz="0" w:space="1"/>
        <w:left w:val="none" w:color="auto" w:sz="0" w:space="0"/>
        <w:bottom w:val="none" w:color="auto" w:sz="0" w:space="0"/>
        <w:right w:val="none" w:color="auto" w:sz="0" w:space="0"/>
        <w:between w:val="none" w:color="auto" w:sz="0" w:space="0"/>
      </w:pBdr>
      <w:tabs>
        <w:tab w:val="center" w:pos="4153"/>
      </w:tabs>
      <w:kinsoku/>
      <w:wordWrap/>
      <w:overflowPunct/>
      <w:topLinePunct w:val="0"/>
      <w:bidi w:val="0"/>
      <w:adjustRightInd/>
      <w:snapToGrid w:val="0"/>
      <w:spacing w:line="500" w:lineRule="exact"/>
      <w:ind w:firstLine="0" w:firstLineChars="0"/>
      <w:rPr>
        <w:rFonts w:hint="eastAsia" w:ascii="Times New Roman" w:hAnsi="Times New Roman" w:eastAsia="宋体" w:cs="Times New Roman"/>
        <w:sz w:val="21"/>
        <w:lang w:eastAsia="zh-CN"/>
      </w:rPr>
    </w:pPr>
    <w:r>
      <w:rPr>
        <w:rFonts w:hint="eastAsia" w:ascii="Times New Roman" w:hAnsi="Times New Roman" w:eastAsia="宋体" w:cs="Times New Roman"/>
        <w:sz w:val="21"/>
        <w:lang w:eastAsia="zh-CN"/>
      </w:rPr>
      <w:drawing>
        <wp:inline distT="0" distB="0" distL="114300" distR="114300">
          <wp:extent cx="337820" cy="127635"/>
          <wp:effectExtent l="0" t="0" r="0" b="5715"/>
          <wp:docPr id="186"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ascii="Times New Roman" w:hAnsi="Times New Roman" w:eastAsia="宋体" w:cs="Times New Roman"/>
        <w:sz w:val="21"/>
        <w:szCs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87"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343EE3AF">
                          <w:pPr>
                            <w:pStyle w:val="12"/>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w:t>
                          </w: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ifdr9MAAAAFAQAADwAA&#10;AAAAAAABACAAAAAiAAAAZHJzL2Rvd25yZXYueG1sUEsBAhQAFAAAAAgAh07iQLbnkL/iAQAAxgMA&#10;AA4AAAAAAAAAAQAgAAAAIgEAAGRycy9lMm9Eb2MueG1sUEsFBgAAAAAGAAYAWQEAAHYFAAAAAA==&#10;">
              <v:fill on="f" focussize="0,0"/>
              <v:stroke on="f" weight="1pt"/>
              <v:imagedata o:title=""/>
              <o:lock v:ext="edit" aspectratio="f"/>
              <v:textbox inset="0mm,0mm,0mm,0mm" style="mso-fit-shape-to-text:t;">
                <w:txbxContent>
                  <w:p w14:paraId="343EE3AF">
                    <w:pPr>
                      <w:pStyle w:val="12"/>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w:t>
                    </w:r>
                  </w:p>
                </w:txbxContent>
              </v:textbox>
            </v:shape>
          </w:pict>
        </mc:Fallback>
      </mc:AlternateContent>
    </w:r>
    <w:r>
      <w:rPr>
        <w:rFonts w:hint="eastAsia" w:ascii="Times New Roman" w:hAnsi="Times New Roman" w:eastAsia="宋体" w:cs="Times New Roman"/>
        <w:sz w:val="21"/>
        <w:szCs w:val="21"/>
        <w:lang w:eastAsia="zh-CN"/>
      </w:rPr>
      <w:t>辽宁诺诚安全科技有限公司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28B69">
    <w:pPr>
      <w:keepNext w:val="0"/>
      <w:keepLines w:val="0"/>
      <w:pageBreakBefore w:val="0"/>
      <w:widowControl w:val="0"/>
      <w:pBdr>
        <w:top w:val="none" w:color="auto" w:sz="0" w:space="1"/>
        <w:left w:val="none" w:color="auto" w:sz="0" w:space="0"/>
        <w:bottom w:val="none" w:color="auto" w:sz="0" w:space="0"/>
        <w:right w:val="none" w:color="auto" w:sz="0" w:space="0"/>
        <w:between w:val="none" w:color="auto" w:sz="0" w:space="0"/>
      </w:pBdr>
      <w:tabs>
        <w:tab w:val="center" w:pos="4153"/>
      </w:tabs>
      <w:kinsoku/>
      <w:wordWrap/>
      <w:overflowPunct/>
      <w:topLinePunct w:val="0"/>
      <w:bidi w:val="0"/>
      <w:adjustRightInd/>
      <w:snapToGrid w:val="0"/>
      <w:spacing w:line="500" w:lineRule="exact"/>
      <w:ind w:firstLine="0" w:firstLineChars="0"/>
      <w:rPr>
        <w:rFonts w:hint="eastAsia" w:ascii="Times New Roman" w:hAnsi="Times New Roman" w:eastAsia="宋体" w:cs="Times New Roman"/>
        <w:sz w:val="21"/>
        <w:lang w:eastAsia="zh-CN"/>
      </w:rPr>
    </w:pPr>
    <w:r>
      <w:rPr>
        <w:rFonts w:hint="eastAsia" w:ascii="Times New Roman" w:hAnsi="Times New Roman" w:eastAsia="宋体" w:cs="Times New Roman"/>
        <w:sz w:val="21"/>
        <w:lang w:eastAsia="zh-CN"/>
      </w:rPr>
      <w:drawing>
        <wp:inline distT="0" distB="0" distL="114300" distR="114300">
          <wp:extent cx="337820" cy="127635"/>
          <wp:effectExtent l="0" t="0" r="0" b="5715"/>
          <wp:docPr id="82"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ascii="Times New Roman" w:hAnsi="Times New Roman" w:eastAsia="宋体" w:cs="Times New Roman"/>
        <w:sz w:val="21"/>
        <w:szCs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8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061DF75C">
                          <w:pPr>
                            <w:pStyle w:val="12"/>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w:t>
                          </w:r>
                          <w:r>
                            <w:rPr>
                              <w:sz w:val="21"/>
                              <w:szCs w:val="21"/>
                            </w:rPr>
                            <w:fldChar w:fldCharType="end"/>
                          </w: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ifdr9MAAAAFAQAADwAA&#10;AAAAAAABACAAAAAiAAAAZHJzL2Rvd25yZXYueG1sUEsBAhQAFAAAAAgAh07iQPk/i1riAQAAxQMA&#10;AA4AAAAAAAAAAQAgAAAAIgEAAGRycy9lMm9Eb2MueG1sUEsFBgAAAAAGAAYAWQEAAHYFAAAAAA==&#10;">
              <v:fill on="f" focussize="0,0"/>
              <v:stroke on="f" weight="1pt"/>
              <v:imagedata o:title=""/>
              <o:lock v:ext="edit" aspectratio="f"/>
              <v:textbox inset="0mm,0mm,0mm,0mm" style="mso-fit-shape-to-text:t;">
                <w:txbxContent>
                  <w:p w14:paraId="061DF75C">
                    <w:pPr>
                      <w:pStyle w:val="12"/>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w:t>
                    </w:r>
                    <w:r>
                      <w:rPr>
                        <w:sz w:val="21"/>
                        <w:szCs w:val="21"/>
                      </w:rPr>
                      <w:fldChar w:fldCharType="end"/>
                    </w:r>
                  </w:p>
                </w:txbxContent>
              </v:textbox>
            </v:shape>
          </w:pict>
        </mc:Fallback>
      </mc:AlternateContent>
    </w:r>
    <w:r>
      <w:rPr>
        <w:rFonts w:hint="eastAsia" w:ascii="Times New Roman" w:hAnsi="Times New Roman" w:eastAsia="宋体" w:cs="Times New Roman"/>
        <w:sz w:val="21"/>
        <w:szCs w:val="21"/>
        <w:lang w:eastAsia="zh-CN"/>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B37CE">
    <w:pPr>
      <w:pStyle w:val="13"/>
      <w:pBdr>
        <w:bottom w:val="none" w:color="auto" w:sz="0" w:space="1"/>
      </w:pBdr>
      <w:rPr>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B4D9D">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502D6">
    <w:pPr>
      <w:pStyle w:val="13"/>
      <w:keepNext w:val="0"/>
      <w:keepLines w:val="0"/>
      <w:pageBreakBefore w:val="0"/>
      <w:widowControl w:val="0"/>
      <w:pBdr>
        <w:bottom w:val="none" w:color="auto" w:sz="0" w:space="0"/>
      </w:pBdr>
      <w:kinsoku/>
      <w:wordWrap/>
      <w:overflowPunct/>
      <w:topLinePunct w:val="0"/>
      <w:bidi w:val="0"/>
      <w:adjustRightInd/>
      <w:snapToGrid w:val="0"/>
      <w:spacing w:line="500" w:lineRule="exact"/>
      <w:ind w:firstLine="0" w:firstLineChars="0"/>
      <w:rPr>
        <w:rFonts w:hint="default" w:cs="Times New Roman"/>
        <w:sz w:val="21"/>
        <w:szCs w:val="21"/>
        <w:lang w:val="en-US"/>
      </w:rPr>
    </w:pPr>
    <w:r>
      <w:rPr>
        <w:rFonts w:hint="eastAsia" w:cs="Times New Roman"/>
        <w:color w:val="auto"/>
        <w:kern w:val="0"/>
        <w:sz w:val="21"/>
        <w:szCs w:val="24"/>
        <w:lang w:val="zh-CN" w:bidi="zh-CN"/>
      </w:rPr>
      <w:t>武定发荣矿业有限责任公司猫街大炉箐繁茂采选厂技术改造项目</w:t>
    </w:r>
    <w:r>
      <w:rPr>
        <w:rFonts w:hint="eastAsia" w:cs="Times New Roman"/>
        <w:color w:val="auto"/>
        <w:kern w:val="0"/>
        <w:sz w:val="21"/>
        <w:szCs w:val="24"/>
        <w:lang w:val="en-US" w:eastAsia="zh-CN" w:bidi="zh-CN"/>
      </w:rPr>
      <w:t>安全验收评价报告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946AF">
    <w:pPr>
      <w:pStyle w:val="13"/>
      <w:keepNext w:val="0"/>
      <w:keepLines w:val="0"/>
      <w:pageBreakBefore w:val="0"/>
      <w:widowControl w:val="0"/>
      <w:pBdr>
        <w:bottom w:val="none" w:color="auto" w:sz="0" w:space="0"/>
      </w:pBdr>
      <w:kinsoku/>
      <w:wordWrap/>
      <w:overflowPunct/>
      <w:topLinePunct w:val="0"/>
      <w:bidi w:val="0"/>
      <w:adjustRightInd/>
      <w:snapToGrid w:val="0"/>
      <w:spacing w:line="500" w:lineRule="exact"/>
      <w:ind w:firstLine="0" w:firstLineChars="0"/>
      <w:rPr>
        <w:rFonts w:hint="default" w:eastAsia="宋体"/>
        <w:sz w:val="21"/>
        <w:szCs w:val="21"/>
        <w:lang w:val="en-US" w:eastAsia="zh-CN"/>
      </w:rPr>
    </w:pPr>
    <w:r>
      <w:rPr>
        <w:rFonts w:hint="eastAsia"/>
        <w:sz w:val="21"/>
        <w:szCs w:val="21"/>
        <w:lang w:eastAsia="zh-CN"/>
      </w:rPr>
      <w:t>武定发荣矿业有限责任公司猫街大炉箐繁茂采选厂技术改造项目安全验收评价</w:t>
    </w:r>
    <w:r>
      <w:rPr>
        <w:rFonts w:hint="eastAsia"/>
        <w:sz w:val="21"/>
        <w:szCs w:val="21"/>
        <w:lang w:val="en-US" w:eastAsia="zh-CN"/>
      </w:rPr>
      <w:t>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VerticalSpacing w:val="19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2ODNjYTQ2NjZmNzFhMjU5MjAzN2EzZjFmMjE3YWMifQ=="/>
  </w:docVars>
  <w:rsids>
    <w:rsidRoot w:val="00000000"/>
    <w:rsid w:val="016B1A28"/>
    <w:rsid w:val="02C92423"/>
    <w:rsid w:val="03C055D4"/>
    <w:rsid w:val="05B60A3D"/>
    <w:rsid w:val="05D71EEB"/>
    <w:rsid w:val="0671108B"/>
    <w:rsid w:val="07436B8E"/>
    <w:rsid w:val="089F388B"/>
    <w:rsid w:val="08D166A6"/>
    <w:rsid w:val="09367AE5"/>
    <w:rsid w:val="0B9F7063"/>
    <w:rsid w:val="0E99003A"/>
    <w:rsid w:val="0EAD0922"/>
    <w:rsid w:val="11264BF2"/>
    <w:rsid w:val="11281D75"/>
    <w:rsid w:val="114F1D45"/>
    <w:rsid w:val="11B170B2"/>
    <w:rsid w:val="11B95462"/>
    <w:rsid w:val="156A3D94"/>
    <w:rsid w:val="15C06022"/>
    <w:rsid w:val="16DD783E"/>
    <w:rsid w:val="175A24A7"/>
    <w:rsid w:val="18035391"/>
    <w:rsid w:val="19FB0CBC"/>
    <w:rsid w:val="1B657390"/>
    <w:rsid w:val="1BF07327"/>
    <w:rsid w:val="1D7E4E25"/>
    <w:rsid w:val="1EA27198"/>
    <w:rsid w:val="1ECE044B"/>
    <w:rsid w:val="1F1C5897"/>
    <w:rsid w:val="1FD249FD"/>
    <w:rsid w:val="22F612D4"/>
    <w:rsid w:val="244020ED"/>
    <w:rsid w:val="25C4708F"/>
    <w:rsid w:val="277E4858"/>
    <w:rsid w:val="29D17528"/>
    <w:rsid w:val="2B9B40AD"/>
    <w:rsid w:val="2C052340"/>
    <w:rsid w:val="2C5A1AC6"/>
    <w:rsid w:val="2C957209"/>
    <w:rsid w:val="2C9941D3"/>
    <w:rsid w:val="2ECE350C"/>
    <w:rsid w:val="30AF5549"/>
    <w:rsid w:val="32261EDD"/>
    <w:rsid w:val="32705361"/>
    <w:rsid w:val="34A42225"/>
    <w:rsid w:val="35312AA1"/>
    <w:rsid w:val="35BA2D1F"/>
    <w:rsid w:val="37C50933"/>
    <w:rsid w:val="37F0752F"/>
    <w:rsid w:val="3918306B"/>
    <w:rsid w:val="3F2106C0"/>
    <w:rsid w:val="3F284A1E"/>
    <w:rsid w:val="40162FCA"/>
    <w:rsid w:val="408369FC"/>
    <w:rsid w:val="426C2511"/>
    <w:rsid w:val="45991206"/>
    <w:rsid w:val="45FA4487"/>
    <w:rsid w:val="464C601D"/>
    <w:rsid w:val="469F45FA"/>
    <w:rsid w:val="46CF38D0"/>
    <w:rsid w:val="46E4323C"/>
    <w:rsid w:val="4A065877"/>
    <w:rsid w:val="4A905E86"/>
    <w:rsid w:val="4B4947E5"/>
    <w:rsid w:val="4B50282F"/>
    <w:rsid w:val="4C8147A2"/>
    <w:rsid w:val="4D1473C4"/>
    <w:rsid w:val="4D7E10C5"/>
    <w:rsid w:val="4E0D54D9"/>
    <w:rsid w:val="4E4837C9"/>
    <w:rsid w:val="4ECC45F0"/>
    <w:rsid w:val="50E04F12"/>
    <w:rsid w:val="53642A06"/>
    <w:rsid w:val="538944DF"/>
    <w:rsid w:val="53D77AC9"/>
    <w:rsid w:val="56262249"/>
    <w:rsid w:val="57A25A73"/>
    <w:rsid w:val="57C71C02"/>
    <w:rsid w:val="5A3873F2"/>
    <w:rsid w:val="5E5E7006"/>
    <w:rsid w:val="5F8263B4"/>
    <w:rsid w:val="621D353D"/>
    <w:rsid w:val="6469095E"/>
    <w:rsid w:val="654B3E73"/>
    <w:rsid w:val="671B1BE9"/>
    <w:rsid w:val="67A10743"/>
    <w:rsid w:val="67CE6C8E"/>
    <w:rsid w:val="69825989"/>
    <w:rsid w:val="6A077D43"/>
    <w:rsid w:val="6A687275"/>
    <w:rsid w:val="6BC229B5"/>
    <w:rsid w:val="6C9A700B"/>
    <w:rsid w:val="6D26380D"/>
    <w:rsid w:val="6D33063E"/>
    <w:rsid w:val="6EBE1981"/>
    <w:rsid w:val="706D1367"/>
    <w:rsid w:val="71E74128"/>
    <w:rsid w:val="72833D48"/>
    <w:rsid w:val="73243F55"/>
    <w:rsid w:val="75FD23B8"/>
    <w:rsid w:val="76A449B0"/>
    <w:rsid w:val="777333D1"/>
    <w:rsid w:val="79FD52FC"/>
    <w:rsid w:val="7B7823E8"/>
    <w:rsid w:val="7D807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uiPriority="99" w:name="heading 5"/>
    <w:lsdException w:uiPriority="99" w:name="heading 6"/>
    <w:lsdException w:uiPriority="99" w:name="heading 7"/>
    <w:lsdException w:uiPriority="99" w:name="heading 8"/>
    <w:lsdException w:uiPriority="99" w:name="heading 9"/>
    <w:lsdException w:qFormat="1" w:unhideWhenUsed="0" w:uiPriority="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iPriority="0"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qFormat="1"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qFormat="1" w:uiPriority="0"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heme="minorBidi"/>
      <w:kern w:val="2"/>
      <w:sz w:val="28"/>
      <w:szCs w:val="24"/>
      <w:lang w:val="en-US" w:eastAsia="zh-CN" w:bidi="ar-SA"/>
    </w:rPr>
  </w:style>
  <w:style w:type="paragraph" w:styleId="2">
    <w:name w:val="heading 1"/>
    <w:basedOn w:val="1"/>
    <w:next w:val="1"/>
    <w:autoRedefine/>
    <w:qFormat/>
    <w:uiPriority w:val="0"/>
    <w:pPr>
      <w:keepNext/>
      <w:keepLines/>
      <w:spacing w:beforeLines="0" w:beforeAutospacing="0" w:afterLines="0" w:afterAutospacing="0" w:line="360" w:lineRule="auto"/>
      <w:ind w:firstLine="0" w:firstLineChars="0"/>
      <w:jc w:val="center"/>
      <w:outlineLvl w:val="0"/>
    </w:pPr>
    <w:rPr>
      <w:rFonts w:eastAsia="黑体"/>
      <w:kern w:val="44"/>
      <w:sz w:val="32"/>
    </w:rPr>
  </w:style>
  <w:style w:type="paragraph" w:styleId="3">
    <w:name w:val="heading 2"/>
    <w:basedOn w:val="1"/>
    <w:autoRedefine/>
    <w:unhideWhenUsed/>
    <w:qFormat/>
    <w:uiPriority w:val="0"/>
    <w:pPr>
      <w:keepNext/>
      <w:keepLines/>
      <w:spacing w:beforeLines="0" w:beforeAutospacing="0" w:afterLines="0" w:afterAutospacing="0" w:line="360" w:lineRule="auto"/>
      <w:ind w:firstLine="0" w:firstLineChars="0"/>
      <w:jc w:val="center"/>
      <w:outlineLvl w:val="1"/>
    </w:pPr>
    <w:rPr>
      <w:rFonts w:ascii="Times New Roman" w:hAnsi="Times New Roman" w:eastAsia="黑体"/>
      <w:sz w:val="30"/>
    </w:rPr>
  </w:style>
  <w:style w:type="paragraph" w:styleId="4">
    <w:name w:val="heading 3"/>
    <w:basedOn w:val="1"/>
    <w:autoRedefine/>
    <w:unhideWhenUsed/>
    <w:qFormat/>
    <w:uiPriority w:val="0"/>
    <w:pPr>
      <w:keepNext/>
      <w:keepLines/>
      <w:spacing w:beforeLines="0" w:beforeAutospacing="0" w:afterLines="0" w:afterAutospacing="0" w:line="360" w:lineRule="auto"/>
      <w:ind w:firstLine="0" w:firstLineChars="0"/>
      <w:outlineLvl w:val="2"/>
    </w:pPr>
    <w:rPr>
      <w:b/>
      <w:sz w:val="28"/>
    </w:rPr>
  </w:style>
  <w:style w:type="paragraph" w:styleId="5">
    <w:name w:val="heading 4"/>
    <w:basedOn w:val="1"/>
    <w:next w:val="1"/>
    <w:autoRedefine/>
    <w:unhideWhenUsed/>
    <w:qFormat/>
    <w:uiPriority w:val="0"/>
    <w:pPr>
      <w:keepNext/>
      <w:keepLines/>
      <w:spacing w:beforeLines="0" w:beforeAutospacing="0" w:afterLines="0" w:afterAutospacing="0" w:line="360" w:lineRule="auto"/>
      <w:ind w:firstLine="0" w:firstLineChars="0"/>
      <w:outlineLvl w:val="3"/>
    </w:pPr>
    <w:rPr>
      <w:rFonts w:ascii="Times New Roman" w:hAnsi="Times New Roman" w:eastAsia="宋体"/>
      <w:b/>
    </w:rPr>
  </w:style>
  <w:style w:type="character" w:default="1" w:styleId="23">
    <w:name w:val="Default Paragraph Font"/>
    <w:autoRedefine/>
    <w:semiHidden/>
    <w:qFormat/>
    <w:uiPriority w:val="0"/>
  </w:style>
  <w:style w:type="table" w:default="1" w:styleId="20">
    <w:name w:val="Normal Table"/>
    <w:autoRedefine/>
    <w:semiHidden/>
    <w:qFormat/>
    <w:uiPriority w:val="0"/>
    <w:tblPr>
      <w:tblCellMar>
        <w:top w:w="0" w:type="dxa"/>
        <w:left w:w="108" w:type="dxa"/>
        <w:bottom w:w="0" w:type="dxa"/>
        <w:right w:w="108" w:type="dxa"/>
      </w:tblCellMar>
    </w:tblPr>
  </w:style>
  <w:style w:type="paragraph" w:styleId="6">
    <w:name w:val="table of authorities"/>
    <w:basedOn w:val="1"/>
    <w:autoRedefine/>
    <w:unhideWhenUsed/>
    <w:qFormat/>
    <w:uiPriority w:val="99"/>
    <w:pPr>
      <w:widowControl/>
      <w:adjustRightInd w:val="0"/>
      <w:ind w:left="420" w:leftChars="200"/>
    </w:pPr>
    <w:rPr>
      <w:rFonts w:eastAsia="Times New Roman"/>
      <w:sz w:val="24"/>
    </w:rPr>
  </w:style>
  <w:style w:type="paragraph" w:styleId="7">
    <w:name w:val="annotation text"/>
    <w:basedOn w:val="1"/>
    <w:next w:val="8"/>
    <w:autoRedefine/>
    <w:qFormat/>
    <w:uiPriority w:val="0"/>
    <w:pPr>
      <w:jc w:val="left"/>
    </w:pPr>
  </w:style>
  <w:style w:type="paragraph" w:styleId="8">
    <w:name w:val="Body Text Indent 2"/>
    <w:basedOn w:val="1"/>
    <w:unhideWhenUsed/>
    <w:qFormat/>
    <w:uiPriority w:val="0"/>
    <w:pPr>
      <w:spacing w:after="120" w:line="480" w:lineRule="auto"/>
      <w:ind w:left="420" w:leftChars="200"/>
    </w:pPr>
    <w:rPr>
      <w:kern w:val="0"/>
      <w:szCs w:val="20"/>
    </w:rPr>
  </w:style>
  <w:style w:type="paragraph" w:styleId="9">
    <w:name w:val="Body Text"/>
    <w:basedOn w:val="1"/>
    <w:next w:val="1"/>
    <w:autoRedefine/>
    <w:qFormat/>
    <w:uiPriority w:val="0"/>
    <w:pPr>
      <w:spacing w:after="120"/>
    </w:pPr>
  </w:style>
  <w:style w:type="paragraph" w:styleId="10">
    <w:name w:val="Body Text Indent"/>
    <w:basedOn w:val="1"/>
    <w:next w:val="9"/>
    <w:autoRedefine/>
    <w:qFormat/>
    <w:uiPriority w:val="0"/>
    <w:pPr>
      <w:ind w:leftChars="85" w:firstLine="540" w:firstLineChars="193"/>
    </w:pPr>
    <w:rPr>
      <w:sz w:val="28"/>
      <w:szCs w:val="24"/>
    </w:rPr>
  </w:style>
  <w:style w:type="paragraph" w:styleId="11">
    <w:name w:val="toc 3"/>
    <w:basedOn w:val="1"/>
    <w:autoRedefine/>
    <w:qFormat/>
    <w:uiPriority w:val="0"/>
    <w:pPr>
      <w:ind w:left="840" w:leftChars="400"/>
    </w:pPr>
  </w:style>
  <w:style w:type="paragraph" w:styleId="12">
    <w:name w:val="footer"/>
    <w:basedOn w:val="1"/>
    <w:autoRedefine/>
    <w:unhideWhenUsed/>
    <w:qFormat/>
    <w:uiPriority w:val="0"/>
    <w:pPr>
      <w:tabs>
        <w:tab w:val="center" w:pos="4153"/>
        <w:tab w:val="right" w:pos="8306"/>
      </w:tabs>
      <w:snapToGrid w:val="0"/>
      <w:jc w:val="left"/>
    </w:pPr>
    <w:rPr>
      <w:sz w:val="18"/>
      <w:szCs w:val="18"/>
    </w:rPr>
  </w:style>
  <w:style w:type="paragraph" w:styleId="13">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qFormat/>
    <w:uiPriority w:val="0"/>
  </w:style>
  <w:style w:type="paragraph" w:styleId="15">
    <w:name w:val="index heading"/>
    <w:basedOn w:val="1"/>
    <w:semiHidden/>
    <w:qFormat/>
    <w:uiPriority w:val="0"/>
    <w:rPr>
      <w:szCs w:val="21"/>
    </w:rPr>
  </w:style>
  <w:style w:type="paragraph" w:styleId="16">
    <w:name w:val="toc 2"/>
    <w:basedOn w:val="1"/>
    <w:autoRedefine/>
    <w:qFormat/>
    <w:uiPriority w:val="0"/>
    <w:pPr>
      <w:ind w:left="420" w:leftChars="200"/>
    </w:pPr>
  </w:style>
  <w:style w:type="paragraph" w:styleId="17">
    <w:name w:val="index 1"/>
    <w:basedOn w:val="1"/>
    <w:semiHidden/>
    <w:qFormat/>
    <w:uiPriority w:val="0"/>
  </w:style>
  <w:style w:type="paragraph" w:styleId="18">
    <w:name w:val="Body Text First Indent"/>
    <w:basedOn w:val="9"/>
    <w:autoRedefine/>
    <w:qFormat/>
    <w:uiPriority w:val="0"/>
    <w:pPr>
      <w:ind w:firstLine="420" w:firstLineChars="100"/>
    </w:pPr>
  </w:style>
  <w:style w:type="paragraph" w:styleId="19">
    <w:name w:val="Body Text First Indent 2"/>
    <w:basedOn w:val="10"/>
    <w:next w:val="1"/>
    <w:qFormat/>
    <w:uiPriority w:val="0"/>
    <w:pPr>
      <w:spacing w:after="120"/>
      <w:ind w:left="420" w:leftChars="200" w:firstLine="420" w:firstLineChars="200"/>
    </w:pPr>
    <w:rPr>
      <w:sz w:val="21"/>
      <w:szCs w:val="20"/>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Theme"/>
    <w:basedOn w:val="20"/>
    <w:qFormat/>
    <w:uiPriority w:val="0"/>
    <w:pPr>
      <w:widowControl w:val="0"/>
      <w:spacing w:line="480" w:lineRule="exa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99"/>
    <w:rPr>
      <w:b/>
    </w:rPr>
  </w:style>
  <w:style w:type="character" w:styleId="25">
    <w:name w:val="annotation reference"/>
    <w:unhideWhenUsed/>
    <w:qFormat/>
    <w:uiPriority w:val="0"/>
    <w:rPr>
      <w:sz w:val="21"/>
      <w:szCs w:val="21"/>
    </w:rPr>
  </w:style>
  <w:style w:type="paragraph" w:customStyle="1" w:styleId="26">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paragraph" w:customStyle="1" w:styleId="27">
    <w:name w:val="首行缩进加粗"/>
    <w:basedOn w:val="28"/>
    <w:autoRedefine/>
    <w:qFormat/>
    <w:uiPriority w:val="0"/>
    <w:pPr>
      <w:widowControl w:val="0"/>
      <w:autoSpaceDE/>
      <w:autoSpaceDN/>
      <w:spacing w:before="0" w:after="0" w:line="360" w:lineRule="auto"/>
      <w:ind w:left="482" w:firstLine="4834"/>
      <w:jc w:val="both"/>
    </w:pPr>
    <w:rPr>
      <w:rFonts w:ascii="宋体"/>
    </w:rPr>
  </w:style>
  <w:style w:type="paragraph" w:customStyle="1" w:styleId="28">
    <w:name w:val="首行缩进"/>
    <w:basedOn w:val="1"/>
    <w:qFormat/>
    <w:uiPriority w:val="0"/>
    <w:pPr>
      <w:snapToGrid w:val="0"/>
      <w:spacing w:line="360" w:lineRule="auto"/>
      <w:ind w:firstLine="561"/>
    </w:pPr>
    <w:rPr>
      <w:rFonts w:cs="宋体"/>
      <w:color w:val="000000"/>
      <w:sz w:val="28"/>
      <w:szCs w:val="20"/>
    </w:rPr>
  </w:style>
  <w:style w:type="paragraph" w:customStyle="1" w:styleId="29">
    <w:name w:val="图、表名称"/>
    <w:basedOn w:val="1"/>
    <w:qFormat/>
    <w:uiPriority w:val="0"/>
    <w:pPr>
      <w:ind w:firstLine="0" w:firstLineChars="0"/>
      <w:jc w:val="center"/>
    </w:pPr>
    <w:rPr>
      <w:rFonts w:hint="eastAsia"/>
      <w:sz w:val="24"/>
    </w:rPr>
  </w:style>
  <w:style w:type="paragraph" w:customStyle="1" w:styleId="30">
    <w:name w:val="表格内容"/>
    <w:basedOn w:val="1"/>
    <w:qFormat/>
    <w:uiPriority w:val="0"/>
    <w:pPr>
      <w:spacing w:line="240" w:lineRule="auto"/>
      <w:ind w:firstLine="0" w:firstLineChars="0"/>
      <w:jc w:val="center"/>
    </w:pPr>
    <w:rPr>
      <w:rFonts w:hint="eastAsia"/>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180</Pages>
  <Words>13412</Words>
  <Characters>16233</Characters>
  <Lines>0</Lines>
  <Paragraphs>0</Paragraphs>
  <TotalTime>8</TotalTime>
  <ScaleCrop>false</ScaleCrop>
  <LinksUpToDate>false</LinksUpToDate>
  <CharactersWithSpaces>16640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2024-06-28T01:37:00Z</dcterms:created>
  <dc:creator>Administrator</dc:creator>
  <cp:lastModifiedBy>Lemon</cp:lastModifiedBy>
  <dcterms:modified xsi:type="dcterms:W3CDTF">2026-08-03T08:40:02Z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DBA15C019C004AA4B230BD98672C2FC4_13</vt:lpwstr>
  </property>
  <property fmtid="{D5CDD505-2E9C-101B-9397-08002B2CF9AE}" pid="4" name="KSOTemplateDocerSaveRecord">
    <vt:lpwstr>eyJoZGlkIjoiYWM2ODNjYTQ2NjZmNzFhMjU5MjAzN2EzZjFmMjE3YWMiLCJ1c2VySWQiOiIzOTk0MDY5NTMifQ==</vt:lpwstr>
  </property>
</Properties>
</file>