
<file path=[Content_Types].xml><?xml version="1.0" encoding="utf-8"?>
<Types xmlns="http://schemas.openxmlformats.org/package/2006/content-types">
  <Default Extension="xml" ContentType="application/xml"/>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7E6D8">
      <w:pPr>
        <w:keepNext w:val="0"/>
        <w:keepLines w:val="0"/>
        <w:pageBreakBefore w:val="0"/>
        <w:widowControl w:val="0"/>
        <w:kinsoku/>
        <w:wordWrap/>
        <w:overflowPunct/>
        <w:topLinePunct w:val="0"/>
        <w:bidi w:val="0"/>
        <w:snapToGrid/>
        <w:ind w:firstLine="0" w:firstLineChars="0"/>
        <w:rPr>
          <w:rFonts w:hint="eastAsia" w:ascii="Times New Roman" w:hAnsi="Times New Roman" w:eastAsia="宋体" w:cs="Times New Roman"/>
          <w:b/>
          <w:bCs/>
          <w:color w:val="auto"/>
          <w:sz w:val="30"/>
          <w:szCs w:val="30"/>
          <w:lang w:val="en-US" w:eastAsia="zh-CN"/>
        </w:rPr>
      </w:pPr>
    </w:p>
    <w:p w14:paraId="1B2052EB">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b/>
          <w:bCs/>
          <w:color w:val="auto"/>
          <w:sz w:val="44"/>
          <w:szCs w:val="44"/>
        </w:rPr>
      </w:pPr>
    </w:p>
    <w:p w14:paraId="7EA1A623">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t>寻甸金林钛矿有限公司</w:t>
      </w:r>
    </w:p>
    <w:p w14:paraId="153F230A">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
          <w:color w:val="auto"/>
          <w:sz w:val="44"/>
          <w:szCs w:val="44"/>
        </w:rPr>
      </w:pPr>
      <w:r>
        <w:rPr>
          <w:rFonts w:hint="default" w:ascii="Times New Roman" w:hAnsi="Times New Roman" w:cs="Times New Roman"/>
          <w:b/>
          <w:color w:val="auto"/>
          <w:sz w:val="44"/>
          <w:szCs w:val="44"/>
        </w:rPr>
        <w:t>尾矿处理技改升级建设项目</w:t>
      </w:r>
    </w:p>
    <w:p w14:paraId="2CDA1404">
      <w:pPr>
        <w:keepNext w:val="0"/>
        <w:keepLines w:val="0"/>
        <w:pageBreakBefore w:val="0"/>
        <w:widowControl w:val="0"/>
        <w:kinsoku/>
        <w:wordWrap/>
        <w:overflowPunct/>
        <w:topLinePunct w:val="0"/>
        <w:bidi w:val="0"/>
        <w:snapToGrid/>
        <w:spacing w:line="360" w:lineRule="auto"/>
        <w:ind w:firstLine="0" w:firstLineChars="0"/>
        <w:jc w:val="center"/>
        <w:rPr>
          <w:rFonts w:hint="eastAsia" w:ascii="Times New Roman" w:hAnsi="Times New Roman" w:eastAsia="宋体" w:cs="Times New Roman"/>
          <w:b/>
          <w:color w:val="auto"/>
          <w:sz w:val="44"/>
          <w:szCs w:val="44"/>
          <w:lang w:eastAsia="zh-CN"/>
        </w:rPr>
      </w:pPr>
    </w:p>
    <w:p w14:paraId="0A4C3B64">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b/>
          <w:color w:val="auto"/>
          <w:sz w:val="52"/>
          <w:szCs w:val="52"/>
        </w:rPr>
      </w:pPr>
    </w:p>
    <w:p w14:paraId="7BE293A1">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b/>
          <w:color w:val="auto"/>
          <w:sz w:val="52"/>
          <w:szCs w:val="52"/>
        </w:rPr>
      </w:pPr>
    </w:p>
    <w:p w14:paraId="2735BBC2">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eastAsia="黑体" w:cs="Times New Roman"/>
          <w:b/>
          <w:color w:val="auto"/>
          <w:sz w:val="52"/>
          <w:szCs w:val="52"/>
        </w:rPr>
      </w:pPr>
      <w:r>
        <w:rPr>
          <w:rFonts w:hint="eastAsia" w:eastAsia="黑体" w:cs="Times New Roman"/>
          <w:b/>
          <w:color w:val="auto"/>
          <w:sz w:val="52"/>
          <w:szCs w:val="52"/>
          <w:lang w:eastAsia="zh-CN"/>
        </w:rPr>
        <w:t>安全</w:t>
      </w:r>
      <w:r>
        <w:rPr>
          <w:rFonts w:hint="eastAsia" w:eastAsia="黑体" w:cs="Times New Roman"/>
          <w:b/>
          <w:color w:val="auto"/>
          <w:sz w:val="52"/>
          <w:szCs w:val="52"/>
          <w:lang w:val="en-US" w:eastAsia="zh-CN"/>
        </w:rPr>
        <w:t>预</w:t>
      </w:r>
      <w:r>
        <w:rPr>
          <w:rFonts w:hint="eastAsia" w:eastAsia="黑体" w:cs="Times New Roman"/>
          <w:b/>
          <w:color w:val="auto"/>
          <w:sz w:val="52"/>
          <w:szCs w:val="52"/>
          <w:lang w:eastAsia="zh-CN"/>
        </w:rPr>
        <w:t>评价</w:t>
      </w:r>
      <w:r>
        <w:rPr>
          <w:rFonts w:hint="default" w:ascii="Times New Roman" w:hAnsi="Times New Roman" w:eastAsia="黑体" w:cs="Times New Roman"/>
          <w:b/>
          <w:color w:val="auto"/>
          <w:sz w:val="52"/>
          <w:szCs w:val="52"/>
        </w:rPr>
        <w:t>报告</w:t>
      </w:r>
    </w:p>
    <w:p w14:paraId="50DC3A8F">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369F2E22">
      <w:pPr>
        <w:bidi w:val="0"/>
        <w:rPr>
          <w:rFonts w:hint="default"/>
          <w:color w:val="auto"/>
        </w:rPr>
      </w:pPr>
    </w:p>
    <w:p w14:paraId="6D6465C4">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251143D9">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6FB3E4B5">
      <w:pPr>
        <w:pStyle w:val="27"/>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0A4AF29">
      <w:pPr>
        <w:pStyle w:val="27"/>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6B1018C5">
      <w:pPr>
        <w:pStyle w:val="27"/>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1F2806DE">
      <w:pPr>
        <w:pStyle w:val="27"/>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7CD1962">
      <w:pPr>
        <w:pStyle w:val="27"/>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727D238C">
      <w:pPr>
        <w:pStyle w:val="27"/>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EC6FBA1">
      <w:pPr>
        <w:pStyle w:val="27"/>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957E2CB">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1B618BD4">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color w:val="auto"/>
          <w:sz w:val="30"/>
          <w:szCs w:val="30"/>
        </w:rPr>
      </w:pPr>
      <w:r>
        <w:rPr>
          <w:rFonts w:hint="default" w:ascii="Times New Roman" w:hAnsi="Times New Roman" w:cs="Times New Roman"/>
          <w:b/>
          <w:color w:val="auto"/>
          <w:w w:val="98"/>
          <w:sz w:val="44"/>
          <w:szCs w:val="44"/>
        </w:rPr>
        <w:t>辽</w:t>
      </w:r>
      <w:r>
        <w:rPr>
          <w:rFonts w:hint="default" w:ascii="Times New Roman" w:hAnsi="Times New Roman" w:cs="Times New Roman"/>
          <w:b/>
          <w:color w:val="auto"/>
          <w:sz w:val="44"/>
          <w:szCs w:val="44"/>
        </w:rPr>
        <w:t>宁诺诚安全科技有限公司</w:t>
      </w:r>
    </w:p>
    <w:p w14:paraId="4D7A3867">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资质证书编号：APJ-（辽）-021</w:t>
      </w:r>
    </w:p>
    <w:p w14:paraId="331314A7">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color w:val="auto"/>
          <w:sz w:val="32"/>
          <w:szCs w:val="32"/>
          <w:lang w:val="en-US" w:eastAsia="zh-CN"/>
        </w:rPr>
      </w:pPr>
      <w:r>
        <w:rPr>
          <w:rFonts w:hint="default" w:ascii="Times New Roman" w:hAnsi="Times New Roman" w:cs="Times New Roman"/>
          <w:b/>
          <w:color w:val="auto"/>
          <w:sz w:val="32"/>
          <w:szCs w:val="32"/>
        </w:rPr>
        <w:t>202</w:t>
      </w:r>
      <w:r>
        <w:rPr>
          <w:rFonts w:hint="eastAsia" w:cs="Times New Roman"/>
          <w:b/>
          <w:color w:val="auto"/>
          <w:sz w:val="32"/>
          <w:szCs w:val="32"/>
          <w:lang w:val="en-US" w:eastAsia="zh-CN"/>
        </w:rPr>
        <w:t>4</w:t>
      </w:r>
      <w:r>
        <w:rPr>
          <w:rFonts w:hint="default" w:ascii="Times New Roman" w:hAnsi="Times New Roman" w:cs="Times New Roman"/>
          <w:b/>
          <w:color w:val="auto"/>
          <w:sz w:val="32"/>
          <w:szCs w:val="32"/>
        </w:rPr>
        <w:t>年</w:t>
      </w:r>
      <w:r>
        <w:rPr>
          <w:rFonts w:hint="eastAsia" w:cs="Times New Roman"/>
          <w:b/>
          <w:color w:val="auto"/>
          <w:sz w:val="32"/>
          <w:szCs w:val="32"/>
          <w:lang w:val="en-US" w:eastAsia="zh-CN"/>
        </w:rPr>
        <w:t>09</w:t>
      </w:r>
      <w:r>
        <w:rPr>
          <w:rFonts w:hint="default" w:ascii="Times New Roman" w:hAnsi="Times New Roman" w:cs="Times New Roman"/>
          <w:b/>
          <w:color w:val="auto"/>
          <w:sz w:val="32"/>
          <w:szCs w:val="32"/>
        </w:rPr>
        <w:t>月</w:t>
      </w:r>
      <w:r>
        <w:rPr>
          <w:rFonts w:hint="eastAsia" w:cs="Times New Roman"/>
          <w:b/>
          <w:color w:val="auto"/>
          <w:sz w:val="32"/>
          <w:szCs w:val="32"/>
          <w:lang w:val="en-US" w:eastAsia="zh-CN"/>
        </w:rPr>
        <w:t>30日</w:t>
      </w:r>
      <w:r>
        <w:rPr>
          <w:rFonts w:hint="default" w:ascii="Times New Roman" w:hAnsi="Times New Roman" w:cs="Times New Roman"/>
          <w:b/>
          <w:color w:val="auto"/>
          <w:sz w:val="32"/>
          <w:szCs w:val="32"/>
          <w:lang w:val="en-US" w:eastAsia="zh-CN"/>
        </w:rPr>
        <w:br w:type="page"/>
      </w:r>
    </w:p>
    <w:p w14:paraId="26137E3D">
      <w:pPr>
        <w:keepNext w:val="0"/>
        <w:keepLines w:val="0"/>
        <w:pageBreakBefore w:val="0"/>
        <w:widowControl w:val="0"/>
        <w:kinsoku/>
        <w:wordWrap/>
        <w:overflowPunct/>
        <w:topLinePunct w:val="0"/>
        <w:bidi w:val="0"/>
        <w:snapToGrid/>
        <w:ind w:firstLine="0" w:firstLineChars="0"/>
        <w:jc w:val="right"/>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NC</w:t>
      </w:r>
      <w:r>
        <w:rPr>
          <w:rFonts w:hint="eastAsia" w:ascii="Times New Roman" w:cs="Times New Roman"/>
          <w:b/>
          <w:bCs/>
          <w:color w:val="auto"/>
          <w:sz w:val="28"/>
          <w:szCs w:val="28"/>
          <w:lang w:val="en-US" w:eastAsia="zh-CN"/>
        </w:rPr>
        <w:t>AP/KS</w:t>
      </w:r>
      <w:r>
        <w:rPr>
          <w:rFonts w:hint="default" w:ascii="Times New Roman" w:hAnsi="Times New Roman" w:eastAsia="宋体" w:cs="Times New Roman"/>
          <w:b/>
          <w:bCs/>
          <w:color w:val="auto"/>
          <w:sz w:val="28"/>
          <w:szCs w:val="28"/>
          <w:lang w:val="en-US" w:eastAsia="zh-CN"/>
        </w:rPr>
        <w:t>-Y</w:t>
      </w:r>
      <w:r>
        <w:rPr>
          <w:rFonts w:hint="eastAsia" w:ascii="Times New Roman" w:cs="Times New Roman"/>
          <w:b/>
          <w:bCs/>
          <w:color w:val="auto"/>
          <w:sz w:val="28"/>
          <w:szCs w:val="28"/>
          <w:lang w:val="en-US" w:eastAsia="zh-CN"/>
        </w:rPr>
        <w:t>P</w:t>
      </w:r>
      <w:r>
        <w:rPr>
          <w:rFonts w:hint="default" w:ascii="Times New Roman" w:hAnsi="Times New Roman" w:eastAsia="宋体" w:cs="Times New Roman"/>
          <w:b/>
          <w:bCs/>
          <w:color w:val="auto"/>
          <w:sz w:val="28"/>
          <w:szCs w:val="28"/>
          <w:lang w:val="en-US" w:eastAsia="zh-CN"/>
        </w:rPr>
        <w:t>-2024-02</w:t>
      </w:r>
      <w:r>
        <w:rPr>
          <w:rFonts w:hint="eastAsia" w:ascii="Times New Roman" w:cs="Times New Roman"/>
          <w:b/>
          <w:bCs/>
          <w:color w:val="auto"/>
          <w:sz w:val="28"/>
          <w:szCs w:val="28"/>
          <w:lang w:val="en-US" w:eastAsia="zh-CN"/>
        </w:rPr>
        <w:t>1</w:t>
      </w:r>
    </w:p>
    <w:p w14:paraId="10B27E24">
      <w:pPr>
        <w:keepNext w:val="0"/>
        <w:keepLines w:val="0"/>
        <w:pageBreakBefore w:val="0"/>
        <w:widowControl w:val="0"/>
        <w:kinsoku/>
        <w:wordWrap/>
        <w:overflowPunct/>
        <w:topLinePunct w:val="0"/>
        <w:bidi w:val="0"/>
        <w:snapToGrid/>
        <w:ind w:firstLine="0" w:firstLineChars="0"/>
        <w:rPr>
          <w:rFonts w:hint="default"/>
          <w:color w:val="auto"/>
        </w:rPr>
      </w:pPr>
    </w:p>
    <w:p w14:paraId="2FB699BE">
      <w:pPr>
        <w:pStyle w:val="27"/>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5EC0485D">
      <w:pPr>
        <w:keepNext w:val="0"/>
        <w:keepLines w:val="0"/>
        <w:pageBreakBefore w:val="0"/>
        <w:widowControl w:val="0"/>
        <w:kinsoku/>
        <w:wordWrap/>
        <w:overflowPunct/>
        <w:topLinePunct w:val="0"/>
        <w:bidi w:val="0"/>
        <w:snapToGrid/>
        <w:ind w:firstLine="0" w:firstLineChars="0"/>
        <w:rPr>
          <w:rFonts w:hint="default"/>
          <w:color w:val="auto"/>
        </w:rPr>
      </w:pPr>
    </w:p>
    <w:p w14:paraId="4334502A">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3D819968">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寻甸金林钛矿有限公司</w:t>
      </w:r>
    </w:p>
    <w:p w14:paraId="18942E65">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尾矿处理技改升级建设项目</w:t>
      </w:r>
    </w:p>
    <w:p w14:paraId="28F9AA0C">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bCs/>
          <w:color w:val="auto"/>
          <w:sz w:val="44"/>
          <w:szCs w:val="44"/>
        </w:rPr>
      </w:pPr>
    </w:p>
    <w:p w14:paraId="4C2752B4">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bCs/>
          <w:color w:val="auto"/>
          <w:sz w:val="44"/>
          <w:szCs w:val="44"/>
        </w:rPr>
      </w:pPr>
    </w:p>
    <w:p w14:paraId="1004E1F9">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
          <w:bCs/>
          <w:color w:val="auto"/>
          <w:sz w:val="44"/>
          <w:szCs w:val="44"/>
        </w:rPr>
      </w:pPr>
      <w:r>
        <w:rPr>
          <w:rFonts w:hint="eastAsia" w:cs="Times New Roman"/>
          <w:b/>
          <w:bCs/>
          <w:color w:val="auto"/>
          <w:sz w:val="44"/>
          <w:szCs w:val="44"/>
          <w:lang w:eastAsia="zh-CN"/>
        </w:rPr>
        <w:t>安全</w:t>
      </w:r>
      <w:r>
        <w:rPr>
          <w:rFonts w:hint="eastAsia" w:cs="Times New Roman"/>
          <w:b/>
          <w:bCs/>
          <w:color w:val="auto"/>
          <w:sz w:val="44"/>
          <w:szCs w:val="44"/>
          <w:lang w:val="en-US" w:eastAsia="zh-CN"/>
        </w:rPr>
        <w:t>预评价</w:t>
      </w:r>
      <w:r>
        <w:rPr>
          <w:rFonts w:hint="default" w:ascii="Times New Roman" w:hAnsi="Times New Roman" w:cs="Times New Roman"/>
          <w:b/>
          <w:bCs/>
          <w:color w:val="auto"/>
          <w:sz w:val="44"/>
          <w:szCs w:val="44"/>
        </w:rPr>
        <w:t>报告</w:t>
      </w:r>
    </w:p>
    <w:p w14:paraId="6AA98A77">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b/>
          <w:bCs/>
          <w:color w:val="auto"/>
          <w:sz w:val="44"/>
        </w:rPr>
      </w:pPr>
    </w:p>
    <w:p w14:paraId="65629882">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rPr>
      </w:pPr>
    </w:p>
    <w:p w14:paraId="3C096C09">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7F4EC661">
      <w:pPr>
        <w:keepNext w:val="0"/>
        <w:keepLines w:val="0"/>
        <w:pageBreakBefore w:val="0"/>
        <w:widowControl w:val="0"/>
        <w:kinsoku/>
        <w:wordWrap/>
        <w:overflowPunct/>
        <w:topLinePunct w:val="0"/>
        <w:bidi w:val="0"/>
        <w:snapToGrid/>
        <w:ind w:firstLine="0" w:firstLineChars="0"/>
        <w:rPr>
          <w:rFonts w:hint="default" w:ascii="Times New Roman" w:hAnsi="Times New Roman" w:cs="Times New Roman"/>
          <w:color w:val="auto"/>
        </w:rPr>
      </w:pPr>
    </w:p>
    <w:p w14:paraId="0CCDB30B">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法定代表人：孙同辉</w:t>
      </w:r>
    </w:p>
    <w:p w14:paraId="4695847F">
      <w:pPr>
        <w:keepNext w:val="0"/>
        <w:keepLines w:val="0"/>
        <w:pageBreakBefore w:val="0"/>
        <w:widowControl w:val="0"/>
        <w:kinsoku/>
        <w:wordWrap/>
        <w:overflowPunct/>
        <w:topLinePunct w:val="0"/>
        <w:bidi w:val="0"/>
        <w:snapToGrid/>
        <w:spacing w:line="360" w:lineRule="auto"/>
        <w:ind w:firstLine="0" w:firstLineChars="0"/>
        <w:jc w:val="center"/>
        <w:rPr>
          <w:rFonts w:hint="default" w:ascii="Times New Roman" w:hAnsi="Times New Roman" w:cs="Times New Roman"/>
          <w:bCs/>
          <w:color w:val="auto"/>
          <w:sz w:val="28"/>
          <w:szCs w:val="28"/>
          <w:lang w:val="en-US" w:eastAsia="zh-CN"/>
        </w:rPr>
      </w:pPr>
      <w:r>
        <w:rPr>
          <w:rFonts w:hint="default" w:ascii="Times New Roman" w:hAnsi="Times New Roman" w:cs="Times New Roman"/>
          <w:bCs/>
          <w:color w:val="auto"/>
          <w:sz w:val="28"/>
          <w:szCs w:val="28"/>
        </w:rPr>
        <w:t>技术负责人：李在永</w:t>
      </w:r>
    </w:p>
    <w:p w14:paraId="60314C3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color w:val="auto"/>
        </w:rPr>
      </w:pPr>
      <w:r>
        <w:rPr>
          <w:rFonts w:hint="default" w:ascii="Times New Roman" w:hAnsi="Times New Roman" w:cs="Times New Roman"/>
          <w:bCs/>
          <w:color w:val="auto"/>
          <w:sz w:val="28"/>
          <w:szCs w:val="28"/>
        </w:rPr>
        <w:t>评价项目负责人：杨会明</w:t>
      </w:r>
    </w:p>
    <w:p w14:paraId="4C092BB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b/>
          <w:color w:val="auto"/>
          <w:sz w:val="24"/>
        </w:rPr>
      </w:pPr>
    </w:p>
    <w:p w14:paraId="6384BED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b/>
          <w:color w:val="auto"/>
          <w:sz w:val="24"/>
        </w:rPr>
      </w:pPr>
    </w:p>
    <w:p w14:paraId="355A435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cs="Times New Roman"/>
          <w:b/>
          <w:color w:val="auto"/>
          <w:sz w:val="24"/>
        </w:rPr>
      </w:pPr>
    </w:p>
    <w:p w14:paraId="023F3F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b/>
          <w:color w:val="auto"/>
          <w:sz w:val="24"/>
          <w:lang w:val="en-US" w:eastAsia="zh-CN"/>
        </w:rPr>
      </w:pPr>
      <w:r>
        <w:rPr>
          <w:rFonts w:hint="default" w:ascii="Times New Roman" w:hAnsi="Times New Roman" w:cs="Times New Roman"/>
          <w:b/>
          <w:color w:val="auto"/>
          <w:sz w:val="24"/>
        </w:rPr>
        <w:t>完成日期：202</w:t>
      </w:r>
      <w:r>
        <w:rPr>
          <w:rFonts w:hint="eastAsia" w:cs="Times New Roman"/>
          <w:b/>
          <w:color w:val="auto"/>
          <w:sz w:val="24"/>
          <w:lang w:val="en-US" w:eastAsia="zh-CN"/>
        </w:rPr>
        <w:t>4</w:t>
      </w:r>
      <w:r>
        <w:rPr>
          <w:rFonts w:hint="default" w:ascii="Times New Roman" w:hAnsi="Times New Roman" w:cs="Times New Roman"/>
          <w:b/>
          <w:color w:val="auto"/>
          <w:sz w:val="24"/>
        </w:rPr>
        <w:t>年</w:t>
      </w:r>
      <w:r>
        <w:rPr>
          <w:rFonts w:hint="eastAsia" w:cs="Times New Roman"/>
          <w:b/>
          <w:color w:val="auto"/>
          <w:sz w:val="24"/>
          <w:lang w:val="en-US" w:eastAsia="zh-CN"/>
        </w:rPr>
        <w:t>09</w:t>
      </w:r>
      <w:r>
        <w:rPr>
          <w:rFonts w:hint="default" w:ascii="Times New Roman" w:hAnsi="Times New Roman" w:cs="Times New Roman"/>
          <w:b/>
          <w:color w:val="auto"/>
          <w:sz w:val="24"/>
        </w:rPr>
        <w:t>月</w:t>
      </w:r>
      <w:r>
        <w:rPr>
          <w:rFonts w:hint="eastAsia" w:cs="Times New Roman"/>
          <w:b/>
          <w:color w:val="auto"/>
          <w:sz w:val="24"/>
          <w:lang w:val="en-US" w:eastAsia="zh-CN"/>
        </w:rPr>
        <w:t>30日</w:t>
      </w:r>
    </w:p>
    <w:p w14:paraId="00EF01C5">
      <w:pPr>
        <w:keepNext w:val="0"/>
        <w:keepLines w:val="0"/>
        <w:pageBreakBefore w:val="0"/>
        <w:widowControl w:val="0"/>
        <w:kinsoku/>
        <w:wordWrap/>
        <w:overflowPunct/>
        <w:topLinePunct w:val="0"/>
        <w:bidi w:val="0"/>
        <w:snapToGrid/>
        <w:ind w:firstLine="0" w:firstLineChars="0"/>
        <w:jc w:val="center"/>
        <w:rPr>
          <w:rFonts w:hint="default" w:ascii="Times New Roman" w:hAnsi="Times New Roman" w:cs="Times New Roman"/>
          <w:color w:val="auto"/>
          <w:szCs w:val="21"/>
        </w:rPr>
        <w:sectPr>
          <w:headerReference r:id="rId5" w:type="default"/>
          <w:pgSz w:w="11905" w:h="16838"/>
          <w:pgMar w:top="1417" w:right="1134" w:bottom="1134" w:left="1587" w:header="850" w:footer="992" w:gutter="0"/>
          <w:pgBorders>
            <w:top w:val="none" w:sz="0" w:space="0"/>
            <w:left w:val="none" w:sz="0" w:space="0"/>
            <w:bottom w:val="none" w:sz="0" w:space="0"/>
            <w:right w:val="none" w:sz="0" w:space="0"/>
          </w:pgBorders>
          <w:pgNumType w:start="1"/>
          <w:cols w:space="0" w:num="1"/>
          <w:rtlGutter w:val="0"/>
          <w:docGrid w:type="lines" w:linePitch="386" w:charSpace="0"/>
        </w:sectPr>
      </w:pPr>
      <w:r>
        <w:rPr>
          <w:rFonts w:hint="default" w:ascii="Times New Roman" w:hAnsi="Times New Roman" w:cs="Times New Roman"/>
          <w:color w:val="auto"/>
          <w:szCs w:val="21"/>
        </w:rPr>
        <w:t>（安全评价机构公章）</w:t>
      </w:r>
    </w:p>
    <w:p w14:paraId="529CAB90">
      <w:pPr>
        <w:spacing w:line="360" w:lineRule="auto"/>
        <w:jc w:val="center"/>
        <w:rPr>
          <w:rFonts w:hint="default" w:ascii="Times New Roman" w:hAnsi="Times New Roman" w:cs="Times New Roman"/>
          <w:b/>
          <w:bCs/>
          <w:color w:val="auto"/>
          <w:sz w:val="32"/>
        </w:rPr>
      </w:pPr>
      <w:r>
        <w:rPr>
          <w:rFonts w:hint="default" w:ascii="Times New Roman" w:hAnsi="Times New Roman" w:cs="Times New Roman"/>
          <w:b/>
          <w:bCs/>
          <w:color w:val="auto"/>
          <w:sz w:val="32"/>
        </w:rPr>
        <w:t>评价人员</w:t>
      </w:r>
    </w:p>
    <w:tbl>
      <w:tblPr>
        <w:tblStyle w:val="21"/>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140"/>
        <w:gridCol w:w="1387"/>
        <w:gridCol w:w="2434"/>
        <w:gridCol w:w="1746"/>
        <w:gridCol w:w="1594"/>
      </w:tblGrid>
      <w:tr w14:paraId="0A3B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53690D04">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评价单位</w:t>
            </w:r>
          </w:p>
        </w:tc>
        <w:tc>
          <w:tcPr>
            <w:tcW w:w="8301" w:type="dxa"/>
            <w:gridSpan w:val="5"/>
            <w:tcBorders>
              <w:top w:val="single" w:color="auto" w:sz="4" w:space="0"/>
              <w:left w:val="single" w:color="auto" w:sz="4" w:space="0"/>
              <w:bottom w:val="single" w:color="auto" w:sz="4" w:space="0"/>
              <w:right w:val="single" w:color="auto" w:sz="4" w:space="0"/>
            </w:tcBorders>
            <w:noWrap w:val="0"/>
            <w:vAlign w:val="center"/>
          </w:tcPr>
          <w:p w14:paraId="2CCCD5ED">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辽宁诺诚安全科技有限公司</w:t>
            </w:r>
          </w:p>
        </w:tc>
      </w:tr>
      <w:tr w14:paraId="58CC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2264AA72">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项目名称</w:t>
            </w:r>
          </w:p>
        </w:tc>
        <w:tc>
          <w:tcPr>
            <w:tcW w:w="8301" w:type="dxa"/>
            <w:gridSpan w:val="5"/>
            <w:tcBorders>
              <w:top w:val="single" w:color="auto" w:sz="4" w:space="0"/>
              <w:left w:val="single" w:color="auto" w:sz="4" w:space="0"/>
              <w:bottom w:val="single" w:color="auto" w:sz="4" w:space="0"/>
              <w:right w:val="single" w:color="auto" w:sz="4" w:space="0"/>
            </w:tcBorders>
            <w:noWrap w:val="0"/>
            <w:vAlign w:val="center"/>
          </w:tcPr>
          <w:p w14:paraId="4C7509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color w:val="auto"/>
                <w:sz w:val="24"/>
              </w:rPr>
            </w:pPr>
            <w:r>
              <w:rPr>
                <w:rFonts w:hint="eastAsia"/>
                <w:color w:val="auto"/>
                <w:sz w:val="24"/>
              </w:rPr>
              <w:t>寻甸金林钛矿有限公司尾矿处理技改升级建设项目安全预评价</w:t>
            </w:r>
          </w:p>
        </w:tc>
      </w:tr>
      <w:tr w14:paraId="1829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0FE549EF">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评价人员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1C20D3A">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姓  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C27CA31">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专业能力</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1C869E7">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资格证书号</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26C167CC">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从业登记编号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2554414">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签  字</w:t>
            </w:r>
          </w:p>
        </w:tc>
      </w:tr>
      <w:tr w14:paraId="6A31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36316197">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项目负责人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72F177E">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E5F2E75">
            <w:pPr>
              <w:keepNext w:val="0"/>
              <w:keepLines w:val="0"/>
              <w:pageBreakBefore w:val="0"/>
              <w:kinsoku/>
              <w:wordWrap/>
              <w:overflowPunct/>
              <w:topLinePunct w:val="0"/>
              <w:autoSpaceDE/>
              <w:autoSpaceDN/>
              <w:bidi w:val="0"/>
              <w:snapToGrid w:val="0"/>
              <w:spacing w:line="440" w:lineRule="exact"/>
              <w:ind w:firstLine="0" w:firstLineChars="0"/>
              <w:jc w:val="center"/>
              <w:rPr>
                <w:rFonts w:hint="default" w:eastAsia="宋体"/>
                <w:color w:val="auto"/>
                <w:sz w:val="24"/>
                <w:lang w:val="en-US" w:eastAsia="zh-CN"/>
              </w:rPr>
            </w:pPr>
            <w:r>
              <w:rPr>
                <w:rFonts w:hint="eastAsia"/>
                <w:color w:val="auto"/>
                <w:sz w:val="24"/>
                <w:lang w:val="en-US" w:eastAsia="zh-CN"/>
              </w:rPr>
              <w:t>通风</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73E394E">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color w:val="auto"/>
              </w:rPr>
              <w:fldChar w:fldCharType="begin"/>
            </w:r>
            <w:r>
              <w:rPr>
                <w:color w:val="auto"/>
              </w:rPr>
              <w:instrText xml:space="preserve"> HYPERLINK "http://cydj.5anquan.com/Admin/AprySearch/path=/Files/Image/ApryImg/Profession/Edit4239/" \o "http://cydj.5anquan.com/Admin/AprySearch/path=/Files/Image/ApryImg/Profession/Edit4239/" </w:instrText>
            </w:r>
            <w:r>
              <w:rPr>
                <w:color w:val="auto"/>
              </w:rPr>
              <w:fldChar w:fldCharType="separate"/>
            </w:r>
            <w:r>
              <w:rPr>
                <w:rFonts w:hint="eastAsia"/>
                <w:color w:val="auto"/>
                <w:sz w:val="24"/>
              </w:rPr>
              <w:t>S011053000110192003194</w:t>
            </w:r>
            <w:r>
              <w:rPr>
                <w:rFonts w:hint="eastAsia"/>
                <w:color w:val="auto"/>
                <w:sz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39896CD">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3DDEC69D">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31C4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540" w:type="dxa"/>
            <w:vMerge w:val="restart"/>
            <w:tcBorders>
              <w:left w:val="single" w:color="auto" w:sz="4" w:space="0"/>
              <w:right w:val="single" w:color="auto" w:sz="4" w:space="0"/>
            </w:tcBorders>
            <w:noWrap w:val="0"/>
            <w:vAlign w:val="center"/>
          </w:tcPr>
          <w:p w14:paraId="798B6460">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项目组成员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DFDBCF5">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张廷辉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8931D13">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电气</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C896DAF">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1200000000100119</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937E0ED">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009798</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A671763">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29B7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1540" w:type="dxa"/>
            <w:vMerge w:val="continue"/>
            <w:tcBorders>
              <w:left w:val="single" w:color="auto" w:sz="4" w:space="0"/>
              <w:right w:val="single" w:color="auto" w:sz="4" w:space="0"/>
            </w:tcBorders>
            <w:noWrap w:val="0"/>
            <w:vAlign w:val="center"/>
          </w:tcPr>
          <w:p w14:paraId="4E88FCD1">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7D6EE3A">
            <w:pPr>
              <w:keepNext w:val="0"/>
              <w:keepLines w:val="0"/>
              <w:pageBreakBefore w:val="0"/>
              <w:widowControl/>
              <w:suppressLineNumbers w:val="0"/>
              <w:kinsoku/>
              <w:wordWrap/>
              <w:overflowPunct/>
              <w:topLinePunct w:val="0"/>
              <w:autoSpaceDE/>
              <w:autoSpaceDN/>
              <w:bidi w:val="0"/>
              <w:ind w:firstLine="0" w:firstLineChars="0"/>
              <w:jc w:val="center"/>
              <w:rPr>
                <w:rFonts w:hint="default" w:ascii="宋体" w:hAnsi="宋体" w:eastAsia="宋体" w:cs="宋体"/>
                <w:i w:val="0"/>
                <w:iCs w:val="0"/>
                <w:color w:val="auto"/>
                <w:kern w:val="2"/>
                <w:sz w:val="20"/>
                <w:szCs w:val="20"/>
                <w:u w:val="none"/>
                <w:lang w:val="en-US" w:eastAsia="zh-CN" w:bidi="ar-SA"/>
              </w:rPr>
            </w:pPr>
            <w:r>
              <w:rPr>
                <w:rFonts w:hint="eastAsia" w:ascii="Times New Roman" w:hAnsi="Times New Roman" w:eastAsia="宋体"/>
                <w:color w:val="auto"/>
                <w:sz w:val="24"/>
                <w:lang w:val="en-US" w:eastAsia="zh-CN"/>
              </w:rPr>
              <w:t>李欣泽</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06224F0">
            <w:pPr>
              <w:keepNext w:val="0"/>
              <w:keepLines w:val="0"/>
              <w:pageBreakBefore w:val="0"/>
              <w:kinsoku/>
              <w:wordWrap/>
              <w:overflowPunct/>
              <w:topLinePunct w:val="0"/>
              <w:autoSpaceDE/>
              <w:autoSpaceDN/>
              <w:bidi w:val="0"/>
              <w:spacing w:line="440" w:lineRule="exact"/>
              <w:ind w:firstLine="0" w:firstLineChars="0"/>
              <w:jc w:val="center"/>
              <w:rPr>
                <w:color w:val="auto"/>
                <w:sz w:val="24"/>
              </w:rPr>
            </w:pPr>
            <w:r>
              <w:rPr>
                <w:rFonts w:hint="eastAsia"/>
                <w:color w:val="auto"/>
                <w:sz w:val="24"/>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E4FCB0F">
            <w:pPr>
              <w:keepNext w:val="0"/>
              <w:keepLines w:val="0"/>
              <w:pageBreakBefore w:val="0"/>
              <w:kinsoku/>
              <w:wordWrap/>
              <w:overflowPunct/>
              <w:topLinePunct w:val="0"/>
              <w:autoSpaceDE/>
              <w:autoSpaceDN/>
              <w:bidi w:val="0"/>
              <w:spacing w:line="440" w:lineRule="exact"/>
              <w:ind w:firstLine="0" w:firstLineChars="0"/>
              <w:jc w:val="center"/>
              <w:rPr>
                <w:rFonts w:hint="default" w:eastAsia="宋体"/>
                <w:color w:val="auto"/>
                <w:sz w:val="24"/>
                <w:lang w:val="en-US" w:eastAsia="zh-CN"/>
              </w:rPr>
            </w:pPr>
            <w:r>
              <w:rPr>
                <w:rFonts w:hint="eastAsia"/>
                <w:color w:val="auto"/>
                <w:sz w:val="24"/>
                <w:lang w:val="en-US" w:eastAsia="zh-CN"/>
              </w:rPr>
              <w:t>1600000000200299</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0F22F40">
            <w:pPr>
              <w:keepNext w:val="0"/>
              <w:keepLines w:val="0"/>
              <w:pageBreakBefore w:val="0"/>
              <w:kinsoku/>
              <w:wordWrap/>
              <w:overflowPunct/>
              <w:topLinePunct w:val="0"/>
              <w:autoSpaceDE/>
              <w:autoSpaceDN/>
              <w:bidi w:val="0"/>
              <w:snapToGrid w:val="0"/>
              <w:spacing w:line="440" w:lineRule="exact"/>
              <w:ind w:firstLine="0" w:firstLineChars="0"/>
              <w:jc w:val="center"/>
              <w:rPr>
                <w:rFonts w:hint="default" w:eastAsia="宋体"/>
                <w:color w:val="auto"/>
                <w:sz w:val="24"/>
                <w:lang w:val="en-US" w:eastAsia="zh-CN"/>
              </w:rPr>
            </w:pPr>
            <w:r>
              <w:rPr>
                <w:rFonts w:hint="eastAsia"/>
                <w:color w:val="auto"/>
                <w:sz w:val="24"/>
                <w:lang w:val="en-US" w:eastAsia="zh-CN"/>
              </w:rPr>
              <w:t>019600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ABF76EB">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67AE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vMerge w:val="continue"/>
            <w:tcBorders>
              <w:left w:val="single" w:color="auto" w:sz="4" w:space="0"/>
              <w:right w:val="single" w:color="auto" w:sz="4" w:space="0"/>
            </w:tcBorders>
            <w:noWrap w:val="0"/>
            <w:vAlign w:val="center"/>
          </w:tcPr>
          <w:p w14:paraId="23FFE151">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0DA20E2">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李金明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C425E40">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机械</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259B86D2">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S011021000110193000605</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64660A4">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037257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D3705C7">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4D17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vMerge w:val="continue"/>
            <w:tcBorders>
              <w:left w:val="single" w:color="auto" w:sz="4" w:space="0"/>
              <w:right w:val="single" w:color="auto" w:sz="4" w:space="0"/>
            </w:tcBorders>
            <w:noWrap w:val="0"/>
            <w:vAlign w:val="center"/>
          </w:tcPr>
          <w:p w14:paraId="16727E68">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DC5FC2A">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428D905">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采矿</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BBE6296">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S011053000110203001658</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4E5BB0B0">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2D1BD70">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47F2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540" w:type="dxa"/>
            <w:vMerge w:val="continue"/>
            <w:tcBorders>
              <w:left w:val="single" w:color="auto" w:sz="4" w:space="0"/>
              <w:right w:val="single" w:color="auto" w:sz="4" w:space="0"/>
            </w:tcBorders>
            <w:noWrap w:val="0"/>
            <w:vAlign w:val="center"/>
          </w:tcPr>
          <w:p w14:paraId="14666512">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46A6465">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杨  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BD68251">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水工结构</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227EF7D">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color w:val="auto"/>
              </w:rPr>
              <w:fldChar w:fldCharType="begin"/>
            </w:r>
            <w:r>
              <w:rPr>
                <w:color w:val="auto"/>
              </w:rPr>
              <w:instrText xml:space="preserve"> HYPERLINK "http://cydj.5anquan.com/Admin/AprySearch/path=/Files/Image/ApryImg/Profession/Edit9607/" \o "http://cydj.5anquan.com/Admin/AprySearch/path=/Files/Image/ApryImg/Profession/Edit9607/" </w:instrText>
            </w:r>
            <w:r>
              <w:rPr>
                <w:color w:val="auto"/>
              </w:rPr>
              <w:fldChar w:fldCharType="separate"/>
            </w:r>
            <w:r>
              <w:rPr>
                <w:rFonts w:hint="eastAsia"/>
                <w:color w:val="auto"/>
                <w:sz w:val="24"/>
              </w:rPr>
              <w:t>1100000000302455</w:t>
            </w:r>
            <w:r>
              <w:rPr>
                <w:rFonts w:hint="eastAsia"/>
                <w:color w:val="auto"/>
                <w:sz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21B9DA2F">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020433</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30D432D">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32A6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540" w:type="dxa"/>
            <w:vMerge w:val="continue"/>
            <w:tcBorders>
              <w:left w:val="single" w:color="auto" w:sz="4" w:space="0"/>
              <w:right w:val="single" w:color="auto" w:sz="4" w:space="0"/>
            </w:tcBorders>
            <w:noWrap w:val="0"/>
            <w:vAlign w:val="center"/>
          </w:tcPr>
          <w:p w14:paraId="14C2672A">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5094EAC">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王英楠</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9AF2C34">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地质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0C195CB">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1100000000302557</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3EF7F969">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020437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11FF17B6">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384E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vMerge w:val="restart"/>
            <w:tcBorders>
              <w:top w:val="single" w:color="auto" w:sz="4" w:space="0"/>
              <w:left w:val="single" w:color="auto" w:sz="4" w:space="0"/>
              <w:right w:val="single" w:color="auto" w:sz="4" w:space="0"/>
            </w:tcBorders>
            <w:noWrap w:val="0"/>
            <w:vAlign w:val="center"/>
          </w:tcPr>
          <w:p w14:paraId="1B7242CD">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报告编制人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90B7E58">
            <w:pPr>
              <w:keepNext w:val="0"/>
              <w:keepLines w:val="0"/>
              <w:pageBreakBefore w:val="0"/>
              <w:kinsoku/>
              <w:wordWrap/>
              <w:overflowPunct/>
              <w:topLinePunct w:val="0"/>
              <w:autoSpaceDE/>
              <w:autoSpaceDN/>
              <w:bidi w:val="0"/>
              <w:snapToGrid w:val="0"/>
              <w:spacing w:line="440" w:lineRule="exact"/>
              <w:ind w:firstLine="0" w:firstLineChars="0"/>
              <w:jc w:val="center"/>
              <w:rPr>
                <w:rFonts w:ascii="宋体" w:hAnsi="宋体" w:cs="宋体"/>
                <w:color w:val="auto"/>
                <w:sz w:val="24"/>
              </w:rPr>
            </w:pPr>
            <w:r>
              <w:rPr>
                <w:rFonts w:hint="eastAsia"/>
                <w:color w:val="auto"/>
                <w:sz w:val="24"/>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903C808">
            <w:pPr>
              <w:keepNext w:val="0"/>
              <w:keepLines w:val="0"/>
              <w:pageBreakBefore w:val="0"/>
              <w:kinsoku/>
              <w:wordWrap/>
              <w:overflowPunct/>
              <w:topLinePunct w:val="0"/>
              <w:autoSpaceDE/>
              <w:autoSpaceDN/>
              <w:bidi w:val="0"/>
              <w:snapToGrid w:val="0"/>
              <w:spacing w:line="440" w:lineRule="exact"/>
              <w:ind w:firstLine="0" w:firstLineChars="0"/>
              <w:jc w:val="center"/>
              <w:rPr>
                <w:rFonts w:hint="default" w:ascii="宋体" w:hAnsi="宋体" w:eastAsia="宋体" w:cs="宋体"/>
                <w:color w:val="auto"/>
                <w:sz w:val="24"/>
                <w:lang w:val="en-US" w:eastAsia="zh-CN"/>
              </w:rPr>
            </w:pPr>
            <w:r>
              <w:rPr>
                <w:rFonts w:hint="eastAsia"/>
                <w:color w:val="auto"/>
                <w:sz w:val="24"/>
                <w:lang w:val="en-US" w:eastAsia="zh-CN"/>
              </w:rPr>
              <w:t>通风</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5D454D4C">
            <w:pPr>
              <w:keepNext w:val="0"/>
              <w:keepLines w:val="0"/>
              <w:pageBreakBefore w:val="0"/>
              <w:kinsoku/>
              <w:wordWrap/>
              <w:overflowPunct/>
              <w:topLinePunct w:val="0"/>
              <w:autoSpaceDE/>
              <w:autoSpaceDN/>
              <w:bidi w:val="0"/>
              <w:snapToGrid w:val="0"/>
              <w:spacing w:line="440" w:lineRule="exact"/>
              <w:ind w:firstLine="0" w:firstLineChars="0"/>
              <w:jc w:val="center"/>
              <w:rPr>
                <w:rFonts w:ascii="宋体" w:hAnsi="宋体" w:cs="宋体"/>
                <w:color w:val="auto"/>
                <w:sz w:val="24"/>
                <w:lang w:val="zh-CN"/>
              </w:rPr>
            </w:pPr>
            <w:r>
              <w:rPr>
                <w:color w:val="auto"/>
              </w:rPr>
              <w:fldChar w:fldCharType="begin"/>
            </w:r>
            <w:r>
              <w:rPr>
                <w:color w:val="auto"/>
              </w:rPr>
              <w:instrText xml:space="preserve"> HYPERLINK "http://cydj.5anquan.com/Admin/AprySearch/path=/Files/Image/ApryImg/Profession/Edit4239/" \o "http://cydj.5anquan.com/Admin/AprySearch/path=/Files/Image/ApryImg/Profession/Edit4239/" </w:instrText>
            </w:r>
            <w:r>
              <w:rPr>
                <w:color w:val="auto"/>
              </w:rPr>
              <w:fldChar w:fldCharType="separate"/>
            </w:r>
            <w:r>
              <w:rPr>
                <w:rFonts w:hint="eastAsia"/>
                <w:color w:val="auto"/>
                <w:sz w:val="24"/>
              </w:rPr>
              <w:t>S011053000110192003194</w:t>
            </w:r>
            <w:r>
              <w:rPr>
                <w:rFonts w:hint="eastAsia"/>
                <w:color w:val="auto"/>
                <w:sz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5ACF94B6">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397168C">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09FB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vMerge w:val="continue"/>
            <w:tcBorders>
              <w:left w:val="single" w:color="auto" w:sz="4" w:space="0"/>
              <w:bottom w:val="single" w:color="auto" w:sz="4" w:space="0"/>
              <w:right w:val="single" w:color="auto" w:sz="4" w:space="0"/>
            </w:tcBorders>
            <w:noWrap w:val="0"/>
            <w:vAlign w:val="center"/>
          </w:tcPr>
          <w:p w14:paraId="56D9167F">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DF7CD69">
            <w:pPr>
              <w:keepNext w:val="0"/>
              <w:keepLines w:val="0"/>
              <w:pageBreakBefore w:val="0"/>
              <w:kinsoku/>
              <w:wordWrap/>
              <w:overflowPunct/>
              <w:topLinePunct w:val="0"/>
              <w:autoSpaceDE/>
              <w:autoSpaceDN/>
              <w:bidi w:val="0"/>
              <w:snapToGrid w:val="0"/>
              <w:spacing w:line="440" w:lineRule="exact"/>
              <w:ind w:firstLine="0" w:firstLineChars="0"/>
              <w:jc w:val="center"/>
              <w:rPr>
                <w:rFonts w:ascii="宋体" w:hAnsi="宋体" w:cs="宋体"/>
                <w:color w:val="auto"/>
                <w:sz w:val="24"/>
              </w:rPr>
            </w:pPr>
            <w:r>
              <w:rPr>
                <w:rFonts w:hint="eastAsia"/>
                <w:color w:val="auto"/>
                <w:sz w:val="24"/>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B020869">
            <w:pPr>
              <w:keepNext w:val="0"/>
              <w:keepLines w:val="0"/>
              <w:pageBreakBefore w:val="0"/>
              <w:kinsoku/>
              <w:wordWrap/>
              <w:overflowPunct/>
              <w:topLinePunct w:val="0"/>
              <w:autoSpaceDE/>
              <w:autoSpaceDN/>
              <w:bidi w:val="0"/>
              <w:snapToGrid w:val="0"/>
              <w:spacing w:line="440" w:lineRule="exact"/>
              <w:ind w:firstLine="0" w:firstLineChars="0"/>
              <w:jc w:val="center"/>
              <w:rPr>
                <w:rFonts w:ascii="宋体" w:hAnsi="宋体" w:cs="宋体"/>
                <w:color w:val="auto"/>
                <w:sz w:val="24"/>
              </w:rPr>
            </w:pPr>
            <w:r>
              <w:rPr>
                <w:rFonts w:hint="eastAsia"/>
                <w:color w:val="auto"/>
                <w:sz w:val="24"/>
              </w:rPr>
              <w:t>采矿</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2CD1F64A">
            <w:pPr>
              <w:keepNext w:val="0"/>
              <w:keepLines w:val="0"/>
              <w:pageBreakBefore w:val="0"/>
              <w:kinsoku/>
              <w:wordWrap/>
              <w:overflowPunct/>
              <w:topLinePunct w:val="0"/>
              <w:autoSpaceDE/>
              <w:autoSpaceDN/>
              <w:bidi w:val="0"/>
              <w:snapToGrid w:val="0"/>
              <w:spacing w:line="440" w:lineRule="exact"/>
              <w:ind w:firstLine="0" w:firstLineChars="0"/>
              <w:jc w:val="center"/>
              <w:rPr>
                <w:rFonts w:ascii="宋体" w:hAnsi="宋体" w:cs="宋体"/>
                <w:color w:val="auto"/>
                <w:sz w:val="24"/>
              </w:rPr>
            </w:pPr>
            <w:r>
              <w:rPr>
                <w:rFonts w:hint="eastAsia"/>
                <w:color w:val="auto"/>
                <w:sz w:val="24"/>
              </w:rPr>
              <w:t>S011053000110203001658</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5EEDC31">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49B27E01">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0A07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2305D457">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报告审核人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AE7119F">
            <w:pPr>
              <w:keepNext w:val="0"/>
              <w:keepLines w:val="0"/>
              <w:pageBreakBefore w:val="0"/>
              <w:kinsoku/>
              <w:wordWrap/>
              <w:overflowPunct/>
              <w:topLinePunct w:val="0"/>
              <w:autoSpaceDE/>
              <w:autoSpaceDN/>
              <w:bidi w:val="0"/>
              <w:snapToGrid w:val="0"/>
              <w:spacing w:line="440" w:lineRule="exact"/>
              <w:ind w:firstLine="0" w:firstLineChars="0"/>
              <w:jc w:val="center"/>
              <w:rPr>
                <w:rFonts w:ascii="宋体" w:hAnsi="宋体" w:cs="宋体"/>
                <w:color w:val="auto"/>
                <w:sz w:val="24"/>
                <w:lang w:val="zh-CN"/>
              </w:rPr>
            </w:pPr>
            <w:r>
              <w:rPr>
                <w:rFonts w:hint="eastAsia" w:ascii="宋体" w:hAnsi="宋体" w:cs="宋体"/>
                <w:color w:val="auto"/>
                <w:sz w:val="24"/>
              </w:rPr>
              <w:t>李  超</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7878A6A">
            <w:pPr>
              <w:keepNext w:val="0"/>
              <w:keepLines w:val="0"/>
              <w:pageBreakBefore w:val="0"/>
              <w:kinsoku/>
              <w:wordWrap/>
              <w:overflowPunct/>
              <w:topLinePunct w:val="0"/>
              <w:autoSpaceDE/>
              <w:autoSpaceDN/>
              <w:bidi w:val="0"/>
              <w:snapToGrid w:val="0"/>
              <w:spacing w:line="440" w:lineRule="exact"/>
              <w:ind w:firstLine="0" w:firstLineChars="0"/>
              <w:jc w:val="center"/>
              <w:rPr>
                <w:rFonts w:ascii="宋体" w:hAnsi="宋体" w:cs="宋体"/>
                <w:color w:val="auto"/>
                <w:sz w:val="24"/>
              </w:rPr>
            </w:pPr>
            <w:r>
              <w:rPr>
                <w:rFonts w:hint="eastAsia" w:ascii="宋体" w:hAnsi="宋体" w:cs="宋体"/>
                <w:color w:val="auto"/>
                <w:sz w:val="24"/>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C88A048">
            <w:pPr>
              <w:keepNext w:val="0"/>
              <w:keepLines w:val="0"/>
              <w:pageBreakBefore w:val="0"/>
              <w:kinsoku/>
              <w:wordWrap/>
              <w:overflowPunct/>
              <w:topLinePunct w:val="0"/>
              <w:autoSpaceDE/>
              <w:autoSpaceDN/>
              <w:bidi w:val="0"/>
              <w:snapToGrid w:val="0"/>
              <w:spacing w:line="440" w:lineRule="exact"/>
              <w:ind w:firstLine="0" w:firstLineChars="0"/>
              <w:jc w:val="center"/>
              <w:rPr>
                <w:rFonts w:ascii="宋体" w:hAnsi="宋体" w:cs="宋体"/>
                <w:color w:val="auto"/>
                <w:sz w:val="24"/>
                <w:lang w:val="zh-CN"/>
              </w:rPr>
            </w:pPr>
            <w:r>
              <w:rPr>
                <w:rFonts w:hint="eastAsia" w:ascii="宋体" w:hAnsi="宋体" w:cs="宋体"/>
                <w:color w:val="auto"/>
                <w:sz w:val="24"/>
              </w:rPr>
              <w:t>S011021000110202000521</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18639081">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041289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3FB87FDD">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09D9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5DCB668E">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过程控制</w:t>
            </w:r>
          </w:p>
          <w:p w14:paraId="59E1294A">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750728E">
            <w:pPr>
              <w:keepNext w:val="0"/>
              <w:keepLines w:val="0"/>
              <w:pageBreakBefore w:val="0"/>
              <w:kinsoku/>
              <w:wordWrap/>
              <w:overflowPunct/>
              <w:topLinePunct w:val="0"/>
              <w:autoSpaceDE/>
              <w:autoSpaceDN/>
              <w:bidi w:val="0"/>
              <w:snapToGrid w:val="0"/>
              <w:spacing w:line="440" w:lineRule="exact"/>
              <w:ind w:firstLine="0" w:firstLineChars="0"/>
              <w:jc w:val="center"/>
              <w:rPr>
                <w:rFonts w:hint="eastAsia" w:eastAsia="宋体"/>
                <w:color w:val="auto"/>
                <w:sz w:val="24"/>
                <w:lang w:val="zh-CN" w:eastAsia="zh-CN"/>
              </w:rPr>
            </w:pPr>
            <w:r>
              <w:rPr>
                <w:rFonts w:hint="eastAsia"/>
                <w:color w:val="auto"/>
                <w:sz w:val="24"/>
                <w:lang w:val="en-US" w:eastAsia="zh-CN"/>
              </w:rPr>
              <w:t>吴家辉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37D061C">
            <w:pPr>
              <w:keepNext w:val="0"/>
              <w:keepLines w:val="0"/>
              <w:pageBreakBefore w:val="0"/>
              <w:kinsoku/>
              <w:wordWrap/>
              <w:overflowPunct/>
              <w:topLinePunct w:val="0"/>
              <w:autoSpaceDE/>
              <w:autoSpaceDN/>
              <w:bidi w:val="0"/>
              <w:snapToGrid w:val="0"/>
              <w:spacing w:line="440" w:lineRule="exact"/>
              <w:ind w:firstLine="0" w:firstLineChars="0"/>
              <w:jc w:val="center"/>
              <w:rPr>
                <w:rFonts w:hint="eastAsia" w:eastAsia="宋体"/>
                <w:color w:val="auto"/>
                <w:sz w:val="24"/>
                <w:lang w:eastAsia="zh-CN"/>
              </w:rPr>
            </w:pPr>
            <w:r>
              <w:rPr>
                <w:rFonts w:hint="eastAsia"/>
                <w:color w:val="auto"/>
                <w:sz w:val="24"/>
                <w:lang w:val="en-US" w:eastAsia="zh-CN"/>
              </w:rPr>
              <w:t>/</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5FBB59CF">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lang w:val="zh-CN"/>
              </w:rPr>
              <w:t>CAWS210000230300034</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1631077B">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lang w:val="zh-CN"/>
              </w:rPr>
            </w:pPr>
            <w:r>
              <w:rPr>
                <w:rFonts w:hint="eastAsia"/>
                <w:color w:val="auto"/>
                <w:sz w:val="24"/>
              </w:rPr>
              <w:t>043015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0B7BE8F">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r w14:paraId="29D4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6B00341D">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技术负责人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43C6098">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李在永</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D754E68">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采矿</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2E9D9A95">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S011021000110201000315</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976F54C">
            <w:pPr>
              <w:keepNext w:val="0"/>
              <w:keepLines w:val="0"/>
              <w:pageBreakBefore w:val="0"/>
              <w:kinsoku/>
              <w:wordWrap/>
              <w:overflowPunct/>
              <w:topLinePunct w:val="0"/>
              <w:autoSpaceDE/>
              <w:autoSpaceDN/>
              <w:bidi w:val="0"/>
              <w:snapToGrid w:val="0"/>
              <w:spacing w:line="440" w:lineRule="exact"/>
              <w:ind w:firstLine="0" w:firstLineChars="0"/>
              <w:jc w:val="center"/>
              <w:rPr>
                <w:color w:val="auto"/>
                <w:sz w:val="24"/>
              </w:rPr>
            </w:pPr>
            <w:r>
              <w:rPr>
                <w:rFonts w:hint="eastAsia"/>
                <w:color w:val="auto"/>
                <w:sz w:val="24"/>
              </w:rPr>
              <w:t>019609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BD83F64">
            <w:pPr>
              <w:keepNext w:val="0"/>
              <w:keepLines w:val="0"/>
              <w:pageBreakBefore w:val="0"/>
              <w:kinsoku/>
              <w:wordWrap/>
              <w:overflowPunct/>
              <w:topLinePunct w:val="0"/>
              <w:autoSpaceDE/>
              <w:autoSpaceDN/>
              <w:bidi w:val="0"/>
              <w:spacing w:line="440" w:lineRule="exact"/>
              <w:ind w:firstLine="0" w:firstLineChars="0"/>
              <w:jc w:val="center"/>
              <w:rPr>
                <w:color w:val="auto"/>
                <w:sz w:val="24"/>
              </w:rPr>
            </w:pPr>
          </w:p>
        </w:tc>
      </w:tr>
    </w:tbl>
    <w:p w14:paraId="68073D31">
      <w:pPr>
        <w:tabs>
          <w:tab w:val="center" w:pos="4592"/>
        </w:tabs>
        <w:jc w:val="left"/>
        <w:rPr>
          <w:rFonts w:hint="default" w:ascii="Times New Roman" w:hAnsi="Times New Roman" w:cs="Times New Roman"/>
          <w:color w:val="auto"/>
          <w:szCs w:val="21"/>
        </w:rPr>
        <w:sectPr>
          <w:headerReference r:id="rId6" w:type="default"/>
          <w:footerReference r:id="rId7" w:type="default"/>
          <w:pgSz w:w="11905" w:h="16838"/>
          <w:pgMar w:top="1417" w:right="1134" w:bottom="1134" w:left="1587" w:header="850" w:footer="992" w:gutter="0"/>
          <w:pgBorders>
            <w:top w:val="none" w:sz="0" w:space="0"/>
            <w:left w:val="none" w:sz="0" w:space="0"/>
            <w:bottom w:val="none" w:sz="0" w:space="0"/>
            <w:right w:val="none" w:sz="0" w:space="0"/>
          </w:pgBorders>
          <w:pgNumType w:start="1"/>
          <w:cols w:space="0" w:num="1"/>
          <w:rtlGutter w:val="0"/>
          <w:docGrid w:type="lines" w:linePitch="386" w:charSpace="0"/>
        </w:sectPr>
      </w:pPr>
    </w:p>
    <w:p w14:paraId="30494CA8">
      <w:pPr>
        <w:keepNext w:val="0"/>
        <w:keepLines w:val="0"/>
        <w:pageBreakBefore w:val="0"/>
        <w:widowControl w:val="0"/>
        <w:kinsoku/>
        <w:wordWrap/>
        <w:overflowPunct/>
        <w:topLinePunct w:val="0"/>
        <w:autoSpaceDE/>
        <w:autoSpaceDN/>
        <w:bidi w:val="0"/>
        <w:adjustRightInd/>
        <w:snapToGrid/>
        <w:ind w:firstLine="0" w:firstLineChars="0"/>
        <w:jc w:val="center"/>
        <w:rPr>
          <w:rFonts w:hint="default" w:eastAsia="黑体"/>
          <w:color w:val="auto"/>
          <w:sz w:val="32"/>
          <w:lang w:val="en-US" w:eastAsia="zh-CN"/>
        </w:rPr>
      </w:pPr>
      <w:r>
        <w:rPr>
          <w:rFonts w:hint="default" w:eastAsia="黑体"/>
          <w:color w:val="auto"/>
          <w:sz w:val="32"/>
          <w:lang w:val="en-US" w:eastAsia="zh-CN"/>
        </w:rPr>
        <w:t>前言</w:t>
      </w:r>
    </w:p>
    <w:p w14:paraId="0EB90D08">
      <w:pPr>
        <w:bidi w:val="0"/>
        <w:rPr>
          <w:rFonts w:hint="default"/>
          <w:color w:val="auto"/>
          <w:lang w:val="en-US" w:eastAsia="zh-CN"/>
        </w:rPr>
      </w:pPr>
      <w:r>
        <w:rPr>
          <w:rFonts w:hint="eastAsia"/>
          <w:color w:val="auto"/>
          <w:lang w:val="en-US" w:eastAsia="zh-CN"/>
        </w:rPr>
        <w:t>“</w:t>
      </w:r>
      <w:r>
        <w:rPr>
          <w:rFonts w:hint="default"/>
          <w:color w:val="auto"/>
          <w:lang w:val="en-US" w:eastAsia="zh-CN"/>
        </w:rPr>
        <w:t>安全第一、预防为主、综合治理</w:t>
      </w:r>
      <w:r>
        <w:rPr>
          <w:rFonts w:hint="eastAsia"/>
          <w:color w:val="auto"/>
          <w:lang w:val="en-US" w:eastAsia="zh-CN"/>
        </w:rPr>
        <w:t>”</w:t>
      </w:r>
      <w:r>
        <w:rPr>
          <w:rFonts w:hint="default"/>
          <w:color w:val="auto"/>
          <w:lang w:val="en-US" w:eastAsia="zh-CN"/>
        </w:rPr>
        <w:t>是我们党和国家始终不渝的安全生产方针。各行各业开展安全评价正是突出</w:t>
      </w:r>
      <w:r>
        <w:rPr>
          <w:rFonts w:hint="eastAsia"/>
          <w:color w:val="auto"/>
          <w:lang w:val="en-US" w:eastAsia="zh-CN"/>
        </w:rPr>
        <w:t>“</w:t>
      </w:r>
      <w:r>
        <w:rPr>
          <w:rFonts w:hint="default"/>
          <w:color w:val="auto"/>
          <w:lang w:val="en-US" w:eastAsia="zh-CN"/>
        </w:rPr>
        <w:t>安全第一</w:t>
      </w:r>
      <w:r>
        <w:rPr>
          <w:rFonts w:hint="eastAsia"/>
          <w:color w:val="auto"/>
          <w:lang w:val="en-US" w:eastAsia="zh-CN"/>
        </w:rPr>
        <w:t>”</w:t>
      </w:r>
      <w:r>
        <w:rPr>
          <w:rFonts w:hint="default"/>
          <w:color w:val="auto"/>
          <w:lang w:val="en-US" w:eastAsia="zh-CN"/>
        </w:rPr>
        <w:t>、体现</w:t>
      </w:r>
      <w:r>
        <w:rPr>
          <w:rFonts w:hint="eastAsia"/>
          <w:color w:val="auto"/>
          <w:lang w:val="en-US" w:eastAsia="zh-CN"/>
        </w:rPr>
        <w:t>“</w:t>
      </w:r>
      <w:r>
        <w:rPr>
          <w:rFonts w:hint="default"/>
          <w:color w:val="auto"/>
          <w:lang w:val="en-US" w:eastAsia="zh-CN"/>
        </w:rPr>
        <w:t>预防为主</w:t>
      </w:r>
      <w:r>
        <w:rPr>
          <w:rFonts w:hint="eastAsia"/>
          <w:color w:val="auto"/>
          <w:lang w:val="en-US" w:eastAsia="zh-CN"/>
        </w:rPr>
        <w:t>”</w:t>
      </w:r>
      <w:r>
        <w:rPr>
          <w:rFonts w:hint="default"/>
          <w:color w:val="auto"/>
          <w:lang w:val="en-US" w:eastAsia="zh-CN"/>
        </w:rPr>
        <w:t>的一项重要工作，是</w:t>
      </w:r>
      <w:r>
        <w:rPr>
          <w:rFonts w:hint="eastAsia"/>
          <w:color w:val="auto"/>
          <w:lang w:val="en-US" w:eastAsia="zh-CN"/>
        </w:rPr>
        <w:t>“</w:t>
      </w:r>
      <w:r>
        <w:rPr>
          <w:rFonts w:hint="default"/>
          <w:color w:val="auto"/>
          <w:lang w:val="en-US" w:eastAsia="zh-CN"/>
        </w:rPr>
        <w:t>安全第一，预防为主</w:t>
      </w:r>
      <w:r>
        <w:rPr>
          <w:rFonts w:hint="eastAsia"/>
          <w:color w:val="auto"/>
          <w:lang w:val="en-US" w:eastAsia="zh-CN"/>
        </w:rPr>
        <w:t>”</w:t>
      </w:r>
      <w:r>
        <w:rPr>
          <w:rFonts w:hint="default"/>
          <w:color w:val="auto"/>
          <w:lang w:val="en-US" w:eastAsia="zh-CN"/>
        </w:rPr>
        <w:t>方针在安全生产上的具体体现。</w:t>
      </w:r>
    </w:p>
    <w:p w14:paraId="2A395F09">
      <w:pPr>
        <w:bidi w:val="0"/>
        <w:rPr>
          <w:rFonts w:hint="default"/>
          <w:color w:val="auto"/>
          <w:lang w:val="en-US" w:eastAsia="zh-CN"/>
        </w:rPr>
      </w:pPr>
      <w:r>
        <w:rPr>
          <w:rFonts w:hint="default"/>
          <w:color w:val="auto"/>
          <w:lang w:val="en-US" w:eastAsia="zh-CN"/>
        </w:rPr>
        <w:t>《中华人民共和国安全生产法》第三十一条规定：生产经营单位新建、改建、扩建工程项目（以下统称建设项目）的安全设施，必须与主体工程同时设计、同时施工、同时投入生产和使用。安全设施投资应当纳入建设项目概算。根据《中华人民共和国安全生产法》、《建设项目安全设施“三同时”监督管理办法》（原安监总局令第77号修订）等国家有关安全生产法律、法规，寻甸金林钛矿有限公司于202</w:t>
      </w:r>
      <w:r>
        <w:rPr>
          <w:rFonts w:hint="eastAsia"/>
          <w:color w:val="auto"/>
          <w:lang w:val="en-US" w:eastAsia="zh-CN"/>
        </w:rPr>
        <w:t>4</w:t>
      </w:r>
      <w:r>
        <w:rPr>
          <w:rFonts w:hint="default"/>
          <w:color w:val="auto"/>
          <w:lang w:val="en-US" w:eastAsia="zh-CN"/>
        </w:rPr>
        <w:t>年</w:t>
      </w:r>
      <w:r>
        <w:rPr>
          <w:rFonts w:hint="eastAsia"/>
          <w:color w:val="auto"/>
          <w:lang w:val="en-US" w:eastAsia="zh-CN"/>
        </w:rPr>
        <w:t>08</w:t>
      </w:r>
      <w:r>
        <w:rPr>
          <w:rFonts w:hint="default"/>
          <w:color w:val="auto"/>
          <w:lang w:val="en-US" w:eastAsia="zh-CN"/>
        </w:rPr>
        <w:t>月委托昆明赛特拉矿山工程设计有限公司编制了《</w:t>
      </w:r>
      <w:r>
        <w:rPr>
          <w:rFonts w:hint="eastAsia"/>
          <w:color w:val="auto"/>
          <w:lang w:val="en-US" w:eastAsia="zh-CN"/>
        </w:rPr>
        <w:t>寻甸金林钛矿有限公司尾矿处理技改升级建设项目</w:t>
      </w:r>
      <w:r>
        <w:rPr>
          <w:rFonts w:hint="default"/>
          <w:color w:val="auto"/>
          <w:lang w:val="en-US" w:eastAsia="zh-CN"/>
        </w:rPr>
        <w:t>初步设计》。寻甸金林钛矿有限公司尾矿处理技改升级建设项目，需开展安全设施</w:t>
      </w:r>
      <w:r>
        <w:rPr>
          <w:rFonts w:hint="eastAsia"/>
          <w:color w:val="auto"/>
          <w:lang w:val="en-US" w:eastAsia="zh-CN"/>
        </w:rPr>
        <w:t>“</w:t>
      </w:r>
      <w:r>
        <w:rPr>
          <w:rFonts w:hint="default"/>
          <w:color w:val="auto"/>
          <w:lang w:val="en-US" w:eastAsia="zh-CN"/>
        </w:rPr>
        <w:t>三同时</w:t>
      </w:r>
      <w:r>
        <w:rPr>
          <w:rFonts w:hint="eastAsia"/>
          <w:color w:val="auto"/>
          <w:lang w:val="en-US" w:eastAsia="zh-CN"/>
        </w:rPr>
        <w:t>”</w:t>
      </w:r>
      <w:r>
        <w:rPr>
          <w:rFonts w:hint="default"/>
          <w:color w:val="auto"/>
          <w:lang w:val="en-US" w:eastAsia="zh-CN"/>
        </w:rPr>
        <w:t>工作。</w:t>
      </w:r>
    </w:p>
    <w:p w14:paraId="497B1AA8">
      <w:pPr>
        <w:bidi w:val="0"/>
        <w:rPr>
          <w:rFonts w:hint="default"/>
          <w:color w:val="auto"/>
          <w:lang w:val="en-US" w:eastAsia="zh-CN"/>
        </w:rPr>
      </w:pPr>
      <w:r>
        <w:rPr>
          <w:rFonts w:hint="default"/>
          <w:color w:val="auto"/>
          <w:lang w:val="en-US" w:eastAsia="zh-CN"/>
        </w:rPr>
        <w:t>根据《中华人民共和国安全生产法》（中华人民共和国主席令[2021]第88号修订，2021年9月1日实施）、《建设项目安全设施</w:t>
      </w:r>
      <w:r>
        <w:rPr>
          <w:rFonts w:hint="eastAsia"/>
          <w:color w:val="auto"/>
          <w:lang w:val="en-US" w:eastAsia="zh-CN"/>
        </w:rPr>
        <w:t>“</w:t>
      </w:r>
      <w:r>
        <w:rPr>
          <w:rFonts w:hint="default"/>
          <w:color w:val="auto"/>
          <w:lang w:val="en-US" w:eastAsia="zh-CN"/>
        </w:rPr>
        <w:t>三同时</w:t>
      </w:r>
      <w:r>
        <w:rPr>
          <w:rFonts w:hint="eastAsia"/>
          <w:color w:val="auto"/>
          <w:lang w:val="en-US" w:eastAsia="zh-CN"/>
        </w:rPr>
        <w:t>”</w:t>
      </w:r>
      <w:r>
        <w:rPr>
          <w:rFonts w:hint="default"/>
          <w:color w:val="auto"/>
          <w:lang w:val="en-US" w:eastAsia="zh-CN"/>
        </w:rPr>
        <w:t>监督管理办法》（原国家安全监管总局令第77号修订，2015年5月1日实施）等国家有关安全生产法律、法规，受寻甸金林钛矿有限公司的委托，辽宁诺诚安全科技有限公司承担了寻甸金林钛矿有限公司尾矿处理技改升级建设项目安全预评价工作。</w:t>
      </w:r>
    </w:p>
    <w:p w14:paraId="20B7C668">
      <w:pPr>
        <w:bidi w:val="0"/>
        <w:rPr>
          <w:rFonts w:hint="default"/>
          <w:color w:val="auto"/>
          <w:lang w:val="en-US" w:eastAsia="zh-CN"/>
        </w:rPr>
      </w:pPr>
      <w:r>
        <w:rPr>
          <w:rFonts w:hint="default"/>
          <w:color w:val="auto"/>
          <w:lang w:val="en-US" w:eastAsia="zh-CN"/>
        </w:rPr>
        <w:t>在接受寻甸金林钛矿有限公司尾矿处理技改升级建设项目安全评价工作的委托之后，辽宁诺诚安全科技有限公司立即组成安全评价组投入项目安全预评价工作。评价组于2024年0</w:t>
      </w:r>
      <w:r>
        <w:rPr>
          <w:rFonts w:hint="eastAsia"/>
          <w:color w:val="auto"/>
          <w:lang w:val="en-US" w:eastAsia="zh-CN"/>
        </w:rPr>
        <w:t>7</w:t>
      </w:r>
      <w:r>
        <w:rPr>
          <w:rFonts w:hint="default"/>
          <w:color w:val="auto"/>
          <w:lang w:val="en-US" w:eastAsia="zh-CN"/>
        </w:rPr>
        <w:t>月2</w:t>
      </w:r>
      <w:r>
        <w:rPr>
          <w:rFonts w:hint="eastAsia"/>
          <w:color w:val="auto"/>
          <w:lang w:val="en-US" w:eastAsia="zh-CN"/>
        </w:rPr>
        <w:t>6</w:t>
      </w:r>
      <w:r>
        <w:rPr>
          <w:rFonts w:hint="default"/>
          <w:color w:val="auto"/>
          <w:lang w:val="en-US" w:eastAsia="zh-CN"/>
        </w:rPr>
        <w:t>日进场对寻甸金林钛矿有限公司尾矿处理技改升级建设项目进行初步现场调查和资料收集工作。评价组在系统调查分析的基础上，对照国家或行业有关安全法律法规、标准和规范，对该项目及项目初步设计涉及的危险、有害因素进行分析和评价，采用可靠、适用的评价方法对项目进行安全预评价，得出评价结论，并提出科学、合理、可行的安全技术和管理措施，为该项目建设生产提供依据，最后编制成《寻甸金林钛矿有限公司尾矿处理技改升级建设项目安全预评价报告》。</w:t>
      </w:r>
    </w:p>
    <w:p w14:paraId="402F084E">
      <w:pPr>
        <w:bidi w:val="0"/>
        <w:rPr>
          <w:rFonts w:hint="default"/>
          <w:color w:val="auto"/>
          <w:lang w:val="en-US" w:eastAsia="zh-CN"/>
        </w:rPr>
      </w:pPr>
      <w:r>
        <w:rPr>
          <w:rFonts w:hint="default"/>
          <w:color w:val="auto"/>
          <w:lang w:val="en-US" w:eastAsia="zh-CN"/>
        </w:rPr>
        <w:t>在该项目的安全预评价过程中得到了甸金林钛矿有限公司等有关领导和技术人员的大力支持，同时在报告中引用了一些专家学者的研究成果和技术资料，在此一并表示感谢！</w:t>
      </w:r>
    </w:p>
    <w:p w14:paraId="5CCE2669">
      <w:pPr>
        <w:bidi w:val="0"/>
        <w:rPr>
          <w:rFonts w:hint="default"/>
          <w:color w:val="auto"/>
          <w:lang w:val="en-US" w:eastAsia="zh-CN"/>
        </w:rPr>
        <w:sectPr>
          <w:headerReference r:id="rId8" w:type="default"/>
          <w:footerReference r:id="rId9" w:type="default"/>
          <w:pgSz w:w="11905" w:h="16838"/>
          <w:pgMar w:top="1417" w:right="1134" w:bottom="1134" w:left="1587" w:header="850" w:footer="992" w:gutter="0"/>
          <w:pgBorders>
            <w:top w:val="none" w:sz="0" w:space="0"/>
            <w:left w:val="none" w:sz="0" w:space="0"/>
            <w:bottom w:val="none" w:sz="0" w:space="0"/>
            <w:right w:val="none" w:sz="0" w:space="0"/>
          </w:pgBorders>
          <w:pgNumType w:fmt="numberInDash" w:start="1"/>
          <w:cols w:space="0" w:num="1"/>
          <w:rtlGutter w:val="0"/>
          <w:docGrid w:type="lines" w:linePitch="386" w:charSpace="0"/>
        </w:sectPr>
      </w:pPr>
    </w:p>
    <w:p w14:paraId="7094D6DA">
      <w:pPr>
        <w:keepNext w:val="0"/>
        <w:keepLines w:val="0"/>
        <w:pageBreakBefore w:val="0"/>
        <w:widowControl w:val="0"/>
        <w:kinsoku/>
        <w:wordWrap/>
        <w:overflowPunct/>
        <w:topLinePunct w:val="0"/>
        <w:autoSpaceDE/>
        <w:autoSpaceDN/>
        <w:bidi w:val="0"/>
        <w:adjustRightInd/>
        <w:snapToGrid/>
        <w:ind w:firstLine="0" w:firstLineChars="0"/>
        <w:jc w:val="center"/>
        <w:rPr>
          <w:rFonts w:hint="default" w:eastAsia="黑体"/>
          <w:color w:val="auto"/>
          <w:sz w:val="32"/>
          <w:lang w:val="en-US" w:eastAsia="zh-CN"/>
        </w:rPr>
      </w:pPr>
      <w:r>
        <w:rPr>
          <w:rFonts w:hint="eastAsia" w:eastAsia="黑体"/>
          <w:color w:val="auto"/>
          <w:sz w:val="32"/>
          <w:lang w:val="en-US" w:eastAsia="zh-CN"/>
        </w:rPr>
        <w:t>目录</w:t>
      </w:r>
    </w:p>
    <w:p w14:paraId="31F006C6">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TOC \o "1-2" \h \u </w:instrText>
      </w:r>
      <w:r>
        <w:rPr>
          <w:rFonts w:hint="default"/>
          <w:color w:val="auto"/>
          <w:sz w:val="24"/>
          <w:lang w:val="en-US" w:eastAsia="zh-CN"/>
        </w:rPr>
        <w:fldChar w:fldCharType="separate"/>
      </w:r>
      <w:r>
        <w:rPr>
          <w:rFonts w:hint="default"/>
          <w:color w:val="auto"/>
          <w:sz w:val="24"/>
          <w:lang w:val="en-US" w:eastAsia="zh-CN"/>
        </w:rPr>
        <w:fldChar w:fldCharType="begin"/>
      </w:r>
      <w:r>
        <w:rPr>
          <w:rFonts w:hint="default"/>
          <w:color w:val="auto"/>
          <w:sz w:val="24"/>
          <w:lang w:val="en-US" w:eastAsia="zh-CN"/>
        </w:rPr>
        <w:instrText xml:space="preserve"> HYPERLINK \l _Toc6447 </w:instrText>
      </w:r>
      <w:r>
        <w:rPr>
          <w:rFonts w:hint="default"/>
          <w:color w:val="auto"/>
          <w:sz w:val="24"/>
          <w:lang w:val="en-US" w:eastAsia="zh-CN"/>
        </w:rPr>
        <w:fldChar w:fldCharType="separate"/>
      </w:r>
      <w:r>
        <w:rPr>
          <w:rFonts w:hint="default"/>
          <w:color w:val="auto"/>
          <w:sz w:val="24"/>
          <w:lang w:val="en-US" w:eastAsia="zh-CN"/>
        </w:rPr>
        <w:t>1 编制说明</w:t>
      </w:r>
      <w:r>
        <w:rPr>
          <w:color w:val="auto"/>
          <w:sz w:val="24"/>
        </w:rPr>
        <w:tab/>
      </w:r>
      <w:r>
        <w:rPr>
          <w:color w:val="auto"/>
          <w:sz w:val="24"/>
        </w:rPr>
        <w:fldChar w:fldCharType="begin"/>
      </w:r>
      <w:r>
        <w:rPr>
          <w:color w:val="auto"/>
          <w:sz w:val="24"/>
        </w:rPr>
        <w:instrText xml:space="preserve"> PAGEREF _Toc6447 \h </w:instrText>
      </w:r>
      <w:r>
        <w:rPr>
          <w:color w:val="auto"/>
          <w:sz w:val="24"/>
        </w:rPr>
        <w:fldChar w:fldCharType="separate"/>
      </w:r>
      <w:r>
        <w:rPr>
          <w:color w:val="auto"/>
          <w:sz w:val="24"/>
        </w:rPr>
        <w:t>1</w:t>
      </w:r>
      <w:r>
        <w:rPr>
          <w:color w:val="auto"/>
          <w:sz w:val="24"/>
        </w:rPr>
        <w:fldChar w:fldCharType="end"/>
      </w:r>
      <w:r>
        <w:rPr>
          <w:rFonts w:hint="default"/>
          <w:color w:val="auto"/>
          <w:sz w:val="24"/>
          <w:lang w:val="en-US" w:eastAsia="zh-CN"/>
        </w:rPr>
        <w:fldChar w:fldCharType="end"/>
      </w:r>
    </w:p>
    <w:p w14:paraId="137E0506">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_Toc14770 </w:instrText>
      </w:r>
      <w:r>
        <w:rPr>
          <w:rFonts w:hint="default"/>
          <w:color w:val="auto"/>
          <w:sz w:val="24"/>
          <w:lang w:val="en-US" w:eastAsia="zh-CN"/>
        </w:rPr>
        <w:fldChar w:fldCharType="separate"/>
      </w:r>
      <w:r>
        <w:rPr>
          <w:rFonts w:hint="default"/>
          <w:color w:val="auto"/>
          <w:sz w:val="24"/>
          <w:lang w:val="en-US" w:eastAsia="zh-CN"/>
        </w:rPr>
        <w:t>1.1 评价目的及范围</w:t>
      </w:r>
      <w:r>
        <w:rPr>
          <w:color w:val="auto"/>
          <w:sz w:val="24"/>
        </w:rPr>
        <w:tab/>
      </w:r>
      <w:r>
        <w:rPr>
          <w:color w:val="auto"/>
          <w:sz w:val="24"/>
        </w:rPr>
        <w:fldChar w:fldCharType="begin"/>
      </w:r>
      <w:r>
        <w:rPr>
          <w:color w:val="auto"/>
          <w:sz w:val="24"/>
        </w:rPr>
        <w:instrText xml:space="preserve"> PAGEREF _Toc14770 \h </w:instrText>
      </w:r>
      <w:r>
        <w:rPr>
          <w:color w:val="auto"/>
          <w:sz w:val="24"/>
        </w:rPr>
        <w:fldChar w:fldCharType="separate"/>
      </w:r>
      <w:r>
        <w:rPr>
          <w:color w:val="auto"/>
          <w:sz w:val="24"/>
        </w:rPr>
        <w:t>1</w:t>
      </w:r>
      <w:r>
        <w:rPr>
          <w:color w:val="auto"/>
          <w:sz w:val="24"/>
        </w:rPr>
        <w:fldChar w:fldCharType="end"/>
      </w:r>
      <w:r>
        <w:rPr>
          <w:rFonts w:hint="default"/>
          <w:color w:val="auto"/>
          <w:sz w:val="24"/>
          <w:lang w:val="en-US" w:eastAsia="zh-CN"/>
        </w:rPr>
        <w:fldChar w:fldCharType="end"/>
      </w:r>
    </w:p>
    <w:p w14:paraId="00A6BD42">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_Toc276 </w:instrText>
      </w:r>
      <w:r>
        <w:rPr>
          <w:rFonts w:hint="default"/>
          <w:color w:val="auto"/>
          <w:sz w:val="24"/>
          <w:lang w:val="en-US" w:eastAsia="zh-CN"/>
        </w:rPr>
        <w:fldChar w:fldCharType="separate"/>
      </w:r>
      <w:r>
        <w:rPr>
          <w:rFonts w:hint="default"/>
          <w:color w:val="auto"/>
          <w:sz w:val="24"/>
          <w:lang w:val="en-US" w:eastAsia="zh-CN"/>
        </w:rPr>
        <w:t>1.2 评价依据</w:t>
      </w:r>
      <w:r>
        <w:rPr>
          <w:color w:val="auto"/>
          <w:sz w:val="24"/>
        </w:rPr>
        <w:tab/>
      </w:r>
      <w:r>
        <w:rPr>
          <w:color w:val="auto"/>
          <w:sz w:val="24"/>
        </w:rPr>
        <w:fldChar w:fldCharType="begin"/>
      </w:r>
      <w:r>
        <w:rPr>
          <w:color w:val="auto"/>
          <w:sz w:val="24"/>
        </w:rPr>
        <w:instrText xml:space="preserve"> PAGEREF _Toc276 \h </w:instrText>
      </w:r>
      <w:r>
        <w:rPr>
          <w:color w:val="auto"/>
          <w:sz w:val="24"/>
        </w:rPr>
        <w:fldChar w:fldCharType="separate"/>
      </w:r>
      <w:r>
        <w:rPr>
          <w:color w:val="auto"/>
          <w:sz w:val="24"/>
        </w:rPr>
        <w:t>2</w:t>
      </w:r>
      <w:r>
        <w:rPr>
          <w:color w:val="auto"/>
          <w:sz w:val="24"/>
        </w:rPr>
        <w:fldChar w:fldCharType="end"/>
      </w:r>
      <w:r>
        <w:rPr>
          <w:rFonts w:hint="default"/>
          <w:color w:val="auto"/>
          <w:sz w:val="24"/>
          <w:lang w:val="en-US" w:eastAsia="zh-CN"/>
        </w:rPr>
        <w:fldChar w:fldCharType="end"/>
      </w:r>
    </w:p>
    <w:p w14:paraId="6020F5E3">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_Toc7900 </w:instrText>
      </w:r>
      <w:r>
        <w:rPr>
          <w:rFonts w:hint="default"/>
          <w:color w:val="auto"/>
          <w:sz w:val="24"/>
          <w:lang w:val="en-US" w:eastAsia="zh-CN"/>
        </w:rPr>
        <w:fldChar w:fldCharType="separate"/>
      </w:r>
      <w:r>
        <w:rPr>
          <w:rFonts w:hint="default"/>
          <w:color w:val="auto"/>
          <w:sz w:val="24"/>
          <w:lang w:val="en-US" w:eastAsia="zh-CN"/>
        </w:rPr>
        <w:t>1.</w:t>
      </w:r>
      <w:r>
        <w:rPr>
          <w:rFonts w:hint="eastAsia"/>
          <w:color w:val="auto"/>
          <w:sz w:val="24"/>
          <w:lang w:val="en-US" w:eastAsia="zh-CN"/>
        </w:rPr>
        <w:t>3</w:t>
      </w:r>
      <w:r>
        <w:rPr>
          <w:rFonts w:hint="default"/>
          <w:color w:val="auto"/>
          <w:sz w:val="24"/>
          <w:lang w:val="en-US" w:eastAsia="zh-CN"/>
        </w:rPr>
        <w:t xml:space="preserve"> 评价程序</w:t>
      </w:r>
      <w:r>
        <w:rPr>
          <w:color w:val="auto"/>
          <w:sz w:val="24"/>
        </w:rPr>
        <w:tab/>
      </w:r>
      <w:r>
        <w:rPr>
          <w:color w:val="auto"/>
          <w:sz w:val="24"/>
        </w:rPr>
        <w:fldChar w:fldCharType="begin"/>
      </w:r>
      <w:r>
        <w:rPr>
          <w:color w:val="auto"/>
          <w:sz w:val="24"/>
        </w:rPr>
        <w:instrText xml:space="preserve"> PAGEREF _Toc7900 \h </w:instrText>
      </w:r>
      <w:r>
        <w:rPr>
          <w:color w:val="auto"/>
          <w:sz w:val="24"/>
        </w:rPr>
        <w:fldChar w:fldCharType="separate"/>
      </w:r>
      <w:r>
        <w:rPr>
          <w:color w:val="auto"/>
          <w:sz w:val="24"/>
        </w:rPr>
        <w:t>12</w:t>
      </w:r>
      <w:r>
        <w:rPr>
          <w:color w:val="auto"/>
          <w:sz w:val="24"/>
        </w:rPr>
        <w:fldChar w:fldCharType="end"/>
      </w:r>
      <w:r>
        <w:rPr>
          <w:rFonts w:hint="default"/>
          <w:color w:val="auto"/>
          <w:sz w:val="24"/>
          <w:lang w:val="en-US" w:eastAsia="zh-CN"/>
        </w:rPr>
        <w:fldChar w:fldCharType="end"/>
      </w:r>
    </w:p>
    <w:p w14:paraId="5AEDB3C2">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_Toc23982 </w:instrText>
      </w:r>
      <w:r>
        <w:rPr>
          <w:rFonts w:hint="default"/>
          <w:color w:val="auto"/>
          <w:sz w:val="24"/>
          <w:lang w:val="en-US" w:eastAsia="zh-CN"/>
        </w:rPr>
        <w:fldChar w:fldCharType="separate"/>
      </w:r>
      <w:r>
        <w:rPr>
          <w:rFonts w:hint="default"/>
          <w:color w:val="auto"/>
          <w:sz w:val="24"/>
          <w:lang w:val="en-US" w:eastAsia="zh-CN"/>
        </w:rPr>
        <w:t>2 建设项目概述</w:t>
      </w:r>
      <w:r>
        <w:rPr>
          <w:color w:val="auto"/>
          <w:sz w:val="24"/>
        </w:rPr>
        <w:tab/>
      </w:r>
      <w:r>
        <w:rPr>
          <w:color w:val="auto"/>
          <w:sz w:val="24"/>
        </w:rPr>
        <w:fldChar w:fldCharType="begin"/>
      </w:r>
      <w:r>
        <w:rPr>
          <w:color w:val="auto"/>
          <w:sz w:val="24"/>
        </w:rPr>
        <w:instrText xml:space="preserve"> PAGEREF _Toc23982 \h </w:instrText>
      </w:r>
      <w:r>
        <w:rPr>
          <w:color w:val="auto"/>
          <w:sz w:val="24"/>
        </w:rPr>
        <w:fldChar w:fldCharType="separate"/>
      </w:r>
      <w:r>
        <w:rPr>
          <w:color w:val="auto"/>
          <w:sz w:val="24"/>
        </w:rPr>
        <w:t>14</w:t>
      </w:r>
      <w:r>
        <w:rPr>
          <w:color w:val="auto"/>
          <w:sz w:val="24"/>
        </w:rPr>
        <w:fldChar w:fldCharType="end"/>
      </w:r>
      <w:r>
        <w:rPr>
          <w:rFonts w:hint="default"/>
          <w:color w:val="auto"/>
          <w:sz w:val="24"/>
          <w:lang w:val="en-US" w:eastAsia="zh-CN"/>
        </w:rPr>
        <w:fldChar w:fldCharType="end"/>
      </w:r>
    </w:p>
    <w:p w14:paraId="25A730C3">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_Toc15591 </w:instrText>
      </w:r>
      <w:r>
        <w:rPr>
          <w:rFonts w:hint="default"/>
          <w:color w:val="auto"/>
          <w:sz w:val="24"/>
          <w:lang w:val="en-US" w:eastAsia="zh-CN"/>
        </w:rPr>
        <w:fldChar w:fldCharType="separate"/>
      </w:r>
      <w:r>
        <w:rPr>
          <w:rFonts w:hint="default"/>
          <w:color w:val="auto"/>
          <w:sz w:val="24"/>
          <w:lang w:val="en-US" w:eastAsia="zh-CN"/>
        </w:rPr>
        <w:t>2.1 建设单位概况</w:t>
      </w:r>
      <w:r>
        <w:rPr>
          <w:color w:val="auto"/>
          <w:sz w:val="24"/>
        </w:rPr>
        <w:tab/>
      </w:r>
      <w:r>
        <w:rPr>
          <w:color w:val="auto"/>
          <w:sz w:val="24"/>
        </w:rPr>
        <w:fldChar w:fldCharType="begin"/>
      </w:r>
      <w:r>
        <w:rPr>
          <w:color w:val="auto"/>
          <w:sz w:val="24"/>
        </w:rPr>
        <w:instrText xml:space="preserve"> PAGEREF _Toc15591 \h </w:instrText>
      </w:r>
      <w:r>
        <w:rPr>
          <w:color w:val="auto"/>
          <w:sz w:val="24"/>
        </w:rPr>
        <w:fldChar w:fldCharType="separate"/>
      </w:r>
      <w:r>
        <w:rPr>
          <w:color w:val="auto"/>
          <w:sz w:val="24"/>
        </w:rPr>
        <w:t>16</w:t>
      </w:r>
      <w:r>
        <w:rPr>
          <w:color w:val="auto"/>
          <w:sz w:val="24"/>
        </w:rPr>
        <w:fldChar w:fldCharType="end"/>
      </w:r>
      <w:r>
        <w:rPr>
          <w:rFonts w:hint="default"/>
          <w:color w:val="auto"/>
          <w:sz w:val="24"/>
          <w:lang w:val="en-US" w:eastAsia="zh-CN"/>
        </w:rPr>
        <w:fldChar w:fldCharType="end"/>
      </w:r>
    </w:p>
    <w:p w14:paraId="06D8225B">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_Toc24480 </w:instrText>
      </w:r>
      <w:r>
        <w:rPr>
          <w:rFonts w:hint="default"/>
          <w:color w:val="auto"/>
          <w:sz w:val="24"/>
          <w:lang w:val="en-US" w:eastAsia="zh-CN"/>
        </w:rPr>
        <w:fldChar w:fldCharType="separate"/>
      </w:r>
      <w:r>
        <w:rPr>
          <w:rFonts w:hint="default"/>
          <w:color w:val="auto"/>
          <w:sz w:val="24"/>
          <w:lang w:val="en-US" w:eastAsia="zh-CN"/>
        </w:rPr>
        <w:t>2.2 自然环境</w:t>
      </w:r>
      <w:r>
        <w:rPr>
          <w:color w:val="auto"/>
          <w:sz w:val="24"/>
        </w:rPr>
        <w:tab/>
      </w:r>
      <w:r>
        <w:rPr>
          <w:color w:val="auto"/>
          <w:sz w:val="24"/>
        </w:rPr>
        <w:fldChar w:fldCharType="begin"/>
      </w:r>
      <w:r>
        <w:rPr>
          <w:color w:val="auto"/>
          <w:sz w:val="24"/>
        </w:rPr>
        <w:instrText xml:space="preserve"> PAGEREF _Toc24480 \h </w:instrText>
      </w:r>
      <w:r>
        <w:rPr>
          <w:color w:val="auto"/>
          <w:sz w:val="24"/>
        </w:rPr>
        <w:fldChar w:fldCharType="separate"/>
      </w:r>
      <w:r>
        <w:rPr>
          <w:color w:val="auto"/>
          <w:sz w:val="24"/>
        </w:rPr>
        <w:t>21</w:t>
      </w:r>
      <w:r>
        <w:rPr>
          <w:color w:val="auto"/>
          <w:sz w:val="24"/>
        </w:rPr>
        <w:fldChar w:fldCharType="end"/>
      </w:r>
      <w:r>
        <w:rPr>
          <w:rFonts w:hint="default"/>
          <w:color w:val="auto"/>
          <w:sz w:val="24"/>
          <w:lang w:val="en-US" w:eastAsia="zh-CN"/>
        </w:rPr>
        <w:fldChar w:fldCharType="end"/>
      </w:r>
    </w:p>
    <w:p w14:paraId="51E1CA6C">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_Toc15349 </w:instrText>
      </w:r>
      <w:r>
        <w:rPr>
          <w:rFonts w:hint="default"/>
          <w:color w:val="auto"/>
          <w:sz w:val="24"/>
          <w:lang w:val="en-US" w:eastAsia="zh-CN"/>
        </w:rPr>
        <w:fldChar w:fldCharType="separate"/>
      </w:r>
      <w:r>
        <w:rPr>
          <w:rFonts w:hint="eastAsia"/>
          <w:color w:val="auto"/>
          <w:sz w:val="24"/>
          <w:lang w:val="en-US" w:eastAsia="zh-CN"/>
        </w:rPr>
        <w:t>2.3</w:t>
      </w:r>
      <w:r>
        <w:rPr>
          <w:rFonts w:hint="default"/>
          <w:color w:val="auto"/>
          <w:sz w:val="24"/>
          <w:lang w:val="en-US" w:eastAsia="zh-CN"/>
        </w:rPr>
        <w:t xml:space="preserve"> 项目建设条件</w:t>
      </w:r>
      <w:r>
        <w:rPr>
          <w:color w:val="auto"/>
          <w:sz w:val="24"/>
        </w:rPr>
        <w:tab/>
      </w:r>
      <w:r>
        <w:rPr>
          <w:color w:val="auto"/>
          <w:sz w:val="24"/>
        </w:rPr>
        <w:fldChar w:fldCharType="begin"/>
      </w:r>
      <w:r>
        <w:rPr>
          <w:color w:val="auto"/>
          <w:sz w:val="24"/>
        </w:rPr>
        <w:instrText xml:space="preserve"> PAGEREF _Toc15349 \h </w:instrText>
      </w:r>
      <w:r>
        <w:rPr>
          <w:color w:val="auto"/>
          <w:sz w:val="24"/>
        </w:rPr>
        <w:fldChar w:fldCharType="separate"/>
      </w:r>
      <w:r>
        <w:rPr>
          <w:color w:val="auto"/>
          <w:sz w:val="24"/>
        </w:rPr>
        <w:t>26</w:t>
      </w:r>
      <w:r>
        <w:rPr>
          <w:color w:val="auto"/>
          <w:sz w:val="24"/>
        </w:rPr>
        <w:fldChar w:fldCharType="end"/>
      </w:r>
      <w:r>
        <w:rPr>
          <w:rFonts w:hint="default"/>
          <w:color w:val="auto"/>
          <w:sz w:val="24"/>
          <w:lang w:val="en-US" w:eastAsia="zh-CN"/>
        </w:rPr>
        <w:fldChar w:fldCharType="end"/>
      </w:r>
    </w:p>
    <w:p w14:paraId="61BD9ED9">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_Toc2154 </w:instrText>
      </w:r>
      <w:r>
        <w:rPr>
          <w:rFonts w:hint="default"/>
          <w:color w:val="auto"/>
          <w:sz w:val="24"/>
          <w:lang w:val="en-US" w:eastAsia="zh-CN"/>
        </w:rPr>
        <w:fldChar w:fldCharType="separate"/>
      </w:r>
      <w:r>
        <w:rPr>
          <w:rFonts w:hint="eastAsia"/>
          <w:color w:val="auto"/>
          <w:sz w:val="24"/>
          <w:lang w:val="en-US" w:eastAsia="zh-CN"/>
        </w:rPr>
        <w:t>2.4</w:t>
      </w:r>
      <w:r>
        <w:rPr>
          <w:rFonts w:hint="default"/>
          <w:color w:val="auto"/>
          <w:sz w:val="24"/>
          <w:lang w:val="en-US" w:eastAsia="zh-CN"/>
        </w:rPr>
        <w:t xml:space="preserve"> 建设方案</w:t>
      </w:r>
      <w:r>
        <w:rPr>
          <w:color w:val="auto"/>
          <w:sz w:val="24"/>
        </w:rPr>
        <w:tab/>
      </w:r>
      <w:r>
        <w:rPr>
          <w:color w:val="auto"/>
          <w:sz w:val="24"/>
        </w:rPr>
        <w:fldChar w:fldCharType="begin"/>
      </w:r>
      <w:r>
        <w:rPr>
          <w:color w:val="auto"/>
          <w:sz w:val="24"/>
        </w:rPr>
        <w:instrText xml:space="preserve"> PAGEREF _Toc2154 \h </w:instrText>
      </w:r>
      <w:r>
        <w:rPr>
          <w:color w:val="auto"/>
          <w:sz w:val="24"/>
        </w:rPr>
        <w:fldChar w:fldCharType="separate"/>
      </w:r>
      <w:r>
        <w:rPr>
          <w:color w:val="auto"/>
          <w:sz w:val="24"/>
        </w:rPr>
        <w:t>26</w:t>
      </w:r>
      <w:r>
        <w:rPr>
          <w:color w:val="auto"/>
          <w:sz w:val="24"/>
        </w:rPr>
        <w:fldChar w:fldCharType="end"/>
      </w:r>
      <w:r>
        <w:rPr>
          <w:rFonts w:hint="default"/>
          <w:color w:val="auto"/>
          <w:sz w:val="24"/>
          <w:lang w:val="en-US" w:eastAsia="zh-CN"/>
        </w:rPr>
        <w:fldChar w:fldCharType="end"/>
      </w:r>
    </w:p>
    <w:p w14:paraId="3170F7C5">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_Toc12770 </w:instrText>
      </w:r>
      <w:r>
        <w:rPr>
          <w:rFonts w:hint="default"/>
          <w:color w:val="auto"/>
          <w:sz w:val="24"/>
          <w:lang w:val="en-US" w:eastAsia="zh-CN"/>
        </w:rPr>
        <w:fldChar w:fldCharType="separate"/>
      </w:r>
      <w:r>
        <w:rPr>
          <w:rFonts w:hint="eastAsia"/>
          <w:color w:val="auto"/>
          <w:sz w:val="24"/>
          <w:lang w:val="en-US" w:eastAsia="zh-CN"/>
        </w:rPr>
        <w:t>2.5 尾矿处理系统</w:t>
      </w:r>
      <w:r>
        <w:rPr>
          <w:color w:val="auto"/>
          <w:sz w:val="24"/>
        </w:rPr>
        <w:tab/>
      </w:r>
      <w:r>
        <w:rPr>
          <w:color w:val="auto"/>
          <w:sz w:val="24"/>
        </w:rPr>
        <w:fldChar w:fldCharType="begin"/>
      </w:r>
      <w:r>
        <w:rPr>
          <w:color w:val="auto"/>
          <w:sz w:val="24"/>
        </w:rPr>
        <w:instrText xml:space="preserve"> PAGEREF _Toc12770 \h </w:instrText>
      </w:r>
      <w:r>
        <w:rPr>
          <w:color w:val="auto"/>
          <w:sz w:val="24"/>
        </w:rPr>
        <w:fldChar w:fldCharType="separate"/>
      </w:r>
      <w:r>
        <w:rPr>
          <w:color w:val="auto"/>
          <w:sz w:val="24"/>
        </w:rPr>
        <w:t>27</w:t>
      </w:r>
      <w:r>
        <w:rPr>
          <w:color w:val="auto"/>
          <w:sz w:val="24"/>
        </w:rPr>
        <w:fldChar w:fldCharType="end"/>
      </w:r>
      <w:r>
        <w:rPr>
          <w:rFonts w:hint="default"/>
          <w:color w:val="auto"/>
          <w:sz w:val="24"/>
          <w:lang w:val="en-US" w:eastAsia="zh-CN"/>
        </w:rPr>
        <w:fldChar w:fldCharType="end"/>
      </w:r>
    </w:p>
    <w:p w14:paraId="0DF98984">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_Toc12131 </w:instrText>
      </w:r>
      <w:r>
        <w:rPr>
          <w:rFonts w:hint="default"/>
          <w:color w:val="auto"/>
          <w:sz w:val="24"/>
          <w:lang w:val="en-US" w:eastAsia="zh-CN"/>
        </w:rPr>
        <w:fldChar w:fldCharType="separate"/>
      </w:r>
      <w:r>
        <w:rPr>
          <w:rFonts w:hint="eastAsia"/>
          <w:color w:val="auto"/>
          <w:sz w:val="24"/>
          <w:lang w:val="en-US" w:eastAsia="zh-CN"/>
        </w:rPr>
        <w:t xml:space="preserve">2.6 </w:t>
      </w:r>
      <w:r>
        <w:rPr>
          <w:rFonts w:hint="default"/>
          <w:color w:val="auto"/>
          <w:sz w:val="24"/>
          <w:lang w:val="en-US" w:eastAsia="zh-CN"/>
        </w:rPr>
        <w:t>总图运输</w:t>
      </w:r>
      <w:r>
        <w:rPr>
          <w:color w:val="auto"/>
          <w:sz w:val="24"/>
        </w:rPr>
        <w:tab/>
      </w:r>
      <w:r>
        <w:rPr>
          <w:color w:val="auto"/>
          <w:sz w:val="24"/>
        </w:rPr>
        <w:fldChar w:fldCharType="begin"/>
      </w:r>
      <w:r>
        <w:rPr>
          <w:color w:val="auto"/>
          <w:sz w:val="24"/>
        </w:rPr>
        <w:instrText xml:space="preserve"> PAGEREF _Toc12131 \h </w:instrText>
      </w:r>
      <w:r>
        <w:rPr>
          <w:color w:val="auto"/>
          <w:sz w:val="24"/>
        </w:rPr>
        <w:fldChar w:fldCharType="separate"/>
      </w:r>
      <w:r>
        <w:rPr>
          <w:color w:val="auto"/>
          <w:sz w:val="24"/>
        </w:rPr>
        <w:t>29</w:t>
      </w:r>
      <w:r>
        <w:rPr>
          <w:color w:val="auto"/>
          <w:sz w:val="24"/>
        </w:rPr>
        <w:fldChar w:fldCharType="end"/>
      </w:r>
      <w:r>
        <w:rPr>
          <w:rFonts w:hint="default"/>
          <w:color w:val="auto"/>
          <w:sz w:val="24"/>
          <w:lang w:val="en-US" w:eastAsia="zh-CN"/>
        </w:rPr>
        <w:fldChar w:fldCharType="end"/>
      </w:r>
    </w:p>
    <w:p w14:paraId="73BF7775">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_Toc5582 </w:instrText>
      </w:r>
      <w:r>
        <w:rPr>
          <w:rFonts w:hint="default"/>
          <w:color w:val="auto"/>
          <w:sz w:val="24"/>
          <w:lang w:val="en-US" w:eastAsia="zh-CN"/>
        </w:rPr>
        <w:fldChar w:fldCharType="separate"/>
      </w:r>
      <w:r>
        <w:rPr>
          <w:rFonts w:hint="eastAsia"/>
          <w:color w:val="auto"/>
          <w:sz w:val="24"/>
          <w:lang w:val="en-US" w:eastAsia="zh-CN"/>
        </w:rPr>
        <w:t>2.7</w:t>
      </w:r>
      <w:r>
        <w:rPr>
          <w:rFonts w:hint="default"/>
          <w:color w:val="auto"/>
          <w:sz w:val="24"/>
          <w:lang w:val="en-US" w:eastAsia="zh-CN"/>
        </w:rPr>
        <w:t xml:space="preserve"> 给排水</w:t>
      </w:r>
      <w:r>
        <w:rPr>
          <w:color w:val="auto"/>
          <w:sz w:val="24"/>
        </w:rPr>
        <w:tab/>
      </w:r>
      <w:r>
        <w:rPr>
          <w:color w:val="auto"/>
          <w:sz w:val="24"/>
        </w:rPr>
        <w:fldChar w:fldCharType="begin"/>
      </w:r>
      <w:r>
        <w:rPr>
          <w:color w:val="auto"/>
          <w:sz w:val="24"/>
        </w:rPr>
        <w:instrText xml:space="preserve"> PAGEREF _Toc5582 \h </w:instrText>
      </w:r>
      <w:r>
        <w:rPr>
          <w:color w:val="auto"/>
          <w:sz w:val="24"/>
        </w:rPr>
        <w:fldChar w:fldCharType="separate"/>
      </w:r>
      <w:r>
        <w:rPr>
          <w:color w:val="auto"/>
          <w:sz w:val="24"/>
        </w:rPr>
        <w:t>31</w:t>
      </w:r>
      <w:r>
        <w:rPr>
          <w:color w:val="auto"/>
          <w:sz w:val="24"/>
        </w:rPr>
        <w:fldChar w:fldCharType="end"/>
      </w:r>
      <w:r>
        <w:rPr>
          <w:rFonts w:hint="default"/>
          <w:color w:val="auto"/>
          <w:sz w:val="24"/>
          <w:lang w:val="en-US" w:eastAsia="zh-CN"/>
        </w:rPr>
        <w:fldChar w:fldCharType="end"/>
      </w:r>
    </w:p>
    <w:p w14:paraId="500CF055">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_Toc8117 </w:instrText>
      </w:r>
      <w:r>
        <w:rPr>
          <w:rFonts w:hint="default"/>
          <w:color w:val="auto"/>
          <w:sz w:val="24"/>
          <w:lang w:val="en-US" w:eastAsia="zh-CN"/>
        </w:rPr>
        <w:fldChar w:fldCharType="separate"/>
      </w:r>
      <w:r>
        <w:rPr>
          <w:rFonts w:hint="eastAsia"/>
          <w:color w:val="auto"/>
          <w:sz w:val="24"/>
          <w:lang w:val="en-US" w:eastAsia="zh-CN"/>
        </w:rPr>
        <w:t>2.8 电力</w:t>
      </w:r>
      <w:r>
        <w:rPr>
          <w:color w:val="auto"/>
          <w:sz w:val="24"/>
        </w:rPr>
        <w:tab/>
      </w:r>
      <w:r>
        <w:rPr>
          <w:color w:val="auto"/>
          <w:sz w:val="24"/>
        </w:rPr>
        <w:fldChar w:fldCharType="begin"/>
      </w:r>
      <w:r>
        <w:rPr>
          <w:color w:val="auto"/>
          <w:sz w:val="24"/>
        </w:rPr>
        <w:instrText xml:space="preserve"> PAGEREF _Toc8117 \h </w:instrText>
      </w:r>
      <w:r>
        <w:rPr>
          <w:color w:val="auto"/>
          <w:sz w:val="24"/>
        </w:rPr>
        <w:fldChar w:fldCharType="separate"/>
      </w:r>
      <w:r>
        <w:rPr>
          <w:color w:val="auto"/>
          <w:sz w:val="24"/>
        </w:rPr>
        <w:t>32</w:t>
      </w:r>
      <w:r>
        <w:rPr>
          <w:color w:val="auto"/>
          <w:sz w:val="24"/>
        </w:rPr>
        <w:fldChar w:fldCharType="end"/>
      </w:r>
      <w:r>
        <w:rPr>
          <w:rFonts w:hint="default"/>
          <w:color w:val="auto"/>
          <w:sz w:val="24"/>
          <w:lang w:val="en-US" w:eastAsia="zh-CN"/>
        </w:rPr>
        <w:fldChar w:fldCharType="end"/>
      </w:r>
    </w:p>
    <w:p w14:paraId="4792DD54">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_Toc31932 </w:instrText>
      </w:r>
      <w:r>
        <w:rPr>
          <w:rFonts w:hint="default"/>
          <w:color w:val="auto"/>
          <w:sz w:val="24"/>
          <w:lang w:val="en-US" w:eastAsia="zh-CN"/>
        </w:rPr>
        <w:fldChar w:fldCharType="separate"/>
      </w:r>
      <w:r>
        <w:rPr>
          <w:rFonts w:hint="eastAsia"/>
          <w:color w:val="auto"/>
          <w:sz w:val="24"/>
          <w:lang w:val="en-US" w:eastAsia="zh-CN"/>
        </w:rPr>
        <w:t xml:space="preserve">2.9 </w:t>
      </w:r>
      <w:r>
        <w:rPr>
          <w:rFonts w:hint="default"/>
          <w:color w:val="auto"/>
          <w:sz w:val="24"/>
          <w:lang w:val="en-US" w:eastAsia="zh-CN"/>
        </w:rPr>
        <w:t>土建</w:t>
      </w:r>
      <w:r>
        <w:rPr>
          <w:color w:val="auto"/>
          <w:sz w:val="24"/>
        </w:rPr>
        <w:tab/>
      </w:r>
      <w:r>
        <w:rPr>
          <w:color w:val="auto"/>
          <w:sz w:val="24"/>
        </w:rPr>
        <w:fldChar w:fldCharType="begin"/>
      </w:r>
      <w:r>
        <w:rPr>
          <w:color w:val="auto"/>
          <w:sz w:val="24"/>
        </w:rPr>
        <w:instrText xml:space="preserve"> PAGEREF _Toc31932 \h </w:instrText>
      </w:r>
      <w:r>
        <w:rPr>
          <w:color w:val="auto"/>
          <w:sz w:val="24"/>
        </w:rPr>
        <w:fldChar w:fldCharType="separate"/>
      </w:r>
      <w:r>
        <w:rPr>
          <w:color w:val="auto"/>
          <w:sz w:val="24"/>
        </w:rPr>
        <w:t>35</w:t>
      </w:r>
      <w:r>
        <w:rPr>
          <w:color w:val="auto"/>
          <w:sz w:val="24"/>
        </w:rPr>
        <w:fldChar w:fldCharType="end"/>
      </w:r>
      <w:r>
        <w:rPr>
          <w:rFonts w:hint="default"/>
          <w:color w:val="auto"/>
          <w:sz w:val="24"/>
          <w:lang w:val="en-US" w:eastAsia="zh-CN"/>
        </w:rPr>
        <w:fldChar w:fldCharType="end"/>
      </w:r>
    </w:p>
    <w:p w14:paraId="5637A1EF">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_Toc7908 </w:instrText>
      </w:r>
      <w:r>
        <w:rPr>
          <w:rFonts w:hint="default"/>
          <w:color w:val="auto"/>
          <w:sz w:val="24"/>
          <w:lang w:val="en-US" w:eastAsia="zh-CN"/>
        </w:rPr>
        <w:fldChar w:fldCharType="separate"/>
      </w:r>
      <w:r>
        <w:rPr>
          <w:rFonts w:hint="eastAsia"/>
          <w:color w:val="auto"/>
          <w:sz w:val="24"/>
          <w:lang w:val="en-US" w:eastAsia="zh-CN"/>
        </w:rPr>
        <w:t>2.10 安全管理</w:t>
      </w:r>
      <w:r>
        <w:rPr>
          <w:color w:val="auto"/>
          <w:sz w:val="24"/>
        </w:rPr>
        <w:tab/>
      </w:r>
      <w:r>
        <w:rPr>
          <w:color w:val="auto"/>
          <w:sz w:val="24"/>
        </w:rPr>
        <w:fldChar w:fldCharType="begin"/>
      </w:r>
      <w:r>
        <w:rPr>
          <w:color w:val="auto"/>
          <w:sz w:val="24"/>
        </w:rPr>
        <w:instrText xml:space="preserve"> PAGEREF _Toc7908 \h </w:instrText>
      </w:r>
      <w:r>
        <w:rPr>
          <w:color w:val="auto"/>
          <w:sz w:val="24"/>
        </w:rPr>
        <w:fldChar w:fldCharType="separate"/>
      </w:r>
      <w:r>
        <w:rPr>
          <w:color w:val="auto"/>
          <w:sz w:val="24"/>
        </w:rPr>
        <w:t>36</w:t>
      </w:r>
      <w:r>
        <w:rPr>
          <w:color w:val="auto"/>
          <w:sz w:val="24"/>
        </w:rPr>
        <w:fldChar w:fldCharType="end"/>
      </w:r>
      <w:r>
        <w:rPr>
          <w:rFonts w:hint="default"/>
          <w:color w:val="auto"/>
          <w:sz w:val="24"/>
          <w:lang w:val="en-US" w:eastAsia="zh-CN"/>
        </w:rPr>
        <w:fldChar w:fldCharType="end"/>
      </w:r>
    </w:p>
    <w:p w14:paraId="58A56167">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_Toc20580 </w:instrText>
      </w:r>
      <w:r>
        <w:rPr>
          <w:rFonts w:hint="default"/>
          <w:color w:val="auto"/>
          <w:sz w:val="24"/>
          <w:lang w:val="en-US" w:eastAsia="zh-CN"/>
        </w:rPr>
        <w:fldChar w:fldCharType="separate"/>
      </w:r>
      <w:r>
        <w:rPr>
          <w:rFonts w:hint="eastAsia"/>
          <w:color w:val="auto"/>
          <w:sz w:val="24"/>
          <w:lang w:val="en-US" w:eastAsia="zh-CN"/>
        </w:rPr>
        <w:t>2.11</w:t>
      </w:r>
      <w:r>
        <w:rPr>
          <w:rFonts w:hint="default"/>
          <w:color w:val="auto"/>
          <w:sz w:val="24"/>
          <w:lang w:val="en-US" w:eastAsia="zh-CN"/>
        </w:rPr>
        <w:t xml:space="preserve"> 安全设施投入</w:t>
      </w:r>
      <w:r>
        <w:rPr>
          <w:color w:val="auto"/>
          <w:sz w:val="24"/>
        </w:rPr>
        <w:tab/>
      </w:r>
      <w:r>
        <w:rPr>
          <w:color w:val="auto"/>
          <w:sz w:val="24"/>
        </w:rPr>
        <w:fldChar w:fldCharType="begin"/>
      </w:r>
      <w:r>
        <w:rPr>
          <w:color w:val="auto"/>
          <w:sz w:val="24"/>
        </w:rPr>
        <w:instrText xml:space="preserve"> PAGEREF _Toc20580 \h </w:instrText>
      </w:r>
      <w:r>
        <w:rPr>
          <w:color w:val="auto"/>
          <w:sz w:val="24"/>
        </w:rPr>
        <w:fldChar w:fldCharType="separate"/>
      </w:r>
      <w:r>
        <w:rPr>
          <w:color w:val="auto"/>
          <w:sz w:val="24"/>
        </w:rPr>
        <w:t>37</w:t>
      </w:r>
      <w:r>
        <w:rPr>
          <w:color w:val="auto"/>
          <w:sz w:val="24"/>
        </w:rPr>
        <w:fldChar w:fldCharType="end"/>
      </w:r>
      <w:r>
        <w:rPr>
          <w:rFonts w:hint="default"/>
          <w:color w:val="auto"/>
          <w:sz w:val="24"/>
          <w:lang w:val="en-US" w:eastAsia="zh-CN"/>
        </w:rPr>
        <w:fldChar w:fldCharType="end"/>
      </w:r>
    </w:p>
    <w:p w14:paraId="4B4B5897">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_Toc26860 </w:instrText>
      </w:r>
      <w:r>
        <w:rPr>
          <w:rFonts w:hint="default"/>
          <w:color w:val="auto"/>
          <w:sz w:val="24"/>
          <w:lang w:val="en-US" w:eastAsia="zh-CN"/>
        </w:rPr>
        <w:fldChar w:fldCharType="separate"/>
      </w:r>
      <w:r>
        <w:rPr>
          <w:rFonts w:hint="default"/>
          <w:color w:val="auto"/>
          <w:sz w:val="24"/>
          <w:lang w:val="en-US" w:eastAsia="zh-CN"/>
        </w:rPr>
        <w:t>3 危险、有害因素辨识及分析</w:t>
      </w:r>
      <w:r>
        <w:rPr>
          <w:color w:val="auto"/>
          <w:sz w:val="24"/>
        </w:rPr>
        <w:tab/>
      </w:r>
      <w:r>
        <w:rPr>
          <w:color w:val="auto"/>
          <w:sz w:val="24"/>
        </w:rPr>
        <w:fldChar w:fldCharType="begin"/>
      </w:r>
      <w:r>
        <w:rPr>
          <w:color w:val="auto"/>
          <w:sz w:val="24"/>
        </w:rPr>
        <w:instrText xml:space="preserve"> PAGEREF _Toc26860 \h </w:instrText>
      </w:r>
      <w:r>
        <w:rPr>
          <w:color w:val="auto"/>
          <w:sz w:val="24"/>
        </w:rPr>
        <w:fldChar w:fldCharType="separate"/>
      </w:r>
      <w:r>
        <w:rPr>
          <w:color w:val="auto"/>
          <w:sz w:val="24"/>
        </w:rPr>
        <w:t>38</w:t>
      </w:r>
      <w:r>
        <w:rPr>
          <w:color w:val="auto"/>
          <w:sz w:val="24"/>
        </w:rPr>
        <w:fldChar w:fldCharType="end"/>
      </w:r>
      <w:r>
        <w:rPr>
          <w:rFonts w:hint="default"/>
          <w:color w:val="auto"/>
          <w:sz w:val="24"/>
          <w:lang w:val="en-US" w:eastAsia="zh-CN"/>
        </w:rPr>
        <w:fldChar w:fldCharType="end"/>
      </w:r>
    </w:p>
    <w:p w14:paraId="25010A21">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_Toc31089 </w:instrText>
      </w:r>
      <w:r>
        <w:rPr>
          <w:rFonts w:hint="default"/>
          <w:color w:val="auto"/>
          <w:sz w:val="24"/>
          <w:lang w:val="en-US" w:eastAsia="zh-CN"/>
        </w:rPr>
        <w:fldChar w:fldCharType="separate"/>
      </w:r>
      <w:r>
        <w:rPr>
          <w:rFonts w:hint="default"/>
          <w:color w:val="auto"/>
          <w:sz w:val="24"/>
          <w:lang w:val="en-US" w:eastAsia="zh-CN"/>
        </w:rPr>
        <w:t>3.1 主要危险、有害因素辨识与分析</w:t>
      </w:r>
      <w:r>
        <w:rPr>
          <w:color w:val="auto"/>
          <w:sz w:val="24"/>
        </w:rPr>
        <w:tab/>
      </w:r>
      <w:r>
        <w:rPr>
          <w:color w:val="auto"/>
          <w:sz w:val="24"/>
        </w:rPr>
        <w:fldChar w:fldCharType="begin"/>
      </w:r>
      <w:r>
        <w:rPr>
          <w:color w:val="auto"/>
          <w:sz w:val="24"/>
        </w:rPr>
        <w:instrText xml:space="preserve"> PAGEREF _Toc31089 \h </w:instrText>
      </w:r>
      <w:r>
        <w:rPr>
          <w:color w:val="auto"/>
          <w:sz w:val="24"/>
        </w:rPr>
        <w:fldChar w:fldCharType="separate"/>
      </w:r>
      <w:r>
        <w:rPr>
          <w:color w:val="auto"/>
          <w:sz w:val="24"/>
        </w:rPr>
        <w:t>38</w:t>
      </w:r>
      <w:r>
        <w:rPr>
          <w:color w:val="auto"/>
          <w:sz w:val="24"/>
        </w:rPr>
        <w:fldChar w:fldCharType="end"/>
      </w:r>
      <w:r>
        <w:rPr>
          <w:rFonts w:hint="default"/>
          <w:color w:val="auto"/>
          <w:sz w:val="24"/>
          <w:lang w:val="en-US" w:eastAsia="zh-CN"/>
        </w:rPr>
        <w:fldChar w:fldCharType="end"/>
      </w:r>
    </w:p>
    <w:p w14:paraId="06D437E0">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_Toc22012 </w:instrText>
      </w:r>
      <w:r>
        <w:rPr>
          <w:rFonts w:hint="default"/>
          <w:color w:val="auto"/>
          <w:sz w:val="24"/>
          <w:lang w:val="en-US" w:eastAsia="zh-CN"/>
        </w:rPr>
        <w:fldChar w:fldCharType="separate"/>
      </w:r>
      <w:r>
        <w:rPr>
          <w:rFonts w:hint="default"/>
          <w:color w:val="auto"/>
          <w:sz w:val="24"/>
          <w:lang w:val="en-US" w:eastAsia="zh-CN"/>
        </w:rPr>
        <w:t>3.2 主要危险、有害物质辨识与分析</w:t>
      </w:r>
      <w:r>
        <w:rPr>
          <w:color w:val="auto"/>
          <w:sz w:val="24"/>
        </w:rPr>
        <w:tab/>
      </w:r>
      <w:r>
        <w:rPr>
          <w:color w:val="auto"/>
          <w:sz w:val="24"/>
        </w:rPr>
        <w:fldChar w:fldCharType="begin"/>
      </w:r>
      <w:r>
        <w:rPr>
          <w:color w:val="auto"/>
          <w:sz w:val="24"/>
        </w:rPr>
        <w:instrText xml:space="preserve"> PAGEREF _Toc22012 \h </w:instrText>
      </w:r>
      <w:r>
        <w:rPr>
          <w:color w:val="auto"/>
          <w:sz w:val="24"/>
        </w:rPr>
        <w:fldChar w:fldCharType="separate"/>
      </w:r>
      <w:r>
        <w:rPr>
          <w:color w:val="auto"/>
          <w:sz w:val="24"/>
        </w:rPr>
        <w:t>40</w:t>
      </w:r>
      <w:r>
        <w:rPr>
          <w:color w:val="auto"/>
          <w:sz w:val="24"/>
        </w:rPr>
        <w:fldChar w:fldCharType="end"/>
      </w:r>
      <w:r>
        <w:rPr>
          <w:rFonts w:hint="default"/>
          <w:color w:val="auto"/>
          <w:sz w:val="24"/>
          <w:lang w:val="en-US" w:eastAsia="zh-CN"/>
        </w:rPr>
        <w:fldChar w:fldCharType="end"/>
      </w:r>
    </w:p>
    <w:p w14:paraId="3AAB1B81">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_Toc184 </w:instrText>
      </w:r>
      <w:r>
        <w:rPr>
          <w:rFonts w:hint="default"/>
          <w:color w:val="auto"/>
          <w:sz w:val="24"/>
          <w:lang w:val="en-US" w:eastAsia="zh-CN"/>
        </w:rPr>
        <w:fldChar w:fldCharType="separate"/>
      </w:r>
      <w:r>
        <w:rPr>
          <w:rFonts w:hint="default"/>
          <w:color w:val="auto"/>
          <w:sz w:val="24"/>
          <w:lang w:val="en-US" w:eastAsia="zh-CN"/>
        </w:rPr>
        <w:t>3.3 厂址选择及总平面布置危险和有害因素辨识与分析</w:t>
      </w:r>
      <w:r>
        <w:rPr>
          <w:color w:val="auto"/>
          <w:sz w:val="24"/>
        </w:rPr>
        <w:tab/>
      </w:r>
      <w:r>
        <w:rPr>
          <w:color w:val="auto"/>
          <w:sz w:val="24"/>
        </w:rPr>
        <w:fldChar w:fldCharType="begin"/>
      </w:r>
      <w:r>
        <w:rPr>
          <w:color w:val="auto"/>
          <w:sz w:val="24"/>
        </w:rPr>
        <w:instrText xml:space="preserve"> PAGEREF _Toc184 \h </w:instrText>
      </w:r>
      <w:r>
        <w:rPr>
          <w:color w:val="auto"/>
          <w:sz w:val="24"/>
        </w:rPr>
        <w:fldChar w:fldCharType="separate"/>
      </w:r>
      <w:r>
        <w:rPr>
          <w:color w:val="auto"/>
          <w:sz w:val="24"/>
        </w:rPr>
        <w:t>47</w:t>
      </w:r>
      <w:r>
        <w:rPr>
          <w:color w:val="auto"/>
          <w:sz w:val="24"/>
        </w:rPr>
        <w:fldChar w:fldCharType="end"/>
      </w:r>
      <w:r>
        <w:rPr>
          <w:rFonts w:hint="default"/>
          <w:color w:val="auto"/>
          <w:sz w:val="24"/>
          <w:lang w:val="en-US" w:eastAsia="zh-CN"/>
        </w:rPr>
        <w:fldChar w:fldCharType="end"/>
      </w:r>
    </w:p>
    <w:p w14:paraId="65E5CC85">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_Toc16214 </w:instrText>
      </w:r>
      <w:r>
        <w:rPr>
          <w:rFonts w:hint="default"/>
          <w:color w:val="auto"/>
          <w:sz w:val="24"/>
          <w:lang w:val="en-US" w:eastAsia="zh-CN"/>
        </w:rPr>
        <w:fldChar w:fldCharType="separate"/>
      </w:r>
      <w:r>
        <w:rPr>
          <w:rFonts w:hint="default"/>
          <w:color w:val="auto"/>
          <w:sz w:val="24"/>
          <w:lang w:val="en-US" w:eastAsia="zh-CN"/>
        </w:rPr>
        <w:t>3.</w:t>
      </w:r>
      <w:r>
        <w:rPr>
          <w:rFonts w:hint="eastAsia"/>
          <w:color w:val="auto"/>
          <w:sz w:val="24"/>
          <w:lang w:val="en-US" w:eastAsia="zh-CN"/>
        </w:rPr>
        <w:t>4</w:t>
      </w:r>
      <w:r>
        <w:rPr>
          <w:rFonts w:hint="default"/>
          <w:color w:val="auto"/>
          <w:sz w:val="24"/>
          <w:lang w:val="en-US" w:eastAsia="zh-CN"/>
        </w:rPr>
        <w:t xml:space="preserve"> 生产过程中的主要危险和有害因素辨识与分析</w:t>
      </w:r>
      <w:r>
        <w:rPr>
          <w:color w:val="auto"/>
          <w:sz w:val="24"/>
        </w:rPr>
        <w:tab/>
      </w:r>
      <w:r>
        <w:rPr>
          <w:color w:val="auto"/>
          <w:sz w:val="24"/>
        </w:rPr>
        <w:fldChar w:fldCharType="begin"/>
      </w:r>
      <w:r>
        <w:rPr>
          <w:color w:val="auto"/>
          <w:sz w:val="24"/>
        </w:rPr>
        <w:instrText xml:space="preserve"> PAGEREF _Toc16214 \h </w:instrText>
      </w:r>
      <w:r>
        <w:rPr>
          <w:color w:val="auto"/>
          <w:sz w:val="24"/>
        </w:rPr>
        <w:fldChar w:fldCharType="separate"/>
      </w:r>
      <w:r>
        <w:rPr>
          <w:color w:val="auto"/>
          <w:sz w:val="24"/>
        </w:rPr>
        <w:t>49</w:t>
      </w:r>
      <w:r>
        <w:rPr>
          <w:color w:val="auto"/>
          <w:sz w:val="24"/>
        </w:rPr>
        <w:fldChar w:fldCharType="end"/>
      </w:r>
      <w:r>
        <w:rPr>
          <w:rFonts w:hint="default"/>
          <w:color w:val="auto"/>
          <w:sz w:val="24"/>
          <w:lang w:val="en-US" w:eastAsia="zh-CN"/>
        </w:rPr>
        <w:fldChar w:fldCharType="end"/>
      </w:r>
    </w:p>
    <w:p w14:paraId="23552DAC">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_Toc1845 </w:instrText>
      </w:r>
      <w:r>
        <w:rPr>
          <w:rFonts w:hint="default"/>
          <w:color w:val="auto"/>
          <w:sz w:val="24"/>
          <w:lang w:val="en-US" w:eastAsia="zh-CN"/>
        </w:rPr>
        <w:fldChar w:fldCharType="separate"/>
      </w:r>
      <w:r>
        <w:rPr>
          <w:rFonts w:hint="default"/>
          <w:color w:val="auto"/>
          <w:sz w:val="24"/>
          <w:lang w:val="en-US" w:eastAsia="zh-CN"/>
        </w:rPr>
        <w:t>3.</w:t>
      </w:r>
      <w:r>
        <w:rPr>
          <w:rFonts w:hint="eastAsia"/>
          <w:color w:val="auto"/>
          <w:sz w:val="24"/>
          <w:lang w:val="en-US" w:eastAsia="zh-CN"/>
        </w:rPr>
        <w:t>5</w:t>
      </w:r>
      <w:r>
        <w:rPr>
          <w:rFonts w:hint="default"/>
          <w:color w:val="auto"/>
          <w:sz w:val="24"/>
          <w:lang w:val="en-US" w:eastAsia="zh-CN"/>
        </w:rPr>
        <w:t xml:space="preserve"> 有限空间作业危险有害因素辨识与分析</w:t>
      </w:r>
      <w:r>
        <w:rPr>
          <w:color w:val="auto"/>
          <w:sz w:val="24"/>
        </w:rPr>
        <w:tab/>
      </w:r>
      <w:r>
        <w:rPr>
          <w:color w:val="auto"/>
          <w:sz w:val="24"/>
        </w:rPr>
        <w:fldChar w:fldCharType="begin"/>
      </w:r>
      <w:r>
        <w:rPr>
          <w:color w:val="auto"/>
          <w:sz w:val="24"/>
        </w:rPr>
        <w:instrText xml:space="preserve"> PAGEREF _Toc1845 \h </w:instrText>
      </w:r>
      <w:r>
        <w:rPr>
          <w:color w:val="auto"/>
          <w:sz w:val="24"/>
        </w:rPr>
        <w:fldChar w:fldCharType="separate"/>
      </w:r>
      <w:r>
        <w:rPr>
          <w:color w:val="auto"/>
          <w:sz w:val="24"/>
        </w:rPr>
        <w:t>60</w:t>
      </w:r>
      <w:r>
        <w:rPr>
          <w:color w:val="auto"/>
          <w:sz w:val="24"/>
        </w:rPr>
        <w:fldChar w:fldCharType="end"/>
      </w:r>
      <w:r>
        <w:rPr>
          <w:rFonts w:hint="default"/>
          <w:color w:val="auto"/>
          <w:sz w:val="24"/>
          <w:lang w:val="en-US" w:eastAsia="zh-CN"/>
        </w:rPr>
        <w:fldChar w:fldCharType="end"/>
      </w:r>
    </w:p>
    <w:p w14:paraId="7E648934">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_Toc9181 </w:instrText>
      </w:r>
      <w:r>
        <w:rPr>
          <w:rFonts w:hint="default"/>
          <w:color w:val="auto"/>
          <w:sz w:val="24"/>
          <w:lang w:val="en-US" w:eastAsia="zh-CN"/>
        </w:rPr>
        <w:fldChar w:fldCharType="separate"/>
      </w:r>
      <w:r>
        <w:rPr>
          <w:rFonts w:hint="default"/>
          <w:color w:val="auto"/>
          <w:sz w:val="24"/>
          <w:lang w:val="en-US" w:eastAsia="zh-CN"/>
        </w:rPr>
        <w:t>3.</w:t>
      </w:r>
      <w:r>
        <w:rPr>
          <w:rFonts w:hint="eastAsia"/>
          <w:color w:val="auto"/>
          <w:sz w:val="24"/>
          <w:lang w:val="en-US" w:eastAsia="zh-CN"/>
        </w:rPr>
        <w:t>6</w:t>
      </w:r>
      <w:r>
        <w:rPr>
          <w:rFonts w:hint="default"/>
          <w:color w:val="auto"/>
          <w:sz w:val="24"/>
          <w:lang w:val="en-US" w:eastAsia="zh-CN"/>
        </w:rPr>
        <w:t xml:space="preserve"> 安全管理危险和有害因素辨识与分析</w:t>
      </w:r>
      <w:r>
        <w:rPr>
          <w:color w:val="auto"/>
          <w:sz w:val="24"/>
        </w:rPr>
        <w:tab/>
      </w:r>
      <w:r>
        <w:rPr>
          <w:color w:val="auto"/>
          <w:sz w:val="24"/>
        </w:rPr>
        <w:fldChar w:fldCharType="begin"/>
      </w:r>
      <w:r>
        <w:rPr>
          <w:color w:val="auto"/>
          <w:sz w:val="24"/>
        </w:rPr>
        <w:instrText xml:space="preserve"> PAGEREF _Toc9181 \h </w:instrText>
      </w:r>
      <w:r>
        <w:rPr>
          <w:color w:val="auto"/>
          <w:sz w:val="24"/>
        </w:rPr>
        <w:fldChar w:fldCharType="separate"/>
      </w:r>
      <w:r>
        <w:rPr>
          <w:color w:val="auto"/>
          <w:sz w:val="24"/>
        </w:rPr>
        <w:t>61</w:t>
      </w:r>
      <w:r>
        <w:rPr>
          <w:color w:val="auto"/>
          <w:sz w:val="24"/>
        </w:rPr>
        <w:fldChar w:fldCharType="end"/>
      </w:r>
      <w:r>
        <w:rPr>
          <w:rFonts w:hint="default"/>
          <w:color w:val="auto"/>
          <w:sz w:val="24"/>
          <w:lang w:val="en-US" w:eastAsia="zh-CN"/>
        </w:rPr>
        <w:fldChar w:fldCharType="end"/>
      </w:r>
    </w:p>
    <w:p w14:paraId="15783F02">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_Toc13001 </w:instrText>
      </w:r>
      <w:r>
        <w:rPr>
          <w:rFonts w:hint="default"/>
          <w:color w:val="auto"/>
          <w:sz w:val="24"/>
          <w:lang w:val="en-US" w:eastAsia="zh-CN"/>
        </w:rPr>
        <w:fldChar w:fldCharType="separate"/>
      </w:r>
      <w:r>
        <w:rPr>
          <w:rFonts w:hint="default"/>
          <w:color w:val="auto"/>
          <w:sz w:val="24"/>
          <w:lang w:val="en-US" w:eastAsia="zh-CN"/>
        </w:rPr>
        <w:t>3.</w:t>
      </w:r>
      <w:r>
        <w:rPr>
          <w:rFonts w:hint="eastAsia"/>
          <w:color w:val="auto"/>
          <w:sz w:val="24"/>
          <w:lang w:val="en-US" w:eastAsia="zh-CN"/>
        </w:rPr>
        <w:t>7</w:t>
      </w:r>
      <w:r>
        <w:rPr>
          <w:rFonts w:hint="default"/>
          <w:color w:val="auto"/>
          <w:sz w:val="24"/>
          <w:lang w:val="en-US" w:eastAsia="zh-CN"/>
        </w:rPr>
        <w:t xml:space="preserve"> 危险化学品重大危险源辨识</w:t>
      </w:r>
      <w:r>
        <w:rPr>
          <w:color w:val="auto"/>
          <w:sz w:val="24"/>
        </w:rPr>
        <w:tab/>
      </w:r>
      <w:r>
        <w:rPr>
          <w:color w:val="auto"/>
          <w:sz w:val="24"/>
        </w:rPr>
        <w:fldChar w:fldCharType="begin"/>
      </w:r>
      <w:r>
        <w:rPr>
          <w:color w:val="auto"/>
          <w:sz w:val="24"/>
        </w:rPr>
        <w:instrText xml:space="preserve"> PAGEREF _Toc13001 \h </w:instrText>
      </w:r>
      <w:r>
        <w:rPr>
          <w:color w:val="auto"/>
          <w:sz w:val="24"/>
        </w:rPr>
        <w:fldChar w:fldCharType="separate"/>
      </w:r>
      <w:r>
        <w:rPr>
          <w:color w:val="auto"/>
          <w:sz w:val="24"/>
        </w:rPr>
        <w:t>62</w:t>
      </w:r>
      <w:r>
        <w:rPr>
          <w:color w:val="auto"/>
          <w:sz w:val="24"/>
        </w:rPr>
        <w:fldChar w:fldCharType="end"/>
      </w:r>
      <w:r>
        <w:rPr>
          <w:rFonts w:hint="default"/>
          <w:color w:val="auto"/>
          <w:sz w:val="24"/>
          <w:lang w:val="en-US" w:eastAsia="zh-CN"/>
        </w:rPr>
        <w:fldChar w:fldCharType="end"/>
      </w:r>
    </w:p>
    <w:p w14:paraId="1ACF6050">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_Toc21072 </w:instrText>
      </w:r>
      <w:r>
        <w:rPr>
          <w:rFonts w:hint="default"/>
          <w:color w:val="auto"/>
          <w:sz w:val="24"/>
          <w:lang w:val="en-US" w:eastAsia="zh-CN"/>
        </w:rPr>
        <w:fldChar w:fldCharType="separate"/>
      </w:r>
      <w:r>
        <w:rPr>
          <w:rFonts w:hint="default"/>
          <w:color w:val="auto"/>
          <w:sz w:val="24"/>
          <w:lang w:val="en-US" w:eastAsia="zh-CN"/>
        </w:rPr>
        <w:t>3.</w:t>
      </w:r>
      <w:r>
        <w:rPr>
          <w:rFonts w:hint="eastAsia"/>
          <w:color w:val="auto"/>
          <w:sz w:val="24"/>
          <w:lang w:val="en-US" w:eastAsia="zh-CN"/>
        </w:rPr>
        <w:t>8</w:t>
      </w:r>
      <w:r>
        <w:rPr>
          <w:rFonts w:hint="default"/>
          <w:color w:val="auto"/>
          <w:sz w:val="24"/>
          <w:lang w:val="en-US" w:eastAsia="zh-CN"/>
        </w:rPr>
        <w:t xml:space="preserve"> 评价项目主要危险及有害因素总结</w:t>
      </w:r>
      <w:r>
        <w:rPr>
          <w:color w:val="auto"/>
          <w:sz w:val="24"/>
        </w:rPr>
        <w:tab/>
      </w:r>
      <w:r>
        <w:rPr>
          <w:color w:val="auto"/>
          <w:sz w:val="24"/>
        </w:rPr>
        <w:fldChar w:fldCharType="begin"/>
      </w:r>
      <w:r>
        <w:rPr>
          <w:color w:val="auto"/>
          <w:sz w:val="24"/>
        </w:rPr>
        <w:instrText xml:space="preserve"> PAGEREF _Toc21072 \h </w:instrText>
      </w:r>
      <w:r>
        <w:rPr>
          <w:color w:val="auto"/>
          <w:sz w:val="24"/>
        </w:rPr>
        <w:fldChar w:fldCharType="separate"/>
      </w:r>
      <w:r>
        <w:rPr>
          <w:color w:val="auto"/>
          <w:sz w:val="24"/>
        </w:rPr>
        <w:t>63</w:t>
      </w:r>
      <w:r>
        <w:rPr>
          <w:color w:val="auto"/>
          <w:sz w:val="24"/>
        </w:rPr>
        <w:fldChar w:fldCharType="end"/>
      </w:r>
      <w:r>
        <w:rPr>
          <w:rFonts w:hint="default"/>
          <w:color w:val="auto"/>
          <w:sz w:val="24"/>
          <w:lang w:val="en-US" w:eastAsia="zh-CN"/>
        </w:rPr>
        <w:fldChar w:fldCharType="end"/>
      </w:r>
    </w:p>
    <w:p w14:paraId="4E86125B">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_Toc24076 </w:instrText>
      </w:r>
      <w:r>
        <w:rPr>
          <w:rFonts w:hint="default"/>
          <w:color w:val="auto"/>
          <w:sz w:val="24"/>
          <w:lang w:val="en-US" w:eastAsia="zh-CN"/>
        </w:rPr>
        <w:fldChar w:fldCharType="separate"/>
      </w:r>
      <w:r>
        <w:rPr>
          <w:rFonts w:hint="default"/>
          <w:color w:val="auto"/>
          <w:sz w:val="24"/>
          <w:lang w:val="en-US" w:eastAsia="zh-CN"/>
        </w:rPr>
        <w:t>4 评价单元划分及评价方法选择</w:t>
      </w:r>
      <w:r>
        <w:rPr>
          <w:color w:val="auto"/>
          <w:sz w:val="24"/>
        </w:rPr>
        <w:tab/>
      </w:r>
      <w:r>
        <w:rPr>
          <w:color w:val="auto"/>
          <w:sz w:val="24"/>
        </w:rPr>
        <w:fldChar w:fldCharType="begin"/>
      </w:r>
      <w:r>
        <w:rPr>
          <w:color w:val="auto"/>
          <w:sz w:val="24"/>
        </w:rPr>
        <w:instrText xml:space="preserve"> PAGEREF _Toc24076 \h </w:instrText>
      </w:r>
      <w:r>
        <w:rPr>
          <w:color w:val="auto"/>
          <w:sz w:val="24"/>
        </w:rPr>
        <w:fldChar w:fldCharType="separate"/>
      </w:r>
      <w:r>
        <w:rPr>
          <w:color w:val="auto"/>
          <w:sz w:val="24"/>
        </w:rPr>
        <w:t>65</w:t>
      </w:r>
      <w:r>
        <w:rPr>
          <w:color w:val="auto"/>
          <w:sz w:val="24"/>
        </w:rPr>
        <w:fldChar w:fldCharType="end"/>
      </w:r>
      <w:r>
        <w:rPr>
          <w:rFonts w:hint="default"/>
          <w:color w:val="auto"/>
          <w:sz w:val="24"/>
          <w:lang w:val="en-US" w:eastAsia="zh-CN"/>
        </w:rPr>
        <w:fldChar w:fldCharType="end"/>
      </w:r>
    </w:p>
    <w:p w14:paraId="662B4976">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_Toc20050 </w:instrText>
      </w:r>
      <w:r>
        <w:rPr>
          <w:rFonts w:hint="default"/>
          <w:color w:val="auto"/>
          <w:sz w:val="24"/>
          <w:lang w:val="en-US" w:eastAsia="zh-CN"/>
        </w:rPr>
        <w:fldChar w:fldCharType="separate"/>
      </w:r>
      <w:r>
        <w:rPr>
          <w:rFonts w:hint="default"/>
          <w:color w:val="auto"/>
          <w:sz w:val="24"/>
          <w:lang w:val="en-US" w:eastAsia="zh-CN"/>
        </w:rPr>
        <w:t>4.1 评价单元划分</w:t>
      </w:r>
      <w:r>
        <w:rPr>
          <w:color w:val="auto"/>
          <w:sz w:val="24"/>
        </w:rPr>
        <w:tab/>
      </w:r>
      <w:r>
        <w:rPr>
          <w:color w:val="auto"/>
          <w:sz w:val="24"/>
        </w:rPr>
        <w:fldChar w:fldCharType="begin"/>
      </w:r>
      <w:r>
        <w:rPr>
          <w:color w:val="auto"/>
          <w:sz w:val="24"/>
        </w:rPr>
        <w:instrText xml:space="preserve"> PAGEREF _Toc20050 \h </w:instrText>
      </w:r>
      <w:r>
        <w:rPr>
          <w:color w:val="auto"/>
          <w:sz w:val="24"/>
        </w:rPr>
        <w:fldChar w:fldCharType="separate"/>
      </w:r>
      <w:r>
        <w:rPr>
          <w:color w:val="auto"/>
          <w:sz w:val="24"/>
        </w:rPr>
        <w:t>65</w:t>
      </w:r>
      <w:r>
        <w:rPr>
          <w:color w:val="auto"/>
          <w:sz w:val="24"/>
        </w:rPr>
        <w:fldChar w:fldCharType="end"/>
      </w:r>
      <w:r>
        <w:rPr>
          <w:rFonts w:hint="default"/>
          <w:color w:val="auto"/>
          <w:sz w:val="24"/>
          <w:lang w:val="en-US" w:eastAsia="zh-CN"/>
        </w:rPr>
        <w:fldChar w:fldCharType="end"/>
      </w:r>
    </w:p>
    <w:p w14:paraId="7229652B">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_Toc3007 </w:instrText>
      </w:r>
      <w:r>
        <w:rPr>
          <w:rFonts w:hint="default"/>
          <w:color w:val="auto"/>
          <w:sz w:val="24"/>
          <w:lang w:val="en-US" w:eastAsia="zh-CN"/>
        </w:rPr>
        <w:fldChar w:fldCharType="separate"/>
      </w:r>
      <w:r>
        <w:rPr>
          <w:rFonts w:hint="default"/>
          <w:color w:val="auto"/>
          <w:sz w:val="24"/>
          <w:lang w:val="en-US" w:eastAsia="zh-CN"/>
        </w:rPr>
        <w:t>4.2 评价方法介绍</w:t>
      </w:r>
      <w:r>
        <w:rPr>
          <w:color w:val="auto"/>
          <w:sz w:val="24"/>
        </w:rPr>
        <w:tab/>
      </w:r>
      <w:r>
        <w:rPr>
          <w:color w:val="auto"/>
          <w:sz w:val="24"/>
        </w:rPr>
        <w:fldChar w:fldCharType="begin"/>
      </w:r>
      <w:r>
        <w:rPr>
          <w:color w:val="auto"/>
          <w:sz w:val="24"/>
        </w:rPr>
        <w:instrText xml:space="preserve"> PAGEREF _Toc3007 \h </w:instrText>
      </w:r>
      <w:r>
        <w:rPr>
          <w:color w:val="auto"/>
          <w:sz w:val="24"/>
        </w:rPr>
        <w:fldChar w:fldCharType="separate"/>
      </w:r>
      <w:r>
        <w:rPr>
          <w:color w:val="auto"/>
          <w:sz w:val="24"/>
        </w:rPr>
        <w:t>67</w:t>
      </w:r>
      <w:r>
        <w:rPr>
          <w:color w:val="auto"/>
          <w:sz w:val="24"/>
        </w:rPr>
        <w:fldChar w:fldCharType="end"/>
      </w:r>
      <w:r>
        <w:rPr>
          <w:rFonts w:hint="default"/>
          <w:color w:val="auto"/>
          <w:sz w:val="24"/>
          <w:lang w:val="en-US" w:eastAsia="zh-CN"/>
        </w:rPr>
        <w:fldChar w:fldCharType="end"/>
      </w:r>
    </w:p>
    <w:p w14:paraId="1D3237E4">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_Toc3751 </w:instrText>
      </w:r>
      <w:r>
        <w:rPr>
          <w:rFonts w:hint="default"/>
          <w:color w:val="auto"/>
          <w:sz w:val="24"/>
          <w:lang w:val="en-US" w:eastAsia="zh-CN"/>
        </w:rPr>
        <w:fldChar w:fldCharType="separate"/>
      </w:r>
      <w:r>
        <w:rPr>
          <w:rFonts w:hint="default"/>
          <w:color w:val="auto"/>
          <w:sz w:val="24"/>
          <w:lang w:val="en-US" w:eastAsia="zh-CN"/>
        </w:rPr>
        <w:t>5 定性定量评价</w:t>
      </w:r>
      <w:r>
        <w:rPr>
          <w:color w:val="auto"/>
          <w:sz w:val="24"/>
        </w:rPr>
        <w:tab/>
      </w:r>
      <w:r>
        <w:rPr>
          <w:color w:val="auto"/>
          <w:sz w:val="24"/>
        </w:rPr>
        <w:fldChar w:fldCharType="begin"/>
      </w:r>
      <w:r>
        <w:rPr>
          <w:color w:val="auto"/>
          <w:sz w:val="24"/>
        </w:rPr>
        <w:instrText xml:space="preserve"> PAGEREF _Toc3751 \h </w:instrText>
      </w:r>
      <w:r>
        <w:rPr>
          <w:color w:val="auto"/>
          <w:sz w:val="24"/>
        </w:rPr>
        <w:fldChar w:fldCharType="separate"/>
      </w:r>
      <w:r>
        <w:rPr>
          <w:color w:val="auto"/>
          <w:sz w:val="24"/>
        </w:rPr>
        <w:t>72</w:t>
      </w:r>
      <w:r>
        <w:rPr>
          <w:color w:val="auto"/>
          <w:sz w:val="24"/>
        </w:rPr>
        <w:fldChar w:fldCharType="end"/>
      </w:r>
      <w:r>
        <w:rPr>
          <w:rFonts w:hint="default"/>
          <w:color w:val="auto"/>
          <w:sz w:val="24"/>
          <w:lang w:val="en-US" w:eastAsia="zh-CN"/>
        </w:rPr>
        <w:fldChar w:fldCharType="end"/>
      </w:r>
    </w:p>
    <w:p w14:paraId="5917605C">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_Toc25237 </w:instrText>
      </w:r>
      <w:r>
        <w:rPr>
          <w:rFonts w:hint="default"/>
          <w:color w:val="auto"/>
          <w:sz w:val="24"/>
          <w:lang w:val="en-US" w:eastAsia="zh-CN"/>
        </w:rPr>
        <w:fldChar w:fldCharType="separate"/>
      </w:r>
      <w:r>
        <w:rPr>
          <w:rFonts w:hint="default"/>
          <w:color w:val="auto"/>
          <w:sz w:val="24"/>
          <w:lang w:val="en-US" w:eastAsia="zh-CN"/>
        </w:rPr>
        <w:t>5.1 厂址及总平面布置单元</w:t>
      </w:r>
      <w:r>
        <w:rPr>
          <w:color w:val="auto"/>
          <w:sz w:val="24"/>
        </w:rPr>
        <w:tab/>
      </w:r>
      <w:r>
        <w:rPr>
          <w:color w:val="auto"/>
          <w:sz w:val="24"/>
        </w:rPr>
        <w:fldChar w:fldCharType="begin"/>
      </w:r>
      <w:r>
        <w:rPr>
          <w:color w:val="auto"/>
          <w:sz w:val="24"/>
        </w:rPr>
        <w:instrText xml:space="preserve"> PAGEREF _Toc25237 \h </w:instrText>
      </w:r>
      <w:r>
        <w:rPr>
          <w:color w:val="auto"/>
          <w:sz w:val="24"/>
        </w:rPr>
        <w:fldChar w:fldCharType="separate"/>
      </w:r>
      <w:r>
        <w:rPr>
          <w:color w:val="auto"/>
          <w:sz w:val="24"/>
        </w:rPr>
        <w:t>72</w:t>
      </w:r>
      <w:r>
        <w:rPr>
          <w:color w:val="auto"/>
          <w:sz w:val="24"/>
        </w:rPr>
        <w:fldChar w:fldCharType="end"/>
      </w:r>
      <w:r>
        <w:rPr>
          <w:rFonts w:hint="default"/>
          <w:color w:val="auto"/>
          <w:sz w:val="24"/>
          <w:lang w:val="en-US" w:eastAsia="zh-CN"/>
        </w:rPr>
        <w:fldChar w:fldCharType="end"/>
      </w:r>
    </w:p>
    <w:p w14:paraId="7FC6508F">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_Toc26185 </w:instrText>
      </w:r>
      <w:r>
        <w:rPr>
          <w:rFonts w:hint="default"/>
          <w:color w:val="auto"/>
          <w:sz w:val="24"/>
          <w:lang w:val="en-US" w:eastAsia="zh-CN"/>
        </w:rPr>
        <w:fldChar w:fldCharType="separate"/>
      </w:r>
      <w:r>
        <w:rPr>
          <w:rFonts w:hint="eastAsia"/>
          <w:color w:val="auto"/>
          <w:sz w:val="24"/>
          <w:lang w:val="en-US" w:eastAsia="zh-CN"/>
        </w:rPr>
        <w:t>5.2 设备</w:t>
      </w:r>
      <w:r>
        <w:rPr>
          <w:rFonts w:hint="default"/>
          <w:color w:val="auto"/>
          <w:sz w:val="24"/>
          <w:lang w:val="en-US" w:eastAsia="zh-CN"/>
        </w:rPr>
        <w:t>工艺单元</w:t>
      </w:r>
      <w:r>
        <w:rPr>
          <w:color w:val="auto"/>
          <w:sz w:val="24"/>
        </w:rPr>
        <w:tab/>
      </w:r>
      <w:r>
        <w:rPr>
          <w:color w:val="auto"/>
          <w:sz w:val="24"/>
        </w:rPr>
        <w:fldChar w:fldCharType="begin"/>
      </w:r>
      <w:r>
        <w:rPr>
          <w:color w:val="auto"/>
          <w:sz w:val="24"/>
        </w:rPr>
        <w:instrText xml:space="preserve"> PAGEREF _Toc26185 \h </w:instrText>
      </w:r>
      <w:r>
        <w:rPr>
          <w:color w:val="auto"/>
          <w:sz w:val="24"/>
        </w:rPr>
        <w:fldChar w:fldCharType="separate"/>
      </w:r>
      <w:r>
        <w:rPr>
          <w:color w:val="auto"/>
          <w:sz w:val="24"/>
        </w:rPr>
        <w:t>79</w:t>
      </w:r>
      <w:r>
        <w:rPr>
          <w:color w:val="auto"/>
          <w:sz w:val="24"/>
        </w:rPr>
        <w:fldChar w:fldCharType="end"/>
      </w:r>
      <w:r>
        <w:rPr>
          <w:rFonts w:hint="default"/>
          <w:color w:val="auto"/>
          <w:sz w:val="24"/>
          <w:lang w:val="en-US" w:eastAsia="zh-CN"/>
        </w:rPr>
        <w:fldChar w:fldCharType="end"/>
      </w:r>
    </w:p>
    <w:p w14:paraId="069AC1E3">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_Toc23657 </w:instrText>
      </w:r>
      <w:r>
        <w:rPr>
          <w:rFonts w:hint="default"/>
          <w:color w:val="auto"/>
          <w:sz w:val="24"/>
          <w:lang w:val="en-US" w:eastAsia="zh-CN"/>
        </w:rPr>
        <w:fldChar w:fldCharType="separate"/>
      </w:r>
      <w:r>
        <w:rPr>
          <w:rFonts w:hint="default"/>
          <w:color w:val="auto"/>
          <w:sz w:val="24"/>
          <w:lang w:val="en-US" w:eastAsia="zh-CN"/>
        </w:rPr>
        <w:t xml:space="preserve">5.3 </w:t>
      </w:r>
      <w:r>
        <w:rPr>
          <w:rFonts w:hint="eastAsia"/>
          <w:color w:val="auto"/>
          <w:sz w:val="24"/>
          <w:lang w:val="en-US" w:eastAsia="zh-CN"/>
        </w:rPr>
        <w:t>给排水系统</w:t>
      </w:r>
      <w:r>
        <w:rPr>
          <w:rFonts w:hint="default"/>
          <w:color w:val="auto"/>
          <w:sz w:val="24"/>
          <w:lang w:val="en-US" w:eastAsia="zh-CN"/>
        </w:rPr>
        <w:t>单元</w:t>
      </w:r>
      <w:r>
        <w:rPr>
          <w:color w:val="auto"/>
          <w:sz w:val="24"/>
        </w:rPr>
        <w:tab/>
      </w:r>
      <w:r>
        <w:rPr>
          <w:color w:val="auto"/>
          <w:sz w:val="24"/>
        </w:rPr>
        <w:fldChar w:fldCharType="begin"/>
      </w:r>
      <w:r>
        <w:rPr>
          <w:color w:val="auto"/>
          <w:sz w:val="24"/>
        </w:rPr>
        <w:instrText xml:space="preserve"> PAGEREF _Toc23657 \h </w:instrText>
      </w:r>
      <w:r>
        <w:rPr>
          <w:color w:val="auto"/>
          <w:sz w:val="24"/>
        </w:rPr>
        <w:fldChar w:fldCharType="separate"/>
      </w:r>
      <w:r>
        <w:rPr>
          <w:color w:val="auto"/>
          <w:sz w:val="24"/>
        </w:rPr>
        <w:t>93</w:t>
      </w:r>
      <w:r>
        <w:rPr>
          <w:color w:val="auto"/>
          <w:sz w:val="24"/>
        </w:rPr>
        <w:fldChar w:fldCharType="end"/>
      </w:r>
      <w:r>
        <w:rPr>
          <w:rFonts w:hint="default"/>
          <w:color w:val="auto"/>
          <w:sz w:val="24"/>
          <w:lang w:val="en-US" w:eastAsia="zh-CN"/>
        </w:rPr>
        <w:fldChar w:fldCharType="end"/>
      </w:r>
    </w:p>
    <w:p w14:paraId="092CFE6B">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_Toc14150 </w:instrText>
      </w:r>
      <w:r>
        <w:rPr>
          <w:rFonts w:hint="default"/>
          <w:color w:val="auto"/>
          <w:sz w:val="24"/>
          <w:lang w:val="en-US" w:eastAsia="zh-CN"/>
        </w:rPr>
        <w:fldChar w:fldCharType="separate"/>
      </w:r>
      <w:r>
        <w:rPr>
          <w:rFonts w:hint="default"/>
          <w:color w:val="auto"/>
          <w:sz w:val="24"/>
          <w:lang w:val="en-US" w:eastAsia="zh-CN"/>
        </w:rPr>
        <w:t>5.4 供配电系统单元</w:t>
      </w:r>
      <w:r>
        <w:rPr>
          <w:color w:val="auto"/>
          <w:sz w:val="24"/>
        </w:rPr>
        <w:tab/>
      </w:r>
      <w:r>
        <w:rPr>
          <w:color w:val="auto"/>
          <w:sz w:val="24"/>
        </w:rPr>
        <w:fldChar w:fldCharType="begin"/>
      </w:r>
      <w:r>
        <w:rPr>
          <w:color w:val="auto"/>
          <w:sz w:val="24"/>
        </w:rPr>
        <w:instrText xml:space="preserve"> PAGEREF _Toc14150 \h </w:instrText>
      </w:r>
      <w:r>
        <w:rPr>
          <w:color w:val="auto"/>
          <w:sz w:val="24"/>
        </w:rPr>
        <w:fldChar w:fldCharType="separate"/>
      </w:r>
      <w:r>
        <w:rPr>
          <w:color w:val="auto"/>
          <w:sz w:val="24"/>
        </w:rPr>
        <w:t>96</w:t>
      </w:r>
      <w:r>
        <w:rPr>
          <w:color w:val="auto"/>
          <w:sz w:val="24"/>
        </w:rPr>
        <w:fldChar w:fldCharType="end"/>
      </w:r>
      <w:r>
        <w:rPr>
          <w:rFonts w:hint="default"/>
          <w:color w:val="auto"/>
          <w:sz w:val="24"/>
          <w:lang w:val="en-US" w:eastAsia="zh-CN"/>
        </w:rPr>
        <w:fldChar w:fldCharType="end"/>
      </w:r>
    </w:p>
    <w:p w14:paraId="628A5D32">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_Toc27686 </w:instrText>
      </w:r>
      <w:r>
        <w:rPr>
          <w:rFonts w:hint="default"/>
          <w:color w:val="auto"/>
          <w:sz w:val="24"/>
          <w:lang w:val="en-US" w:eastAsia="zh-CN"/>
        </w:rPr>
        <w:fldChar w:fldCharType="separate"/>
      </w:r>
      <w:r>
        <w:rPr>
          <w:rFonts w:hint="default"/>
          <w:color w:val="auto"/>
          <w:sz w:val="24"/>
          <w:lang w:val="en-US" w:eastAsia="zh-CN"/>
        </w:rPr>
        <w:t>5.5 安全管理单元</w:t>
      </w:r>
      <w:r>
        <w:rPr>
          <w:color w:val="auto"/>
          <w:sz w:val="24"/>
        </w:rPr>
        <w:tab/>
      </w:r>
      <w:r>
        <w:rPr>
          <w:color w:val="auto"/>
          <w:sz w:val="24"/>
        </w:rPr>
        <w:fldChar w:fldCharType="begin"/>
      </w:r>
      <w:r>
        <w:rPr>
          <w:color w:val="auto"/>
          <w:sz w:val="24"/>
        </w:rPr>
        <w:instrText xml:space="preserve"> PAGEREF _Toc27686 \h </w:instrText>
      </w:r>
      <w:r>
        <w:rPr>
          <w:color w:val="auto"/>
          <w:sz w:val="24"/>
        </w:rPr>
        <w:fldChar w:fldCharType="separate"/>
      </w:r>
      <w:r>
        <w:rPr>
          <w:color w:val="auto"/>
          <w:sz w:val="24"/>
        </w:rPr>
        <w:t>104</w:t>
      </w:r>
      <w:r>
        <w:rPr>
          <w:color w:val="auto"/>
          <w:sz w:val="24"/>
        </w:rPr>
        <w:fldChar w:fldCharType="end"/>
      </w:r>
      <w:r>
        <w:rPr>
          <w:rFonts w:hint="default"/>
          <w:color w:val="auto"/>
          <w:sz w:val="24"/>
          <w:lang w:val="en-US" w:eastAsia="zh-CN"/>
        </w:rPr>
        <w:fldChar w:fldCharType="end"/>
      </w:r>
    </w:p>
    <w:p w14:paraId="13B33059">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_Toc17806 </w:instrText>
      </w:r>
      <w:r>
        <w:rPr>
          <w:rFonts w:hint="default"/>
          <w:color w:val="auto"/>
          <w:sz w:val="24"/>
          <w:lang w:val="en-US" w:eastAsia="zh-CN"/>
        </w:rPr>
        <w:fldChar w:fldCharType="separate"/>
      </w:r>
      <w:r>
        <w:rPr>
          <w:rFonts w:hint="default"/>
          <w:color w:val="auto"/>
          <w:sz w:val="24"/>
          <w:lang w:val="en-US" w:eastAsia="zh-CN"/>
        </w:rPr>
        <w:t>6 安全对策措施建议</w:t>
      </w:r>
      <w:r>
        <w:rPr>
          <w:color w:val="auto"/>
          <w:sz w:val="24"/>
        </w:rPr>
        <w:tab/>
      </w:r>
      <w:r>
        <w:rPr>
          <w:color w:val="auto"/>
          <w:sz w:val="24"/>
        </w:rPr>
        <w:fldChar w:fldCharType="begin"/>
      </w:r>
      <w:r>
        <w:rPr>
          <w:color w:val="auto"/>
          <w:sz w:val="24"/>
        </w:rPr>
        <w:instrText xml:space="preserve"> PAGEREF _Toc17806 \h </w:instrText>
      </w:r>
      <w:r>
        <w:rPr>
          <w:color w:val="auto"/>
          <w:sz w:val="24"/>
        </w:rPr>
        <w:fldChar w:fldCharType="separate"/>
      </w:r>
      <w:r>
        <w:rPr>
          <w:color w:val="auto"/>
          <w:sz w:val="24"/>
        </w:rPr>
        <w:t>111</w:t>
      </w:r>
      <w:r>
        <w:rPr>
          <w:color w:val="auto"/>
          <w:sz w:val="24"/>
        </w:rPr>
        <w:fldChar w:fldCharType="end"/>
      </w:r>
      <w:r>
        <w:rPr>
          <w:rFonts w:hint="default"/>
          <w:color w:val="auto"/>
          <w:sz w:val="24"/>
          <w:lang w:val="en-US" w:eastAsia="zh-CN"/>
        </w:rPr>
        <w:fldChar w:fldCharType="end"/>
      </w:r>
    </w:p>
    <w:p w14:paraId="1D5B035D">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_Toc14313 </w:instrText>
      </w:r>
      <w:r>
        <w:rPr>
          <w:rFonts w:hint="default"/>
          <w:color w:val="auto"/>
          <w:sz w:val="24"/>
          <w:lang w:val="en-US" w:eastAsia="zh-CN"/>
        </w:rPr>
        <w:fldChar w:fldCharType="separate"/>
      </w:r>
      <w:r>
        <w:rPr>
          <w:rFonts w:hint="eastAsia"/>
          <w:color w:val="auto"/>
          <w:sz w:val="24"/>
        </w:rPr>
        <w:t>6.1 厂址及总平面布置单元安全对策措施建议</w:t>
      </w:r>
      <w:r>
        <w:rPr>
          <w:color w:val="auto"/>
          <w:sz w:val="24"/>
        </w:rPr>
        <w:tab/>
      </w:r>
      <w:r>
        <w:rPr>
          <w:color w:val="auto"/>
          <w:sz w:val="24"/>
        </w:rPr>
        <w:fldChar w:fldCharType="begin"/>
      </w:r>
      <w:r>
        <w:rPr>
          <w:color w:val="auto"/>
          <w:sz w:val="24"/>
        </w:rPr>
        <w:instrText xml:space="preserve"> PAGEREF _Toc14313 \h </w:instrText>
      </w:r>
      <w:r>
        <w:rPr>
          <w:color w:val="auto"/>
          <w:sz w:val="24"/>
        </w:rPr>
        <w:fldChar w:fldCharType="separate"/>
      </w:r>
      <w:r>
        <w:rPr>
          <w:color w:val="auto"/>
          <w:sz w:val="24"/>
        </w:rPr>
        <w:t>111</w:t>
      </w:r>
      <w:r>
        <w:rPr>
          <w:color w:val="auto"/>
          <w:sz w:val="24"/>
        </w:rPr>
        <w:fldChar w:fldCharType="end"/>
      </w:r>
      <w:r>
        <w:rPr>
          <w:rFonts w:hint="default"/>
          <w:color w:val="auto"/>
          <w:sz w:val="24"/>
          <w:lang w:val="en-US" w:eastAsia="zh-CN"/>
        </w:rPr>
        <w:fldChar w:fldCharType="end"/>
      </w:r>
    </w:p>
    <w:p w14:paraId="114D89D9">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_Toc28945 </w:instrText>
      </w:r>
      <w:r>
        <w:rPr>
          <w:rFonts w:hint="default"/>
          <w:color w:val="auto"/>
          <w:sz w:val="24"/>
          <w:lang w:val="en-US" w:eastAsia="zh-CN"/>
        </w:rPr>
        <w:fldChar w:fldCharType="separate"/>
      </w:r>
      <w:r>
        <w:rPr>
          <w:rFonts w:hint="default"/>
          <w:color w:val="auto"/>
          <w:sz w:val="24"/>
          <w:lang w:val="en-US" w:eastAsia="zh-CN"/>
        </w:rPr>
        <w:t xml:space="preserve">6.2 </w:t>
      </w:r>
      <w:r>
        <w:rPr>
          <w:rFonts w:hint="eastAsia"/>
          <w:color w:val="auto"/>
          <w:sz w:val="24"/>
          <w:lang w:val="en-US" w:eastAsia="zh-CN"/>
        </w:rPr>
        <w:t>设备</w:t>
      </w:r>
      <w:r>
        <w:rPr>
          <w:rFonts w:hint="default"/>
          <w:color w:val="auto"/>
          <w:sz w:val="24"/>
          <w:lang w:val="en-US" w:eastAsia="zh-CN"/>
        </w:rPr>
        <w:t>工艺单元安全对策措施建议</w:t>
      </w:r>
      <w:r>
        <w:rPr>
          <w:color w:val="auto"/>
          <w:sz w:val="24"/>
        </w:rPr>
        <w:tab/>
      </w:r>
      <w:r>
        <w:rPr>
          <w:color w:val="auto"/>
          <w:sz w:val="24"/>
        </w:rPr>
        <w:fldChar w:fldCharType="begin"/>
      </w:r>
      <w:r>
        <w:rPr>
          <w:color w:val="auto"/>
          <w:sz w:val="24"/>
        </w:rPr>
        <w:instrText xml:space="preserve"> PAGEREF _Toc28945 \h </w:instrText>
      </w:r>
      <w:r>
        <w:rPr>
          <w:color w:val="auto"/>
          <w:sz w:val="24"/>
        </w:rPr>
        <w:fldChar w:fldCharType="separate"/>
      </w:r>
      <w:r>
        <w:rPr>
          <w:color w:val="auto"/>
          <w:sz w:val="24"/>
        </w:rPr>
        <w:t>112</w:t>
      </w:r>
      <w:r>
        <w:rPr>
          <w:color w:val="auto"/>
          <w:sz w:val="24"/>
        </w:rPr>
        <w:fldChar w:fldCharType="end"/>
      </w:r>
      <w:r>
        <w:rPr>
          <w:rFonts w:hint="default"/>
          <w:color w:val="auto"/>
          <w:sz w:val="24"/>
          <w:lang w:val="en-US" w:eastAsia="zh-CN"/>
        </w:rPr>
        <w:fldChar w:fldCharType="end"/>
      </w:r>
    </w:p>
    <w:p w14:paraId="695DAF40">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_Toc12574 </w:instrText>
      </w:r>
      <w:r>
        <w:rPr>
          <w:rFonts w:hint="default"/>
          <w:color w:val="auto"/>
          <w:sz w:val="24"/>
          <w:lang w:val="en-US" w:eastAsia="zh-CN"/>
        </w:rPr>
        <w:fldChar w:fldCharType="separate"/>
      </w:r>
      <w:r>
        <w:rPr>
          <w:rFonts w:hint="eastAsia"/>
          <w:color w:val="auto"/>
          <w:sz w:val="24"/>
          <w:lang w:val="en-US" w:eastAsia="zh-CN"/>
        </w:rPr>
        <w:t>6.3 给排水系统</w:t>
      </w:r>
      <w:r>
        <w:rPr>
          <w:rFonts w:hint="default"/>
          <w:color w:val="auto"/>
          <w:sz w:val="24"/>
          <w:lang w:val="en-US" w:eastAsia="zh-CN"/>
        </w:rPr>
        <w:t>单元安全对策措施建议</w:t>
      </w:r>
      <w:r>
        <w:rPr>
          <w:color w:val="auto"/>
          <w:sz w:val="24"/>
        </w:rPr>
        <w:tab/>
      </w:r>
      <w:r>
        <w:rPr>
          <w:color w:val="auto"/>
          <w:sz w:val="24"/>
        </w:rPr>
        <w:fldChar w:fldCharType="begin"/>
      </w:r>
      <w:r>
        <w:rPr>
          <w:color w:val="auto"/>
          <w:sz w:val="24"/>
        </w:rPr>
        <w:instrText xml:space="preserve"> PAGEREF _Toc12574 \h </w:instrText>
      </w:r>
      <w:r>
        <w:rPr>
          <w:color w:val="auto"/>
          <w:sz w:val="24"/>
        </w:rPr>
        <w:fldChar w:fldCharType="separate"/>
      </w:r>
      <w:r>
        <w:rPr>
          <w:color w:val="auto"/>
          <w:sz w:val="24"/>
        </w:rPr>
        <w:t>118</w:t>
      </w:r>
      <w:r>
        <w:rPr>
          <w:color w:val="auto"/>
          <w:sz w:val="24"/>
        </w:rPr>
        <w:fldChar w:fldCharType="end"/>
      </w:r>
      <w:r>
        <w:rPr>
          <w:rFonts w:hint="default"/>
          <w:color w:val="auto"/>
          <w:sz w:val="24"/>
          <w:lang w:val="en-US" w:eastAsia="zh-CN"/>
        </w:rPr>
        <w:fldChar w:fldCharType="end"/>
      </w:r>
    </w:p>
    <w:p w14:paraId="0EA2C56D">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_Toc6617 </w:instrText>
      </w:r>
      <w:r>
        <w:rPr>
          <w:rFonts w:hint="default"/>
          <w:color w:val="auto"/>
          <w:sz w:val="24"/>
          <w:lang w:val="en-US" w:eastAsia="zh-CN"/>
        </w:rPr>
        <w:fldChar w:fldCharType="separate"/>
      </w:r>
      <w:r>
        <w:rPr>
          <w:rFonts w:hint="default"/>
          <w:color w:val="auto"/>
          <w:sz w:val="24"/>
          <w:lang w:val="en-US" w:eastAsia="zh-CN"/>
        </w:rPr>
        <w:t>6.4 供配电系统单元安全对策措施建议</w:t>
      </w:r>
      <w:r>
        <w:rPr>
          <w:color w:val="auto"/>
          <w:sz w:val="24"/>
        </w:rPr>
        <w:tab/>
      </w:r>
      <w:r>
        <w:rPr>
          <w:color w:val="auto"/>
          <w:sz w:val="24"/>
        </w:rPr>
        <w:fldChar w:fldCharType="begin"/>
      </w:r>
      <w:r>
        <w:rPr>
          <w:color w:val="auto"/>
          <w:sz w:val="24"/>
        </w:rPr>
        <w:instrText xml:space="preserve"> PAGEREF _Toc6617 \h </w:instrText>
      </w:r>
      <w:r>
        <w:rPr>
          <w:color w:val="auto"/>
          <w:sz w:val="24"/>
        </w:rPr>
        <w:fldChar w:fldCharType="separate"/>
      </w:r>
      <w:r>
        <w:rPr>
          <w:color w:val="auto"/>
          <w:sz w:val="24"/>
        </w:rPr>
        <w:t>121</w:t>
      </w:r>
      <w:r>
        <w:rPr>
          <w:color w:val="auto"/>
          <w:sz w:val="24"/>
        </w:rPr>
        <w:fldChar w:fldCharType="end"/>
      </w:r>
      <w:r>
        <w:rPr>
          <w:rFonts w:hint="default"/>
          <w:color w:val="auto"/>
          <w:sz w:val="24"/>
          <w:lang w:val="en-US" w:eastAsia="zh-CN"/>
        </w:rPr>
        <w:fldChar w:fldCharType="end"/>
      </w:r>
    </w:p>
    <w:p w14:paraId="3F609636">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_Toc25262 </w:instrText>
      </w:r>
      <w:r>
        <w:rPr>
          <w:rFonts w:hint="default"/>
          <w:color w:val="auto"/>
          <w:sz w:val="24"/>
          <w:lang w:val="en-US" w:eastAsia="zh-CN"/>
        </w:rPr>
        <w:fldChar w:fldCharType="separate"/>
      </w:r>
      <w:r>
        <w:rPr>
          <w:rFonts w:hint="default"/>
          <w:color w:val="auto"/>
          <w:sz w:val="24"/>
          <w:lang w:val="en-US" w:eastAsia="zh-CN"/>
        </w:rPr>
        <w:t>6.5 安全管理单元安全对策措施建议</w:t>
      </w:r>
      <w:r>
        <w:rPr>
          <w:color w:val="auto"/>
          <w:sz w:val="24"/>
        </w:rPr>
        <w:tab/>
      </w:r>
      <w:r>
        <w:rPr>
          <w:color w:val="auto"/>
          <w:sz w:val="24"/>
        </w:rPr>
        <w:fldChar w:fldCharType="begin"/>
      </w:r>
      <w:r>
        <w:rPr>
          <w:color w:val="auto"/>
          <w:sz w:val="24"/>
        </w:rPr>
        <w:instrText xml:space="preserve"> PAGEREF _Toc25262 \h </w:instrText>
      </w:r>
      <w:r>
        <w:rPr>
          <w:color w:val="auto"/>
          <w:sz w:val="24"/>
        </w:rPr>
        <w:fldChar w:fldCharType="separate"/>
      </w:r>
      <w:r>
        <w:rPr>
          <w:color w:val="auto"/>
          <w:sz w:val="24"/>
        </w:rPr>
        <w:t>127</w:t>
      </w:r>
      <w:r>
        <w:rPr>
          <w:color w:val="auto"/>
          <w:sz w:val="24"/>
        </w:rPr>
        <w:fldChar w:fldCharType="end"/>
      </w:r>
      <w:r>
        <w:rPr>
          <w:rFonts w:hint="default"/>
          <w:color w:val="auto"/>
          <w:sz w:val="24"/>
          <w:lang w:val="en-US" w:eastAsia="zh-CN"/>
        </w:rPr>
        <w:fldChar w:fldCharType="end"/>
      </w:r>
    </w:p>
    <w:p w14:paraId="5AD22327">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_Toc17936 </w:instrText>
      </w:r>
      <w:r>
        <w:rPr>
          <w:rFonts w:hint="default"/>
          <w:color w:val="auto"/>
          <w:sz w:val="24"/>
          <w:lang w:val="en-US" w:eastAsia="zh-CN"/>
        </w:rPr>
        <w:fldChar w:fldCharType="separate"/>
      </w:r>
      <w:r>
        <w:rPr>
          <w:rFonts w:hint="default"/>
          <w:color w:val="auto"/>
          <w:sz w:val="24"/>
          <w:lang w:val="en-US" w:eastAsia="zh-CN"/>
        </w:rPr>
        <w:t>6.6 其他安全对策措施与建议</w:t>
      </w:r>
      <w:r>
        <w:rPr>
          <w:color w:val="auto"/>
          <w:sz w:val="24"/>
        </w:rPr>
        <w:tab/>
      </w:r>
      <w:r>
        <w:rPr>
          <w:color w:val="auto"/>
          <w:sz w:val="24"/>
        </w:rPr>
        <w:fldChar w:fldCharType="begin"/>
      </w:r>
      <w:r>
        <w:rPr>
          <w:color w:val="auto"/>
          <w:sz w:val="24"/>
        </w:rPr>
        <w:instrText xml:space="preserve"> PAGEREF _Toc17936 \h </w:instrText>
      </w:r>
      <w:r>
        <w:rPr>
          <w:color w:val="auto"/>
          <w:sz w:val="24"/>
        </w:rPr>
        <w:fldChar w:fldCharType="separate"/>
      </w:r>
      <w:r>
        <w:rPr>
          <w:color w:val="auto"/>
          <w:sz w:val="24"/>
        </w:rPr>
        <w:t>132</w:t>
      </w:r>
      <w:r>
        <w:rPr>
          <w:color w:val="auto"/>
          <w:sz w:val="24"/>
        </w:rPr>
        <w:fldChar w:fldCharType="end"/>
      </w:r>
      <w:r>
        <w:rPr>
          <w:rFonts w:hint="default"/>
          <w:color w:val="auto"/>
          <w:sz w:val="24"/>
          <w:lang w:val="en-US" w:eastAsia="zh-CN"/>
        </w:rPr>
        <w:fldChar w:fldCharType="end"/>
      </w:r>
    </w:p>
    <w:p w14:paraId="1CC74DDF">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_Toc19831 </w:instrText>
      </w:r>
      <w:r>
        <w:rPr>
          <w:rFonts w:hint="default"/>
          <w:color w:val="auto"/>
          <w:sz w:val="24"/>
          <w:lang w:val="en-US" w:eastAsia="zh-CN"/>
        </w:rPr>
        <w:fldChar w:fldCharType="separate"/>
      </w:r>
      <w:r>
        <w:rPr>
          <w:rFonts w:hint="default"/>
          <w:color w:val="auto"/>
          <w:sz w:val="24"/>
          <w:lang w:val="en-US" w:eastAsia="zh-CN"/>
        </w:rPr>
        <w:t>6.7 安全设施设计中应补充的安全对策措施及建议</w:t>
      </w:r>
      <w:r>
        <w:rPr>
          <w:color w:val="auto"/>
          <w:sz w:val="24"/>
        </w:rPr>
        <w:tab/>
      </w:r>
      <w:r>
        <w:rPr>
          <w:color w:val="auto"/>
          <w:sz w:val="24"/>
        </w:rPr>
        <w:fldChar w:fldCharType="begin"/>
      </w:r>
      <w:r>
        <w:rPr>
          <w:color w:val="auto"/>
          <w:sz w:val="24"/>
        </w:rPr>
        <w:instrText xml:space="preserve"> PAGEREF _Toc19831 \h </w:instrText>
      </w:r>
      <w:r>
        <w:rPr>
          <w:color w:val="auto"/>
          <w:sz w:val="24"/>
        </w:rPr>
        <w:fldChar w:fldCharType="separate"/>
      </w:r>
      <w:r>
        <w:rPr>
          <w:color w:val="auto"/>
          <w:sz w:val="24"/>
        </w:rPr>
        <w:t>135</w:t>
      </w:r>
      <w:r>
        <w:rPr>
          <w:color w:val="auto"/>
          <w:sz w:val="24"/>
        </w:rPr>
        <w:fldChar w:fldCharType="end"/>
      </w:r>
      <w:r>
        <w:rPr>
          <w:rFonts w:hint="default"/>
          <w:color w:val="auto"/>
          <w:sz w:val="24"/>
          <w:lang w:val="en-US" w:eastAsia="zh-CN"/>
        </w:rPr>
        <w:fldChar w:fldCharType="end"/>
      </w:r>
    </w:p>
    <w:p w14:paraId="0422A4F5">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_Toc8459 </w:instrText>
      </w:r>
      <w:r>
        <w:rPr>
          <w:rFonts w:hint="default"/>
          <w:color w:val="auto"/>
          <w:sz w:val="24"/>
          <w:lang w:val="en-US" w:eastAsia="zh-CN"/>
        </w:rPr>
        <w:fldChar w:fldCharType="separate"/>
      </w:r>
      <w:r>
        <w:rPr>
          <w:rFonts w:hint="default"/>
          <w:color w:val="auto"/>
          <w:sz w:val="24"/>
          <w:lang w:val="en-US" w:eastAsia="zh-CN"/>
        </w:rPr>
        <w:t>7 评价结论</w:t>
      </w:r>
      <w:r>
        <w:rPr>
          <w:color w:val="auto"/>
          <w:sz w:val="24"/>
        </w:rPr>
        <w:tab/>
      </w:r>
      <w:r>
        <w:rPr>
          <w:color w:val="auto"/>
          <w:sz w:val="24"/>
        </w:rPr>
        <w:fldChar w:fldCharType="begin"/>
      </w:r>
      <w:r>
        <w:rPr>
          <w:color w:val="auto"/>
          <w:sz w:val="24"/>
        </w:rPr>
        <w:instrText xml:space="preserve"> PAGEREF _Toc8459 \h </w:instrText>
      </w:r>
      <w:r>
        <w:rPr>
          <w:color w:val="auto"/>
          <w:sz w:val="24"/>
        </w:rPr>
        <w:fldChar w:fldCharType="separate"/>
      </w:r>
      <w:r>
        <w:rPr>
          <w:color w:val="auto"/>
          <w:sz w:val="24"/>
        </w:rPr>
        <w:t>137</w:t>
      </w:r>
      <w:r>
        <w:rPr>
          <w:color w:val="auto"/>
          <w:sz w:val="24"/>
        </w:rPr>
        <w:fldChar w:fldCharType="end"/>
      </w:r>
      <w:r>
        <w:rPr>
          <w:rFonts w:hint="default"/>
          <w:color w:val="auto"/>
          <w:sz w:val="24"/>
          <w:lang w:val="en-US" w:eastAsia="zh-CN"/>
        </w:rPr>
        <w:fldChar w:fldCharType="end"/>
      </w:r>
    </w:p>
    <w:p w14:paraId="37434510">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_Toc11683 </w:instrText>
      </w:r>
      <w:r>
        <w:rPr>
          <w:rFonts w:hint="default"/>
          <w:color w:val="auto"/>
          <w:sz w:val="24"/>
          <w:lang w:val="en-US" w:eastAsia="zh-CN"/>
        </w:rPr>
        <w:fldChar w:fldCharType="separate"/>
      </w:r>
      <w:r>
        <w:rPr>
          <w:rFonts w:hint="default"/>
          <w:color w:val="auto"/>
          <w:sz w:val="24"/>
          <w:lang w:val="en-US" w:eastAsia="zh-CN"/>
        </w:rPr>
        <w:t>7.1 主要危险、有害因素及重大危险源辨识结果</w:t>
      </w:r>
      <w:r>
        <w:rPr>
          <w:color w:val="auto"/>
          <w:sz w:val="24"/>
        </w:rPr>
        <w:tab/>
      </w:r>
      <w:r>
        <w:rPr>
          <w:color w:val="auto"/>
          <w:sz w:val="24"/>
        </w:rPr>
        <w:fldChar w:fldCharType="begin"/>
      </w:r>
      <w:r>
        <w:rPr>
          <w:color w:val="auto"/>
          <w:sz w:val="24"/>
        </w:rPr>
        <w:instrText xml:space="preserve"> PAGEREF _Toc11683 \h </w:instrText>
      </w:r>
      <w:r>
        <w:rPr>
          <w:color w:val="auto"/>
          <w:sz w:val="24"/>
        </w:rPr>
        <w:fldChar w:fldCharType="separate"/>
      </w:r>
      <w:r>
        <w:rPr>
          <w:color w:val="auto"/>
          <w:sz w:val="24"/>
        </w:rPr>
        <w:t>137</w:t>
      </w:r>
      <w:r>
        <w:rPr>
          <w:color w:val="auto"/>
          <w:sz w:val="24"/>
        </w:rPr>
        <w:fldChar w:fldCharType="end"/>
      </w:r>
      <w:r>
        <w:rPr>
          <w:rFonts w:hint="default"/>
          <w:color w:val="auto"/>
          <w:sz w:val="24"/>
          <w:lang w:val="en-US" w:eastAsia="zh-CN"/>
        </w:rPr>
        <w:fldChar w:fldCharType="end"/>
      </w:r>
    </w:p>
    <w:p w14:paraId="698BFA8D">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_Toc25552 </w:instrText>
      </w:r>
      <w:r>
        <w:rPr>
          <w:rFonts w:hint="default"/>
          <w:color w:val="auto"/>
          <w:sz w:val="24"/>
          <w:lang w:val="en-US" w:eastAsia="zh-CN"/>
        </w:rPr>
        <w:fldChar w:fldCharType="separate"/>
      </w:r>
      <w:r>
        <w:rPr>
          <w:rFonts w:hint="default"/>
          <w:color w:val="auto"/>
          <w:sz w:val="24"/>
          <w:lang w:val="en-US" w:eastAsia="zh-CN"/>
        </w:rPr>
        <w:t>7.2 应重视的安全对策措施建议</w:t>
      </w:r>
      <w:r>
        <w:rPr>
          <w:color w:val="auto"/>
          <w:sz w:val="24"/>
        </w:rPr>
        <w:tab/>
      </w:r>
      <w:r>
        <w:rPr>
          <w:color w:val="auto"/>
          <w:sz w:val="24"/>
        </w:rPr>
        <w:fldChar w:fldCharType="begin"/>
      </w:r>
      <w:r>
        <w:rPr>
          <w:color w:val="auto"/>
          <w:sz w:val="24"/>
        </w:rPr>
        <w:instrText xml:space="preserve"> PAGEREF _Toc25552 \h </w:instrText>
      </w:r>
      <w:r>
        <w:rPr>
          <w:color w:val="auto"/>
          <w:sz w:val="24"/>
        </w:rPr>
        <w:fldChar w:fldCharType="separate"/>
      </w:r>
      <w:r>
        <w:rPr>
          <w:color w:val="auto"/>
          <w:sz w:val="24"/>
        </w:rPr>
        <w:t>137</w:t>
      </w:r>
      <w:r>
        <w:rPr>
          <w:color w:val="auto"/>
          <w:sz w:val="24"/>
        </w:rPr>
        <w:fldChar w:fldCharType="end"/>
      </w:r>
      <w:r>
        <w:rPr>
          <w:rFonts w:hint="default"/>
          <w:color w:val="auto"/>
          <w:sz w:val="24"/>
          <w:lang w:val="en-US" w:eastAsia="zh-CN"/>
        </w:rPr>
        <w:fldChar w:fldCharType="end"/>
      </w:r>
    </w:p>
    <w:p w14:paraId="3ED79EBD">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_Toc6043 </w:instrText>
      </w:r>
      <w:r>
        <w:rPr>
          <w:rFonts w:hint="default"/>
          <w:color w:val="auto"/>
          <w:sz w:val="24"/>
          <w:lang w:val="en-US" w:eastAsia="zh-CN"/>
        </w:rPr>
        <w:fldChar w:fldCharType="separate"/>
      </w:r>
      <w:r>
        <w:rPr>
          <w:rFonts w:hint="default"/>
          <w:color w:val="auto"/>
          <w:sz w:val="24"/>
          <w:lang w:val="en-US" w:eastAsia="zh-CN"/>
        </w:rPr>
        <w:t>7.3 评价结论</w:t>
      </w:r>
      <w:r>
        <w:rPr>
          <w:color w:val="auto"/>
          <w:sz w:val="24"/>
        </w:rPr>
        <w:tab/>
      </w:r>
      <w:r>
        <w:rPr>
          <w:color w:val="auto"/>
          <w:sz w:val="24"/>
        </w:rPr>
        <w:fldChar w:fldCharType="begin"/>
      </w:r>
      <w:r>
        <w:rPr>
          <w:color w:val="auto"/>
          <w:sz w:val="24"/>
        </w:rPr>
        <w:instrText xml:space="preserve"> PAGEREF _Toc6043 \h </w:instrText>
      </w:r>
      <w:r>
        <w:rPr>
          <w:color w:val="auto"/>
          <w:sz w:val="24"/>
        </w:rPr>
        <w:fldChar w:fldCharType="separate"/>
      </w:r>
      <w:r>
        <w:rPr>
          <w:color w:val="auto"/>
          <w:sz w:val="24"/>
        </w:rPr>
        <w:t>139</w:t>
      </w:r>
      <w:r>
        <w:rPr>
          <w:color w:val="auto"/>
          <w:sz w:val="24"/>
        </w:rPr>
        <w:fldChar w:fldCharType="end"/>
      </w:r>
      <w:r>
        <w:rPr>
          <w:rFonts w:hint="default"/>
          <w:color w:val="auto"/>
          <w:sz w:val="24"/>
          <w:lang w:val="en-US" w:eastAsia="zh-CN"/>
        </w:rPr>
        <w:fldChar w:fldCharType="end"/>
      </w:r>
    </w:p>
    <w:p w14:paraId="3009E515">
      <w:pPr>
        <w:pStyle w:val="16"/>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_Toc31413 </w:instrText>
      </w:r>
      <w:r>
        <w:rPr>
          <w:rFonts w:hint="default"/>
          <w:color w:val="auto"/>
          <w:sz w:val="24"/>
          <w:lang w:val="en-US" w:eastAsia="zh-CN"/>
        </w:rPr>
        <w:fldChar w:fldCharType="separate"/>
      </w:r>
      <w:r>
        <w:rPr>
          <w:rFonts w:hint="default"/>
          <w:color w:val="auto"/>
          <w:sz w:val="24"/>
          <w:lang w:val="en-US" w:eastAsia="zh-CN"/>
        </w:rPr>
        <w:t>8 附件和附图</w:t>
      </w:r>
      <w:r>
        <w:rPr>
          <w:color w:val="auto"/>
          <w:sz w:val="24"/>
        </w:rPr>
        <w:tab/>
      </w:r>
      <w:r>
        <w:rPr>
          <w:color w:val="auto"/>
          <w:sz w:val="24"/>
        </w:rPr>
        <w:fldChar w:fldCharType="begin"/>
      </w:r>
      <w:r>
        <w:rPr>
          <w:color w:val="auto"/>
          <w:sz w:val="24"/>
        </w:rPr>
        <w:instrText xml:space="preserve"> PAGEREF _Toc31413 \h </w:instrText>
      </w:r>
      <w:r>
        <w:rPr>
          <w:color w:val="auto"/>
          <w:sz w:val="24"/>
        </w:rPr>
        <w:fldChar w:fldCharType="separate"/>
      </w:r>
      <w:r>
        <w:rPr>
          <w:color w:val="auto"/>
          <w:sz w:val="24"/>
        </w:rPr>
        <w:t>141</w:t>
      </w:r>
      <w:r>
        <w:rPr>
          <w:color w:val="auto"/>
          <w:sz w:val="24"/>
        </w:rPr>
        <w:fldChar w:fldCharType="end"/>
      </w:r>
      <w:r>
        <w:rPr>
          <w:rFonts w:hint="default"/>
          <w:color w:val="auto"/>
          <w:sz w:val="24"/>
          <w:lang w:val="en-US" w:eastAsia="zh-CN"/>
        </w:rPr>
        <w:fldChar w:fldCharType="end"/>
      </w:r>
    </w:p>
    <w:p w14:paraId="3DC57157">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_Toc4518 </w:instrText>
      </w:r>
      <w:r>
        <w:rPr>
          <w:rFonts w:hint="default"/>
          <w:color w:val="auto"/>
          <w:sz w:val="24"/>
          <w:lang w:val="en-US" w:eastAsia="zh-CN"/>
        </w:rPr>
        <w:fldChar w:fldCharType="separate"/>
      </w:r>
      <w:r>
        <w:rPr>
          <w:rFonts w:hint="default"/>
          <w:color w:val="auto"/>
          <w:sz w:val="24"/>
          <w:lang w:val="en-US" w:eastAsia="zh-CN"/>
        </w:rPr>
        <w:t>8.1 附件</w:t>
      </w:r>
      <w:r>
        <w:rPr>
          <w:color w:val="auto"/>
          <w:sz w:val="24"/>
        </w:rPr>
        <w:tab/>
      </w:r>
      <w:r>
        <w:rPr>
          <w:color w:val="auto"/>
          <w:sz w:val="24"/>
        </w:rPr>
        <w:fldChar w:fldCharType="begin"/>
      </w:r>
      <w:r>
        <w:rPr>
          <w:color w:val="auto"/>
          <w:sz w:val="24"/>
        </w:rPr>
        <w:instrText xml:space="preserve"> PAGEREF _Toc4518 \h </w:instrText>
      </w:r>
      <w:r>
        <w:rPr>
          <w:color w:val="auto"/>
          <w:sz w:val="24"/>
        </w:rPr>
        <w:fldChar w:fldCharType="separate"/>
      </w:r>
      <w:r>
        <w:rPr>
          <w:color w:val="auto"/>
          <w:sz w:val="24"/>
        </w:rPr>
        <w:t>141</w:t>
      </w:r>
      <w:r>
        <w:rPr>
          <w:color w:val="auto"/>
          <w:sz w:val="24"/>
        </w:rPr>
        <w:fldChar w:fldCharType="end"/>
      </w:r>
      <w:r>
        <w:rPr>
          <w:rFonts w:hint="default"/>
          <w:color w:val="auto"/>
          <w:sz w:val="24"/>
          <w:lang w:val="en-US" w:eastAsia="zh-CN"/>
        </w:rPr>
        <w:fldChar w:fldCharType="end"/>
      </w:r>
    </w:p>
    <w:p w14:paraId="10FEEFCC">
      <w:pPr>
        <w:pStyle w:val="18"/>
        <w:keepNext w:val="0"/>
        <w:keepLines w:val="0"/>
        <w:pageBreakBefore w:val="0"/>
        <w:widowControl w:val="0"/>
        <w:tabs>
          <w:tab w:val="right" w:leader="dot" w:pos="9184"/>
        </w:tabs>
        <w:kinsoku/>
        <w:wordWrap/>
        <w:overflowPunct/>
        <w:topLinePunct w:val="0"/>
        <w:autoSpaceDE/>
        <w:autoSpaceDN/>
        <w:bidi w:val="0"/>
        <w:adjustRightInd/>
        <w:snapToGrid/>
        <w:spacing w:line="400" w:lineRule="exact"/>
        <w:ind w:firstLine="0" w:firstLineChars="0"/>
        <w:textAlignment w:val="auto"/>
        <w:rPr>
          <w:color w:val="auto"/>
          <w:sz w:val="24"/>
        </w:rPr>
      </w:pPr>
      <w:r>
        <w:rPr>
          <w:rFonts w:hint="default"/>
          <w:color w:val="auto"/>
          <w:sz w:val="24"/>
          <w:lang w:val="en-US" w:eastAsia="zh-CN"/>
        </w:rPr>
        <w:fldChar w:fldCharType="begin"/>
      </w:r>
      <w:r>
        <w:rPr>
          <w:rFonts w:hint="default"/>
          <w:color w:val="auto"/>
          <w:sz w:val="24"/>
          <w:lang w:val="en-US" w:eastAsia="zh-CN"/>
        </w:rPr>
        <w:instrText xml:space="preserve"> HYPERLINK \l _Toc6406 </w:instrText>
      </w:r>
      <w:r>
        <w:rPr>
          <w:rFonts w:hint="default"/>
          <w:color w:val="auto"/>
          <w:sz w:val="24"/>
          <w:lang w:val="en-US" w:eastAsia="zh-CN"/>
        </w:rPr>
        <w:fldChar w:fldCharType="separate"/>
      </w:r>
      <w:r>
        <w:rPr>
          <w:rFonts w:hint="default"/>
          <w:color w:val="auto"/>
          <w:sz w:val="24"/>
          <w:lang w:val="en-US" w:eastAsia="zh-CN"/>
        </w:rPr>
        <w:t>8.2 附图</w:t>
      </w:r>
      <w:r>
        <w:rPr>
          <w:color w:val="auto"/>
          <w:sz w:val="24"/>
        </w:rPr>
        <w:tab/>
      </w:r>
      <w:r>
        <w:rPr>
          <w:color w:val="auto"/>
          <w:sz w:val="24"/>
        </w:rPr>
        <w:fldChar w:fldCharType="begin"/>
      </w:r>
      <w:r>
        <w:rPr>
          <w:color w:val="auto"/>
          <w:sz w:val="24"/>
        </w:rPr>
        <w:instrText xml:space="preserve"> PAGEREF _Toc6406 \h </w:instrText>
      </w:r>
      <w:r>
        <w:rPr>
          <w:color w:val="auto"/>
          <w:sz w:val="24"/>
        </w:rPr>
        <w:fldChar w:fldCharType="separate"/>
      </w:r>
      <w:r>
        <w:rPr>
          <w:color w:val="auto"/>
          <w:sz w:val="24"/>
        </w:rPr>
        <w:t>141</w:t>
      </w:r>
      <w:r>
        <w:rPr>
          <w:color w:val="auto"/>
          <w:sz w:val="24"/>
        </w:rPr>
        <w:fldChar w:fldCharType="end"/>
      </w:r>
      <w:r>
        <w:rPr>
          <w:rFonts w:hint="default"/>
          <w:color w:val="auto"/>
          <w:sz w:val="24"/>
          <w:lang w:val="en-US" w:eastAsia="zh-CN"/>
        </w:rPr>
        <w:fldChar w:fldCharType="end"/>
      </w:r>
    </w:p>
    <w:p w14:paraId="6DDA451D">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color w:val="auto"/>
          <w:lang w:val="en-US" w:eastAsia="zh-CN"/>
        </w:rPr>
      </w:pPr>
      <w:r>
        <w:rPr>
          <w:rFonts w:hint="default"/>
          <w:color w:val="auto"/>
          <w:sz w:val="24"/>
          <w:lang w:val="en-US" w:eastAsia="zh-CN"/>
        </w:rPr>
        <w:fldChar w:fldCharType="end"/>
      </w:r>
    </w:p>
    <w:p w14:paraId="0B69130C">
      <w:pPr>
        <w:bidi w:val="0"/>
        <w:rPr>
          <w:rFonts w:hint="default"/>
          <w:color w:val="auto"/>
          <w:lang w:val="en-US" w:eastAsia="zh-CN"/>
        </w:rPr>
        <w:sectPr>
          <w:headerReference r:id="rId10" w:type="default"/>
          <w:footerReference r:id="rId11" w:type="default"/>
          <w:pgSz w:w="11905" w:h="16838"/>
          <w:pgMar w:top="1417" w:right="1134" w:bottom="1134" w:left="1587" w:header="850" w:footer="992" w:gutter="0"/>
          <w:pgBorders>
            <w:top w:val="thinThickSmallGap" w:color="auto" w:sz="12" w:space="1"/>
            <w:left w:val="none" w:sz="0" w:space="0"/>
            <w:bottom w:val="thickThinSmallGap" w:color="auto" w:sz="12" w:space="1"/>
            <w:right w:val="none" w:sz="0" w:space="0"/>
          </w:pgBorders>
          <w:pgNumType w:fmt="numberInDash" w:start="1"/>
          <w:cols w:space="0" w:num="1"/>
          <w:rtlGutter w:val="0"/>
          <w:docGrid w:type="lines" w:linePitch="386" w:charSpace="0"/>
        </w:sectPr>
      </w:pPr>
    </w:p>
    <w:p w14:paraId="24C918D4">
      <w:pPr>
        <w:pStyle w:val="4"/>
        <w:bidi w:val="0"/>
        <w:rPr>
          <w:rFonts w:hint="default"/>
          <w:color w:val="auto"/>
          <w:lang w:val="en-US" w:eastAsia="zh-CN"/>
        </w:rPr>
      </w:pPr>
      <w:bookmarkStart w:id="0" w:name="_Toc6447"/>
      <w:r>
        <w:rPr>
          <w:rFonts w:hint="default"/>
          <w:color w:val="auto"/>
          <w:lang w:val="en-US" w:eastAsia="zh-CN"/>
        </w:rPr>
        <w:t>1 编制说明</w:t>
      </w:r>
      <w:bookmarkEnd w:id="0"/>
    </w:p>
    <w:p w14:paraId="2AB71BCF">
      <w:pPr>
        <w:pStyle w:val="5"/>
        <w:bidi w:val="0"/>
        <w:rPr>
          <w:rFonts w:hint="default"/>
          <w:color w:val="auto"/>
          <w:lang w:val="en-US" w:eastAsia="zh-CN"/>
        </w:rPr>
      </w:pPr>
      <w:bookmarkStart w:id="1" w:name="_Toc14770"/>
      <w:r>
        <w:rPr>
          <w:rFonts w:hint="default"/>
          <w:color w:val="auto"/>
          <w:lang w:val="en-US" w:eastAsia="zh-CN"/>
        </w:rPr>
        <w:t>1.1 评价目的及范围</w:t>
      </w:r>
      <w:bookmarkEnd w:id="1"/>
    </w:p>
    <w:p w14:paraId="192AF0D1">
      <w:pPr>
        <w:pStyle w:val="6"/>
        <w:bidi w:val="0"/>
        <w:rPr>
          <w:rFonts w:hint="default"/>
          <w:color w:val="auto"/>
          <w:lang w:val="en-US" w:eastAsia="zh-CN"/>
        </w:rPr>
      </w:pPr>
      <w:r>
        <w:rPr>
          <w:rFonts w:hint="default"/>
          <w:color w:val="auto"/>
          <w:lang w:val="en-US" w:eastAsia="zh-CN"/>
        </w:rPr>
        <w:t>1.1.1 评价目的</w:t>
      </w:r>
    </w:p>
    <w:p w14:paraId="0983238A">
      <w:pPr>
        <w:bidi w:val="0"/>
        <w:rPr>
          <w:rFonts w:hint="default"/>
          <w:color w:val="auto"/>
          <w:lang w:val="en-US" w:eastAsia="zh-CN"/>
        </w:rPr>
      </w:pPr>
      <w:r>
        <w:rPr>
          <w:rFonts w:hint="default"/>
          <w:color w:val="auto"/>
          <w:lang w:val="en-US" w:eastAsia="zh-CN"/>
        </w:rPr>
        <w:t>为贯彻</w:t>
      </w:r>
      <w:r>
        <w:rPr>
          <w:rFonts w:hint="eastAsia"/>
          <w:color w:val="auto"/>
          <w:lang w:val="en-US" w:eastAsia="zh-CN"/>
        </w:rPr>
        <w:t>“</w:t>
      </w:r>
      <w:r>
        <w:rPr>
          <w:rFonts w:hint="default"/>
          <w:color w:val="auto"/>
          <w:lang w:val="en-US" w:eastAsia="zh-CN"/>
        </w:rPr>
        <w:t>安全第一、预防为主、综合治理</w:t>
      </w:r>
      <w:r>
        <w:rPr>
          <w:rFonts w:hint="eastAsia"/>
          <w:color w:val="auto"/>
          <w:lang w:val="en-US" w:eastAsia="zh-CN"/>
        </w:rPr>
        <w:t>”</w:t>
      </w:r>
      <w:r>
        <w:rPr>
          <w:rFonts w:hint="default"/>
          <w:color w:val="auto"/>
          <w:lang w:val="en-US" w:eastAsia="zh-CN"/>
        </w:rPr>
        <w:t>的方针，通过评价查找其存在的危险、有害因素并确定危险程度，提出合理可行的安全对策措施及建议。</w:t>
      </w:r>
    </w:p>
    <w:p w14:paraId="7099FECB">
      <w:pPr>
        <w:bidi w:val="0"/>
        <w:rPr>
          <w:rFonts w:hint="default"/>
          <w:color w:val="auto"/>
          <w:lang w:val="en-US" w:eastAsia="zh-CN"/>
        </w:rPr>
      </w:pPr>
      <w:r>
        <w:rPr>
          <w:rFonts w:hint="default"/>
          <w:color w:val="auto"/>
          <w:lang w:val="en-US" w:eastAsia="zh-CN"/>
        </w:rPr>
        <w:t>1、促进实现系统本质安全化生产；</w:t>
      </w:r>
    </w:p>
    <w:p w14:paraId="1EE1E562">
      <w:pPr>
        <w:bidi w:val="0"/>
        <w:rPr>
          <w:rFonts w:hint="default"/>
          <w:color w:val="auto"/>
          <w:lang w:val="en-US" w:eastAsia="zh-CN"/>
        </w:rPr>
      </w:pPr>
      <w:r>
        <w:rPr>
          <w:rFonts w:hint="default"/>
          <w:color w:val="auto"/>
          <w:lang w:val="en-US" w:eastAsia="zh-CN"/>
        </w:rPr>
        <w:t>2、实现系统全过程安全控制；</w:t>
      </w:r>
    </w:p>
    <w:p w14:paraId="536FD1FB">
      <w:pPr>
        <w:bidi w:val="0"/>
        <w:rPr>
          <w:rFonts w:hint="default"/>
          <w:color w:val="auto"/>
          <w:lang w:val="en-US" w:eastAsia="zh-CN"/>
        </w:rPr>
      </w:pPr>
      <w:r>
        <w:rPr>
          <w:rFonts w:hint="default"/>
          <w:color w:val="auto"/>
          <w:lang w:val="en-US" w:eastAsia="zh-CN"/>
        </w:rPr>
        <w:t>3、建立系统安全最优方案，为管理者提供安全管理依据；</w:t>
      </w:r>
    </w:p>
    <w:p w14:paraId="25213BFB">
      <w:pPr>
        <w:bidi w:val="0"/>
        <w:rPr>
          <w:rFonts w:hint="default"/>
          <w:color w:val="auto"/>
          <w:lang w:val="en-US" w:eastAsia="zh-CN"/>
        </w:rPr>
      </w:pPr>
      <w:r>
        <w:rPr>
          <w:rFonts w:hint="default"/>
          <w:color w:val="auto"/>
          <w:lang w:val="en-US" w:eastAsia="zh-CN"/>
        </w:rPr>
        <w:t>4、为实现安全技术、安全管理的标准化和科学化创造条件；</w:t>
      </w:r>
    </w:p>
    <w:p w14:paraId="1ED0CAF9">
      <w:pPr>
        <w:bidi w:val="0"/>
        <w:rPr>
          <w:rFonts w:hint="default"/>
          <w:color w:val="auto"/>
          <w:lang w:val="en-US" w:eastAsia="zh-CN"/>
        </w:rPr>
      </w:pPr>
      <w:r>
        <w:rPr>
          <w:rFonts w:hint="default"/>
          <w:color w:val="auto"/>
          <w:lang w:val="en-US" w:eastAsia="zh-CN"/>
        </w:rPr>
        <w:t>5、为应急管理部门提供监督依据。</w:t>
      </w:r>
    </w:p>
    <w:p w14:paraId="0ADC449A">
      <w:pPr>
        <w:pStyle w:val="6"/>
        <w:bidi w:val="0"/>
        <w:rPr>
          <w:rFonts w:hint="default"/>
          <w:color w:val="auto"/>
          <w:lang w:val="en-US" w:eastAsia="zh-CN"/>
        </w:rPr>
      </w:pPr>
      <w:r>
        <w:rPr>
          <w:rFonts w:hint="default"/>
          <w:color w:val="auto"/>
          <w:lang w:val="en-US" w:eastAsia="zh-CN"/>
        </w:rPr>
        <w:t>1.1.2 评价范围</w:t>
      </w:r>
    </w:p>
    <w:p w14:paraId="5CDB53FC">
      <w:pPr>
        <w:bidi w:val="0"/>
        <w:rPr>
          <w:rFonts w:hint="default"/>
          <w:color w:val="auto"/>
          <w:lang w:val="en-US" w:eastAsia="zh-CN"/>
        </w:rPr>
      </w:pPr>
      <w:r>
        <w:rPr>
          <w:rFonts w:hint="default"/>
          <w:color w:val="auto"/>
          <w:lang w:val="en-US" w:eastAsia="zh-CN"/>
        </w:rPr>
        <w:t>根据寻甸金林钛矿有限公司与辽宁诺诚安全科技有限公司签订的安全</w:t>
      </w:r>
      <w:r>
        <w:rPr>
          <w:rFonts w:hint="eastAsia"/>
          <w:color w:val="auto"/>
          <w:lang w:val="en-US" w:eastAsia="zh-CN"/>
        </w:rPr>
        <w:t>预评价</w:t>
      </w:r>
      <w:r>
        <w:rPr>
          <w:rFonts w:hint="default"/>
          <w:color w:val="auto"/>
          <w:lang w:val="en-US" w:eastAsia="zh-CN"/>
        </w:rPr>
        <w:t>技术服务合同和安全评价委托书的约定，本次安全评价的范围为寻甸金林钛矿有限公司尾矿处理技改升级建设项目的总图布置、生产装置、物料储运与使用、公用工程及辅助设施及综合安全管理，选厂原有设施、尾矿库、职业病及职业病防治、环保、地质灾害评估等问题不在本次安全评价范围内，但在评价过程中会有所提及。</w:t>
      </w:r>
    </w:p>
    <w:p w14:paraId="4216F218">
      <w:pPr>
        <w:pStyle w:val="6"/>
        <w:bidi w:val="0"/>
        <w:rPr>
          <w:rFonts w:hint="default"/>
          <w:color w:val="auto"/>
          <w:lang w:val="en-US" w:eastAsia="zh-CN"/>
        </w:rPr>
      </w:pPr>
      <w:r>
        <w:rPr>
          <w:rFonts w:hint="default"/>
          <w:color w:val="auto"/>
          <w:lang w:val="en-US" w:eastAsia="zh-CN"/>
        </w:rPr>
        <w:t>1.1.3 评价原则</w:t>
      </w:r>
    </w:p>
    <w:p w14:paraId="03D2CDC4">
      <w:pPr>
        <w:bidi w:val="0"/>
        <w:rPr>
          <w:rFonts w:hint="default"/>
          <w:color w:val="auto"/>
          <w:lang w:val="en-US" w:eastAsia="zh-CN"/>
        </w:rPr>
      </w:pPr>
      <w:r>
        <w:rPr>
          <w:rFonts w:hint="default"/>
          <w:color w:val="auto"/>
          <w:lang w:val="en-US" w:eastAsia="zh-CN"/>
        </w:rPr>
        <w:t>《安全评价通则》第4条规定，安全评价基本原则是具备国家规定资质的安全评价机构科学、公正和合法的自主开展安全评价。</w:t>
      </w:r>
    </w:p>
    <w:p w14:paraId="10D105D2">
      <w:pPr>
        <w:bidi w:val="0"/>
        <w:rPr>
          <w:rFonts w:hint="default"/>
          <w:color w:val="auto"/>
          <w:lang w:val="en-US" w:eastAsia="zh-CN"/>
        </w:rPr>
      </w:pPr>
      <w:r>
        <w:rPr>
          <w:rFonts w:hint="default"/>
          <w:color w:val="auto"/>
          <w:lang w:val="en-US" w:eastAsia="zh-CN"/>
        </w:rPr>
        <w:t>本报告将按国家现行有关劳动安全的法律、法规和标准要求对该项目进行安全评价，同时遵循下列原则：</w:t>
      </w:r>
    </w:p>
    <w:p w14:paraId="6625B1AF">
      <w:pPr>
        <w:bidi w:val="0"/>
        <w:rPr>
          <w:rFonts w:hint="default"/>
          <w:color w:val="auto"/>
          <w:lang w:val="en-US" w:eastAsia="zh-CN"/>
        </w:rPr>
      </w:pPr>
      <w:r>
        <w:rPr>
          <w:rFonts w:hint="default"/>
          <w:color w:val="auto"/>
          <w:lang w:val="en-US" w:eastAsia="zh-CN"/>
        </w:rPr>
        <w:t>（1）严格执行国家现行有关法律、法规、标准和规范的要求，对该企业申请安全生产许可证应具备的安全生产条件进行科学、公正、合法、自主的评价；</w:t>
      </w:r>
    </w:p>
    <w:p w14:paraId="5915901E">
      <w:pPr>
        <w:bidi w:val="0"/>
        <w:rPr>
          <w:rFonts w:hint="default"/>
          <w:color w:val="auto"/>
          <w:lang w:val="en-US" w:eastAsia="zh-CN"/>
        </w:rPr>
      </w:pPr>
      <w:r>
        <w:rPr>
          <w:rFonts w:hint="default"/>
          <w:color w:val="auto"/>
          <w:lang w:val="en-US" w:eastAsia="zh-CN"/>
        </w:rPr>
        <w:t>（2）执行行业现行有关法规、标准、规范和政策的要求；</w:t>
      </w:r>
    </w:p>
    <w:p w14:paraId="083E665D">
      <w:pPr>
        <w:bidi w:val="0"/>
        <w:rPr>
          <w:rFonts w:hint="default"/>
          <w:color w:val="auto"/>
          <w:lang w:val="en-US" w:eastAsia="zh-CN"/>
        </w:rPr>
      </w:pPr>
      <w:r>
        <w:rPr>
          <w:rFonts w:hint="default"/>
          <w:color w:val="auto"/>
          <w:lang w:val="en-US" w:eastAsia="zh-CN"/>
        </w:rPr>
        <w:t>（3）采用适用、可靠的评价技术和评价方法，保证评价的针对性，确保评价质量；</w:t>
      </w:r>
    </w:p>
    <w:p w14:paraId="0E63C982">
      <w:pPr>
        <w:bidi w:val="0"/>
        <w:rPr>
          <w:rFonts w:hint="default"/>
          <w:color w:val="auto"/>
          <w:lang w:val="en-US" w:eastAsia="zh-CN"/>
        </w:rPr>
      </w:pPr>
      <w:r>
        <w:rPr>
          <w:rFonts w:hint="default"/>
          <w:color w:val="auto"/>
          <w:lang w:val="en-US" w:eastAsia="zh-CN"/>
        </w:rPr>
        <w:t>（4）恪守职业道德，遵循诚实守信的原则，对被评价企业的技术资料和商业运作保密。</w:t>
      </w:r>
    </w:p>
    <w:p w14:paraId="06262E14">
      <w:pPr>
        <w:pStyle w:val="5"/>
        <w:bidi w:val="0"/>
        <w:rPr>
          <w:rFonts w:hint="default"/>
          <w:color w:val="auto"/>
          <w:lang w:val="en-US" w:eastAsia="zh-CN"/>
        </w:rPr>
      </w:pPr>
      <w:bookmarkStart w:id="2" w:name="_Toc276"/>
      <w:r>
        <w:rPr>
          <w:rFonts w:hint="default"/>
          <w:color w:val="auto"/>
          <w:lang w:val="en-US" w:eastAsia="zh-CN"/>
        </w:rPr>
        <w:t>1.2 评价依据</w:t>
      </w:r>
      <w:bookmarkEnd w:id="2"/>
    </w:p>
    <w:p w14:paraId="606C7D5F">
      <w:pPr>
        <w:bidi w:val="0"/>
        <w:rPr>
          <w:rFonts w:hint="default"/>
          <w:color w:val="auto"/>
          <w:lang w:val="en-US" w:eastAsia="zh-CN"/>
        </w:rPr>
      </w:pPr>
      <w:r>
        <w:rPr>
          <w:rFonts w:hint="default"/>
          <w:color w:val="auto"/>
          <w:lang w:val="en-US" w:eastAsia="zh-CN"/>
        </w:rPr>
        <w:t>本次评价主要依据以下国家有关安全生产方面的法律、法规、规章、规范性文件、标准、规范。</w:t>
      </w:r>
    </w:p>
    <w:p w14:paraId="7F6D15CF">
      <w:pPr>
        <w:pStyle w:val="6"/>
        <w:bidi w:val="0"/>
        <w:rPr>
          <w:rFonts w:hint="default"/>
          <w:color w:val="auto"/>
          <w:lang w:val="en-US" w:eastAsia="zh-CN"/>
        </w:rPr>
      </w:pPr>
      <w:r>
        <w:rPr>
          <w:rFonts w:hint="default"/>
          <w:color w:val="auto"/>
          <w:lang w:val="en-US" w:eastAsia="zh-CN"/>
        </w:rPr>
        <w:t>1.2.1 国家法律</w:t>
      </w:r>
    </w:p>
    <w:p w14:paraId="5C975027">
      <w:pPr>
        <w:bidi w:val="0"/>
        <w:rPr>
          <w:rFonts w:hint="default"/>
          <w:color w:val="auto"/>
          <w:lang w:val="en-US" w:eastAsia="zh-CN"/>
        </w:rPr>
      </w:pPr>
      <w:r>
        <w:rPr>
          <w:rFonts w:hint="default"/>
          <w:color w:val="auto"/>
          <w:lang w:val="en-US" w:eastAsia="zh-CN"/>
        </w:rPr>
        <w:t>1、《中华人民共和国安全生产法》（中华人民共和国主席令第88号公布，根据2021年6月10日第十三届全国人民代表大会常务委员会第二十九次会议《关于修改〈中华人民共和国安全生产法〉的决定》第三次修正，自2021年9月1日起施行）；</w:t>
      </w:r>
    </w:p>
    <w:p w14:paraId="4FC2091C">
      <w:pPr>
        <w:bidi w:val="0"/>
        <w:rPr>
          <w:rFonts w:hint="default"/>
          <w:color w:val="auto"/>
          <w:lang w:val="en-US" w:eastAsia="zh-CN"/>
        </w:rPr>
      </w:pPr>
      <w:r>
        <w:rPr>
          <w:rFonts w:hint="default"/>
          <w:color w:val="auto"/>
          <w:lang w:val="en-US" w:eastAsia="zh-CN"/>
        </w:rPr>
        <w:t>2、《中华人民共和国消防法》（1998年4月29日第九届全国人民代表大会常务委员会第二次会议通过；2008年10月28日第十一届全国人民代表大会常务委员会第五次会议第一次修订，2019年4月23日第十三届全国人民代表大会常务委员会第十次会议《全国人民代表大会常务委员会关于修改〈中华人民共和国建筑法〉等八部法律的决定》第二次修订；2021年4月29日第十三届全国人民代表大会常务委员会第二十八次会议通过的《全国人民代表大会常务委员会关于修改〈中华人民共和国道路交通安全法〉等八部法律的决定》第三次修正）；</w:t>
      </w:r>
    </w:p>
    <w:p w14:paraId="01DED0CE">
      <w:pPr>
        <w:bidi w:val="0"/>
        <w:rPr>
          <w:rFonts w:hint="default"/>
          <w:color w:val="auto"/>
          <w:lang w:val="en-US" w:eastAsia="zh-CN"/>
        </w:rPr>
      </w:pPr>
      <w:r>
        <w:rPr>
          <w:rFonts w:hint="default"/>
          <w:color w:val="auto"/>
          <w:lang w:val="en-US" w:eastAsia="zh-CN"/>
        </w:rPr>
        <w:t>3、《中华人民共和国职业病防治法》（中华人民共和国主席令[2018]第二十四号，2018年12月29日施行）；</w:t>
      </w:r>
    </w:p>
    <w:p w14:paraId="3FB3FA36">
      <w:pPr>
        <w:bidi w:val="0"/>
        <w:rPr>
          <w:rFonts w:hint="default"/>
          <w:color w:val="auto"/>
          <w:lang w:val="en-US" w:eastAsia="zh-CN"/>
        </w:rPr>
      </w:pPr>
      <w:r>
        <w:rPr>
          <w:rFonts w:hint="default"/>
          <w:color w:val="auto"/>
          <w:lang w:val="en-US" w:eastAsia="zh-CN"/>
        </w:rPr>
        <w:t>4、《中华人民共和国环境保护法》（中华人民共和国主席令[2014]第九号，2015年1月1日实施）；</w:t>
      </w:r>
    </w:p>
    <w:p w14:paraId="35FCE393">
      <w:pPr>
        <w:bidi w:val="0"/>
        <w:rPr>
          <w:rFonts w:hint="default"/>
          <w:color w:val="auto"/>
          <w:lang w:val="en-US" w:eastAsia="zh-CN"/>
        </w:rPr>
      </w:pPr>
      <w:r>
        <w:rPr>
          <w:rFonts w:hint="default"/>
          <w:color w:val="auto"/>
          <w:lang w:val="en-US" w:eastAsia="zh-CN"/>
        </w:rPr>
        <w:t>5、《中华人民共和国防震减灾法》（中华人民共和国主席令[2009]第七号，中华人民共和国第十一届全国人民代表大会常务委员会第六次会议修订通过，自2009年5月1日起施行）；</w:t>
      </w:r>
    </w:p>
    <w:p w14:paraId="3749A781">
      <w:pPr>
        <w:bidi w:val="0"/>
        <w:rPr>
          <w:rFonts w:hint="default"/>
          <w:color w:val="auto"/>
          <w:lang w:val="en-US" w:eastAsia="zh-CN"/>
        </w:rPr>
      </w:pPr>
      <w:r>
        <w:rPr>
          <w:rFonts w:hint="default"/>
          <w:color w:val="auto"/>
          <w:lang w:val="en-US" w:eastAsia="zh-CN"/>
        </w:rPr>
        <w:t>6、《中华人民共和国突发事件应对法》（中华人民共和国主席令[2007]第六十九号，2024年6月28日第十四届全国人民代表大会常务委员会第十次会议修订，自2024年11月1日起施行）；</w:t>
      </w:r>
    </w:p>
    <w:p w14:paraId="7E1671C5">
      <w:pPr>
        <w:bidi w:val="0"/>
        <w:rPr>
          <w:rFonts w:hint="default"/>
          <w:color w:val="auto"/>
          <w:lang w:val="en-US" w:eastAsia="zh-CN"/>
        </w:rPr>
      </w:pPr>
      <w:r>
        <w:rPr>
          <w:rFonts w:hint="default"/>
          <w:color w:val="auto"/>
          <w:lang w:val="en-US" w:eastAsia="zh-CN"/>
        </w:rPr>
        <w:t>7、《中华人民共和国特种设备安全法》（中华人民共和国主席令[2013]第四号，2014年1月1日实施）；</w:t>
      </w:r>
    </w:p>
    <w:p w14:paraId="17ABEE0F">
      <w:pPr>
        <w:bidi w:val="0"/>
        <w:rPr>
          <w:rFonts w:hint="default"/>
          <w:color w:val="auto"/>
          <w:lang w:val="en-US" w:eastAsia="zh-CN"/>
        </w:rPr>
      </w:pPr>
      <w:r>
        <w:rPr>
          <w:rFonts w:hint="default"/>
          <w:color w:val="auto"/>
          <w:lang w:val="en-US" w:eastAsia="zh-CN"/>
        </w:rPr>
        <w:t>8、《中华人民共和国气象法（2016年版）》（中华人民共和国主席令第23号，中华人民共和国主席令[2016]第五十七号修订，2016年11月7日）；</w:t>
      </w:r>
    </w:p>
    <w:p w14:paraId="56CE6284">
      <w:pPr>
        <w:bidi w:val="0"/>
        <w:rPr>
          <w:rFonts w:hint="default"/>
          <w:color w:val="auto"/>
          <w:lang w:val="en-US" w:eastAsia="zh-CN"/>
        </w:rPr>
      </w:pPr>
      <w:r>
        <w:rPr>
          <w:rFonts w:hint="default"/>
          <w:color w:val="auto"/>
          <w:lang w:val="en-US" w:eastAsia="zh-CN"/>
        </w:rPr>
        <w:t>9、《中华人民共和国建筑法》（中华人民共和国主席令第91号，2019年4月23日第十三届全国人民代表大会常务委员会第十次会议《关于修改〈中华人民共和国建筑法〉等八部法律的决定》第二次修正）；</w:t>
      </w:r>
    </w:p>
    <w:p w14:paraId="0DFBF194">
      <w:pPr>
        <w:bidi w:val="0"/>
        <w:rPr>
          <w:rFonts w:hint="default"/>
          <w:color w:val="auto"/>
          <w:lang w:val="en-US" w:eastAsia="zh-CN"/>
        </w:rPr>
      </w:pPr>
      <w:r>
        <w:rPr>
          <w:rFonts w:hint="default"/>
          <w:color w:val="auto"/>
          <w:lang w:val="en-US" w:eastAsia="zh-CN"/>
        </w:rPr>
        <w:t>10、《中华人民共和国劳动法》（中华人民共和国主席令第28号，1995年1月1日施行；2009年中华人民共和国主席令第18号修改，2009年8月27日施行，2018年12月29日第十三届全国人民代表大会常务委员会第七次会议修改）。</w:t>
      </w:r>
    </w:p>
    <w:p w14:paraId="726CB450">
      <w:pPr>
        <w:pStyle w:val="6"/>
        <w:bidi w:val="0"/>
        <w:rPr>
          <w:rFonts w:hint="default"/>
          <w:color w:val="auto"/>
          <w:lang w:val="en-US" w:eastAsia="zh-CN"/>
        </w:rPr>
      </w:pPr>
      <w:r>
        <w:rPr>
          <w:rFonts w:hint="default"/>
          <w:color w:val="auto"/>
          <w:lang w:val="en-US" w:eastAsia="zh-CN"/>
        </w:rPr>
        <w:t>1.2.2 行政法规</w:t>
      </w:r>
    </w:p>
    <w:p w14:paraId="377C542F">
      <w:pPr>
        <w:bidi w:val="0"/>
        <w:rPr>
          <w:rFonts w:hint="default"/>
          <w:color w:val="auto"/>
          <w:lang w:val="en-US" w:eastAsia="zh-CN"/>
        </w:rPr>
      </w:pPr>
      <w:r>
        <w:rPr>
          <w:rFonts w:hint="default"/>
          <w:color w:val="auto"/>
          <w:lang w:val="en-US" w:eastAsia="zh-CN"/>
        </w:rPr>
        <w:t>1、《中共中央国务院关于推进安全生产领域改革发展的意见》（中共中央国务院，自2016年12月18日起施行）；</w:t>
      </w:r>
    </w:p>
    <w:p w14:paraId="53B0B756">
      <w:pPr>
        <w:bidi w:val="0"/>
        <w:rPr>
          <w:rFonts w:hint="default"/>
          <w:color w:val="auto"/>
          <w:lang w:val="en-US" w:eastAsia="zh-CN"/>
        </w:rPr>
      </w:pPr>
      <w:r>
        <w:rPr>
          <w:rFonts w:hint="default"/>
          <w:color w:val="auto"/>
          <w:lang w:val="en-US" w:eastAsia="zh-CN"/>
        </w:rPr>
        <w:t>2、《特种设备安全监察条例》（中华人民共和国国务院令[2009]第549号，2009年5月1日起施行）；</w:t>
      </w:r>
    </w:p>
    <w:p w14:paraId="240F1FA4">
      <w:pPr>
        <w:bidi w:val="0"/>
        <w:rPr>
          <w:rFonts w:hint="default"/>
          <w:color w:val="auto"/>
          <w:lang w:val="en-US" w:eastAsia="zh-CN"/>
        </w:rPr>
      </w:pPr>
      <w:r>
        <w:rPr>
          <w:rFonts w:hint="default"/>
          <w:color w:val="auto"/>
          <w:lang w:val="en-US" w:eastAsia="zh-CN"/>
        </w:rPr>
        <w:t>3、《工伤保险条例》（中华人民共和国国务院令[2010]第586号，2011年1月1日实施）；</w:t>
      </w:r>
    </w:p>
    <w:p w14:paraId="7D2AABDC">
      <w:pPr>
        <w:bidi w:val="0"/>
        <w:rPr>
          <w:rFonts w:hint="default"/>
          <w:color w:val="auto"/>
          <w:lang w:val="en-US" w:eastAsia="zh-CN"/>
        </w:rPr>
      </w:pPr>
      <w:r>
        <w:rPr>
          <w:rFonts w:hint="default"/>
          <w:color w:val="auto"/>
          <w:lang w:val="en-US" w:eastAsia="zh-CN"/>
        </w:rPr>
        <w:t>4、《建设工程安全生产管理条例》（中华人民共和国国务院令[2003]第393号，2004年2月1日起施行）；</w:t>
      </w:r>
    </w:p>
    <w:p w14:paraId="023F0428">
      <w:pPr>
        <w:bidi w:val="0"/>
        <w:rPr>
          <w:rFonts w:hint="default"/>
          <w:color w:val="auto"/>
          <w:lang w:val="en-US" w:eastAsia="zh-CN"/>
        </w:rPr>
      </w:pPr>
      <w:r>
        <w:rPr>
          <w:rFonts w:hint="default"/>
          <w:color w:val="auto"/>
          <w:lang w:val="en-US" w:eastAsia="zh-CN"/>
        </w:rPr>
        <w:t>5、《生产安全事故报告和调查处理条例》（2015年修订）（中华人民共和国国务院令[2007]第493号，2007年6月1日起施行）；</w:t>
      </w:r>
    </w:p>
    <w:p w14:paraId="56A9D090">
      <w:pPr>
        <w:bidi w:val="0"/>
        <w:rPr>
          <w:rFonts w:hint="default"/>
          <w:color w:val="auto"/>
          <w:lang w:val="en-US" w:eastAsia="zh-CN"/>
        </w:rPr>
      </w:pPr>
      <w:r>
        <w:rPr>
          <w:rFonts w:hint="default"/>
          <w:color w:val="auto"/>
          <w:lang w:val="en-US" w:eastAsia="zh-CN"/>
        </w:rPr>
        <w:t>6、《建设工程质量管理条例（2019修正）》（中华人民共和国国务院令[2017]第687号修订）；</w:t>
      </w:r>
    </w:p>
    <w:p w14:paraId="5FFD0B75">
      <w:pPr>
        <w:bidi w:val="0"/>
        <w:rPr>
          <w:rFonts w:hint="default"/>
          <w:color w:val="auto"/>
          <w:lang w:val="en-US" w:eastAsia="zh-CN"/>
        </w:rPr>
      </w:pPr>
      <w:r>
        <w:rPr>
          <w:rFonts w:hint="default"/>
          <w:color w:val="auto"/>
          <w:lang w:val="en-US" w:eastAsia="zh-CN"/>
        </w:rPr>
        <w:t>7、《生产安全事故应急条例》（中华人民共和国国务院令第708号，2019年4月1日施行）；</w:t>
      </w:r>
    </w:p>
    <w:p w14:paraId="0AA4AE97">
      <w:pPr>
        <w:bidi w:val="0"/>
        <w:rPr>
          <w:rFonts w:hint="default"/>
          <w:color w:val="auto"/>
          <w:lang w:val="en-US" w:eastAsia="zh-CN"/>
        </w:rPr>
      </w:pPr>
      <w:r>
        <w:rPr>
          <w:rFonts w:hint="default"/>
          <w:color w:val="auto"/>
          <w:lang w:val="en-US" w:eastAsia="zh-CN"/>
        </w:rPr>
        <w:t>8、《劳动保障监察条例》（中华人民共和国国务院令[2004]第423号，自2004年12月1日起施行）；</w:t>
      </w:r>
    </w:p>
    <w:p w14:paraId="59C1CCA6">
      <w:pPr>
        <w:bidi w:val="0"/>
        <w:rPr>
          <w:rFonts w:hint="default"/>
          <w:color w:val="auto"/>
          <w:lang w:val="en-US" w:eastAsia="zh-CN"/>
        </w:rPr>
      </w:pPr>
      <w:r>
        <w:rPr>
          <w:rFonts w:hint="default"/>
          <w:color w:val="auto"/>
          <w:lang w:val="en-US" w:eastAsia="zh-CN"/>
        </w:rPr>
        <w:t>9、《国务院关于修改部分行政法规的决定》（中华人民共和国国务院令第645号，2013年12月7日施行）。</w:t>
      </w:r>
    </w:p>
    <w:p w14:paraId="3802023B">
      <w:pPr>
        <w:pStyle w:val="6"/>
        <w:bidi w:val="0"/>
        <w:rPr>
          <w:rFonts w:hint="default"/>
          <w:color w:val="auto"/>
          <w:lang w:val="en-US" w:eastAsia="zh-CN"/>
        </w:rPr>
      </w:pPr>
      <w:r>
        <w:rPr>
          <w:rFonts w:hint="default"/>
          <w:color w:val="auto"/>
          <w:lang w:val="en-US" w:eastAsia="zh-CN"/>
        </w:rPr>
        <w:t>1.2.3 部门规章</w:t>
      </w:r>
    </w:p>
    <w:p w14:paraId="7E24D743">
      <w:pPr>
        <w:bidi w:val="0"/>
        <w:rPr>
          <w:rFonts w:hint="default"/>
          <w:color w:val="auto"/>
          <w:lang w:val="en-US" w:eastAsia="zh-CN"/>
        </w:rPr>
      </w:pPr>
      <w:r>
        <w:rPr>
          <w:rFonts w:hint="default"/>
          <w:color w:val="auto"/>
          <w:lang w:val="en-US" w:eastAsia="zh-CN"/>
        </w:rPr>
        <w:t>1、《建设项目安全设施“三同时”监督管理办法》（原国家安全生产监管总局令[2010]第36号，原国家安全生产监管总局令[2015]第77号修订，2015年5月1日起实施）；</w:t>
      </w:r>
    </w:p>
    <w:p w14:paraId="6D4D9BB3">
      <w:pPr>
        <w:bidi w:val="0"/>
        <w:rPr>
          <w:rFonts w:hint="default"/>
          <w:color w:val="auto"/>
          <w:lang w:val="en-US" w:eastAsia="zh-CN"/>
        </w:rPr>
      </w:pPr>
      <w:r>
        <w:rPr>
          <w:rFonts w:hint="default"/>
          <w:color w:val="auto"/>
          <w:lang w:val="en-US" w:eastAsia="zh-CN"/>
        </w:rPr>
        <w:t>2、《国家安全监管总局关于修改&lt;生产安全事故报告和调查处理条例&gt;罚款处罚暂行规定等四部规章的决定》（原国家安全生产监督管理总局令[2015]第77号，2015年5月1日实施）；</w:t>
      </w:r>
    </w:p>
    <w:p w14:paraId="333B2F12">
      <w:pPr>
        <w:bidi w:val="0"/>
        <w:rPr>
          <w:rFonts w:hint="default"/>
          <w:color w:val="auto"/>
          <w:lang w:val="en-US" w:eastAsia="zh-CN"/>
        </w:rPr>
      </w:pPr>
      <w:r>
        <w:rPr>
          <w:rFonts w:hint="default"/>
          <w:color w:val="auto"/>
          <w:lang w:val="en-US" w:eastAsia="zh-CN"/>
        </w:rPr>
        <w:t>3、《国家安全监管总局关于废止和修改劳动防护用品和安全培训等领域十部规章的决定》（原国家安全生产监督管理总局令[2015]第80号，2015年7月1日实施）；</w:t>
      </w:r>
    </w:p>
    <w:p w14:paraId="5D7DE33D">
      <w:pPr>
        <w:bidi w:val="0"/>
        <w:rPr>
          <w:rFonts w:hint="default"/>
          <w:color w:val="auto"/>
          <w:lang w:val="en-US" w:eastAsia="zh-CN"/>
        </w:rPr>
      </w:pPr>
      <w:r>
        <w:rPr>
          <w:rFonts w:hint="default"/>
          <w:color w:val="auto"/>
          <w:lang w:val="en-US" w:eastAsia="zh-CN"/>
        </w:rPr>
        <w:t>4、《国务院办公厅关于印发消防安全责任制实施办法的通知》（国办发〔2017〕87号）；</w:t>
      </w:r>
    </w:p>
    <w:p w14:paraId="340A3147">
      <w:pPr>
        <w:bidi w:val="0"/>
        <w:rPr>
          <w:rFonts w:hint="default"/>
          <w:color w:val="auto"/>
          <w:lang w:val="en-US" w:eastAsia="zh-CN"/>
        </w:rPr>
      </w:pPr>
      <w:r>
        <w:rPr>
          <w:rFonts w:hint="default"/>
          <w:color w:val="auto"/>
          <w:lang w:val="en-US" w:eastAsia="zh-CN"/>
        </w:rPr>
        <w:t>5、《生产经营单位安全培训规定》（原国家安全生产监督管理总局令第3号，根据80号令修改，2015年7月1日起实施）；</w:t>
      </w:r>
    </w:p>
    <w:p w14:paraId="50D397FC">
      <w:pPr>
        <w:bidi w:val="0"/>
        <w:rPr>
          <w:rFonts w:hint="default"/>
          <w:color w:val="auto"/>
          <w:lang w:val="en-US" w:eastAsia="zh-CN"/>
        </w:rPr>
      </w:pPr>
      <w:r>
        <w:rPr>
          <w:rFonts w:hint="default"/>
          <w:color w:val="auto"/>
          <w:lang w:val="en-US" w:eastAsia="zh-CN"/>
        </w:rPr>
        <w:t>6、《生产安全事故应急预案管理办法》（原国家安全生产监督管理总局令第88号，中华人民共和国应急管理部令第2号修改，自2019年9月1日起施行）；</w:t>
      </w:r>
    </w:p>
    <w:p w14:paraId="00627D3A">
      <w:pPr>
        <w:bidi w:val="0"/>
        <w:rPr>
          <w:rFonts w:hint="default"/>
          <w:color w:val="auto"/>
          <w:lang w:val="en-US" w:eastAsia="zh-CN"/>
        </w:rPr>
      </w:pPr>
      <w:r>
        <w:rPr>
          <w:rFonts w:hint="eastAsia"/>
          <w:color w:val="auto"/>
          <w:lang w:val="en-US" w:eastAsia="zh-CN"/>
        </w:rPr>
        <w:t>7</w:t>
      </w:r>
      <w:r>
        <w:rPr>
          <w:rFonts w:hint="default"/>
          <w:color w:val="auto"/>
          <w:lang w:val="en-US" w:eastAsia="zh-CN"/>
        </w:rPr>
        <w:t>、《工作场所职业卫生管理规定》（中华人民共和国国家卫生健康委员会令第5号，自2021年2月1日起施行）；</w:t>
      </w:r>
    </w:p>
    <w:p w14:paraId="20BDA326">
      <w:pPr>
        <w:bidi w:val="0"/>
        <w:rPr>
          <w:rFonts w:hint="default"/>
          <w:color w:val="auto"/>
          <w:lang w:val="en-US" w:eastAsia="zh-CN"/>
        </w:rPr>
      </w:pPr>
      <w:r>
        <w:rPr>
          <w:rFonts w:hint="eastAsia"/>
          <w:color w:val="auto"/>
          <w:lang w:val="en-US" w:eastAsia="zh-CN"/>
        </w:rPr>
        <w:t>8</w:t>
      </w:r>
      <w:r>
        <w:rPr>
          <w:rFonts w:hint="default"/>
          <w:color w:val="auto"/>
          <w:lang w:val="en-US" w:eastAsia="zh-CN"/>
        </w:rPr>
        <w:t>、《职业病分类和目录》（国卫疾控发[2013]48号）；</w:t>
      </w:r>
    </w:p>
    <w:p w14:paraId="694968E3">
      <w:pPr>
        <w:bidi w:val="0"/>
        <w:rPr>
          <w:rFonts w:hint="default"/>
          <w:color w:val="auto"/>
          <w:lang w:val="en-US" w:eastAsia="zh-CN"/>
        </w:rPr>
      </w:pPr>
      <w:r>
        <w:rPr>
          <w:rFonts w:hint="eastAsia"/>
          <w:color w:val="auto"/>
          <w:lang w:val="en-US" w:eastAsia="zh-CN"/>
        </w:rPr>
        <w:t>9</w:t>
      </w:r>
      <w:r>
        <w:rPr>
          <w:rFonts w:hint="default"/>
          <w:color w:val="auto"/>
          <w:lang w:val="en-US" w:eastAsia="zh-CN"/>
        </w:rPr>
        <w:t>、《特种作业人员安全技术培训考核管理规定》（原国家安全生产监督管理总局令[2010]第30号，国家安全生产监督管理总局令[2015]第80号，2015年7月1日施行）；</w:t>
      </w:r>
    </w:p>
    <w:p w14:paraId="3A37D7E4">
      <w:pPr>
        <w:bidi w:val="0"/>
        <w:rPr>
          <w:rFonts w:hint="default"/>
          <w:color w:val="auto"/>
          <w:lang w:val="en-US" w:eastAsia="zh-CN"/>
        </w:rPr>
      </w:pPr>
      <w:r>
        <w:rPr>
          <w:rFonts w:hint="default"/>
          <w:color w:val="auto"/>
          <w:lang w:val="en-US" w:eastAsia="zh-CN"/>
        </w:rPr>
        <w:t>1</w:t>
      </w:r>
      <w:r>
        <w:rPr>
          <w:rFonts w:hint="eastAsia"/>
          <w:color w:val="auto"/>
          <w:lang w:val="en-US" w:eastAsia="zh-CN"/>
        </w:rPr>
        <w:t>0</w:t>
      </w:r>
      <w:r>
        <w:rPr>
          <w:rFonts w:hint="default"/>
          <w:color w:val="auto"/>
          <w:lang w:val="en-US" w:eastAsia="zh-CN"/>
        </w:rPr>
        <w:t>、《安全生产培训管理办法》（原国家安全生产监督管理总局令第44号，国家安全生产监督管理总局令[2015]第80号令修订，自2015年7月1日起施行）；</w:t>
      </w:r>
    </w:p>
    <w:p w14:paraId="0BADB38B">
      <w:pPr>
        <w:bidi w:val="0"/>
        <w:rPr>
          <w:rFonts w:hint="default"/>
          <w:color w:val="auto"/>
          <w:lang w:val="en-US" w:eastAsia="zh-CN"/>
        </w:rPr>
      </w:pPr>
      <w:r>
        <w:rPr>
          <w:rFonts w:hint="default"/>
          <w:color w:val="auto"/>
          <w:lang w:val="en-US" w:eastAsia="zh-CN"/>
        </w:rPr>
        <w:t>1</w:t>
      </w:r>
      <w:r>
        <w:rPr>
          <w:rFonts w:hint="eastAsia"/>
          <w:color w:val="auto"/>
          <w:lang w:val="en-US" w:eastAsia="zh-CN"/>
        </w:rPr>
        <w:t>1</w:t>
      </w:r>
      <w:r>
        <w:rPr>
          <w:rFonts w:hint="default"/>
          <w:color w:val="auto"/>
          <w:lang w:val="en-US" w:eastAsia="zh-CN"/>
        </w:rPr>
        <w:t>、《产业结构调整指导目录（2024年本）》经2023年12月1日第6次委务会议审议通过，自2024年2月1日起施行；</w:t>
      </w:r>
    </w:p>
    <w:p w14:paraId="7C2E9E90">
      <w:pPr>
        <w:bidi w:val="0"/>
        <w:rPr>
          <w:rFonts w:hint="default"/>
          <w:color w:val="auto"/>
          <w:lang w:val="en-US" w:eastAsia="zh-CN"/>
        </w:rPr>
      </w:pPr>
      <w:r>
        <w:rPr>
          <w:rFonts w:hint="default"/>
          <w:color w:val="auto"/>
          <w:lang w:val="en-US" w:eastAsia="zh-CN"/>
        </w:rPr>
        <w:t>1</w:t>
      </w:r>
      <w:r>
        <w:rPr>
          <w:rFonts w:hint="eastAsia"/>
          <w:color w:val="auto"/>
          <w:lang w:val="en-US" w:eastAsia="zh-CN"/>
        </w:rPr>
        <w:t>2</w:t>
      </w:r>
      <w:r>
        <w:rPr>
          <w:rFonts w:hint="default"/>
          <w:color w:val="auto"/>
          <w:lang w:val="en-US" w:eastAsia="zh-CN"/>
        </w:rPr>
        <w:t>、《关于印发&lt;企业安全生产费用提取和使用管理办法&gt;的通知》（财资〔2022〕136号）；</w:t>
      </w:r>
    </w:p>
    <w:p w14:paraId="38339AEA">
      <w:pPr>
        <w:bidi w:val="0"/>
        <w:rPr>
          <w:rFonts w:hint="default"/>
          <w:color w:val="auto"/>
          <w:lang w:val="en-US" w:eastAsia="zh-CN"/>
        </w:rPr>
      </w:pPr>
      <w:r>
        <w:rPr>
          <w:rFonts w:hint="default"/>
          <w:color w:val="auto"/>
          <w:lang w:val="en-US" w:eastAsia="zh-CN"/>
        </w:rPr>
        <w:t>1</w:t>
      </w:r>
      <w:r>
        <w:rPr>
          <w:rFonts w:hint="eastAsia"/>
          <w:color w:val="auto"/>
          <w:lang w:val="en-US" w:eastAsia="zh-CN"/>
        </w:rPr>
        <w:t>3</w:t>
      </w:r>
      <w:r>
        <w:rPr>
          <w:rFonts w:hint="default"/>
          <w:color w:val="auto"/>
          <w:lang w:val="en-US" w:eastAsia="zh-CN"/>
        </w:rPr>
        <w:t>、《工贸企业有限空间作业安全规定》（应急管理部令第13号，自2024年1月1日起施行）；</w:t>
      </w:r>
    </w:p>
    <w:p w14:paraId="4892D4E9">
      <w:pPr>
        <w:bidi w:val="0"/>
        <w:rPr>
          <w:rFonts w:hint="default"/>
          <w:color w:val="auto"/>
          <w:lang w:val="en-US" w:eastAsia="zh-CN"/>
        </w:rPr>
      </w:pPr>
      <w:r>
        <w:rPr>
          <w:rFonts w:hint="default"/>
          <w:color w:val="auto"/>
          <w:lang w:val="en-US" w:eastAsia="zh-CN"/>
        </w:rPr>
        <w:t>1</w:t>
      </w:r>
      <w:r>
        <w:rPr>
          <w:rFonts w:hint="eastAsia"/>
          <w:color w:val="auto"/>
          <w:lang w:val="en-US" w:eastAsia="zh-CN"/>
        </w:rPr>
        <w:t>4</w:t>
      </w:r>
      <w:r>
        <w:rPr>
          <w:rFonts w:hint="default"/>
          <w:color w:val="auto"/>
          <w:lang w:val="en-US" w:eastAsia="zh-CN"/>
        </w:rPr>
        <w:t>、《仓库防火安全管理规则》（公安部令第6号，1990年4月10日起实施）；</w:t>
      </w:r>
    </w:p>
    <w:p w14:paraId="4867C678">
      <w:pPr>
        <w:bidi w:val="0"/>
        <w:rPr>
          <w:rFonts w:hint="default"/>
          <w:color w:val="auto"/>
          <w:lang w:val="en-US" w:eastAsia="zh-CN"/>
        </w:rPr>
      </w:pPr>
      <w:r>
        <w:rPr>
          <w:rFonts w:hint="default"/>
          <w:color w:val="auto"/>
          <w:lang w:val="en-US" w:eastAsia="zh-CN"/>
        </w:rPr>
        <w:t>1</w:t>
      </w:r>
      <w:r>
        <w:rPr>
          <w:rFonts w:hint="eastAsia"/>
          <w:color w:val="auto"/>
          <w:lang w:val="en-US" w:eastAsia="zh-CN"/>
        </w:rPr>
        <w:t>5</w:t>
      </w:r>
      <w:r>
        <w:rPr>
          <w:rFonts w:hint="default"/>
          <w:color w:val="auto"/>
          <w:lang w:val="en-US" w:eastAsia="zh-CN"/>
        </w:rPr>
        <w:t>、《住房和城乡建设部关于修改〈建设工程消防设计审查验收管理暂行规定〉的决定》经2023年7月24日第2次部务会议审议通过，自2023年10月30日起施行；</w:t>
      </w:r>
    </w:p>
    <w:p w14:paraId="2F8AF0C0">
      <w:pPr>
        <w:bidi w:val="0"/>
        <w:rPr>
          <w:rFonts w:hint="default"/>
          <w:color w:val="auto"/>
          <w:lang w:val="en-US" w:eastAsia="zh-CN"/>
        </w:rPr>
      </w:pPr>
      <w:r>
        <w:rPr>
          <w:rFonts w:hint="default"/>
          <w:color w:val="auto"/>
          <w:lang w:val="en-US" w:eastAsia="zh-CN"/>
        </w:rPr>
        <w:t>1</w:t>
      </w:r>
      <w:r>
        <w:rPr>
          <w:rFonts w:hint="eastAsia"/>
          <w:color w:val="auto"/>
          <w:lang w:val="en-US" w:eastAsia="zh-CN"/>
        </w:rPr>
        <w:t>6</w:t>
      </w:r>
      <w:r>
        <w:rPr>
          <w:rFonts w:hint="default"/>
          <w:color w:val="auto"/>
          <w:lang w:val="en-US" w:eastAsia="zh-CN"/>
        </w:rPr>
        <w:t>、《工贸企业重大事故隐患判定标准》（中华人民共和国应急管理部令第10号）；</w:t>
      </w:r>
    </w:p>
    <w:p w14:paraId="73225E62">
      <w:pPr>
        <w:bidi w:val="0"/>
        <w:rPr>
          <w:rFonts w:hint="default"/>
          <w:color w:val="auto"/>
          <w:lang w:val="en-US" w:eastAsia="zh-CN"/>
        </w:rPr>
      </w:pPr>
      <w:r>
        <w:rPr>
          <w:rFonts w:hint="default"/>
          <w:color w:val="auto"/>
          <w:lang w:val="en-US" w:eastAsia="zh-CN"/>
        </w:rPr>
        <w:t>1</w:t>
      </w:r>
      <w:r>
        <w:rPr>
          <w:rFonts w:hint="eastAsia"/>
          <w:color w:val="auto"/>
          <w:lang w:val="en-US" w:eastAsia="zh-CN"/>
        </w:rPr>
        <w:t>7</w:t>
      </w:r>
      <w:r>
        <w:rPr>
          <w:rFonts w:hint="default"/>
          <w:color w:val="auto"/>
          <w:lang w:val="en-US" w:eastAsia="zh-CN"/>
        </w:rPr>
        <w:t>、应急管理部办公厅关于印发《有限空间作业安全指导手册》和4个专题系列折页的通知（应急厅函[2020]299号）；</w:t>
      </w:r>
    </w:p>
    <w:p w14:paraId="63F2AFE5">
      <w:pPr>
        <w:bidi w:val="0"/>
        <w:rPr>
          <w:rFonts w:hint="default"/>
          <w:color w:val="auto"/>
          <w:lang w:val="en-US" w:eastAsia="zh-CN"/>
        </w:rPr>
      </w:pPr>
      <w:r>
        <w:rPr>
          <w:rFonts w:hint="default"/>
          <w:color w:val="auto"/>
          <w:lang w:val="en-US" w:eastAsia="zh-CN"/>
        </w:rPr>
        <w:t>1</w:t>
      </w:r>
      <w:r>
        <w:rPr>
          <w:rFonts w:hint="eastAsia"/>
          <w:color w:val="auto"/>
          <w:lang w:val="en-US" w:eastAsia="zh-CN"/>
        </w:rPr>
        <w:t>8</w:t>
      </w:r>
      <w:r>
        <w:rPr>
          <w:rFonts w:hint="default"/>
          <w:color w:val="auto"/>
          <w:lang w:val="en-US" w:eastAsia="zh-CN"/>
        </w:rPr>
        <w:t>、《国务院安委会办公室关于印发标本兼治遏制重特大事故工作指南的通知》（安委办[2016]3号）；</w:t>
      </w:r>
    </w:p>
    <w:p w14:paraId="6E89B1F1">
      <w:pPr>
        <w:bidi w:val="0"/>
        <w:rPr>
          <w:rFonts w:hint="eastAsia" w:eastAsia="宋体"/>
          <w:color w:val="auto"/>
          <w:lang w:eastAsia="zh-CN"/>
        </w:rPr>
      </w:pPr>
      <w:r>
        <w:rPr>
          <w:rFonts w:hint="eastAsia"/>
          <w:color w:val="auto"/>
          <w:lang w:val="en-US" w:eastAsia="zh-CN"/>
        </w:rPr>
        <w:t>19</w:t>
      </w:r>
      <w:r>
        <w:rPr>
          <w:rFonts w:hint="default"/>
          <w:color w:val="auto"/>
          <w:lang w:val="en-US" w:eastAsia="zh-CN"/>
        </w:rPr>
        <w:t>、《国务院安委会办公室关于实施遏制重特大事故工作指南构建双重预防机制的意见》（安委办[2016]11号）</w:t>
      </w:r>
      <w:r>
        <w:rPr>
          <w:rFonts w:hint="eastAsia"/>
          <w:color w:val="auto"/>
          <w:lang w:eastAsia="zh-CN"/>
        </w:rPr>
        <w:t>；</w:t>
      </w:r>
    </w:p>
    <w:p w14:paraId="4FD69802">
      <w:pPr>
        <w:bidi w:val="0"/>
        <w:rPr>
          <w:rFonts w:hint="default"/>
          <w:color w:val="auto"/>
          <w:lang w:val="en-US" w:eastAsia="zh-CN"/>
        </w:rPr>
      </w:pPr>
      <w:r>
        <w:rPr>
          <w:rFonts w:hint="eastAsia"/>
          <w:color w:val="auto"/>
        </w:rPr>
        <w:t>2</w:t>
      </w:r>
      <w:r>
        <w:rPr>
          <w:rFonts w:hint="eastAsia"/>
          <w:color w:val="auto"/>
          <w:lang w:val="en-US" w:eastAsia="zh-CN"/>
        </w:rPr>
        <w:t>0</w:t>
      </w:r>
      <w:r>
        <w:rPr>
          <w:rFonts w:hint="eastAsia"/>
          <w:color w:val="auto"/>
        </w:rPr>
        <w:t>、《国家安全监管总局关于加强金属非金属矿山选矿厂安全生产工作的通知》（原安监总管一（2012）134号，2012年11月5日实施）。</w:t>
      </w:r>
    </w:p>
    <w:p w14:paraId="543FFA18">
      <w:pPr>
        <w:pStyle w:val="6"/>
        <w:bidi w:val="0"/>
        <w:rPr>
          <w:rFonts w:hint="default"/>
          <w:color w:val="auto"/>
          <w:lang w:val="en-US" w:eastAsia="zh-CN"/>
        </w:rPr>
      </w:pPr>
      <w:r>
        <w:rPr>
          <w:rFonts w:hint="default"/>
          <w:color w:val="auto"/>
          <w:lang w:val="en-US" w:eastAsia="zh-CN"/>
        </w:rPr>
        <w:t>1.2.4 地方性法规及文件</w:t>
      </w:r>
    </w:p>
    <w:p w14:paraId="4882E114">
      <w:pPr>
        <w:bidi w:val="0"/>
        <w:rPr>
          <w:rFonts w:hint="default"/>
          <w:color w:val="auto"/>
          <w:lang w:val="en-US" w:eastAsia="zh-CN"/>
        </w:rPr>
      </w:pPr>
      <w:r>
        <w:rPr>
          <w:rFonts w:hint="default"/>
          <w:color w:val="auto"/>
          <w:lang w:val="en-US" w:eastAsia="zh-CN"/>
        </w:rPr>
        <w:t>1、《云南省安全生产条例》（2017年11月30日云南省第十二届人民代表大会常务委员会第三十八次会议通过，2018年1月1日起施行）；</w:t>
      </w:r>
    </w:p>
    <w:p w14:paraId="6335F15D">
      <w:pPr>
        <w:bidi w:val="0"/>
        <w:rPr>
          <w:rFonts w:hint="default"/>
          <w:color w:val="auto"/>
          <w:lang w:val="en-US" w:eastAsia="zh-CN"/>
        </w:rPr>
      </w:pPr>
      <w:r>
        <w:rPr>
          <w:rFonts w:hint="default"/>
          <w:color w:val="auto"/>
          <w:lang w:val="en-US" w:eastAsia="zh-CN"/>
        </w:rPr>
        <w:t>2、《云南省消防条例》（2010年9月30日云南省第十一届人民代表大会常务委员会第十九次会议通过，根据2020年11月25日云南省第十三届人民代表大会常务委员会第二十一次会议《云南省人民代表大会常务委员会关于修改部分地方性法规的决定》修正）；</w:t>
      </w:r>
    </w:p>
    <w:p w14:paraId="5D9BD148">
      <w:pPr>
        <w:bidi w:val="0"/>
        <w:rPr>
          <w:rFonts w:hint="default"/>
          <w:color w:val="auto"/>
          <w:lang w:val="en-US" w:eastAsia="zh-CN"/>
        </w:rPr>
      </w:pPr>
      <w:r>
        <w:rPr>
          <w:rFonts w:hint="default"/>
          <w:color w:val="auto"/>
          <w:lang w:val="en-US" w:eastAsia="zh-CN"/>
        </w:rPr>
        <w:t>3、《云南省生产安全事故报告和调查处理规定》（云南省政府令第155号）；</w:t>
      </w:r>
    </w:p>
    <w:p w14:paraId="2ACFF705">
      <w:pPr>
        <w:bidi w:val="0"/>
        <w:rPr>
          <w:rFonts w:hint="default"/>
          <w:color w:val="auto"/>
          <w:lang w:val="en-US" w:eastAsia="zh-CN"/>
        </w:rPr>
      </w:pPr>
      <w:r>
        <w:rPr>
          <w:rFonts w:hint="default"/>
          <w:color w:val="auto"/>
          <w:lang w:val="en-US" w:eastAsia="zh-CN"/>
        </w:rPr>
        <w:t>4、《云南省人民政府贯彻落实国务院关于进一步加强企业安全生产工作通知的实施意见》（云政发〔2010〕157号）；</w:t>
      </w:r>
    </w:p>
    <w:p w14:paraId="7D62F40E">
      <w:pPr>
        <w:bidi w:val="0"/>
        <w:rPr>
          <w:rFonts w:hint="default"/>
          <w:color w:val="auto"/>
          <w:lang w:val="en-US" w:eastAsia="zh-CN"/>
        </w:rPr>
      </w:pPr>
      <w:r>
        <w:rPr>
          <w:rFonts w:hint="default"/>
          <w:color w:val="auto"/>
          <w:lang w:val="en-US" w:eastAsia="zh-CN"/>
        </w:rPr>
        <w:t>5、《云南省应急管理厅关于印发云南省企业安全生产标准化建设定级实施办法的通知》（云应急〔2023〕6号）；</w:t>
      </w:r>
    </w:p>
    <w:p w14:paraId="7A6C83F8">
      <w:pPr>
        <w:bidi w:val="0"/>
        <w:rPr>
          <w:rFonts w:hint="default"/>
          <w:color w:val="auto"/>
          <w:lang w:val="en-US" w:eastAsia="zh-CN"/>
        </w:rPr>
      </w:pPr>
      <w:r>
        <w:rPr>
          <w:rFonts w:hint="default"/>
          <w:color w:val="auto"/>
          <w:lang w:val="en-US" w:eastAsia="zh-CN"/>
        </w:rPr>
        <w:t>6、《云南省安全生产培训管理规定》（云南省安全生产监督管理局公告第38号）；</w:t>
      </w:r>
    </w:p>
    <w:p w14:paraId="0DB4FC77">
      <w:pPr>
        <w:bidi w:val="0"/>
        <w:rPr>
          <w:rFonts w:hint="default"/>
          <w:color w:val="auto"/>
          <w:lang w:val="en-US" w:eastAsia="zh-CN"/>
        </w:rPr>
      </w:pPr>
      <w:r>
        <w:rPr>
          <w:rFonts w:hint="default"/>
          <w:color w:val="auto"/>
          <w:lang w:val="en-US" w:eastAsia="zh-CN"/>
        </w:rPr>
        <w:t>7、《云南省安全生产监督管理局关于进一步加强工贸行业有限空间作业安全生产工作的通知》（云安监管函〔2016〕85号）；</w:t>
      </w:r>
    </w:p>
    <w:p w14:paraId="18E95ADD">
      <w:pPr>
        <w:bidi w:val="0"/>
        <w:rPr>
          <w:rFonts w:hint="default"/>
          <w:color w:val="auto"/>
          <w:lang w:val="en-US" w:eastAsia="zh-CN"/>
        </w:rPr>
      </w:pPr>
      <w:r>
        <w:rPr>
          <w:rFonts w:hint="default"/>
          <w:color w:val="auto"/>
          <w:lang w:val="en-US" w:eastAsia="zh-CN"/>
        </w:rPr>
        <w:t>8、《云南省安全生产监督管理局关于印发深化开展工贸行业有限空间作业生产安全事故隐患排查治理暨有限空间作业条件确认安全监管执法2018-2020年专项行动工作方案的通知》（云安监管〔2018〕7号）；</w:t>
      </w:r>
    </w:p>
    <w:p w14:paraId="569CA85C">
      <w:pPr>
        <w:bidi w:val="0"/>
        <w:rPr>
          <w:rFonts w:hint="default"/>
          <w:color w:val="auto"/>
          <w:lang w:val="en-US" w:eastAsia="zh-CN"/>
        </w:rPr>
      </w:pPr>
      <w:r>
        <w:rPr>
          <w:rFonts w:hint="default"/>
          <w:color w:val="auto"/>
          <w:lang w:val="en-US" w:eastAsia="zh-CN"/>
        </w:rPr>
        <w:t>9、《云南省应急管理厅关于在重点工贸企业开展安全生产动态巡查和预警工作的通知》（云应急〔2020〕10号）；</w:t>
      </w:r>
    </w:p>
    <w:p w14:paraId="43B66798">
      <w:pPr>
        <w:bidi w:val="0"/>
        <w:rPr>
          <w:rFonts w:hint="default"/>
          <w:color w:val="auto"/>
          <w:lang w:val="en-US" w:eastAsia="zh-CN"/>
        </w:rPr>
      </w:pPr>
      <w:r>
        <w:rPr>
          <w:rFonts w:hint="default"/>
          <w:color w:val="auto"/>
          <w:lang w:val="en-US" w:eastAsia="zh-CN"/>
        </w:rPr>
        <w:t>10、云南省安全生产工作领导小组关于印发《云南省安全生产专项整治三年行动计划》的通知（云安[2020]4号）；</w:t>
      </w:r>
    </w:p>
    <w:p w14:paraId="1DDA9501">
      <w:pPr>
        <w:bidi w:val="0"/>
        <w:rPr>
          <w:rFonts w:hint="default"/>
          <w:color w:val="auto"/>
          <w:lang w:val="en-US" w:eastAsia="zh-CN"/>
        </w:rPr>
      </w:pPr>
      <w:r>
        <w:rPr>
          <w:rFonts w:hint="default"/>
          <w:color w:val="auto"/>
          <w:lang w:val="en-US" w:eastAsia="zh-CN"/>
        </w:rPr>
        <w:t>11、《云南省安全生产委员会办公室关于印发＜云南省工贸行业安全生产综合治理实施方案＞的通知》（云安办〔2020〕16号）；</w:t>
      </w:r>
    </w:p>
    <w:p w14:paraId="3B06BFF4">
      <w:pPr>
        <w:bidi w:val="0"/>
        <w:rPr>
          <w:rFonts w:hint="default"/>
          <w:color w:val="auto"/>
          <w:lang w:val="en-US" w:eastAsia="zh-CN"/>
        </w:rPr>
      </w:pPr>
      <w:r>
        <w:rPr>
          <w:rFonts w:hint="default"/>
          <w:color w:val="auto"/>
          <w:lang w:val="en-US" w:eastAsia="zh-CN"/>
        </w:rPr>
        <w:t>12、《云南省应急管理厅关于学习使用&lt;有限空间作业安全指导手册&gt;和4个专题系列折页的通知》（云应急函〔2020〕238号）；</w:t>
      </w:r>
    </w:p>
    <w:p w14:paraId="5C07AFF0">
      <w:pPr>
        <w:bidi w:val="0"/>
        <w:rPr>
          <w:rFonts w:hint="default"/>
          <w:color w:val="auto"/>
          <w:lang w:val="en-US" w:eastAsia="zh-CN"/>
        </w:rPr>
      </w:pPr>
      <w:r>
        <w:rPr>
          <w:rFonts w:hint="default"/>
          <w:color w:val="auto"/>
          <w:lang w:val="en-US" w:eastAsia="zh-CN"/>
        </w:rPr>
        <w:t>13、《云南安全生产委员会关于建立完善安全风险分级管控和隐患排查治理双重预防机制的指导意见》（云安〔2021〕3号）；</w:t>
      </w:r>
    </w:p>
    <w:p w14:paraId="49B349E5">
      <w:pPr>
        <w:bidi w:val="0"/>
        <w:rPr>
          <w:rFonts w:hint="default"/>
          <w:color w:val="auto"/>
          <w:lang w:val="en-US" w:eastAsia="zh-CN"/>
        </w:rPr>
      </w:pPr>
      <w:r>
        <w:rPr>
          <w:rFonts w:hint="default"/>
          <w:color w:val="auto"/>
          <w:lang w:val="en-US" w:eastAsia="zh-CN"/>
        </w:rPr>
        <w:t>14、《云南省工贸行业企业安全风险源点定性定量判别参考标准指南（试行）》（云应急〔2022〕8号）</w:t>
      </w:r>
      <w:r>
        <w:rPr>
          <w:rFonts w:hint="eastAsia"/>
          <w:color w:val="auto"/>
          <w:lang w:val="en-US" w:eastAsia="zh-CN"/>
        </w:rPr>
        <w:t>；</w:t>
      </w:r>
    </w:p>
    <w:p w14:paraId="7A259C95">
      <w:pPr>
        <w:bidi w:val="0"/>
        <w:rPr>
          <w:rFonts w:hint="default"/>
          <w:color w:val="auto"/>
          <w:lang w:val="en-US" w:eastAsia="zh-CN"/>
        </w:rPr>
      </w:pPr>
      <w:r>
        <w:rPr>
          <w:rFonts w:hint="default"/>
          <w:color w:val="auto"/>
          <w:lang w:val="en-US" w:eastAsia="zh-CN"/>
        </w:rPr>
        <w:t>15、《云南省安全生产监督管理局关于切实加强金属非金属矿山选矿厂安全生产工作有关问题的通知》（云安监管〔2013〕118号，2013年8月19日）；</w:t>
      </w:r>
    </w:p>
    <w:p w14:paraId="2FE6A11B">
      <w:pPr>
        <w:bidi w:val="0"/>
        <w:rPr>
          <w:rFonts w:hint="default"/>
          <w:color w:val="auto"/>
          <w:lang w:val="en-US" w:eastAsia="zh-CN"/>
        </w:rPr>
      </w:pPr>
      <w:r>
        <w:rPr>
          <w:rFonts w:hint="default"/>
          <w:color w:val="auto"/>
          <w:lang w:val="en-US" w:eastAsia="zh-CN"/>
        </w:rPr>
        <w:t>16、《云南省安全生产监督管理局关于调整下放非煤矿山安全生产行政许可事项的通知》（云安监管〔2017〕2号，2017年1月23日）；</w:t>
      </w:r>
    </w:p>
    <w:p w14:paraId="4DAA5D1D">
      <w:pPr>
        <w:bidi w:val="0"/>
        <w:rPr>
          <w:rFonts w:hint="default"/>
          <w:color w:val="auto"/>
          <w:lang w:val="en-US" w:eastAsia="zh-CN"/>
        </w:rPr>
      </w:pPr>
      <w:r>
        <w:rPr>
          <w:rFonts w:hint="default"/>
          <w:color w:val="auto"/>
          <w:lang w:val="en-US" w:eastAsia="zh-CN"/>
        </w:rPr>
        <w:t>17、《云南省安全生产监督管理局关于进一步规范金属非金属矿山建设项目安全“三同时”工作的通知》（原云南省安全生产监督管理局，2016年3月21日）；</w:t>
      </w:r>
    </w:p>
    <w:p w14:paraId="520734B7">
      <w:pPr>
        <w:bidi w:val="0"/>
        <w:rPr>
          <w:rFonts w:hint="default"/>
          <w:color w:val="auto"/>
          <w:lang w:val="en-US" w:eastAsia="zh-CN"/>
        </w:rPr>
      </w:pPr>
      <w:r>
        <w:rPr>
          <w:rFonts w:hint="default"/>
          <w:color w:val="auto"/>
          <w:lang w:val="en-US" w:eastAsia="zh-CN"/>
        </w:rPr>
        <w:t>18、《云南省生产经营单位安全生产主体责任规定》（云政规[2022]4号）。</w:t>
      </w:r>
    </w:p>
    <w:p w14:paraId="627EE045">
      <w:pPr>
        <w:pStyle w:val="6"/>
        <w:bidi w:val="0"/>
        <w:rPr>
          <w:rFonts w:hint="default"/>
          <w:color w:val="auto"/>
          <w:lang w:val="en-US" w:eastAsia="zh-CN"/>
        </w:rPr>
      </w:pPr>
      <w:r>
        <w:rPr>
          <w:rFonts w:hint="default"/>
          <w:color w:val="auto"/>
          <w:lang w:val="en-US" w:eastAsia="zh-CN"/>
        </w:rPr>
        <w:t>1.2.5 标准规范</w:t>
      </w:r>
    </w:p>
    <w:p w14:paraId="1866BADF">
      <w:pPr>
        <w:bidi w:val="0"/>
        <w:rPr>
          <w:rFonts w:hint="default"/>
          <w:color w:val="auto"/>
          <w:lang w:val="en-US" w:eastAsia="zh-CN"/>
        </w:rPr>
      </w:pPr>
      <w:r>
        <w:rPr>
          <w:rFonts w:hint="eastAsia"/>
          <w:color w:val="auto"/>
          <w:lang w:val="en-US" w:eastAsia="zh-CN"/>
        </w:rPr>
        <w:t>1</w:t>
      </w:r>
      <w:r>
        <w:rPr>
          <w:rFonts w:hint="default"/>
          <w:color w:val="auto"/>
          <w:lang w:val="en-US" w:eastAsia="zh-CN"/>
        </w:rPr>
        <w:t>、《选矿安全规程》（GB 18152-2000）；</w:t>
      </w:r>
    </w:p>
    <w:p w14:paraId="2EECC7E0">
      <w:pPr>
        <w:bidi w:val="0"/>
        <w:rPr>
          <w:rFonts w:hint="default"/>
          <w:color w:val="auto"/>
          <w:lang w:val="en-US" w:eastAsia="zh-CN"/>
        </w:rPr>
      </w:pPr>
      <w:r>
        <w:rPr>
          <w:rFonts w:hint="eastAsia"/>
          <w:color w:val="auto"/>
          <w:lang w:val="en-US" w:eastAsia="zh-CN"/>
        </w:rPr>
        <w:t>2</w:t>
      </w:r>
      <w:r>
        <w:rPr>
          <w:rFonts w:hint="default"/>
          <w:color w:val="auto"/>
          <w:lang w:val="en-US" w:eastAsia="zh-CN"/>
        </w:rPr>
        <w:t>、《工业企业总平面设计规范》（GB 50187-2012，2012年08月01日实施）；</w:t>
      </w:r>
    </w:p>
    <w:p w14:paraId="5CB30DA7">
      <w:pPr>
        <w:bidi w:val="0"/>
        <w:rPr>
          <w:rFonts w:hint="default"/>
          <w:color w:val="auto"/>
          <w:lang w:val="en-US" w:eastAsia="zh-CN"/>
        </w:rPr>
      </w:pPr>
      <w:r>
        <w:rPr>
          <w:rFonts w:hint="eastAsia"/>
          <w:color w:val="auto"/>
          <w:lang w:val="en-US" w:eastAsia="zh-CN"/>
        </w:rPr>
        <w:t>3</w:t>
      </w:r>
      <w:r>
        <w:rPr>
          <w:rFonts w:hint="default"/>
          <w:color w:val="auto"/>
          <w:lang w:val="en-US" w:eastAsia="zh-CN"/>
        </w:rPr>
        <w:t>、《工业企业设计卫生标准》（GB Z 1-2010，2010年8月1日施行）；</w:t>
      </w:r>
    </w:p>
    <w:p w14:paraId="3AB23375">
      <w:pPr>
        <w:bidi w:val="0"/>
        <w:rPr>
          <w:rFonts w:hint="default"/>
          <w:color w:val="auto"/>
          <w:lang w:val="en-US" w:eastAsia="zh-CN"/>
        </w:rPr>
      </w:pPr>
      <w:r>
        <w:rPr>
          <w:rFonts w:hint="eastAsia"/>
          <w:color w:val="auto"/>
          <w:lang w:val="en-US" w:eastAsia="zh-CN"/>
        </w:rPr>
        <w:t>4</w:t>
      </w:r>
      <w:r>
        <w:rPr>
          <w:rFonts w:hint="default"/>
          <w:color w:val="auto"/>
          <w:lang w:val="en-US" w:eastAsia="zh-CN"/>
        </w:rPr>
        <w:t>、《工业企业噪声控制设计规范》（GB /T 50087-2013，2014年06月01日实施）；</w:t>
      </w:r>
    </w:p>
    <w:p w14:paraId="4D0E488B">
      <w:pPr>
        <w:bidi w:val="0"/>
        <w:rPr>
          <w:rFonts w:hint="default"/>
          <w:color w:val="auto"/>
          <w:lang w:val="en-US" w:eastAsia="zh-CN"/>
        </w:rPr>
      </w:pPr>
      <w:r>
        <w:rPr>
          <w:rFonts w:hint="eastAsia"/>
          <w:color w:val="auto"/>
          <w:lang w:val="en-US" w:eastAsia="zh-CN"/>
        </w:rPr>
        <w:t>5、</w:t>
      </w:r>
      <w:r>
        <w:rPr>
          <w:rFonts w:hint="default"/>
          <w:color w:val="auto"/>
          <w:lang w:val="en-US" w:eastAsia="zh-CN"/>
        </w:rPr>
        <w:t>《工业建筑防腐蚀设计规范》（GB /T 50046-2018，2019年03月01日实施）；</w:t>
      </w:r>
    </w:p>
    <w:p w14:paraId="76ABB53A">
      <w:pPr>
        <w:bidi w:val="0"/>
        <w:rPr>
          <w:rFonts w:hint="default"/>
          <w:color w:val="auto"/>
          <w:lang w:val="en-US" w:eastAsia="zh-CN"/>
        </w:rPr>
      </w:pPr>
      <w:r>
        <w:rPr>
          <w:rFonts w:hint="eastAsia"/>
          <w:color w:val="auto"/>
          <w:lang w:val="en-US" w:eastAsia="zh-CN"/>
        </w:rPr>
        <w:t>6</w:t>
      </w:r>
      <w:r>
        <w:rPr>
          <w:rFonts w:hint="default"/>
          <w:color w:val="auto"/>
          <w:lang w:val="en-US" w:eastAsia="zh-CN"/>
        </w:rPr>
        <w:t>、《建筑设计防火规范》（2018版）（GB 0016-2014，2015年05月01日实施）；</w:t>
      </w:r>
    </w:p>
    <w:p w14:paraId="322D9276">
      <w:pPr>
        <w:bidi w:val="0"/>
        <w:rPr>
          <w:rFonts w:hint="default"/>
          <w:color w:val="auto"/>
          <w:lang w:val="en-US" w:eastAsia="zh-CN"/>
        </w:rPr>
      </w:pPr>
      <w:r>
        <w:rPr>
          <w:rFonts w:hint="eastAsia"/>
          <w:color w:val="auto"/>
          <w:lang w:val="en-US" w:eastAsia="zh-CN"/>
        </w:rPr>
        <w:t>7</w:t>
      </w:r>
      <w:r>
        <w:rPr>
          <w:rFonts w:hint="default"/>
          <w:color w:val="auto"/>
          <w:lang w:val="en-US" w:eastAsia="zh-CN"/>
        </w:rPr>
        <w:t>、《建筑防火通用规范》（GB 55037-2022，2023年06月01日实施）；</w:t>
      </w:r>
    </w:p>
    <w:p w14:paraId="0B2BEEDD">
      <w:pPr>
        <w:bidi w:val="0"/>
        <w:rPr>
          <w:rFonts w:hint="default"/>
          <w:color w:val="auto"/>
          <w:lang w:val="en-US" w:eastAsia="zh-CN"/>
        </w:rPr>
      </w:pPr>
      <w:r>
        <w:rPr>
          <w:rFonts w:hint="eastAsia"/>
          <w:color w:val="auto"/>
          <w:lang w:val="en-US" w:eastAsia="zh-CN"/>
        </w:rPr>
        <w:t>8</w:t>
      </w:r>
      <w:r>
        <w:rPr>
          <w:rFonts w:hint="default"/>
          <w:color w:val="auto"/>
          <w:lang w:val="en-US" w:eastAsia="zh-CN"/>
        </w:rPr>
        <w:t>、《建筑物防雷设计规范》（GB 50057-2010，2011年10月01日实施）；</w:t>
      </w:r>
    </w:p>
    <w:p w14:paraId="6A9D81BF">
      <w:pPr>
        <w:bidi w:val="0"/>
        <w:rPr>
          <w:rFonts w:hint="default"/>
          <w:color w:val="auto"/>
          <w:lang w:val="en-US" w:eastAsia="zh-CN"/>
        </w:rPr>
      </w:pPr>
      <w:r>
        <w:rPr>
          <w:rFonts w:hint="eastAsia"/>
          <w:color w:val="auto"/>
          <w:lang w:val="en-US" w:eastAsia="zh-CN"/>
        </w:rPr>
        <w:t>9</w:t>
      </w:r>
      <w:r>
        <w:rPr>
          <w:rFonts w:hint="default"/>
          <w:color w:val="auto"/>
          <w:lang w:val="en-US" w:eastAsia="zh-CN"/>
        </w:rPr>
        <w:t>、《建筑照明设计标准》（GB 50034-2013，2014年06月01日实施）；</w:t>
      </w:r>
    </w:p>
    <w:p w14:paraId="5EB481D5">
      <w:pPr>
        <w:bidi w:val="0"/>
        <w:rPr>
          <w:rFonts w:hint="default"/>
          <w:color w:val="auto"/>
          <w:lang w:val="en-US" w:eastAsia="zh-CN"/>
        </w:rPr>
      </w:pPr>
      <w:r>
        <w:rPr>
          <w:rFonts w:hint="eastAsia"/>
          <w:color w:val="auto"/>
          <w:lang w:val="en-US" w:eastAsia="zh-CN"/>
        </w:rPr>
        <w:t>10</w:t>
      </w:r>
      <w:r>
        <w:rPr>
          <w:rFonts w:hint="default"/>
          <w:color w:val="auto"/>
          <w:lang w:val="en-US" w:eastAsia="zh-CN"/>
        </w:rPr>
        <w:t>、《建筑抗震设计规范（2016年版）》（GB 50011-2010，2016年8月1日实施）；</w:t>
      </w:r>
    </w:p>
    <w:p w14:paraId="6EF3CF02">
      <w:pPr>
        <w:bidi w:val="0"/>
        <w:rPr>
          <w:rFonts w:hint="default"/>
          <w:color w:val="auto"/>
          <w:lang w:val="en-US" w:eastAsia="zh-CN"/>
        </w:rPr>
      </w:pPr>
      <w:r>
        <w:rPr>
          <w:rFonts w:hint="default"/>
          <w:color w:val="auto"/>
          <w:lang w:val="en-US" w:eastAsia="zh-CN"/>
        </w:rPr>
        <w:t>1</w:t>
      </w:r>
      <w:r>
        <w:rPr>
          <w:rFonts w:hint="eastAsia"/>
          <w:color w:val="auto"/>
          <w:lang w:val="en-US" w:eastAsia="zh-CN"/>
        </w:rPr>
        <w:t>1</w:t>
      </w:r>
      <w:r>
        <w:rPr>
          <w:rFonts w:hint="default"/>
          <w:color w:val="auto"/>
          <w:lang w:val="en-US" w:eastAsia="zh-CN"/>
        </w:rPr>
        <w:t>、《企业职工伤亡事故分类标准》（GB 6441-1986，1987年2月1日实施）；</w:t>
      </w:r>
    </w:p>
    <w:p w14:paraId="744C754F">
      <w:pPr>
        <w:bidi w:val="0"/>
        <w:rPr>
          <w:rFonts w:hint="default"/>
          <w:color w:val="auto"/>
          <w:lang w:val="en-US" w:eastAsia="zh-CN"/>
        </w:rPr>
      </w:pPr>
      <w:r>
        <w:rPr>
          <w:rFonts w:hint="default"/>
          <w:color w:val="auto"/>
          <w:lang w:val="en-US" w:eastAsia="zh-CN"/>
        </w:rPr>
        <w:t>1</w:t>
      </w:r>
      <w:r>
        <w:rPr>
          <w:rFonts w:hint="eastAsia"/>
          <w:color w:val="auto"/>
          <w:lang w:val="en-US" w:eastAsia="zh-CN"/>
        </w:rPr>
        <w:t>2</w:t>
      </w:r>
      <w:r>
        <w:rPr>
          <w:rFonts w:hint="default"/>
          <w:color w:val="auto"/>
          <w:lang w:val="en-US" w:eastAsia="zh-CN"/>
        </w:rPr>
        <w:t>、《危险化学品重大危险源辨识》（GB 18218-2018，2019年3月01日实施）；</w:t>
      </w:r>
    </w:p>
    <w:p w14:paraId="61D5B4E3">
      <w:pPr>
        <w:bidi w:val="0"/>
        <w:rPr>
          <w:rFonts w:hint="default"/>
          <w:color w:val="auto"/>
          <w:lang w:val="en-US" w:eastAsia="zh-CN"/>
        </w:rPr>
      </w:pPr>
      <w:r>
        <w:rPr>
          <w:rFonts w:hint="default"/>
          <w:color w:val="auto"/>
          <w:lang w:val="en-US" w:eastAsia="zh-CN"/>
        </w:rPr>
        <w:t>1</w:t>
      </w:r>
      <w:r>
        <w:rPr>
          <w:rFonts w:hint="eastAsia"/>
          <w:color w:val="auto"/>
          <w:lang w:val="en-US" w:eastAsia="zh-CN"/>
        </w:rPr>
        <w:t>3</w:t>
      </w:r>
      <w:r>
        <w:rPr>
          <w:rFonts w:hint="default"/>
          <w:color w:val="auto"/>
          <w:lang w:val="en-US" w:eastAsia="zh-CN"/>
        </w:rPr>
        <w:t>、《生产设备安全卫生设计总则》（GB 5083-1999，1999年12月1日实施）；</w:t>
      </w:r>
    </w:p>
    <w:p w14:paraId="7D819131">
      <w:pPr>
        <w:bidi w:val="0"/>
        <w:rPr>
          <w:rFonts w:hint="default"/>
          <w:color w:val="auto"/>
          <w:lang w:val="en-US" w:eastAsia="zh-CN"/>
        </w:rPr>
      </w:pPr>
      <w:r>
        <w:rPr>
          <w:rFonts w:hint="default"/>
          <w:color w:val="auto"/>
          <w:lang w:val="en-US" w:eastAsia="zh-CN"/>
        </w:rPr>
        <w:t>1</w:t>
      </w:r>
      <w:r>
        <w:rPr>
          <w:rFonts w:hint="eastAsia"/>
          <w:color w:val="auto"/>
          <w:lang w:val="en-US" w:eastAsia="zh-CN"/>
        </w:rPr>
        <w:t>4</w:t>
      </w:r>
      <w:r>
        <w:rPr>
          <w:rFonts w:hint="default"/>
          <w:color w:val="auto"/>
          <w:lang w:val="en-US" w:eastAsia="zh-CN"/>
        </w:rPr>
        <w:t>、《生产过程安全卫生要求总则》（GB /T 12801-2008，2009年10月01日实施）；</w:t>
      </w:r>
    </w:p>
    <w:p w14:paraId="1EAF2669">
      <w:pPr>
        <w:bidi w:val="0"/>
        <w:rPr>
          <w:rFonts w:hint="default"/>
          <w:color w:val="auto"/>
          <w:lang w:val="en-US" w:eastAsia="zh-CN"/>
        </w:rPr>
      </w:pPr>
      <w:r>
        <w:rPr>
          <w:rFonts w:hint="default"/>
          <w:color w:val="auto"/>
          <w:lang w:val="en-US" w:eastAsia="zh-CN"/>
        </w:rPr>
        <w:t>1</w:t>
      </w:r>
      <w:r>
        <w:rPr>
          <w:rFonts w:hint="eastAsia"/>
          <w:color w:val="auto"/>
          <w:lang w:val="en-US" w:eastAsia="zh-CN"/>
        </w:rPr>
        <w:t>5</w:t>
      </w:r>
      <w:r>
        <w:rPr>
          <w:rFonts w:hint="default"/>
          <w:color w:val="auto"/>
          <w:lang w:val="en-US" w:eastAsia="zh-CN"/>
        </w:rPr>
        <w:t>、《厂矿道路设计规范》（GB J 22-1987，1988年8月1日实施）；</w:t>
      </w:r>
    </w:p>
    <w:p w14:paraId="1F08664F">
      <w:pPr>
        <w:bidi w:val="0"/>
        <w:rPr>
          <w:rFonts w:hint="default"/>
          <w:color w:val="auto"/>
          <w:lang w:val="en-US" w:eastAsia="zh-CN"/>
        </w:rPr>
      </w:pPr>
      <w:r>
        <w:rPr>
          <w:rFonts w:hint="default"/>
          <w:color w:val="auto"/>
          <w:lang w:val="en-US" w:eastAsia="zh-CN"/>
        </w:rPr>
        <w:t>1</w:t>
      </w:r>
      <w:r>
        <w:rPr>
          <w:rFonts w:hint="eastAsia"/>
          <w:color w:val="auto"/>
          <w:lang w:val="en-US" w:eastAsia="zh-CN"/>
        </w:rPr>
        <w:t>6</w:t>
      </w:r>
      <w:r>
        <w:rPr>
          <w:rFonts w:hint="default"/>
          <w:color w:val="auto"/>
          <w:lang w:val="en-US" w:eastAsia="zh-CN"/>
        </w:rPr>
        <w:t>、《工业企业厂内铁路、道路运输安全规程》（GB 4387-2008，2009年10月01日实施）；</w:t>
      </w:r>
    </w:p>
    <w:p w14:paraId="6A90B2E0">
      <w:pPr>
        <w:bidi w:val="0"/>
        <w:rPr>
          <w:rFonts w:hint="default"/>
          <w:color w:val="auto"/>
          <w:lang w:val="en-US" w:eastAsia="zh-CN"/>
        </w:rPr>
      </w:pPr>
      <w:r>
        <w:rPr>
          <w:rFonts w:hint="default"/>
          <w:color w:val="auto"/>
          <w:lang w:val="en-US" w:eastAsia="zh-CN"/>
        </w:rPr>
        <w:t>1</w:t>
      </w:r>
      <w:r>
        <w:rPr>
          <w:rFonts w:hint="eastAsia"/>
          <w:color w:val="auto"/>
          <w:lang w:val="en-US" w:eastAsia="zh-CN"/>
        </w:rPr>
        <w:t>7</w:t>
      </w:r>
      <w:r>
        <w:rPr>
          <w:rFonts w:hint="default"/>
          <w:color w:val="auto"/>
          <w:lang w:val="en-US" w:eastAsia="zh-CN"/>
        </w:rPr>
        <w:t>、《安全标志及其使用导则》（GB 2894-2008，2009年10月01日实施）；</w:t>
      </w:r>
    </w:p>
    <w:p w14:paraId="0F2EF17A">
      <w:pPr>
        <w:bidi w:val="0"/>
        <w:rPr>
          <w:rFonts w:hint="default"/>
          <w:color w:val="auto"/>
          <w:lang w:val="en-US" w:eastAsia="zh-CN"/>
        </w:rPr>
      </w:pPr>
      <w:r>
        <w:rPr>
          <w:rFonts w:hint="default"/>
          <w:color w:val="auto"/>
          <w:lang w:val="en-US" w:eastAsia="zh-CN"/>
        </w:rPr>
        <w:t>1</w:t>
      </w:r>
      <w:r>
        <w:rPr>
          <w:rFonts w:hint="eastAsia"/>
          <w:color w:val="auto"/>
          <w:lang w:val="en-US" w:eastAsia="zh-CN"/>
        </w:rPr>
        <w:t>8</w:t>
      </w:r>
      <w:r>
        <w:rPr>
          <w:rFonts w:hint="default"/>
          <w:color w:val="auto"/>
          <w:lang w:val="en-US" w:eastAsia="zh-CN"/>
        </w:rPr>
        <w:t>、《安全色》（GB 2893-2008，2009年10月01日实施）；</w:t>
      </w:r>
    </w:p>
    <w:p w14:paraId="3FA4C6DB">
      <w:pPr>
        <w:bidi w:val="0"/>
        <w:rPr>
          <w:rFonts w:hint="default"/>
          <w:color w:val="auto"/>
          <w:lang w:val="en-US" w:eastAsia="zh-CN"/>
        </w:rPr>
      </w:pPr>
      <w:r>
        <w:rPr>
          <w:rFonts w:hint="default"/>
          <w:color w:val="auto"/>
          <w:lang w:val="en-US" w:eastAsia="zh-CN"/>
        </w:rPr>
        <w:t>1</w:t>
      </w:r>
      <w:r>
        <w:rPr>
          <w:rFonts w:hint="eastAsia"/>
          <w:color w:val="auto"/>
          <w:lang w:val="en-US" w:eastAsia="zh-CN"/>
        </w:rPr>
        <w:t>9</w:t>
      </w:r>
      <w:r>
        <w:rPr>
          <w:rFonts w:hint="default"/>
          <w:color w:val="auto"/>
          <w:lang w:val="en-US" w:eastAsia="zh-CN"/>
        </w:rPr>
        <w:t>、《个体防护装备配备规范 第1部分：总则》（GB 39800.1-2020，2020年12月24日发布，2022年1月1日实施）；</w:t>
      </w:r>
    </w:p>
    <w:p w14:paraId="6841DDA8">
      <w:pPr>
        <w:bidi w:val="0"/>
        <w:rPr>
          <w:rFonts w:hint="default"/>
          <w:color w:val="auto"/>
          <w:lang w:val="en-US" w:eastAsia="zh-CN"/>
        </w:rPr>
      </w:pPr>
      <w:r>
        <w:rPr>
          <w:rFonts w:hint="eastAsia"/>
          <w:color w:val="auto"/>
          <w:lang w:val="en-US" w:eastAsia="zh-CN"/>
        </w:rPr>
        <w:t>20</w:t>
      </w:r>
      <w:r>
        <w:rPr>
          <w:rFonts w:hint="default"/>
          <w:color w:val="auto"/>
          <w:lang w:val="en-US" w:eastAsia="zh-CN"/>
        </w:rPr>
        <w:t>、《用电安全导则》（GB /T 13869-2017，2018年07月01日实施）；</w:t>
      </w:r>
    </w:p>
    <w:p w14:paraId="4C776984">
      <w:pPr>
        <w:bidi w:val="0"/>
        <w:rPr>
          <w:rFonts w:hint="default"/>
          <w:color w:val="auto"/>
          <w:lang w:val="en-US" w:eastAsia="zh-CN"/>
        </w:rPr>
      </w:pPr>
      <w:r>
        <w:rPr>
          <w:rFonts w:hint="default"/>
          <w:color w:val="auto"/>
          <w:lang w:val="en-US" w:eastAsia="zh-CN"/>
        </w:rPr>
        <w:t>2</w:t>
      </w:r>
      <w:r>
        <w:rPr>
          <w:rFonts w:hint="eastAsia"/>
          <w:color w:val="auto"/>
          <w:lang w:val="en-US" w:eastAsia="zh-CN"/>
        </w:rPr>
        <w:t>1</w:t>
      </w:r>
      <w:r>
        <w:rPr>
          <w:rFonts w:hint="default"/>
          <w:color w:val="auto"/>
          <w:lang w:val="en-US" w:eastAsia="zh-CN"/>
        </w:rPr>
        <w:t>、《电气设备安全设计导则》（GB /T 25295-2010，2011年5月1日实施）；</w:t>
      </w:r>
    </w:p>
    <w:p w14:paraId="77B7B3FF">
      <w:pPr>
        <w:bidi w:val="0"/>
        <w:rPr>
          <w:rFonts w:hint="default"/>
          <w:color w:val="auto"/>
          <w:lang w:val="en-US" w:eastAsia="zh-CN"/>
        </w:rPr>
      </w:pPr>
      <w:r>
        <w:rPr>
          <w:rFonts w:hint="default"/>
          <w:color w:val="auto"/>
          <w:lang w:val="en-US" w:eastAsia="zh-CN"/>
        </w:rPr>
        <w:t>2</w:t>
      </w:r>
      <w:r>
        <w:rPr>
          <w:rFonts w:hint="eastAsia"/>
          <w:color w:val="auto"/>
          <w:lang w:val="en-US" w:eastAsia="zh-CN"/>
        </w:rPr>
        <w:t>2</w:t>
      </w:r>
      <w:r>
        <w:rPr>
          <w:rFonts w:hint="default"/>
          <w:color w:val="auto"/>
          <w:lang w:val="en-US" w:eastAsia="zh-CN"/>
        </w:rPr>
        <w:t>、《电击防护装置和设备的通用部分》（GB /T 17045-2020，2020年10月01日实施）；</w:t>
      </w:r>
    </w:p>
    <w:p w14:paraId="68591D0C">
      <w:pPr>
        <w:bidi w:val="0"/>
        <w:rPr>
          <w:rFonts w:hint="default"/>
          <w:color w:val="auto"/>
          <w:lang w:val="en-US" w:eastAsia="zh-CN"/>
        </w:rPr>
      </w:pPr>
      <w:r>
        <w:rPr>
          <w:rFonts w:hint="default"/>
          <w:color w:val="auto"/>
          <w:lang w:val="en-US" w:eastAsia="zh-CN"/>
        </w:rPr>
        <w:t>2</w:t>
      </w:r>
      <w:r>
        <w:rPr>
          <w:rFonts w:hint="eastAsia"/>
          <w:color w:val="auto"/>
          <w:lang w:val="en-US" w:eastAsia="zh-CN"/>
        </w:rPr>
        <w:t>3</w:t>
      </w:r>
      <w:r>
        <w:rPr>
          <w:rFonts w:hint="default"/>
          <w:color w:val="auto"/>
          <w:lang w:val="en-US" w:eastAsia="zh-CN"/>
        </w:rPr>
        <w:t>、《电气装置安装工程 电缆线路施工及验收标准》（GB 50168-2018，2019年5月1日实施）；</w:t>
      </w:r>
    </w:p>
    <w:p w14:paraId="7AEC1F2B">
      <w:pPr>
        <w:bidi w:val="0"/>
        <w:rPr>
          <w:rFonts w:hint="default"/>
          <w:color w:val="auto"/>
          <w:lang w:val="en-US" w:eastAsia="zh-CN"/>
        </w:rPr>
      </w:pPr>
      <w:r>
        <w:rPr>
          <w:rFonts w:hint="default"/>
          <w:color w:val="auto"/>
          <w:lang w:val="en-US" w:eastAsia="zh-CN"/>
        </w:rPr>
        <w:t>2</w:t>
      </w:r>
      <w:r>
        <w:rPr>
          <w:rFonts w:hint="eastAsia"/>
          <w:color w:val="auto"/>
          <w:lang w:val="en-US" w:eastAsia="zh-CN"/>
        </w:rPr>
        <w:t>4</w:t>
      </w:r>
      <w:r>
        <w:rPr>
          <w:rFonts w:hint="default"/>
          <w:color w:val="auto"/>
          <w:lang w:val="en-US" w:eastAsia="zh-CN"/>
        </w:rPr>
        <w:t>、《电气装置安装工程接地装置施工及验收规范》（GB 50169-2016，2017年4月1日实施）；</w:t>
      </w:r>
    </w:p>
    <w:p w14:paraId="319A3A78">
      <w:pPr>
        <w:bidi w:val="0"/>
        <w:rPr>
          <w:rFonts w:hint="default"/>
          <w:color w:val="auto"/>
          <w:lang w:val="en-US" w:eastAsia="zh-CN"/>
        </w:rPr>
      </w:pPr>
      <w:r>
        <w:rPr>
          <w:rFonts w:hint="default"/>
          <w:color w:val="auto"/>
          <w:lang w:val="en-US" w:eastAsia="zh-CN"/>
        </w:rPr>
        <w:t>2</w:t>
      </w:r>
      <w:r>
        <w:rPr>
          <w:rFonts w:hint="eastAsia"/>
          <w:color w:val="auto"/>
          <w:lang w:val="en-US" w:eastAsia="zh-CN"/>
        </w:rPr>
        <w:t>5</w:t>
      </w:r>
      <w:r>
        <w:rPr>
          <w:rFonts w:hint="default"/>
          <w:color w:val="auto"/>
          <w:lang w:val="en-US" w:eastAsia="zh-CN"/>
        </w:rPr>
        <w:t>、《建筑采光设计标准》（GB /T 50033-2013，2013年5月1日实施；</w:t>
      </w:r>
    </w:p>
    <w:p w14:paraId="01983D7E">
      <w:pPr>
        <w:bidi w:val="0"/>
        <w:rPr>
          <w:rFonts w:hint="default"/>
          <w:color w:val="auto"/>
          <w:lang w:val="en-US" w:eastAsia="zh-CN"/>
        </w:rPr>
      </w:pPr>
      <w:r>
        <w:rPr>
          <w:rFonts w:hint="default"/>
          <w:color w:val="auto"/>
          <w:lang w:val="en-US" w:eastAsia="zh-CN"/>
        </w:rPr>
        <w:t>2</w:t>
      </w:r>
      <w:r>
        <w:rPr>
          <w:rFonts w:hint="eastAsia"/>
          <w:color w:val="auto"/>
          <w:lang w:val="en-US" w:eastAsia="zh-CN"/>
        </w:rPr>
        <w:t>6</w:t>
      </w:r>
      <w:r>
        <w:rPr>
          <w:rFonts w:hint="default"/>
          <w:color w:val="auto"/>
          <w:lang w:val="en-US" w:eastAsia="zh-CN"/>
        </w:rPr>
        <w:t>、《危险货物分类和品名编号》（GB 6944-2012，2012年12月1日实施）；</w:t>
      </w:r>
    </w:p>
    <w:p w14:paraId="17969183">
      <w:pPr>
        <w:bidi w:val="0"/>
        <w:rPr>
          <w:rFonts w:hint="default"/>
          <w:color w:val="auto"/>
          <w:lang w:val="en-US" w:eastAsia="zh-CN"/>
        </w:rPr>
      </w:pPr>
      <w:r>
        <w:rPr>
          <w:rFonts w:hint="default"/>
          <w:color w:val="auto"/>
          <w:lang w:val="en-US" w:eastAsia="zh-CN"/>
        </w:rPr>
        <w:t>2</w:t>
      </w:r>
      <w:r>
        <w:rPr>
          <w:rFonts w:hint="eastAsia"/>
          <w:color w:val="auto"/>
          <w:lang w:val="en-US" w:eastAsia="zh-CN"/>
        </w:rPr>
        <w:t>7</w:t>
      </w:r>
      <w:r>
        <w:rPr>
          <w:rFonts w:hint="default"/>
          <w:color w:val="auto"/>
          <w:lang w:val="en-US" w:eastAsia="zh-CN"/>
        </w:rPr>
        <w:t>、《工作场所有害因素职业接触限值第一部分：化学有害因素》（GB Z2.1-2019，第1号修改单</w:t>
      </w:r>
      <w:r>
        <w:rPr>
          <w:rFonts w:hint="eastAsia"/>
          <w:color w:val="auto"/>
          <w:lang w:val="en-US" w:eastAsia="zh-CN"/>
        </w:rPr>
        <w:t>，</w:t>
      </w:r>
      <w:r>
        <w:rPr>
          <w:rFonts w:hint="default"/>
          <w:color w:val="auto"/>
          <w:lang w:val="en-US" w:eastAsia="zh-CN"/>
        </w:rPr>
        <w:t>2022年11月28日实施）；</w:t>
      </w:r>
    </w:p>
    <w:p w14:paraId="09251C2D">
      <w:pPr>
        <w:bidi w:val="0"/>
        <w:rPr>
          <w:rFonts w:hint="default"/>
          <w:color w:val="auto"/>
          <w:lang w:val="en-US" w:eastAsia="zh-CN"/>
        </w:rPr>
      </w:pPr>
      <w:r>
        <w:rPr>
          <w:rFonts w:hint="default"/>
          <w:color w:val="auto"/>
          <w:lang w:val="en-US" w:eastAsia="zh-CN"/>
        </w:rPr>
        <w:t>2</w:t>
      </w:r>
      <w:r>
        <w:rPr>
          <w:rFonts w:hint="eastAsia"/>
          <w:color w:val="auto"/>
          <w:lang w:val="en-US" w:eastAsia="zh-CN"/>
        </w:rPr>
        <w:t>8</w:t>
      </w:r>
      <w:r>
        <w:rPr>
          <w:rFonts w:hint="default"/>
          <w:color w:val="auto"/>
          <w:lang w:val="en-US" w:eastAsia="zh-CN"/>
        </w:rPr>
        <w:t>、《工作场所有害因素职业接触限值第二部分：物理因素》（GB Z2.2-2007，2007年11月1日实施）；</w:t>
      </w:r>
    </w:p>
    <w:p w14:paraId="2D62BC4D">
      <w:pPr>
        <w:bidi w:val="0"/>
        <w:rPr>
          <w:rFonts w:hint="default"/>
          <w:color w:val="auto"/>
          <w:lang w:val="en-US" w:eastAsia="zh-CN"/>
        </w:rPr>
      </w:pPr>
      <w:r>
        <w:rPr>
          <w:rFonts w:hint="default"/>
          <w:color w:val="auto"/>
          <w:lang w:val="en-US" w:eastAsia="zh-CN"/>
        </w:rPr>
        <w:t>2</w:t>
      </w:r>
      <w:r>
        <w:rPr>
          <w:rFonts w:hint="eastAsia"/>
          <w:color w:val="auto"/>
          <w:lang w:val="en-US" w:eastAsia="zh-CN"/>
        </w:rPr>
        <w:t>9</w:t>
      </w:r>
      <w:r>
        <w:rPr>
          <w:rFonts w:hint="default"/>
          <w:color w:val="auto"/>
          <w:lang w:val="en-US" w:eastAsia="zh-CN"/>
        </w:rPr>
        <w:t>、《机械安全 生产设备安全通则》（GB /T 35076-2018，2018年12月01日实施）；</w:t>
      </w:r>
    </w:p>
    <w:p w14:paraId="40474F67">
      <w:pPr>
        <w:bidi w:val="0"/>
        <w:rPr>
          <w:rFonts w:hint="default"/>
          <w:color w:val="auto"/>
          <w:lang w:val="en-US" w:eastAsia="zh-CN"/>
        </w:rPr>
      </w:pPr>
      <w:r>
        <w:rPr>
          <w:rFonts w:hint="eastAsia"/>
          <w:color w:val="auto"/>
          <w:lang w:val="en-US" w:eastAsia="zh-CN"/>
        </w:rPr>
        <w:t>30</w:t>
      </w:r>
      <w:r>
        <w:rPr>
          <w:rFonts w:hint="default"/>
          <w:color w:val="auto"/>
          <w:lang w:val="en-US" w:eastAsia="zh-CN"/>
        </w:rPr>
        <w:t>、《机械安全防护装置固定式和活动式防护装置设计与制造一般要求》（GB /T 8196-2018，2019年07月01日实施）；</w:t>
      </w:r>
    </w:p>
    <w:p w14:paraId="59E42A3B">
      <w:pPr>
        <w:bidi w:val="0"/>
        <w:rPr>
          <w:rFonts w:hint="default"/>
          <w:color w:val="auto"/>
          <w:lang w:val="en-US" w:eastAsia="zh-CN"/>
        </w:rPr>
      </w:pPr>
      <w:r>
        <w:rPr>
          <w:rFonts w:hint="default"/>
          <w:color w:val="auto"/>
          <w:lang w:val="en-US" w:eastAsia="zh-CN"/>
        </w:rPr>
        <w:t>3</w:t>
      </w:r>
      <w:r>
        <w:rPr>
          <w:rFonts w:hint="eastAsia"/>
          <w:color w:val="auto"/>
          <w:lang w:val="en-US" w:eastAsia="zh-CN"/>
        </w:rPr>
        <w:t>1</w:t>
      </w:r>
      <w:r>
        <w:rPr>
          <w:rFonts w:hint="default"/>
          <w:color w:val="auto"/>
          <w:lang w:val="en-US" w:eastAsia="zh-CN"/>
        </w:rPr>
        <w:t>、《固定式钢梯及平台安全要求》（GB 4053.1~3-2009，2009年12月1日实施）；</w:t>
      </w:r>
    </w:p>
    <w:p w14:paraId="218BAEAE">
      <w:pPr>
        <w:bidi w:val="0"/>
        <w:rPr>
          <w:rFonts w:hint="default"/>
          <w:color w:val="auto"/>
          <w:lang w:val="en-US" w:eastAsia="zh-CN"/>
        </w:rPr>
      </w:pPr>
      <w:r>
        <w:rPr>
          <w:rFonts w:hint="default"/>
          <w:color w:val="auto"/>
          <w:lang w:val="en-US" w:eastAsia="zh-CN"/>
        </w:rPr>
        <w:t>3</w:t>
      </w:r>
      <w:r>
        <w:rPr>
          <w:rFonts w:hint="eastAsia"/>
          <w:color w:val="auto"/>
          <w:lang w:val="en-US" w:eastAsia="zh-CN"/>
        </w:rPr>
        <w:t>2</w:t>
      </w:r>
      <w:r>
        <w:rPr>
          <w:rFonts w:hint="default"/>
          <w:color w:val="auto"/>
          <w:lang w:val="en-US" w:eastAsia="zh-CN"/>
        </w:rPr>
        <w:t>、《焊接与切割安全》（GB 9448-1999，2000年5月1日实施）；</w:t>
      </w:r>
    </w:p>
    <w:p w14:paraId="79C30F37">
      <w:pPr>
        <w:bidi w:val="0"/>
        <w:rPr>
          <w:rFonts w:hint="default"/>
          <w:color w:val="auto"/>
          <w:lang w:val="en-US" w:eastAsia="zh-CN"/>
        </w:rPr>
      </w:pPr>
      <w:r>
        <w:rPr>
          <w:rFonts w:hint="default"/>
          <w:color w:val="auto"/>
          <w:lang w:val="en-US" w:eastAsia="zh-CN"/>
        </w:rPr>
        <w:t>3</w:t>
      </w:r>
      <w:r>
        <w:rPr>
          <w:rFonts w:hint="eastAsia"/>
          <w:color w:val="auto"/>
          <w:lang w:val="en-US" w:eastAsia="zh-CN"/>
        </w:rPr>
        <w:t>3</w:t>
      </w:r>
      <w:r>
        <w:rPr>
          <w:rFonts w:hint="default"/>
          <w:color w:val="auto"/>
          <w:lang w:val="en-US" w:eastAsia="zh-CN"/>
        </w:rPr>
        <w:t>、《室外排水设计标准》（GB 50014-2021，2021年10月1日实施）；</w:t>
      </w:r>
    </w:p>
    <w:p w14:paraId="6D690EA4">
      <w:pPr>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、《室外给水设计标准》（GB 0013-2018，2019年8月1日实施）；</w:t>
      </w:r>
    </w:p>
    <w:p w14:paraId="587AD2B6">
      <w:pPr>
        <w:bidi w:val="0"/>
        <w:rPr>
          <w:rFonts w:hint="default"/>
          <w:color w:val="auto"/>
          <w:lang w:val="en-US" w:eastAsia="zh-CN"/>
        </w:rPr>
      </w:pPr>
      <w:r>
        <w:rPr>
          <w:rFonts w:hint="default"/>
          <w:color w:val="auto"/>
          <w:lang w:val="en-US" w:eastAsia="zh-CN"/>
        </w:rPr>
        <w:t>3</w:t>
      </w:r>
      <w:r>
        <w:rPr>
          <w:rFonts w:hint="eastAsia"/>
          <w:color w:val="auto"/>
          <w:lang w:val="en-US" w:eastAsia="zh-CN"/>
        </w:rPr>
        <w:t>5</w:t>
      </w:r>
      <w:r>
        <w:rPr>
          <w:rFonts w:hint="default"/>
          <w:color w:val="auto"/>
          <w:lang w:val="en-US" w:eastAsia="zh-CN"/>
        </w:rPr>
        <w:t>、《生产经营单位生产安全事故应急预案编制导则》（GB /T 29639-2020，2021年4月1日实施）；</w:t>
      </w:r>
    </w:p>
    <w:p w14:paraId="0E40AF2A">
      <w:pPr>
        <w:bidi w:val="0"/>
        <w:rPr>
          <w:rFonts w:hint="default"/>
          <w:color w:val="auto"/>
          <w:lang w:val="en-US" w:eastAsia="zh-CN"/>
        </w:rPr>
      </w:pPr>
      <w:r>
        <w:rPr>
          <w:rFonts w:hint="default"/>
          <w:color w:val="auto"/>
          <w:lang w:val="en-US" w:eastAsia="zh-CN"/>
        </w:rPr>
        <w:t>3</w:t>
      </w:r>
      <w:r>
        <w:rPr>
          <w:rFonts w:hint="eastAsia"/>
          <w:color w:val="auto"/>
          <w:lang w:val="en-US" w:eastAsia="zh-CN"/>
        </w:rPr>
        <w:t>6</w:t>
      </w:r>
      <w:r>
        <w:rPr>
          <w:rFonts w:hint="default"/>
          <w:color w:val="auto"/>
          <w:lang w:val="en-US" w:eastAsia="zh-CN"/>
        </w:rPr>
        <w:t>、《缺氧危险作业安全规程》（GB 8958-2006，2006年12月1日实施）；</w:t>
      </w:r>
    </w:p>
    <w:p w14:paraId="12F706C2">
      <w:pPr>
        <w:bidi w:val="0"/>
        <w:rPr>
          <w:rFonts w:hint="default"/>
          <w:color w:val="auto"/>
          <w:lang w:val="en-US" w:eastAsia="zh-CN"/>
        </w:rPr>
      </w:pPr>
      <w:r>
        <w:rPr>
          <w:rFonts w:hint="default"/>
          <w:color w:val="auto"/>
          <w:lang w:val="en-US" w:eastAsia="zh-CN"/>
        </w:rPr>
        <w:t>3</w:t>
      </w:r>
      <w:r>
        <w:rPr>
          <w:rFonts w:hint="eastAsia"/>
          <w:color w:val="auto"/>
          <w:lang w:val="en-US" w:eastAsia="zh-CN"/>
        </w:rPr>
        <w:t>7</w:t>
      </w:r>
      <w:r>
        <w:rPr>
          <w:rFonts w:hint="default"/>
          <w:color w:val="auto"/>
          <w:lang w:val="en-US" w:eastAsia="zh-CN"/>
        </w:rPr>
        <w:t>、《生产过程危险和有害因素分类与代码》（GB /T 13861-2022，2022年10月1日实施）；</w:t>
      </w:r>
    </w:p>
    <w:p w14:paraId="7E40BAF8">
      <w:pPr>
        <w:bidi w:val="0"/>
        <w:rPr>
          <w:rFonts w:hint="default"/>
          <w:color w:val="auto"/>
          <w:lang w:val="en-US" w:eastAsia="zh-CN"/>
        </w:rPr>
      </w:pPr>
      <w:r>
        <w:rPr>
          <w:rFonts w:hint="default"/>
          <w:color w:val="auto"/>
          <w:lang w:val="en-US" w:eastAsia="zh-CN"/>
        </w:rPr>
        <w:t>3</w:t>
      </w:r>
      <w:r>
        <w:rPr>
          <w:rFonts w:hint="eastAsia"/>
          <w:color w:val="auto"/>
          <w:lang w:val="en-US" w:eastAsia="zh-CN"/>
        </w:rPr>
        <w:t>8</w:t>
      </w:r>
      <w:r>
        <w:rPr>
          <w:rFonts w:hint="default"/>
          <w:color w:val="auto"/>
          <w:lang w:val="en-US" w:eastAsia="zh-CN"/>
        </w:rPr>
        <w:t>、《手持式电动工具的管理、使用、检查和维修安全技术规程》（GB /T 3787-2017）；</w:t>
      </w:r>
    </w:p>
    <w:p w14:paraId="64C7BA17">
      <w:pPr>
        <w:bidi w:val="0"/>
        <w:rPr>
          <w:rFonts w:hint="default"/>
          <w:color w:val="auto"/>
          <w:lang w:val="en-US" w:eastAsia="zh-CN"/>
        </w:rPr>
      </w:pPr>
      <w:r>
        <w:rPr>
          <w:rFonts w:hint="eastAsia"/>
          <w:color w:val="auto"/>
          <w:lang w:val="en-US" w:eastAsia="zh-CN"/>
        </w:rPr>
        <w:t>39</w:t>
      </w:r>
      <w:r>
        <w:rPr>
          <w:rFonts w:hint="default"/>
          <w:color w:val="auto"/>
          <w:lang w:val="en-US" w:eastAsia="zh-CN"/>
        </w:rPr>
        <w:t>、《带式输送机》（GB /T 10595-2017，2018年7月1日实施）；</w:t>
      </w:r>
    </w:p>
    <w:p w14:paraId="09FEBDBE">
      <w:pPr>
        <w:bidi w:val="0"/>
        <w:rPr>
          <w:rFonts w:hint="default"/>
          <w:color w:val="auto"/>
          <w:lang w:val="en-US" w:eastAsia="zh-CN"/>
        </w:rPr>
      </w:pPr>
      <w:r>
        <w:rPr>
          <w:rFonts w:hint="eastAsia"/>
          <w:color w:val="auto"/>
          <w:lang w:val="en-US" w:eastAsia="zh-CN"/>
        </w:rPr>
        <w:t>40</w:t>
      </w:r>
      <w:r>
        <w:rPr>
          <w:rFonts w:hint="default"/>
          <w:color w:val="auto"/>
          <w:lang w:val="en-US" w:eastAsia="zh-CN"/>
        </w:rPr>
        <w:t>、《带式输送机安全规范》（GB 14784-2013，2014年7月1日实施）；</w:t>
      </w:r>
    </w:p>
    <w:p w14:paraId="705D0B67">
      <w:pPr>
        <w:bidi w:val="0"/>
        <w:rPr>
          <w:rFonts w:hint="default"/>
          <w:color w:val="auto"/>
          <w:lang w:val="en-US" w:eastAsia="zh-CN"/>
        </w:rPr>
      </w:pPr>
      <w:r>
        <w:rPr>
          <w:rFonts w:hint="default"/>
          <w:color w:val="auto"/>
          <w:lang w:val="en-US" w:eastAsia="zh-CN"/>
        </w:rPr>
        <w:t>4</w:t>
      </w:r>
      <w:r>
        <w:rPr>
          <w:rFonts w:hint="eastAsia"/>
          <w:color w:val="auto"/>
          <w:lang w:val="en-US" w:eastAsia="zh-CN"/>
        </w:rPr>
        <w:t>1</w:t>
      </w:r>
      <w:r>
        <w:rPr>
          <w:rFonts w:hint="default"/>
          <w:color w:val="auto"/>
          <w:lang w:val="en-US" w:eastAsia="zh-CN"/>
        </w:rPr>
        <w:t>、《带式输送机工程技术标准》（GB 50431-2020，中华人民共和国住房和城乡建设部2020年第147号，2021年3月1日实施）；</w:t>
      </w:r>
    </w:p>
    <w:p w14:paraId="4DB0D880">
      <w:pPr>
        <w:bidi w:val="0"/>
        <w:rPr>
          <w:rFonts w:hint="default"/>
          <w:color w:val="auto"/>
          <w:lang w:val="en-US" w:eastAsia="zh-CN"/>
        </w:rPr>
      </w:pPr>
      <w:r>
        <w:rPr>
          <w:rFonts w:hint="default"/>
          <w:color w:val="auto"/>
          <w:lang w:val="en-US" w:eastAsia="zh-CN"/>
        </w:rPr>
        <w:t>4</w:t>
      </w:r>
      <w:r>
        <w:rPr>
          <w:rFonts w:hint="eastAsia"/>
          <w:color w:val="auto"/>
          <w:lang w:val="en-US" w:eastAsia="zh-CN"/>
        </w:rPr>
        <w:t>2</w:t>
      </w:r>
      <w:r>
        <w:rPr>
          <w:rFonts w:hint="default"/>
          <w:color w:val="auto"/>
          <w:lang w:val="en-US" w:eastAsia="zh-CN"/>
        </w:rPr>
        <w:t>、《建筑灭火器配置设计规范》（GB 50140-2005，中华人民共和国建设部 中华人民共和国国家质量监督检验检疫总局，2005年10月1日</w:t>
      </w:r>
      <w:r>
        <w:rPr>
          <w:rFonts w:hint="eastAsia"/>
          <w:color w:val="auto"/>
          <w:lang w:val="en-US" w:eastAsia="zh-CN"/>
        </w:rPr>
        <w:t>施行</w:t>
      </w:r>
      <w:r>
        <w:rPr>
          <w:rFonts w:hint="default"/>
          <w:color w:val="auto"/>
          <w:lang w:val="en-US" w:eastAsia="zh-CN"/>
        </w:rPr>
        <w:t>）；</w:t>
      </w:r>
    </w:p>
    <w:p w14:paraId="3E4E69AB">
      <w:pPr>
        <w:bidi w:val="0"/>
        <w:rPr>
          <w:rFonts w:hint="default"/>
          <w:color w:val="auto"/>
          <w:lang w:val="en-US" w:eastAsia="zh-CN"/>
        </w:rPr>
      </w:pPr>
      <w:r>
        <w:rPr>
          <w:rFonts w:hint="default"/>
          <w:color w:val="auto"/>
          <w:lang w:val="en-US" w:eastAsia="zh-CN"/>
        </w:rPr>
        <w:t>4</w:t>
      </w:r>
      <w:r>
        <w:rPr>
          <w:rFonts w:hint="eastAsia"/>
          <w:color w:val="auto"/>
          <w:lang w:val="en-US" w:eastAsia="zh-CN"/>
        </w:rPr>
        <w:t>3</w:t>
      </w:r>
      <w:r>
        <w:rPr>
          <w:rFonts w:hint="default"/>
          <w:color w:val="auto"/>
          <w:lang w:val="en-US" w:eastAsia="zh-CN"/>
        </w:rPr>
        <w:t>、《消防给水及消火栓系统技术规范》（GB 50974-2014，中华人民共和国住房和城乡建设部，2014年10月1日</w:t>
      </w:r>
      <w:r>
        <w:rPr>
          <w:rFonts w:hint="eastAsia"/>
          <w:color w:val="auto"/>
          <w:lang w:val="en-US" w:eastAsia="zh-CN"/>
        </w:rPr>
        <w:t>施行</w:t>
      </w:r>
      <w:r>
        <w:rPr>
          <w:rFonts w:hint="default"/>
          <w:color w:val="auto"/>
          <w:lang w:val="en-US" w:eastAsia="zh-CN"/>
        </w:rPr>
        <w:t>）；</w:t>
      </w:r>
    </w:p>
    <w:p w14:paraId="0D8F740B">
      <w:pPr>
        <w:bidi w:val="0"/>
        <w:rPr>
          <w:rFonts w:hint="default"/>
          <w:color w:val="auto"/>
          <w:lang w:val="en-US" w:eastAsia="zh-CN"/>
        </w:rPr>
      </w:pPr>
      <w:r>
        <w:rPr>
          <w:rFonts w:hint="default"/>
          <w:color w:val="auto"/>
          <w:lang w:val="en-US" w:eastAsia="zh-CN"/>
        </w:rPr>
        <w:t>4</w:t>
      </w:r>
      <w:r>
        <w:rPr>
          <w:rFonts w:hint="eastAsia"/>
          <w:color w:val="auto"/>
          <w:lang w:val="en-US" w:eastAsia="zh-CN"/>
        </w:rPr>
        <w:t>4</w:t>
      </w:r>
      <w:r>
        <w:rPr>
          <w:rFonts w:hint="default"/>
          <w:color w:val="auto"/>
          <w:lang w:val="en-US" w:eastAsia="zh-CN"/>
        </w:rPr>
        <w:t>、《消防应急照明和疏散指示系统》（GB 17945-2010，中华人民共和国国家质量监督检验检疫总局 中国国家标准化管理委员会，2011年5月1日</w:t>
      </w:r>
      <w:r>
        <w:rPr>
          <w:rFonts w:hint="eastAsia"/>
          <w:color w:val="auto"/>
          <w:lang w:val="en-US" w:eastAsia="zh-CN"/>
        </w:rPr>
        <w:t>施行</w:t>
      </w:r>
      <w:r>
        <w:rPr>
          <w:rFonts w:hint="default"/>
          <w:color w:val="auto"/>
          <w:lang w:val="en-US" w:eastAsia="zh-CN"/>
        </w:rPr>
        <w:t>）；</w:t>
      </w:r>
    </w:p>
    <w:p w14:paraId="041A02BA">
      <w:pPr>
        <w:bidi w:val="0"/>
        <w:rPr>
          <w:rFonts w:hint="default"/>
          <w:color w:val="auto"/>
          <w:lang w:val="en-US" w:eastAsia="zh-CN"/>
        </w:rPr>
      </w:pPr>
      <w:r>
        <w:rPr>
          <w:rFonts w:hint="default"/>
          <w:color w:val="auto"/>
          <w:lang w:val="en-US" w:eastAsia="zh-CN"/>
        </w:rPr>
        <w:t>4</w:t>
      </w:r>
      <w:r>
        <w:rPr>
          <w:rFonts w:hint="eastAsia"/>
          <w:color w:val="auto"/>
          <w:lang w:val="en-US" w:eastAsia="zh-CN"/>
        </w:rPr>
        <w:t>5</w:t>
      </w:r>
      <w:r>
        <w:rPr>
          <w:rFonts w:hint="default"/>
          <w:color w:val="auto"/>
          <w:lang w:val="en-US" w:eastAsia="zh-CN"/>
        </w:rPr>
        <w:t>、《高处作业分级》（GB /T 3608-2008，中华人民共和国国家质量监督检验检疫总局 中国国家标准化管理委员会，2009年6月1日</w:t>
      </w:r>
      <w:r>
        <w:rPr>
          <w:rFonts w:hint="eastAsia"/>
          <w:color w:val="auto"/>
          <w:lang w:val="en-US" w:eastAsia="zh-CN"/>
        </w:rPr>
        <w:t>施行</w:t>
      </w:r>
      <w:r>
        <w:rPr>
          <w:rFonts w:hint="default"/>
          <w:color w:val="auto"/>
          <w:lang w:val="en-US" w:eastAsia="zh-CN"/>
        </w:rPr>
        <w:t>）；</w:t>
      </w:r>
    </w:p>
    <w:p w14:paraId="66D2B215">
      <w:pPr>
        <w:bidi w:val="0"/>
        <w:rPr>
          <w:rFonts w:hint="default"/>
          <w:color w:val="auto"/>
          <w:lang w:val="en-US" w:eastAsia="zh-CN"/>
        </w:rPr>
      </w:pPr>
      <w:r>
        <w:rPr>
          <w:rFonts w:hint="default"/>
          <w:color w:val="auto"/>
          <w:lang w:val="en-US" w:eastAsia="zh-CN"/>
        </w:rPr>
        <w:t>4</w:t>
      </w:r>
      <w:r>
        <w:rPr>
          <w:rFonts w:hint="eastAsia"/>
          <w:color w:val="auto"/>
          <w:lang w:val="en-US" w:eastAsia="zh-CN"/>
        </w:rPr>
        <w:t>6</w:t>
      </w:r>
      <w:r>
        <w:rPr>
          <w:rFonts w:hint="default"/>
          <w:color w:val="auto"/>
          <w:lang w:val="en-US" w:eastAsia="zh-CN"/>
        </w:rPr>
        <w:t>、《固定式钢梯及平台安全要求第2部分：钢斜梯》（GB 4053.1-2009，2009年12月1日</w:t>
      </w:r>
      <w:r>
        <w:rPr>
          <w:rFonts w:hint="eastAsia"/>
          <w:color w:val="auto"/>
          <w:lang w:val="en-US" w:eastAsia="zh-CN"/>
        </w:rPr>
        <w:t>施行</w:t>
      </w:r>
      <w:r>
        <w:rPr>
          <w:rFonts w:hint="default"/>
          <w:color w:val="auto"/>
          <w:lang w:val="en-US" w:eastAsia="zh-CN"/>
        </w:rPr>
        <w:t>）；</w:t>
      </w:r>
    </w:p>
    <w:p w14:paraId="0552379E">
      <w:pPr>
        <w:bidi w:val="0"/>
        <w:rPr>
          <w:rFonts w:hint="default"/>
          <w:color w:val="auto"/>
          <w:lang w:val="en-US" w:eastAsia="zh-CN"/>
        </w:rPr>
      </w:pPr>
      <w:r>
        <w:rPr>
          <w:rFonts w:hint="eastAsia"/>
          <w:color w:val="auto"/>
          <w:lang w:val="en-US" w:eastAsia="zh-CN"/>
        </w:rPr>
        <w:t>47</w:t>
      </w:r>
      <w:r>
        <w:rPr>
          <w:rFonts w:hint="default"/>
          <w:color w:val="auto"/>
          <w:lang w:val="en-US" w:eastAsia="zh-CN"/>
        </w:rPr>
        <w:t>、《密闭空间作业职业危害防护规范》（GBZ/T 205-2007）；</w:t>
      </w:r>
    </w:p>
    <w:p w14:paraId="6EC24979">
      <w:pPr>
        <w:bidi w:val="0"/>
        <w:rPr>
          <w:rFonts w:hint="default"/>
          <w:color w:val="auto"/>
          <w:lang w:val="en-US" w:eastAsia="zh-CN"/>
        </w:rPr>
      </w:pPr>
      <w:r>
        <w:rPr>
          <w:rFonts w:hint="eastAsia"/>
          <w:color w:val="auto"/>
          <w:lang w:val="en-US" w:eastAsia="zh-CN"/>
        </w:rPr>
        <w:t>48</w:t>
      </w:r>
      <w:r>
        <w:rPr>
          <w:rFonts w:hint="default"/>
          <w:color w:val="auto"/>
          <w:lang w:val="en-US" w:eastAsia="zh-CN"/>
        </w:rPr>
        <w:t>、其他相关的标准及规范。</w:t>
      </w:r>
    </w:p>
    <w:p w14:paraId="5F61E8A5">
      <w:pPr>
        <w:pStyle w:val="6"/>
        <w:bidi w:val="0"/>
        <w:rPr>
          <w:rFonts w:hint="default"/>
          <w:color w:val="auto"/>
          <w:lang w:val="en-US" w:eastAsia="zh-CN"/>
        </w:rPr>
      </w:pPr>
      <w:r>
        <w:rPr>
          <w:rFonts w:hint="default"/>
          <w:color w:val="auto"/>
          <w:lang w:val="en-US" w:eastAsia="zh-CN"/>
        </w:rPr>
        <w:t>1.2.6 行业规范</w:t>
      </w:r>
    </w:p>
    <w:p w14:paraId="063665B5">
      <w:pPr>
        <w:bidi w:val="0"/>
        <w:rPr>
          <w:rFonts w:hint="default"/>
          <w:color w:val="auto"/>
          <w:lang w:val="en-US" w:eastAsia="zh-CN"/>
        </w:rPr>
      </w:pPr>
      <w:r>
        <w:rPr>
          <w:rFonts w:hint="default"/>
          <w:color w:val="auto"/>
          <w:lang w:val="en-US" w:eastAsia="zh-CN"/>
        </w:rPr>
        <w:t>1、《安全评价通则》（AQ 8001-2007，2007年4月1日</w:t>
      </w:r>
      <w:r>
        <w:rPr>
          <w:rFonts w:hint="eastAsia"/>
          <w:color w:val="auto"/>
          <w:lang w:val="en-US" w:eastAsia="zh-CN"/>
        </w:rPr>
        <w:t>实施</w:t>
      </w:r>
      <w:r>
        <w:rPr>
          <w:rFonts w:hint="default"/>
          <w:color w:val="auto"/>
          <w:lang w:val="en-US" w:eastAsia="zh-CN"/>
        </w:rPr>
        <w:t>）；</w:t>
      </w:r>
    </w:p>
    <w:p w14:paraId="22C7A106">
      <w:pPr>
        <w:bidi w:val="0"/>
        <w:rPr>
          <w:rFonts w:hint="default"/>
          <w:color w:val="auto"/>
          <w:lang w:val="en-US" w:eastAsia="zh-CN"/>
        </w:rPr>
      </w:pPr>
      <w:r>
        <w:rPr>
          <w:rFonts w:hint="default"/>
          <w:color w:val="auto"/>
          <w:lang w:val="en-US" w:eastAsia="zh-CN"/>
        </w:rPr>
        <w:t>2、《安全预评价导则》（AQ8002-2007</w:t>
      </w:r>
      <w:r>
        <w:rPr>
          <w:rFonts w:hint="eastAsia"/>
          <w:color w:val="auto"/>
          <w:lang w:val="en-US" w:eastAsia="zh-CN"/>
        </w:rPr>
        <w:t>，</w:t>
      </w:r>
      <w:r>
        <w:rPr>
          <w:rFonts w:hint="default"/>
          <w:color w:val="auto"/>
          <w:lang w:val="en-US" w:eastAsia="zh-CN"/>
        </w:rPr>
        <w:t>2007年4月1日</w:t>
      </w:r>
      <w:r>
        <w:rPr>
          <w:rFonts w:hint="eastAsia"/>
          <w:color w:val="auto"/>
          <w:lang w:val="en-US" w:eastAsia="zh-CN"/>
        </w:rPr>
        <w:t>实施</w:t>
      </w:r>
      <w:r>
        <w:rPr>
          <w:rFonts w:hint="default"/>
          <w:color w:val="auto"/>
          <w:lang w:val="en-US" w:eastAsia="zh-CN"/>
        </w:rPr>
        <w:t>）；</w:t>
      </w:r>
    </w:p>
    <w:p w14:paraId="6AD5FA16">
      <w:pPr>
        <w:bidi w:val="0"/>
        <w:rPr>
          <w:rFonts w:hint="default"/>
          <w:color w:val="auto"/>
          <w:lang w:val="en-US" w:eastAsia="zh-CN"/>
        </w:rPr>
      </w:pPr>
      <w:r>
        <w:rPr>
          <w:rFonts w:hint="default"/>
          <w:color w:val="auto"/>
          <w:lang w:val="en-US" w:eastAsia="zh-CN"/>
        </w:rPr>
        <w:t>3、《生产安全事故应急演练基本规范》（AQ/T 9007-2019</w:t>
      </w:r>
      <w:r>
        <w:rPr>
          <w:rFonts w:hint="eastAsia"/>
          <w:color w:val="auto"/>
          <w:lang w:val="en-US" w:eastAsia="zh-CN"/>
        </w:rPr>
        <w:t>，2020年02月01实施</w:t>
      </w:r>
      <w:r>
        <w:rPr>
          <w:rFonts w:hint="default"/>
          <w:color w:val="auto"/>
          <w:lang w:val="en-US" w:eastAsia="zh-CN"/>
        </w:rPr>
        <w:t>）；</w:t>
      </w:r>
    </w:p>
    <w:p w14:paraId="6FF4B82D">
      <w:pPr>
        <w:bidi w:val="0"/>
        <w:rPr>
          <w:rFonts w:hint="default"/>
          <w:color w:val="auto"/>
          <w:lang w:val="en-US" w:eastAsia="zh-CN"/>
        </w:rPr>
      </w:pPr>
      <w:r>
        <w:rPr>
          <w:rFonts w:hint="default"/>
          <w:color w:val="auto"/>
          <w:lang w:val="en-US" w:eastAsia="zh-CN"/>
        </w:rPr>
        <w:t>4、《生产经营单位生产安全事故应急预案评估指南》（AQ/T 9011-2019</w:t>
      </w:r>
      <w:r>
        <w:rPr>
          <w:rFonts w:hint="eastAsia"/>
          <w:color w:val="auto"/>
          <w:lang w:val="en-US" w:eastAsia="zh-CN"/>
        </w:rPr>
        <w:t>，2020年02月01实施</w:t>
      </w:r>
      <w:r>
        <w:rPr>
          <w:rFonts w:hint="default"/>
          <w:color w:val="auto"/>
          <w:lang w:val="en-US" w:eastAsia="zh-CN"/>
        </w:rPr>
        <w:t>）；</w:t>
      </w:r>
    </w:p>
    <w:p w14:paraId="45B57AA2">
      <w:pPr>
        <w:bidi w:val="0"/>
        <w:rPr>
          <w:rFonts w:hint="default"/>
          <w:color w:val="auto"/>
          <w:lang w:val="en-US" w:eastAsia="zh-CN"/>
        </w:rPr>
      </w:pPr>
      <w:r>
        <w:rPr>
          <w:rFonts w:hint="eastAsia"/>
          <w:color w:val="auto"/>
          <w:lang w:val="en-US" w:eastAsia="zh-CN"/>
        </w:rPr>
        <w:t>5</w:t>
      </w:r>
      <w:r>
        <w:rPr>
          <w:rFonts w:hint="default"/>
          <w:color w:val="auto"/>
          <w:lang w:val="en-US" w:eastAsia="zh-CN"/>
        </w:rPr>
        <w:t>、《带式输送机拉绳开关》（JB/T 10960-2010，2010年7月1日实施）；</w:t>
      </w:r>
    </w:p>
    <w:p w14:paraId="34FF5F49">
      <w:pPr>
        <w:bidi w:val="0"/>
        <w:rPr>
          <w:rFonts w:hint="default"/>
          <w:color w:val="auto"/>
          <w:lang w:val="en-US" w:eastAsia="zh-CN"/>
        </w:rPr>
      </w:pPr>
      <w:r>
        <w:rPr>
          <w:rFonts w:hint="eastAsia"/>
          <w:color w:val="auto"/>
          <w:lang w:val="en-US" w:eastAsia="zh-CN"/>
        </w:rPr>
        <w:t>6</w:t>
      </w:r>
      <w:r>
        <w:rPr>
          <w:rFonts w:hint="default"/>
          <w:color w:val="auto"/>
          <w:lang w:val="en-US" w:eastAsia="zh-CN"/>
        </w:rPr>
        <w:t>、《带式输送机用逆止器》（JB/T 9015-2011，2012年4月1日实施）；</w:t>
      </w:r>
    </w:p>
    <w:p w14:paraId="44E54049">
      <w:pPr>
        <w:bidi w:val="0"/>
        <w:rPr>
          <w:rFonts w:hint="default"/>
          <w:color w:val="auto"/>
          <w:lang w:val="en-US" w:eastAsia="zh-CN"/>
        </w:rPr>
      </w:pPr>
      <w:r>
        <w:rPr>
          <w:rFonts w:hint="eastAsia"/>
          <w:color w:val="auto"/>
          <w:lang w:val="en-US" w:eastAsia="zh-CN"/>
        </w:rPr>
        <w:t>7</w:t>
      </w:r>
      <w:r>
        <w:rPr>
          <w:rFonts w:hint="default"/>
          <w:color w:val="auto"/>
          <w:lang w:val="en-US" w:eastAsia="zh-CN"/>
        </w:rPr>
        <w:t>、《气瓶安全技术规程》（TSG 23-2021，2021年01月04日实施）；</w:t>
      </w:r>
    </w:p>
    <w:p w14:paraId="2DFB8D95">
      <w:pPr>
        <w:bidi w:val="0"/>
        <w:rPr>
          <w:rFonts w:hint="default"/>
          <w:color w:val="auto"/>
          <w:lang w:val="en-US" w:eastAsia="zh-CN"/>
        </w:rPr>
      </w:pPr>
      <w:r>
        <w:rPr>
          <w:rFonts w:hint="eastAsia"/>
          <w:color w:val="auto"/>
          <w:lang w:val="en-US" w:eastAsia="zh-CN"/>
        </w:rPr>
        <w:t>8</w:t>
      </w:r>
      <w:r>
        <w:rPr>
          <w:rFonts w:hint="default"/>
          <w:color w:val="auto"/>
          <w:lang w:val="en-US" w:eastAsia="zh-CN"/>
        </w:rPr>
        <w:t>、《生产安全事故应急演练评估规范》（AQ/T 9009-2015，2015年9月1日实施）。</w:t>
      </w:r>
    </w:p>
    <w:p w14:paraId="742DA1D6">
      <w:pPr>
        <w:pStyle w:val="6"/>
        <w:bidi w:val="0"/>
        <w:rPr>
          <w:rFonts w:hint="default"/>
          <w:color w:val="auto"/>
          <w:lang w:val="en-US" w:eastAsia="zh-CN"/>
        </w:rPr>
      </w:pPr>
      <w:r>
        <w:rPr>
          <w:rFonts w:hint="default"/>
          <w:color w:val="auto"/>
          <w:lang w:val="en-US" w:eastAsia="zh-CN"/>
        </w:rPr>
        <w:t>1.2.7 技术文件及有关资料</w:t>
      </w:r>
    </w:p>
    <w:p w14:paraId="4EA0B0DA">
      <w:pPr>
        <w:bidi w:val="0"/>
        <w:rPr>
          <w:rFonts w:hint="default"/>
          <w:color w:val="auto"/>
          <w:lang w:val="en-US" w:eastAsia="zh-CN"/>
        </w:rPr>
      </w:pPr>
      <w:r>
        <w:rPr>
          <w:rFonts w:hint="default"/>
          <w:color w:val="auto"/>
          <w:lang w:val="en-US" w:eastAsia="zh-CN"/>
        </w:rPr>
        <w:t>1、</w:t>
      </w:r>
      <w:r>
        <w:rPr>
          <w:rFonts w:hint="eastAsia"/>
          <w:color w:val="auto"/>
          <w:lang w:val="en-US" w:eastAsia="zh-CN"/>
        </w:rPr>
        <w:t>寻甸金林钛矿有限公司</w:t>
      </w:r>
      <w:r>
        <w:rPr>
          <w:rFonts w:hint="default"/>
          <w:color w:val="auto"/>
          <w:lang w:val="en-US" w:eastAsia="zh-CN"/>
        </w:rPr>
        <w:t>与辽宁诺诚安全科技有限公司所签订的安全技术服务合同及安全</w:t>
      </w:r>
      <w:r>
        <w:rPr>
          <w:rFonts w:hint="eastAsia"/>
          <w:color w:val="auto"/>
          <w:lang w:val="en-US" w:eastAsia="zh-CN"/>
        </w:rPr>
        <w:t>预评价</w:t>
      </w:r>
      <w:r>
        <w:rPr>
          <w:rFonts w:hint="default"/>
          <w:color w:val="auto"/>
          <w:lang w:val="en-US" w:eastAsia="zh-CN"/>
        </w:rPr>
        <w:t>委托书；</w:t>
      </w:r>
    </w:p>
    <w:p w14:paraId="20C64A27">
      <w:pPr>
        <w:bidi w:val="0"/>
        <w:rPr>
          <w:rFonts w:hint="default"/>
          <w:color w:val="auto"/>
          <w:lang w:val="en-US" w:eastAsia="zh-CN"/>
        </w:rPr>
      </w:pPr>
      <w:r>
        <w:rPr>
          <w:rFonts w:hint="default"/>
          <w:color w:val="auto"/>
          <w:lang w:val="en-US" w:eastAsia="zh-CN"/>
        </w:rPr>
        <w:t>2、《</w:t>
      </w:r>
      <w:r>
        <w:rPr>
          <w:rFonts w:hint="eastAsia"/>
          <w:color w:val="auto"/>
          <w:lang w:val="en-US" w:eastAsia="zh-CN"/>
        </w:rPr>
        <w:t>寻甸金林钛矿有限公司尾矿处理技改升级建设项目初步</w:t>
      </w:r>
      <w:r>
        <w:rPr>
          <w:rFonts w:hint="default"/>
          <w:color w:val="auto"/>
          <w:lang w:val="en-US" w:eastAsia="zh-CN"/>
        </w:rPr>
        <w:t>设计》（昆明赛特拉矿山工程设计有限公司，2024年0</w:t>
      </w:r>
      <w:r>
        <w:rPr>
          <w:rFonts w:hint="eastAsia"/>
          <w:color w:val="auto"/>
          <w:lang w:val="en-US" w:eastAsia="zh-CN"/>
        </w:rPr>
        <w:t>8</w:t>
      </w:r>
      <w:r>
        <w:rPr>
          <w:rFonts w:hint="default"/>
          <w:color w:val="auto"/>
          <w:lang w:val="en-US" w:eastAsia="zh-CN"/>
        </w:rPr>
        <w:t>月）；</w:t>
      </w:r>
    </w:p>
    <w:p w14:paraId="68380B86">
      <w:pPr>
        <w:bidi w:val="0"/>
        <w:rPr>
          <w:rFonts w:hint="default"/>
          <w:color w:val="auto"/>
          <w:lang w:val="en-US" w:eastAsia="zh-CN"/>
        </w:rPr>
      </w:pPr>
      <w:r>
        <w:rPr>
          <w:rFonts w:hint="default"/>
          <w:color w:val="auto"/>
          <w:lang w:val="en-US" w:eastAsia="zh-CN"/>
        </w:rPr>
        <w:t>3、</w:t>
      </w:r>
      <w:r>
        <w:rPr>
          <w:rFonts w:hint="eastAsia"/>
          <w:color w:val="auto"/>
          <w:lang w:val="en-US" w:eastAsia="zh-CN"/>
        </w:rPr>
        <w:t>寻甸金林钛矿有限公司</w:t>
      </w:r>
      <w:r>
        <w:rPr>
          <w:rFonts w:hint="default"/>
          <w:color w:val="auto"/>
          <w:lang w:val="en-US" w:eastAsia="zh-CN"/>
        </w:rPr>
        <w:t>提供的其他资料；</w:t>
      </w:r>
    </w:p>
    <w:p w14:paraId="7965DD0A">
      <w:pPr>
        <w:bidi w:val="0"/>
        <w:rPr>
          <w:rFonts w:hint="default"/>
          <w:color w:val="auto"/>
          <w:lang w:val="en-US" w:eastAsia="zh-CN"/>
        </w:rPr>
      </w:pPr>
      <w:r>
        <w:rPr>
          <w:rFonts w:hint="default"/>
          <w:color w:val="auto"/>
          <w:lang w:val="en-US" w:eastAsia="zh-CN"/>
        </w:rPr>
        <w:t>4、我公司评价人员现场采集的数据和资料等。</w:t>
      </w:r>
    </w:p>
    <w:p w14:paraId="5144CF0F">
      <w:pPr>
        <w:pStyle w:val="5"/>
        <w:bidi w:val="0"/>
        <w:rPr>
          <w:rFonts w:hint="default"/>
          <w:color w:val="auto"/>
          <w:lang w:val="en-US" w:eastAsia="zh-CN"/>
        </w:rPr>
      </w:pPr>
      <w:bookmarkStart w:id="3" w:name="_Toc7900"/>
      <w:r>
        <w:rPr>
          <w:rFonts w:hint="default"/>
          <w:color w:val="auto"/>
          <w:lang w:val="en-US" w:eastAsia="zh-CN"/>
        </w:rPr>
        <w:t>1.</w:t>
      </w:r>
      <w:r>
        <w:rPr>
          <w:rFonts w:hint="eastAsia"/>
          <w:color w:val="auto"/>
          <w:lang w:val="en-US" w:eastAsia="zh-CN"/>
        </w:rPr>
        <w:t>3</w:t>
      </w:r>
      <w:r>
        <w:rPr>
          <w:rFonts w:hint="default"/>
          <w:color w:val="auto"/>
          <w:lang w:val="en-US" w:eastAsia="zh-CN"/>
        </w:rPr>
        <w:t xml:space="preserve"> 评价程序</w:t>
      </w:r>
      <w:bookmarkEnd w:id="3"/>
    </w:p>
    <w:p w14:paraId="4A1A4EC2">
      <w:pPr>
        <w:bidi w:val="0"/>
        <w:rPr>
          <w:rFonts w:hint="default"/>
          <w:color w:val="auto"/>
          <w:lang w:val="en-US" w:eastAsia="zh-CN"/>
        </w:rPr>
      </w:pPr>
      <w:r>
        <w:rPr>
          <w:rFonts w:hint="default"/>
          <w:color w:val="auto"/>
          <w:lang w:val="en-US" w:eastAsia="zh-CN"/>
        </w:rPr>
        <w:t>评价工作程序按《安全评价通则》AQ8001-2007及《安全预评价导则》AQ8002-2007的要求开展工作，包括：前期准备，辨识与分析危险、有害因素，划分评价单元，定性、定量评价，提出安全对策措施建议，做出评价结论，编制安全预评价报告。具体预评价程序如图1</w:t>
      </w:r>
      <w:r>
        <w:rPr>
          <w:rFonts w:hint="eastAsia"/>
          <w:color w:val="auto"/>
          <w:lang w:val="en-US" w:eastAsia="zh-CN"/>
        </w:rPr>
        <w:t>.3</w:t>
      </w:r>
      <w:r>
        <w:rPr>
          <w:rFonts w:hint="default"/>
          <w:color w:val="auto"/>
          <w:lang w:val="en-US" w:eastAsia="zh-CN"/>
        </w:rPr>
        <w:t>-1所示。</w:t>
      </w:r>
    </w:p>
    <w:p w14:paraId="367B8A16">
      <w:pPr>
        <w:keepNext w:val="0"/>
        <w:keepLines w:val="0"/>
        <w:pageBreakBefore w:val="0"/>
        <w:widowControl w:val="0"/>
        <w:kinsoku/>
        <w:wordWrap/>
        <w:overflowPunct/>
        <w:topLinePunct w:val="0"/>
        <w:autoSpaceDE/>
        <w:autoSpaceDN/>
        <w:bidi w:val="0"/>
        <w:adjustRightInd/>
        <w:snapToGrid/>
        <w:ind w:firstLine="0" w:firstLineChars="0"/>
        <w:jc w:val="center"/>
        <w:rPr>
          <w:rFonts w:hint="default"/>
          <w:color w:val="auto"/>
          <w:lang w:val="en-US" w:eastAsia="zh-CN"/>
        </w:rPr>
      </w:pPr>
      <w:r>
        <w:rPr>
          <w:color w:val="auto"/>
        </w:rPr>
        <w:drawing>
          <wp:inline distT="0" distB="0" distL="114300" distR="114300">
            <wp:extent cx="2276475" cy="40195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2276475" cy="4019550"/>
                    </a:xfrm>
                    <a:prstGeom prst="rect">
                      <a:avLst/>
                    </a:prstGeom>
                    <a:noFill/>
                    <a:ln w="12700">
                      <a:noFill/>
                    </a:ln>
                  </pic:spPr>
                </pic:pic>
              </a:graphicData>
            </a:graphic>
          </wp:inline>
        </w:drawing>
      </w:r>
    </w:p>
    <w:p w14:paraId="06B0B05D">
      <w:pPr>
        <w:pStyle w:val="29"/>
        <w:bidi w:val="0"/>
        <w:rPr>
          <w:rFonts w:hint="default"/>
          <w:color w:val="auto"/>
          <w:lang w:val="en-US" w:eastAsia="zh-CN"/>
        </w:rPr>
      </w:pPr>
      <w:r>
        <w:rPr>
          <w:rFonts w:hint="default"/>
          <w:color w:val="auto"/>
          <w:lang w:val="en-US" w:eastAsia="zh-CN"/>
        </w:rPr>
        <w:t>图1</w:t>
      </w:r>
      <w:r>
        <w:rPr>
          <w:rFonts w:hint="eastAsia"/>
          <w:color w:val="auto"/>
          <w:lang w:val="en-US" w:eastAsia="zh-CN"/>
        </w:rPr>
        <w:t>.3</w:t>
      </w:r>
      <w:r>
        <w:rPr>
          <w:rFonts w:hint="default"/>
          <w:color w:val="auto"/>
          <w:lang w:val="en-US" w:eastAsia="zh-CN"/>
        </w:rPr>
        <w:t>-1  安全评价程序图</w:t>
      </w:r>
    </w:p>
    <w:p w14:paraId="642AE164">
      <w:pPr>
        <w:bidi w:val="0"/>
        <w:rPr>
          <w:rFonts w:hint="default"/>
          <w:color w:val="auto"/>
          <w:lang w:val="en-US" w:eastAsia="zh-CN"/>
        </w:rPr>
        <w:sectPr>
          <w:footerReference r:id="rId12" w:type="default"/>
          <w:pgSz w:w="11905" w:h="16838"/>
          <w:pgMar w:top="1417" w:right="1134" w:bottom="1134" w:left="1587" w:header="850" w:footer="992" w:gutter="0"/>
          <w:pgBorders>
            <w:top w:val="thinThickSmallGap" w:color="auto" w:sz="12" w:space="1"/>
            <w:left w:val="none" w:sz="0" w:space="0"/>
            <w:bottom w:val="thickThinSmallGap" w:color="auto" w:sz="12" w:space="1"/>
            <w:right w:val="none" w:sz="0" w:space="0"/>
          </w:pgBorders>
          <w:pgNumType w:fmt="decimal" w:start="1"/>
          <w:cols w:space="0" w:num="1"/>
          <w:rtlGutter w:val="0"/>
          <w:docGrid w:type="lines" w:linePitch="386" w:charSpace="0"/>
        </w:sectPr>
      </w:pPr>
    </w:p>
    <w:p w14:paraId="33C51726">
      <w:pPr>
        <w:pStyle w:val="4"/>
        <w:bidi w:val="0"/>
        <w:rPr>
          <w:rFonts w:hint="default"/>
          <w:color w:val="auto"/>
          <w:lang w:val="en-US" w:eastAsia="zh-CN"/>
        </w:rPr>
      </w:pPr>
      <w:bookmarkStart w:id="4" w:name="_Toc23982"/>
      <w:r>
        <w:rPr>
          <w:rFonts w:hint="default"/>
          <w:color w:val="auto"/>
          <w:lang w:val="en-US" w:eastAsia="zh-CN"/>
        </w:rPr>
        <w:t>2 建设项目概述</w:t>
      </w:r>
      <w:bookmarkEnd w:id="4"/>
    </w:p>
    <w:p w14:paraId="5148F2F2">
      <w:pPr>
        <w:bidi w:val="0"/>
        <w:rPr>
          <w:rFonts w:hint="default"/>
          <w:lang w:val="en-US" w:eastAsia="zh-CN"/>
        </w:rPr>
      </w:pPr>
      <w:bookmarkStart w:id="5" w:name="_Toc15591"/>
      <w:r>
        <w:rPr>
          <w:rFonts w:hint="eastAsia"/>
          <w:lang w:val="en-US" w:eastAsia="zh-CN"/>
        </w:rPr>
        <w:t>***********</w:t>
      </w:r>
    </w:p>
    <w:p w14:paraId="53ECF301">
      <w:pPr>
        <w:pStyle w:val="5"/>
        <w:bidi w:val="0"/>
        <w:rPr>
          <w:rFonts w:hint="default"/>
          <w:color w:val="auto"/>
          <w:lang w:val="en-US" w:eastAsia="zh-CN"/>
        </w:rPr>
      </w:pPr>
      <w:r>
        <w:rPr>
          <w:rFonts w:hint="default"/>
          <w:color w:val="auto"/>
          <w:lang w:val="en-US" w:eastAsia="zh-CN"/>
        </w:rPr>
        <w:t>2.1 建设单位概况</w:t>
      </w:r>
      <w:bookmarkEnd w:id="5"/>
    </w:p>
    <w:p w14:paraId="3F822C96">
      <w:pPr>
        <w:pStyle w:val="6"/>
        <w:bidi w:val="0"/>
        <w:rPr>
          <w:rFonts w:hint="default"/>
          <w:color w:val="auto"/>
          <w:lang w:val="en-US" w:eastAsia="zh-CN"/>
        </w:rPr>
      </w:pPr>
      <w:r>
        <w:rPr>
          <w:rFonts w:hint="default"/>
          <w:color w:val="auto"/>
          <w:lang w:val="en-US" w:eastAsia="zh-CN"/>
        </w:rPr>
        <w:t>2.1.1 建设单位简介</w:t>
      </w:r>
    </w:p>
    <w:p w14:paraId="0A7CC799">
      <w:pPr>
        <w:bidi w:val="0"/>
        <w:rPr>
          <w:rFonts w:hint="default"/>
          <w:color w:val="auto"/>
          <w:lang w:val="en-US" w:eastAsia="zh-CN"/>
        </w:rPr>
      </w:pPr>
      <w:r>
        <w:rPr>
          <w:rFonts w:hint="eastAsia"/>
          <w:color w:val="auto"/>
          <w:lang w:val="en-US" w:eastAsia="zh-CN"/>
        </w:rPr>
        <w:t>***********</w:t>
      </w:r>
    </w:p>
    <w:p w14:paraId="48D62FD4">
      <w:pPr>
        <w:pStyle w:val="6"/>
        <w:bidi w:val="0"/>
        <w:rPr>
          <w:rFonts w:hint="default"/>
          <w:color w:val="auto"/>
          <w:lang w:val="en-US" w:eastAsia="zh-CN"/>
        </w:rPr>
      </w:pPr>
      <w:r>
        <w:rPr>
          <w:rFonts w:hint="default"/>
          <w:color w:val="auto"/>
          <w:lang w:val="en-US" w:eastAsia="zh-CN"/>
        </w:rPr>
        <w:t>2</w:t>
      </w:r>
      <w:r>
        <w:rPr>
          <w:rFonts w:hint="eastAsia"/>
          <w:color w:val="auto"/>
          <w:lang w:val="en-US" w:eastAsia="zh-CN"/>
        </w:rPr>
        <w:t>.1.</w:t>
      </w:r>
      <w:r>
        <w:rPr>
          <w:rFonts w:hint="default"/>
          <w:color w:val="auto"/>
          <w:lang w:val="en-US" w:eastAsia="zh-CN"/>
        </w:rPr>
        <w:t xml:space="preserve">2 </w:t>
      </w:r>
      <w:r>
        <w:rPr>
          <w:rFonts w:hint="eastAsia"/>
          <w:color w:val="auto"/>
          <w:lang w:val="en-US" w:eastAsia="zh-CN"/>
        </w:rPr>
        <w:t>立项情况</w:t>
      </w:r>
    </w:p>
    <w:p w14:paraId="593FA123">
      <w:pPr>
        <w:bidi w:val="0"/>
        <w:rPr>
          <w:rFonts w:hint="default"/>
          <w:color w:val="auto"/>
          <w:lang w:val="en-US" w:eastAsia="zh-CN"/>
        </w:rPr>
      </w:pPr>
      <w:r>
        <w:rPr>
          <w:rFonts w:hint="eastAsia"/>
          <w:color w:val="auto"/>
          <w:lang w:val="en-US" w:eastAsia="zh-CN"/>
        </w:rPr>
        <w:t>***********</w:t>
      </w:r>
    </w:p>
    <w:p w14:paraId="0637D6AE">
      <w:pPr>
        <w:pStyle w:val="6"/>
        <w:bidi w:val="0"/>
        <w:rPr>
          <w:rFonts w:hint="default"/>
          <w:color w:val="auto"/>
          <w:lang w:val="en-US" w:eastAsia="zh-CN"/>
        </w:rPr>
      </w:pPr>
      <w:r>
        <w:rPr>
          <w:rFonts w:hint="default"/>
          <w:color w:val="auto"/>
          <w:lang w:val="en-US" w:eastAsia="zh-CN"/>
        </w:rPr>
        <w:t>2.1.3 项目地理位置及交通情况</w:t>
      </w:r>
    </w:p>
    <w:p w14:paraId="2445E7EA">
      <w:pPr>
        <w:bidi w:val="0"/>
        <w:rPr>
          <w:rFonts w:hint="default"/>
          <w:color w:val="auto"/>
          <w:lang w:val="en-US" w:eastAsia="zh-CN"/>
        </w:rPr>
      </w:pPr>
      <w:r>
        <w:rPr>
          <w:rFonts w:hint="eastAsia"/>
          <w:color w:val="auto"/>
          <w:lang w:val="en-US" w:eastAsia="zh-CN"/>
        </w:rPr>
        <w:t>****</w:t>
      </w:r>
    </w:p>
    <w:p w14:paraId="604E8525">
      <w:pPr>
        <w:bidi w:val="0"/>
        <w:ind w:left="0" w:leftChars="0" w:firstLine="0" w:firstLineChars="0"/>
        <w:rPr>
          <w:rFonts w:hint="default"/>
          <w:color w:val="auto"/>
          <w:lang w:val="en-US" w:eastAsia="zh-CN"/>
        </w:rPr>
      </w:pPr>
      <w:r>
        <w:rPr>
          <w:rFonts w:hint="eastAsia"/>
          <w:color w:val="auto"/>
          <w:lang w:val="en-US" w:eastAsia="zh-CN"/>
        </w:rPr>
        <w:t>*****</w:t>
      </w:r>
    </w:p>
    <w:p w14:paraId="30579CE9">
      <w:pPr>
        <w:pStyle w:val="29"/>
        <w:bidi w:val="0"/>
        <w:rPr>
          <w:rFonts w:hint="default"/>
          <w:color w:val="auto"/>
          <w:lang w:val="en-US" w:eastAsia="zh-CN"/>
        </w:rPr>
      </w:pPr>
      <w:r>
        <w:rPr>
          <w:rFonts w:hint="default"/>
          <w:color w:val="auto"/>
          <w:lang w:val="en-US" w:eastAsia="zh-CN"/>
        </w:rPr>
        <w:t>图</w:t>
      </w:r>
      <w:r>
        <w:rPr>
          <w:rFonts w:hint="eastAsia"/>
          <w:color w:val="auto"/>
          <w:lang w:val="en-US" w:eastAsia="zh-CN"/>
        </w:rPr>
        <w:t>2.</w:t>
      </w:r>
      <w:r>
        <w:rPr>
          <w:rFonts w:hint="default"/>
          <w:color w:val="auto"/>
          <w:lang w:val="en-US" w:eastAsia="zh-CN"/>
        </w:rPr>
        <w:t>1-1 项目区交通位置图</w:t>
      </w:r>
    </w:p>
    <w:p w14:paraId="7BA83A1F">
      <w:pPr>
        <w:pStyle w:val="6"/>
        <w:bidi w:val="0"/>
        <w:rPr>
          <w:rFonts w:hint="default"/>
          <w:color w:val="auto"/>
          <w:lang w:val="en-US" w:eastAsia="zh-CN"/>
        </w:rPr>
      </w:pPr>
      <w:r>
        <w:rPr>
          <w:rFonts w:hint="default"/>
          <w:color w:val="auto"/>
          <w:lang w:val="en-US" w:eastAsia="zh-CN"/>
        </w:rPr>
        <w:t>2.1.4 项目周边环境</w:t>
      </w:r>
    </w:p>
    <w:p w14:paraId="0D0B9A50">
      <w:pPr>
        <w:bidi w:val="0"/>
        <w:rPr>
          <w:rFonts w:hint="default"/>
          <w:color w:val="auto"/>
          <w:lang w:val="en-US" w:eastAsia="zh-CN"/>
        </w:rPr>
      </w:pPr>
      <w:r>
        <w:rPr>
          <w:rFonts w:hint="eastAsia"/>
          <w:color w:val="auto"/>
          <w:lang w:val="en-US" w:eastAsia="zh-CN"/>
        </w:rPr>
        <w:t>*********</w:t>
      </w:r>
    </w:p>
    <w:p w14:paraId="229913F0">
      <w:pPr>
        <w:bidi w:val="0"/>
        <w:rPr>
          <w:rFonts w:hint="eastAsia"/>
          <w:color w:val="auto"/>
          <w:lang w:val="en-US" w:eastAsia="zh-CN"/>
        </w:rPr>
      </w:pPr>
      <w:r>
        <w:rPr>
          <w:rFonts w:hint="eastAsia"/>
          <w:color w:val="auto"/>
          <w:lang w:val="en-US" w:eastAsia="zh-CN"/>
        </w:rPr>
        <w:t>项目</w:t>
      </w:r>
      <w:r>
        <w:rPr>
          <w:rFonts w:hint="default"/>
          <w:color w:val="auto"/>
          <w:lang w:val="en-US" w:eastAsia="zh-CN"/>
        </w:rPr>
        <w:t>未在</w:t>
      </w:r>
      <w:r>
        <w:rPr>
          <w:rFonts w:hint="eastAsia"/>
          <w:color w:val="auto"/>
          <w:lang w:val="en-US" w:eastAsia="zh-CN"/>
        </w:rPr>
        <w:t>“</w:t>
      </w:r>
      <w:r>
        <w:rPr>
          <w:rFonts w:hint="default"/>
          <w:color w:val="auto"/>
          <w:lang w:val="en-US" w:eastAsia="zh-CN"/>
        </w:rPr>
        <w:t>四区</w:t>
      </w:r>
      <w:r>
        <w:rPr>
          <w:rFonts w:hint="eastAsia"/>
          <w:color w:val="auto"/>
          <w:lang w:val="en-US" w:eastAsia="zh-CN"/>
        </w:rPr>
        <w:t>”</w:t>
      </w:r>
      <w:r>
        <w:rPr>
          <w:rFonts w:hint="default"/>
          <w:color w:val="auto"/>
          <w:lang w:val="en-US" w:eastAsia="zh-CN"/>
        </w:rPr>
        <w:t>（城市规划区、风景名胜区、重要水源区、重要地质遗迹区）范围内</w:t>
      </w:r>
      <w:r>
        <w:rPr>
          <w:rFonts w:hint="eastAsia"/>
          <w:color w:val="auto"/>
          <w:lang w:val="en-US" w:eastAsia="zh-CN"/>
        </w:rPr>
        <w:t>。</w:t>
      </w:r>
    </w:p>
    <w:p w14:paraId="7F24B08E">
      <w:pPr>
        <w:pStyle w:val="29"/>
        <w:bidi w:val="0"/>
        <w:rPr>
          <w:rFonts w:hint="default"/>
          <w:color w:val="auto"/>
          <w:lang w:val="en-US" w:eastAsia="zh-CN"/>
        </w:rPr>
      </w:pPr>
      <w:r>
        <w:rPr>
          <w:rFonts w:hint="eastAsia"/>
          <w:color w:val="auto"/>
          <w:lang w:val="en-US" w:eastAsia="zh-CN"/>
        </w:rPr>
        <w:t>**********</w:t>
      </w:r>
      <w:bookmarkStart w:id="51" w:name="_GoBack"/>
      <w:bookmarkEnd w:id="51"/>
    </w:p>
    <w:p w14:paraId="24998741">
      <w:pPr>
        <w:pStyle w:val="29"/>
        <w:bidi w:val="0"/>
        <w:rPr>
          <w:rFonts w:hint="default"/>
          <w:color w:val="auto"/>
          <w:lang w:val="en-US" w:eastAsia="zh-CN"/>
        </w:rPr>
      </w:pPr>
      <w:r>
        <w:rPr>
          <w:rFonts w:hint="eastAsia"/>
          <w:color w:val="auto"/>
          <w:lang w:val="en-US" w:eastAsia="zh-CN"/>
        </w:rPr>
        <w:t>图2.1-2  项目周边环境图</w:t>
      </w:r>
    </w:p>
    <w:p w14:paraId="3B117DEF">
      <w:pPr>
        <w:pStyle w:val="29"/>
        <w:bidi w:val="0"/>
        <w:rPr>
          <w:rFonts w:hint="eastAsia"/>
          <w:color w:val="auto"/>
          <w:lang w:val="en-US" w:eastAsia="zh-CN"/>
        </w:rPr>
      </w:pPr>
      <w:r>
        <w:rPr>
          <w:rFonts w:hint="eastAsia"/>
          <w:color w:val="auto"/>
          <w:lang w:val="en-US" w:eastAsia="zh-CN"/>
        </w:rPr>
        <w:t>表2.1-1  项目与周边安全距离表（m）</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1587"/>
        <w:gridCol w:w="991"/>
        <w:gridCol w:w="1401"/>
        <w:gridCol w:w="955"/>
        <w:gridCol w:w="3269"/>
      </w:tblGrid>
      <w:tr w14:paraId="389A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blHeader/>
          <w:jc w:val="center"/>
        </w:trPr>
        <w:tc>
          <w:tcPr>
            <w:tcW w:w="633" w:type="pct"/>
            <w:noWrap w:val="0"/>
            <w:vAlign w:val="center"/>
          </w:tcPr>
          <w:p w14:paraId="1A3540B0">
            <w:pPr>
              <w:pStyle w:val="30"/>
              <w:bidi w:val="0"/>
              <w:rPr>
                <w:rFonts w:hint="eastAsia" w:eastAsia="宋体"/>
                <w:b/>
                <w:bCs/>
                <w:color w:val="auto"/>
                <w:lang w:eastAsia="zh-CN"/>
              </w:rPr>
            </w:pPr>
            <w:r>
              <w:rPr>
                <w:rFonts w:hint="eastAsia"/>
                <w:b/>
                <w:bCs/>
                <w:color w:val="auto"/>
                <w:lang w:val="en-US" w:eastAsia="zh-CN"/>
              </w:rPr>
              <w:t>车间</w:t>
            </w:r>
          </w:p>
        </w:tc>
        <w:tc>
          <w:tcPr>
            <w:tcW w:w="844" w:type="pct"/>
            <w:noWrap w:val="0"/>
            <w:vAlign w:val="center"/>
          </w:tcPr>
          <w:p w14:paraId="188D7423">
            <w:pPr>
              <w:pStyle w:val="30"/>
              <w:bidi w:val="0"/>
              <w:rPr>
                <w:rFonts w:hint="default"/>
                <w:b/>
                <w:bCs/>
                <w:color w:val="auto"/>
              </w:rPr>
            </w:pPr>
            <w:r>
              <w:rPr>
                <w:rFonts w:hint="default"/>
                <w:b/>
                <w:bCs/>
                <w:color w:val="auto"/>
              </w:rPr>
              <w:t>周边环境名称</w:t>
            </w:r>
          </w:p>
        </w:tc>
        <w:tc>
          <w:tcPr>
            <w:tcW w:w="527" w:type="pct"/>
            <w:noWrap w:val="0"/>
            <w:vAlign w:val="center"/>
          </w:tcPr>
          <w:p w14:paraId="62C60862">
            <w:pPr>
              <w:pStyle w:val="30"/>
              <w:bidi w:val="0"/>
              <w:rPr>
                <w:rFonts w:hint="eastAsia"/>
                <w:b/>
                <w:bCs/>
                <w:color w:val="auto"/>
                <w:lang w:val="en-US" w:eastAsia="zh-CN"/>
              </w:rPr>
            </w:pPr>
            <w:r>
              <w:rPr>
                <w:rFonts w:hint="eastAsia"/>
                <w:b/>
                <w:bCs/>
                <w:color w:val="auto"/>
                <w:lang w:val="en-US" w:eastAsia="zh-CN"/>
              </w:rPr>
              <w:t>规范要求</w:t>
            </w:r>
            <w:r>
              <w:rPr>
                <w:rFonts w:hint="default"/>
                <w:b/>
                <w:bCs/>
                <w:color w:val="auto"/>
              </w:rPr>
              <w:t>（m）</w:t>
            </w:r>
          </w:p>
        </w:tc>
        <w:tc>
          <w:tcPr>
            <w:tcW w:w="745" w:type="pct"/>
            <w:noWrap w:val="0"/>
            <w:vAlign w:val="center"/>
          </w:tcPr>
          <w:p w14:paraId="0F2198DE">
            <w:pPr>
              <w:pStyle w:val="30"/>
              <w:bidi w:val="0"/>
              <w:rPr>
                <w:rFonts w:hint="default"/>
                <w:b/>
                <w:bCs/>
                <w:color w:val="auto"/>
              </w:rPr>
            </w:pPr>
            <w:r>
              <w:rPr>
                <w:rFonts w:hint="default"/>
                <w:b/>
                <w:bCs/>
                <w:color w:val="auto"/>
              </w:rPr>
              <w:t>与本项目厂界距离（m）</w:t>
            </w:r>
          </w:p>
        </w:tc>
        <w:tc>
          <w:tcPr>
            <w:tcW w:w="508" w:type="pct"/>
            <w:noWrap w:val="0"/>
            <w:vAlign w:val="center"/>
          </w:tcPr>
          <w:p w14:paraId="0D01FE91">
            <w:pPr>
              <w:pStyle w:val="30"/>
              <w:bidi w:val="0"/>
              <w:rPr>
                <w:rFonts w:hint="default"/>
                <w:b/>
                <w:bCs/>
                <w:color w:val="auto"/>
              </w:rPr>
            </w:pPr>
            <w:r>
              <w:rPr>
                <w:rFonts w:hint="default"/>
                <w:b/>
                <w:bCs/>
                <w:color w:val="auto"/>
              </w:rPr>
              <w:t>位置</w:t>
            </w:r>
          </w:p>
        </w:tc>
        <w:tc>
          <w:tcPr>
            <w:tcW w:w="1739" w:type="pct"/>
            <w:noWrap w:val="0"/>
            <w:vAlign w:val="center"/>
          </w:tcPr>
          <w:p w14:paraId="30470323">
            <w:pPr>
              <w:pStyle w:val="30"/>
              <w:bidi w:val="0"/>
              <w:rPr>
                <w:rFonts w:hint="default"/>
                <w:b/>
                <w:bCs/>
                <w:color w:val="auto"/>
              </w:rPr>
            </w:pPr>
            <w:r>
              <w:rPr>
                <w:b/>
                <w:bCs/>
                <w:color w:val="auto"/>
              </w:rPr>
              <w:t>防火间距规范要求值确定依据</w:t>
            </w:r>
          </w:p>
        </w:tc>
      </w:tr>
      <w:tr w14:paraId="566A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33" w:type="pct"/>
            <w:vMerge w:val="restart"/>
            <w:noWrap w:val="0"/>
            <w:vAlign w:val="center"/>
          </w:tcPr>
          <w:p w14:paraId="1F6E6111">
            <w:pPr>
              <w:pStyle w:val="30"/>
              <w:bidi w:val="0"/>
              <w:rPr>
                <w:rFonts w:hint="default"/>
                <w:color w:val="auto"/>
                <w:lang w:val="en-US" w:eastAsia="zh-CN"/>
              </w:rPr>
            </w:pPr>
            <w:r>
              <w:rPr>
                <w:rFonts w:hint="eastAsia"/>
                <w:color w:val="auto"/>
                <w:lang w:val="en-US" w:eastAsia="zh-CN"/>
              </w:rPr>
              <w:t>浓缩车间（戊类，二级）</w:t>
            </w:r>
          </w:p>
        </w:tc>
        <w:tc>
          <w:tcPr>
            <w:tcW w:w="844" w:type="pct"/>
            <w:noWrap w:val="0"/>
            <w:vAlign w:val="center"/>
          </w:tcPr>
          <w:p w14:paraId="63A1B2DE">
            <w:pPr>
              <w:pStyle w:val="30"/>
              <w:bidi w:val="0"/>
              <w:rPr>
                <w:rFonts w:hint="default"/>
                <w:color w:val="auto"/>
                <w:lang w:val="en-US" w:eastAsia="zh-CN"/>
              </w:rPr>
            </w:pPr>
            <w:r>
              <w:rPr>
                <w:rFonts w:hint="eastAsia"/>
                <w:color w:val="auto"/>
                <w:lang w:val="en-US" w:eastAsia="zh-CN"/>
              </w:rPr>
              <w:t>选厂建筑（砖混，戊类，二级）</w:t>
            </w:r>
          </w:p>
        </w:tc>
        <w:tc>
          <w:tcPr>
            <w:tcW w:w="527" w:type="pct"/>
            <w:noWrap w:val="0"/>
            <w:vAlign w:val="center"/>
          </w:tcPr>
          <w:p w14:paraId="1521E20E">
            <w:pPr>
              <w:pStyle w:val="30"/>
              <w:bidi w:val="0"/>
              <w:rPr>
                <w:rFonts w:hint="default"/>
                <w:color w:val="auto"/>
                <w:lang w:val="en-US" w:eastAsia="zh-CN"/>
              </w:rPr>
            </w:pPr>
            <w:r>
              <w:rPr>
                <w:rFonts w:hint="eastAsia"/>
                <w:color w:val="auto"/>
                <w:lang w:val="en-US" w:eastAsia="zh-CN"/>
              </w:rPr>
              <w:t>10</w:t>
            </w:r>
          </w:p>
        </w:tc>
        <w:tc>
          <w:tcPr>
            <w:tcW w:w="745" w:type="pct"/>
            <w:noWrap w:val="0"/>
            <w:vAlign w:val="center"/>
          </w:tcPr>
          <w:p w14:paraId="07A4A7EE">
            <w:pPr>
              <w:pStyle w:val="30"/>
              <w:bidi w:val="0"/>
              <w:rPr>
                <w:rFonts w:hint="default"/>
                <w:color w:val="auto"/>
                <w:lang w:val="en-US" w:eastAsia="zh-CN"/>
              </w:rPr>
            </w:pPr>
            <w:r>
              <w:rPr>
                <w:rFonts w:hint="eastAsia"/>
                <w:color w:val="auto"/>
                <w:lang w:val="en-US" w:eastAsia="zh-CN"/>
              </w:rPr>
              <w:t>24</w:t>
            </w:r>
          </w:p>
        </w:tc>
        <w:tc>
          <w:tcPr>
            <w:tcW w:w="508" w:type="pct"/>
            <w:noWrap w:val="0"/>
            <w:vAlign w:val="center"/>
          </w:tcPr>
          <w:p w14:paraId="3CACF567">
            <w:pPr>
              <w:pStyle w:val="30"/>
              <w:bidi w:val="0"/>
              <w:rPr>
                <w:rFonts w:hint="default"/>
                <w:color w:val="auto"/>
              </w:rPr>
            </w:pPr>
            <w:r>
              <w:rPr>
                <w:rFonts w:hint="eastAsia"/>
                <w:color w:val="auto"/>
                <w:lang w:val="en-US" w:eastAsia="zh-CN"/>
              </w:rPr>
              <w:t>西</w:t>
            </w:r>
            <w:r>
              <w:rPr>
                <w:rFonts w:hint="default"/>
                <w:color w:val="auto"/>
              </w:rPr>
              <w:t>面</w:t>
            </w:r>
          </w:p>
        </w:tc>
        <w:tc>
          <w:tcPr>
            <w:tcW w:w="1739" w:type="pct"/>
            <w:noWrap w:val="0"/>
            <w:vAlign w:val="center"/>
          </w:tcPr>
          <w:p w14:paraId="1A7AB2D9">
            <w:pPr>
              <w:pStyle w:val="30"/>
              <w:bidi w:val="0"/>
              <w:rPr>
                <w:color w:val="auto"/>
              </w:rPr>
            </w:pPr>
            <w:r>
              <w:rPr>
                <w:color w:val="auto"/>
              </w:rPr>
              <w:t>《建筑设计防火规范[2018版]》</w:t>
            </w:r>
          </w:p>
          <w:p w14:paraId="27C11E56">
            <w:pPr>
              <w:pStyle w:val="30"/>
              <w:bidi w:val="0"/>
              <w:rPr>
                <w:rFonts w:hint="default"/>
                <w:color w:val="auto"/>
              </w:rPr>
            </w:pPr>
            <w:r>
              <w:rPr>
                <w:rFonts w:hint="default"/>
                <w:color w:val="auto"/>
                <w:lang w:eastAsia="zh-CN"/>
              </w:rPr>
              <w:t>（</w:t>
            </w:r>
            <w:r>
              <w:rPr>
                <w:color w:val="auto"/>
              </w:rPr>
              <w:t>GB50016-2014</w:t>
            </w:r>
            <w:r>
              <w:rPr>
                <w:rFonts w:hint="default"/>
                <w:color w:val="auto"/>
                <w:lang w:eastAsia="zh-CN"/>
              </w:rPr>
              <w:t>）</w:t>
            </w:r>
            <w:r>
              <w:rPr>
                <w:color w:val="auto"/>
              </w:rPr>
              <w:t>，第3.4.1条</w:t>
            </w:r>
          </w:p>
        </w:tc>
      </w:tr>
      <w:tr w14:paraId="5E1F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33" w:type="pct"/>
            <w:vMerge w:val="continue"/>
            <w:noWrap w:val="0"/>
            <w:vAlign w:val="center"/>
          </w:tcPr>
          <w:p w14:paraId="5BF0CA33">
            <w:pPr>
              <w:pStyle w:val="30"/>
              <w:bidi w:val="0"/>
              <w:rPr>
                <w:rFonts w:hint="eastAsia"/>
                <w:color w:val="auto"/>
                <w:lang w:val="en-US" w:eastAsia="zh-CN"/>
              </w:rPr>
            </w:pPr>
          </w:p>
        </w:tc>
        <w:tc>
          <w:tcPr>
            <w:tcW w:w="844" w:type="pct"/>
            <w:noWrap w:val="0"/>
            <w:vAlign w:val="center"/>
          </w:tcPr>
          <w:p w14:paraId="23862679">
            <w:pPr>
              <w:pStyle w:val="30"/>
              <w:bidi w:val="0"/>
              <w:rPr>
                <w:rFonts w:hint="default"/>
                <w:color w:val="auto"/>
                <w:lang w:val="en-US" w:eastAsia="zh-CN"/>
              </w:rPr>
            </w:pPr>
            <w:r>
              <w:rPr>
                <w:rFonts w:hint="eastAsia"/>
                <w:color w:val="auto"/>
                <w:lang w:val="en-US" w:eastAsia="zh-CN"/>
              </w:rPr>
              <w:t>选厂建筑（砖混，戊类，二级）</w:t>
            </w:r>
          </w:p>
        </w:tc>
        <w:tc>
          <w:tcPr>
            <w:tcW w:w="527" w:type="pct"/>
            <w:noWrap w:val="0"/>
            <w:vAlign w:val="center"/>
          </w:tcPr>
          <w:p w14:paraId="156BD74C">
            <w:pPr>
              <w:pStyle w:val="30"/>
              <w:bidi w:val="0"/>
              <w:rPr>
                <w:rFonts w:hint="default"/>
                <w:color w:val="auto"/>
                <w:lang w:val="en-US" w:eastAsia="zh-CN"/>
              </w:rPr>
            </w:pPr>
            <w:r>
              <w:rPr>
                <w:rFonts w:hint="eastAsia"/>
                <w:color w:val="auto"/>
                <w:lang w:val="en-US" w:eastAsia="zh-CN"/>
              </w:rPr>
              <w:t>10</w:t>
            </w:r>
          </w:p>
        </w:tc>
        <w:tc>
          <w:tcPr>
            <w:tcW w:w="745" w:type="pct"/>
            <w:noWrap w:val="0"/>
            <w:vAlign w:val="center"/>
          </w:tcPr>
          <w:p w14:paraId="5A493307">
            <w:pPr>
              <w:pStyle w:val="30"/>
              <w:bidi w:val="0"/>
              <w:rPr>
                <w:rFonts w:hint="default"/>
                <w:color w:val="auto"/>
                <w:lang w:val="en-US" w:eastAsia="zh-CN"/>
              </w:rPr>
            </w:pPr>
            <w:r>
              <w:rPr>
                <w:rFonts w:hint="eastAsia"/>
                <w:color w:val="auto"/>
                <w:lang w:val="en-US" w:eastAsia="zh-CN"/>
              </w:rPr>
              <w:t>31</w:t>
            </w:r>
          </w:p>
        </w:tc>
        <w:tc>
          <w:tcPr>
            <w:tcW w:w="508" w:type="pct"/>
            <w:noWrap w:val="0"/>
            <w:vAlign w:val="center"/>
          </w:tcPr>
          <w:p w14:paraId="5B67B6CA">
            <w:pPr>
              <w:pStyle w:val="30"/>
              <w:bidi w:val="0"/>
              <w:rPr>
                <w:rFonts w:hint="default"/>
                <w:color w:val="auto"/>
                <w:lang w:val="en-US" w:eastAsia="zh-CN"/>
              </w:rPr>
            </w:pPr>
            <w:r>
              <w:rPr>
                <w:rFonts w:hint="eastAsia"/>
                <w:color w:val="auto"/>
                <w:lang w:val="en-US" w:eastAsia="zh-CN"/>
              </w:rPr>
              <w:t>南面</w:t>
            </w:r>
          </w:p>
        </w:tc>
        <w:tc>
          <w:tcPr>
            <w:tcW w:w="1739" w:type="pct"/>
            <w:noWrap w:val="0"/>
            <w:vAlign w:val="center"/>
          </w:tcPr>
          <w:p w14:paraId="704D0242">
            <w:pPr>
              <w:pStyle w:val="30"/>
              <w:bidi w:val="0"/>
              <w:rPr>
                <w:color w:val="auto"/>
              </w:rPr>
            </w:pPr>
            <w:r>
              <w:rPr>
                <w:color w:val="auto"/>
              </w:rPr>
              <w:t>《建筑设计防火规范[2018版]》</w:t>
            </w:r>
          </w:p>
          <w:p w14:paraId="2F68DDB6">
            <w:pPr>
              <w:pStyle w:val="30"/>
              <w:bidi w:val="0"/>
              <w:rPr>
                <w:rFonts w:hint="default"/>
                <w:color w:val="auto"/>
                <w:lang w:eastAsia="zh-CN"/>
              </w:rPr>
            </w:pPr>
            <w:r>
              <w:rPr>
                <w:rFonts w:hint="eastAsia"/>
                <w:color w:val="auto"/>
                <w:lang w:eastAsia="zh-CN"/>
              </w:rPr>
              <w:t>（</w:t>
            </w:r>
            <w:r>
              <w:rPr>
                <w:color w:val="auto"/>
              </w:rPr>
              <w:t>GB50016-2014</w:t>
            </w:r>
            <w:r>
              <w:rPr>
                <w:rFonts w:hint="eastAsia"/>
                <w:color w:val="auto"/>
                <w:lang w:eastAsia="zh-CN"/>
              </w:rPr>
              <w:t>）</w:t>
            </w:r>
            <w:r>
              <w:rPr>
                <w:color w:val="auto"/>
              </w:rPr>
              <w:t>，第3.4.1条</w:t>
            </w:r>
          </w:p>
        </w:tc>
      </w:tr>
      <w:tr w14:paraId="4737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33" w:type="pct"/>
            <w:vMerge w:val="continue"/>
            <w:noWrap w:val="0"/>
            <w:vAlign w:val="center"/>
          </w:tcPr>
          <w:p w14:paraId="11F77B3E">
            <w:pPr>
              <w:pStyle w:val="30"/>
              <w:bidi w:val="0"/>
              <w:rPr>
                <w:rFonts w:hint="eastAsia"/>
                <w:color w:val="auto"/>
                <w:lang w:val="en-US" w:eastAsia="zh-CN"/>
              </w:rPr>
            </w:pPr>
          </w:p>
        </w:tc>
        <w:tc>
          <w:tcPr>
            <w:tcW w:w="844" w:type="pct"/>
            <w:noWrap w:val="0"/>
            <w:vAlign w:val="center"/>
          </w:tcPr>
          <w:p w14:paraId="73B41DF3">
            <w:pPr>
              <w:pStyle w:val="30"/>
              <w:bidi w:val="0"/>
              <w:rPr>
                <w:rFonts w:hint="default"/>
                <w:color w:val="auto"/>
                <w:lang w:val="en-US" w:eastAsia="zh-CN"/>
              </w:rPr>
            </w:pPr>
            <w:r>
              <w:rPr>
                <w:rFonts w:hint="eastAsia"/>
                <w:color w:val="auto"/>
                <w:lang w:val="en-US" w:eastAsia="zh-CN"/>
              </w:rPr>
              <w:t>其纳海村（民用，二级）</w:t>
            </w:r>
          </w:p>
        </w:tc>
        <w:tc>
          <w:tcPr>
            <w:tcW w:w="527" w:type="pct"/>
            <w:noWrap w:val="0"/>
            <w:vAlign w:val="center"/>
          </w:tcPr>
          <w:p w14:paraId="4A5A10F9">
            <w:pPr>
              <w:pStyle w:val="30"/>
              <w:bidi w:val="0"/>
              <w:rPr>
                <w:rFonts w:hint="default"/>
                <w:color w:val="auto"/>
                <w:lang w:val="en-US" w:eastAsia="zh-CN"/>
              </w:rPr>
            </w:pPr>
            <w:r>
              <w:rPr>
                <w:rFonts w:hint="eastAsia"/>
                <w:color w:val="auto"/>
                <w:lang w:val="en-US" w:eastAsia="zh-CN"/>
              </w:rPr>
              <w:t>10</w:t>
            </w:r>
          </w:p>
        </w:tc>
        <w:tc>
          <w:tcPr>
            <w:tcW w:w="745" w:type="pct"/>
            <w:noWrap w:val="0"/>
            <w:vAlign w:val="center"/>
          </w:tcPr>
          <w:p w14:paraId="76D846CF">
            <w:pPr>
              <w:pStyle w:val="30"/>
              <w:bidi w:val="0"/>
              <w:rPr>
                <w:rFonts w:hint="default"/>
                <w:color w:val="auto"/>
                <w:lang w:val="en-US" w:eastAsia="zh-CN"/>
              </w:rPr>
            </w:pPr>
            <w:r>
              <w:rPr>
                <w:rFonts w:hint="eastAsia"/>
                <w:color w:val="auto"/>
                <w:lang w:val="en-US" w:eastAsia="zh-CN"/>
              </w:rPr>
              <w:t>189</w:t>
            </w:r>
          </w:p>
        </w:tc>
        <w:tc>
          <w:tcPr>
            <w:tcW w:w="508" w:type="pct"/>
            <w:noWrap w:val="0"/>
            <w:vAlign w:val="center"/>
          </w:tcPr>
          <w:p w14:paraId="0A7C4829">
            <w:pPr>
              <w:pStyle w:val="30"/>
              <w:bidi w:val="0"/>
              <w:rPr>
                <w:rFonts w:hint="default"/>
                <w:color w:val="auto"/>
                <w:lang w:val="en-US" w:eastAsia="zh-CN"/>
              </w:rPr>
            </w:pPr>
            <w:r>
              <w:rPr>
                <w:rFonts w:hint="eastAsia"/>
                <w:color w:val="auto"/>
                <w:lang w:val="en-US" w:eastAsia="zh-CN"/>
              </w:rPr>
              <w:t>东南面</w:t>
            </w:r>
          </w:p>
        </w:tc>
        <w:tc>
          <w:tcPr>
            <w:tcW w:w="1739" w:type="pct"/>
            <w:noWrap w:val="0"/>
            <w:vAlign w:val="center"/>
          </w:tcPr>
          <w:p w14:paraId="4F470236">
            <w:pPr>
              <w:pStyle w:val="30"/>
              <w:bidi w:val="0"/>
              <w:rPr>
                <w:color w:val="auto"/>
              </w:rPr>
            </w:pPr>
            <w:r>
              <w:rPr>
                <w:color w:val="auto"/>
              </w:rPr>
              <w:t>《建筑设计防火规范[2018版]》</w:t>
            </w:r>
          </w:p>
          <w:p w14:paraId="396F1D75">
            <w:pPr>
              <w:pStyle w:val="30"/>
              <w:bidi w:val="0"/>
              <w:ind w:firstLine="0" w:firstLineChars="0"/>
              <w:rPr>
                <w:rFonts w:hint="default"/>
                <w:color w:val="auto"/>
                <w:lang w:eastAsia="zh-CN"/>
              </w:rPr>
            </w:pPr>
            <w:r>
              <w:rPr>
                <w:rFonts w:hint="eastAsia"/>
                <w:color w:val="auto"/>
                <w:lang w:eastAsia="zh-CN"/>
              </w:rPr>
              <w:t>（</w:t>
            </w:r>
            <w:r>
              <w:rPr>
                <w:color w:val="auto"/>
              </w:rPr>
              <w:t>GB50016-2014</w:t>
            </w:r>
            <w:r>
              <w:rPr>
                <w:rFonts w:hint="eastAsia"/>
                <w:color w:val="auto"/>
                <w:lang w:eastAsia="zh-CN"/>
              </w:rPr>
              <w:t>）</w:t>
            </w:r>
            <w:r>
              <w:rPr>
                <w:color w:val="auto"/>
              </w:rPr>
              <w:t>，第3.4.1条</w:t>
            </w:r>
          </w:p>
        </w:tc>
      </w:tr>
      <w:tr w14:paraId="60AF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33" w:type="pct"/>
            <w:vMerge w:val="restart"/>
            <w:noWrap w:val="0"/>
            <w:vAlign w:val="center"/>
          </w:tcPr>
          <w:p w14:paraId="50F1D95F">
            <w:pPr>
              <w:pStyle w:val="30"/>
              <w:bidi w:val="0"/>
              <w:rPr>
                <w:rFonts w:hint="default"/>
                <w:color w:val="auto"/>
                <w:lang w:val="en-US" w:eastAsia="zh-CN"/>
              </w:rPr>
            </w:pPr>
            <w:r>
              <w:rPr>
                <w:rFonts w:hint="eastAsia"/>
                <w:color w:val="auto"/>
                <w:lang w:val="en-US" w:eastAsia="zh-CN"/>
              </w:rPr>
              <w:t>压滤车间（戊类，二级）</w:t>
            </w:r>
          </w:p>
        </w:tc>
        <w:tc>
          <w:tcPr>
            <w:tcW w:w="844" w:type="pct"/>
            <w:noWrap w:val="0"/>
            <w:vAlign w:val="center"/>
          </w:tcPr>
          <w:p w14:paraId="45D35259">
            <w:pPr>
              <w:pStyle w:val="30"/>
              <w:bidi w:val="0"/>
              <w:rPr>
                <w:rFonts w:hint="default"/>
                <w:color w:val="auto"/>
                <w:lang w:val="en-US" w:eastAsia="zh-CN"/>
              </w:rPr>
            </w:pPr>
            <w:r>
              <w:rPr>
                <w:rFonts w:hint="eastAsia"/>
                <w:color w:val="auto"/>
                <w:lang w:val="en-US" w:eastAsia="zh-CN"/>
              </w:rPr>
              <w:t>乐朗村（民用，二级）</w:t>
            </w:r>
          </w:p>
        </w:tc>
        <w:tc>
          <w:tcPr>
            <w:tcW w:w="527" w:type="pct"/>
            <w:noWrap w:val="0"/>
            <w:vAlign w:val="center"/>
          </w:tcPr>
          <w:p w14:paraId="747B7D7A">
            <w:pPr>
              <w:pStyle w:val="30"/>
              <w:bidi w:val="0"/>
              <w:rPr>
                <w:rFonts w:hint="default"/>
                <w:color w:val="auto"/>
                <w:lang w:val="en-US" w:eastAsia="zh-CN"/>
              </w:rPr>
            </w:pPr>
            <w:r>
              <w:rPr>
                <w:rFonts w:hint="eastAsia"/>
                <w:color w:val="auto"/>
                <w:lang w:val="en-US" w:eastAsia="zh-CN"/>
              </w:rPr>
              <w:t>10</w:t>
            </w:r>
          </w:p>
        </w:tc>
        <w:tc>
          <w:tcPr>
            <w:tcW w:w="745" w:type="pct"/>
            <w:noWrap w:val="0"/>
            <w:vAlign w:val="center"/>
          </w:tcPr>
          <w:p w14:paraId="4D45B4E5">
            <w:pPr>
              <w:pStyle w:val="30"/>
              <w:bidi w:val="0"/>
              <w:rPr>
                <w:rFonts w:hint="default"/>
                <w:color w:val="auto"/>
                <w:lang w:val="en-US" w:eastAsia="zh-CN"/>
              </w:rPr>
            </w:pPr>
            <w:r>
              <w:rPr>
                <w:rFonts w:hint="eastAsia"/>
                <w:color w:val="auto"/>
                <w:lang w:val="en-US" w:eastAsia="zh-CN"/>
              </w:rPr>
              <w:t>725</w:t>
            </w:r>
          </w:p>
        </w:tc>
        <w:tc>
          <w:tcPr>
            <w:tcW w:w="508" w:type="pct"/>
            <w:noWrap w:val="0"/>
            <w:vAlign w:val="center"/>
          </w:tcPr>
          <w:p w14:paraId="6BBB37CD">
            <w:pPr>
              <w:pStyle w:val="30"/>
              <w:bidi w:val="0"/>
              <w:rPr>
                <w:rFonts w:hint="default"/>
                <w:color w:val="auto"/>
                <w:lang w:val="en-US"/>
              </w:rPr>
            </w:pPr>
            <w:r>
              <w:rPr>
                <w:rFonts w:hint="eastAsia"/>
                <w:color w:val="auto"/>
                <w:lang w:val="en-US" w:eastAsia="zh-CN"/>
              </w:rPr>
              <w:t>北面</w:t>
            </w:r>
          </w:p>
        </w:tc>
        <w:tc>
          <w:tcPr>
            <w:tcW w:w="1739" w:type="pct"/>
            <w:noWrap w:val="0"/>
            <w:vAlign w:val="center"/>
          </w:tcPr>
          <w:p w14:paraId="7FD891C4">
            <w:pPr>
              <w:pStyle w:val="30"/>
              <w:bidi w:val="0"/>
              <w:rPr>
                <w:color w:val="auto"/>
              </w:rPr>
            </w:pPr>
            <w:r>
              <w:rPr>
                <w:color w:val="auto"/>
              </w:rPr>
              <w:t>《建筑设计防火规范[2018版]》</w:t>
            </w:r>
          </w:p>
          <w:p w14:paraId="3FF1BED8">
            <w:pPr>
              <w:pStyle w:val="30"/>
              <w:bidi w:val="0"/>
              <w:rPr>
                <w:rFonts w:hint="default"/>
                <w:color w:val="auto"/>
                <w:lang w:val="en-US" w:eastAsia="zh-CN"/>
              </w:rPr>
            </w:pPr>
            <w:r>
              <w:rPr>
                <w:rFonts w:hint="eastAsia"/>
                <w:color w:val="auto"/>
                <w:lang w:eastAsia="zh-CN"/>
              </w:rPr>
              <w:t>（</w:t>
            </w:r>
            <w:r>
              <w:rPr>
                <w:color w:val="auto"/>
              </w:rPr>
              <w:t>GB50016-2014</w:t>
            </w:r>
            <w:r>
              <w:rPr>
                <w:rFonts w:hint="eastAsia"/>
                <w:color w:val="auto"/>
                <w:lang w:eastAsia="zh-CN"/>
              </w:rPr>
              <w:t>）</w:t>
            </w:r>
            <w:r>
              <w:rPr>
                <w:color w:val="auto"/>
              </w:rPr>
              <w:t>，第3.4.1条</w:t>
            </w:r>
          </w:p>
        </w:tc>
      </w:tr>
      <w:tr w14:paraId="6D54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33" w:type="pct"/>
            <w:vMerge w:val="continue"/>
            <w:noWrap w:val="0"/>
            <w:vAlign w:val="center"/>
          </w:tcPr>
          <w:p w14:paraId="528EDD43">
            <w:pPr>
              <w:pStyle w:val="30"/>
              <w:bidi w:val="0"/>
              <w:rPr>
                <w:rFonts w:hint="default"/>
                <w:color w:val="auto"/>
                <w:lang w:val="en-US" w:eastAsia="zh-CN"/>
              </w:rPr>
            </w:pPr>
          </w:p>
        </w:tc>
        <w:tc>
          <w:tcPr>
            <w:tcW w:w="844" w:type="pct"/>
            <w:noWrap w:val="0"/>
            <w:vAlign w:val="center"/>
          </w:tcPr>
          <w:p w14:paraId="199DAE35">
            <w:pPr>
              <w:pStyle w:val="30"/>
              <w:bidi w:val="0"/>
              <w:rPr>
                <w:rFonts w:hint="eastAsia"/>
                <w:color w:val="auto"/>
                <w:lang w:val="en-US" w:eastAsia="zh-CN"/>
              </w:rPr>
            </w:pPr>
            <w:r>
              <w:rPr>
                <w:rFonts w:hint="eastAsia"/>
                <w:color w:val="auto"/>
                <w:lang w:val="en-US" w:eastAsia="zh-CN"/>
              </w:rPr>
              <w:t>旧村（民用，二级）</w:t>
            </w:r>
          </w:p>
        </w:tc>
        <w:tc>
          <w:tcPr>
            <w:tcW w:w="527" w:type="pct"/>
            <w:noWrap w:val="0"/>
            <w:vAlign w:val="center"/>
          </w:tcPr>
          <w:p w14:paraId="5F3A4375">
            <w:pPr>
              <w:pStyle w:val="30"/>
              <w:bidi w:val="0"/>
              <w:rPr>
                <w:rFonts w:hint="default"/>
                <w:color w:val="auto"/>
                <w:lang w:val="en-US" w:eastAsia="zh-CN"/>
              </w:rPr>
            </w:pPr>
            <w:r>
              <w:rPr>
                <w:rFonts w:hint="eastAsia"/>
                <w:color w:val="auto"/>
                <w:lang w:val="en-US" w:eastAsia="zh-CN"/>
              </w:rPr>
              <w:t>10</w:t>
            </w:r>
          </w:p>
        </w:tc>
        <w:tc>
          <w:tcPr>
            <w:tcW w:w="745" w:type="pct"/>
            <w:noWrap w:val="0"/>
            <w:vAlign w:val="center"/>
          </w:tcPr>
          <w:p w14:paraId="4415F0F1">
            <w:pPr>
              <w:pStyle w:val="30"/>
              <w:bidi w:val="0"/>
              <w:rPr>
                <w:rFonts w:hint="eastAsia"/>
                <w:color w:val="auto"/>
                <w:lang w:val="en-US" w:eastAsia="zh-CN"/>
              </w:rPr>
            </w:pPr>
            <w:r>
              <w:rPr>
                <w:rFonts w:hint="eastAsia"/>
                <w:color w:val="auto"/>
                <w:lang w:val="en-US" w:eastAsia="zh-CN"/>
              </w:rPr>
              <w:t>249</w:t>
            </w:r>
          </w:p>
        </w:tc>
        <w:tc>
          <w:tcPr>
            <w:tcW w:w="508" w:type="pct"/>
            <w:noWrap w:val="0"/>
            <w:vAlign w:val="center"/>
          </w:tcPr>
          <w:p w14:paraId="67FF92A8">
            <w:pPr>
              <w:pStyle w:val="30"/>
              <w:bidi w:val="0"/>
              <w:rPr>
                <w:rFonts w:hint="default"/>
                <w:color w:val="auto"/>
                <w:lang w:val="en-US" w:eastAsia="zh-CN"/>
              </w:rPr>
            </w:pPr>
            <w:r>
              <w:rPr>
                <w:rFonts w:hint="eastAsia"/>
                <w:color w:val="auto"/>
                <w:lang w:val="en-US" w:eastAsia="zh-CN"/>
              </w:rPr>
              <w:t>西面</w:t>
            </w:r>
          </w:p>
        </w:tc>
        <w:tc>
          <w:tcPr>
            <w:tcW w:w="1739" w:type="pct"/>
            <w:noWrap w:val="0"/>
            <w:vAlign w:val="center"/>
          </w:tcPr>
          <w:p w14:paraId="609C3625">
            <w:pPr>
              <w:pStyle w:val="30"/>
              <w:bidi w:val="0"/>
              <w:rPr>
                <w:rFonts w:hint="eastAsia"/>
                <w:color w:val="auto"/>
              </w:rPr>
            </w:pPr>
            <w:r>
              <w:rPr>
                <w:rFonts w:hint="eastAsia"/>
                <w:color w:val="auto"/>
              </w:rPr>
              <w:t>《建筑设计防火规范[2018版]》</w:t>
            </w:r>
          </w:p>
          <w:p w14:paraId="7C9FDE10">
            <w:pPr>
              <w:pStyle w:val="30"/>
              <w:bidi w:val="0"/>
              <w:rPr>
                <w:rFonts w:hint="eastAsia"/>
                <w:color w:val="auto"/>
                <w:lang w:eastAsia="zh-CN"/>
              </w:rPr>
            </w:pPr>
            <w:r>
              <w:rPr>
                <w:rFonts w:hint="eastAsia"/>
                <w:color w:val="auto"/>
              </w:rPr>
              <w:t>（GB50016-2014），第3.4.1条</w:t>
            </w:r>
          </w:p>
        </w:tc>
      </w:tr>
    </w:tbl>
    <w:p w14:paraId="67455E44">
      <w:pPr>
        <w:pStyle w:val="5"/>
        <w:bidi w:val="0"/>
        <w:rPr>
          <w:rFonts w:hint="default"/>
          <w:color w:val="auto"/>
          <w:lang w:val="en-US" w:eastAsia="zh-CN"/>
        </w:rPr>
      </w:pPr>
      <w:bookmarkStart w:id="6" w:name="_Toc24480"/>
      <w:r>
        <w:rPr>
          <w:rFonts w:hint="default"/>
          <w:color w:val="auto"/>
          <w:lang w:val="en-US" w:eastAsia="zh-CN"/>
        </w:rPr>
        <w:t>2.2 自然环境</w:t>
      </w:r>
      <w:bookmarkEnd w:id="6"/>
    </w:p>
    <w:p w14:paraId="7C9E1F68">
      <w:pPr>
        <w:pStyle w:val="6"/>
        <w:bidi w:val="0"/>
        <w:rPr>
          <w:rFonts w:hint="default"/>
          <w:color w:val="auto"/>
          <w:lang w:val="en-US" w:eastAsia="zh-CN"/>
        </w:rPr>
      </w:pPr>
      <w:r>
        <w:rPr>
          <w:rFonts w:hint="default"/>
          <w:color w:val="auto"/>
          <w:lang w:val="en-US" w:eastAsia="zh-CN"/>
        </w:rPr>
        <w:t>2.2.1 气象条件</w:t>
      </w:r>
    </w:p>
    <w:p w14:paraId="54315FE0">
      <w:pPr>
        <w:bidi w:val="0"/>
        <w:rPr>
          <w:rFonts w:hint="default"/>
          <w:color w:val="auto"/>
          <w:lang w:val="en-US" w:eastAsia="zh-CN"/>
        </w:rPr>
      </w:pPr>
      <w:r>
        <w:rPr>
          <w:rFonts w:hint="default"/>
          <w:color w:val="auto"/>
          <w:lang w:val="en-US" w:eastAsia="zh-CN"/>
        </w:rPr>
        <w:t>本项目所在地为北亚热带季风气候区，年平均气温15.6℃，最热月平均气温21.1℃，最冷月平均气温7.8℃，活动积温4844.7℃。日照时数2317.6h，日照率52%。年平均降水量964.9mm，5—10月为雨季，降水量占全年的90.7%。全年蒸发量为1333.35mm（D80cm），无霜期234天，多西南风。由于地形起伏较大，气候垂直变化亦较明显。植被为常绿阔叶林、落叶阔叶林和云南松林。</w:t>
      </w:r>
    </w:p>
    <w:p w14:paraId="00A35449">
      <w:pPr>
        <w:pStyle w:val="6"/>
        <w:bidi w:val="0"/>
        <w:rPr>
          <w:rFonts w:hint="default"/>
          <w:color w:val="auto"/>
          <w:lang w:val="en-US" w:eastAsia="zh-CN"/>
        </w:rPr>
      </w:pPr>
      <w:r>
        <w:rPr>
          <w:rFonts w:hint="default"/>
          <w:color w:val="auto"/>
          <w:lang w:val="en-US" w:eastAsia="zh-CN"/>
        </w:rPr>
        <w:t>2.2.2 地形地貌</w:t>
      </w:r>
    </w:p>
    <w:p w14:paraId="7DBE12C1">
      <w:pPr>
        <w:bidi w:val="0"/>
        <w:rPr>
          <w:rFonts w:hint="default"/>
          <w:color w:val="auto"/>
          <w:lang w:val="en-US" w:eastAsia="zh-CN"/>
        </w:rPr>
      </w:pPr>
      <w:r>
        <w:rPr>
          <w:rFonts w:hint="default"/>
          <w:color w:val="auto"/>
          <w:lang w:val="en-US" w:eastAsia="zh-CN"/>
        </w:rPr>
        <w:t>寻甸县位于滇东高原中部，地势西北高、东南低，呈向东南倾斜阶梯状，以走向北东～南西或近南北向的乌蒙山、梁王山、小海梁子等山脉为主，中间夹着长珑岗山地，从而形成金所、羊街和寻甸三个不同类型的低山丘陵盆地这地形特征。西北部分为山岭高地，羊场山、马鞍山、凤龙山组成的山岭和狭谷，山岭高程2500m，谷低高程2070m。东南部分为低山低山丘陵区，山岭多呈圆凸状，标高2080-2250m，而中间部分受构造断裂和剥蚀控制，形成该区由西向东阶梯状下降之地貌景观。县内大部分地区在海拔1800~2600m之间，最高点在金源与东川市交界的(花石头)巨龙梁子，主峰海拔3294.8m，金源河谷的小树棵最低，海拔1445m，县内最大高差1849.8m。全县呈现出山原峡谷交替，逶迤连绵的宏伟地貌景观。全县有金所盆地、羊街盆地和寻甸盆地三个。牛栏江的出口是该区最低侵蚀基准面，标高1860m。</w:t>
      </w:r>
    </w:p>
    <w:p w14:paraId="145D5180">
      <w:pPr>
        <w:bidi w:val="0"/>
        <w:rPr>
          <w:rFonts w:hint="default"/>
          <w:color w:val="auto"/>
          <w:lang w:val="en-US" w:eastAsia="zh-CN"/>
        </w:rPr>
      </w:pPr>
      <w:r>
        <w:rPr>
          <w:rFonts w:hint="default"/>
          <w:color w:val="auto"/>
          <w:lang w:val="en-US" w:eastAsia="zh-CN"/>
        </w:rPr>
        <w:t>全县的地貌类型有构造侵蚀地貌、构造侵蚀、溶蚀地貌、湖泊堆积地貌等。</w:t>
      </w:r>
    </w:p>
    <w:p w14:paraId="2D6A491C">
      <w:pPr>
        <w:bidi w:val="0"/>
        <w:rPr>
          <w:rFonts w:hint="default"/>
          <w:color w:val="auto"/>
          <w:lang w:val="en-US" w:eastAsia="zh-CN"/>
        </w:rPr>
      </w:pPr>
      <w:r>
        <w:rPr>
          <w:rFonts w:hint="default"/>
          <w:color w:val="auto"/>
          <w:lang w:val="en-US" w:eastAsia="zh-CN"/>
        </w:rPr>
        <w:t>柯渡镇地处低河谷槽区，地势西高东低；主要山脉有白鲁山、大黑山、乌龙山等；境内最高峰大黑山位于木刻行政村，海拔2964.8m；最低点其纳海位于猴街行政村，海拔1740m；境内有高山、河谷和盆地，境内地形起伏多变，山区、半山区面积占总面积的85%。</w:t>
      </w:r>
    </w:p>
    <w:p w14:paraId="58337294">
      <w:pPr>
        <w:bidi w:val="0"/>
        <w:rPr>
          <w:rFonts w:hint="default"/>
          <w:color w:val="auto"/>
          <w:lang w:val="en-US" w:eastAsia="zh-CN"/>
        </w:rPr>
      </w:pPr>
      <w:r>
        <w:rPr>
          <w:rFonts w:hint="default"/>
          <w:color w:val="auto"/>
          <w:lang w:val="en-US" w:eastAsia="zh-CN"/>
        </w:rPr>
        <w:t>压滤车间：现状场地内主要为林地、荒地及草地等。场地四周环山，属于构造剥蚀和溶蚀浅切割低中山缓坡地貌，最低垭口位于场地东北侧，勘察范围最高标高为1966.25m，最低标高为1954.52m，高差约11.73m，场区局部地段较陡峭。</w:t>
      </w:r>
    </w:p>
    <w:p w14:paraId="312384FE">
      <w:pPr>
        <w:bidi w:val="0"/>
        <w:rPr>
          <w:rFonts w:hint="default"/>
          <w:color w:val="auto"/>
          <w:lang w:val="en-US" w:eastAsia="zh-CN"/>
        </w:rPr>
      </w:pPr>
      <w:r>
        <w:rPr>
          <w:rFonts w:hint="default"/>
          <w:color w:val="auto"/>
          <w:lang w:val="en-US" w:eastAsia="zh-CN"/>
        </w:rPr>
        <w:t>输送管线：该区域地貌属溶丘洼地型和构造侵蚀中山型地貌，现状多为林地，植被较为茂密，场区地形切割强烈，起伏较大。场区总体地势北高南低，最高点位于北侧压滤区，海拔标高1966m，最低处位于南西部木板河，河面标高1726m，相对高差240m。区内山坡自然坡度一般19～38°，部分山脊平缓段地形坡度小于10°，场地地形起伏较大，实测钻孔高程介于 1961.25～1726.04m之间，高差约235.21m。</w:t>
      </w:r>
    </w:p>
    <w:p w14:paraId="27ECCE0B">
      <w:pPr>
        <w:bidi w:val="0"/>
        <w:rPr>
          <w:rFonts w:hint="default"/>
          <w:color w:val="auto"/>
          <w:lang w:val="en-US" w:eastAsia="zh-CN"/>
        </w:rPr>
      </w:pPr>
      <w:r>
        <w:rPr>
          <w:rFonts w:hint="default"/>
          <w:color w:val="auto"/>
          <w:lang w:val="en-US" w:eastAsia="zh-CN"/>
        </w:rPr>
        <w:t>浓缩车间：该区域处于半山区，属于中低山山麓斜坡地貌，原始地形为坡地，现状多为荒地，植被较为茂密，场地地形起伏不大，实测钻孔高程介于1880.21～1800.76m 之间，高差约0.55m。</w:t>
      </w:r>
    </w:p>
    <w:p w14:paraId="12D5DDC9">
      <w:pPr>
        <w:pStyle w:val="6"/>
        <w:bidi w:val="0"/>
        <w:rPr>
          <w:rFonts w:hint="default"/>
          <w:color w:val="auto"/>
          <w:lang w:val="en-US" w:eastAsia="zh-CN"/>
        </w:rPr>
      </w:pPr>
      <w:r>
        <w:rPr>
          <w:rFonts w:hint="eastAsia"/>
          <w:color w:val="auto"/>
          <w:lang w:val="en-US" w:eastAsia="zh-CN"/>
        </w:rPr>
        <w:t xml:space="preserve">2.2.3 </w:t>
      </w:r>
      <w:r>
        <w:rPr>
          <w:rFonts w:hint="default"/>
          <w:color w:val="auto"/>
          <w:lang w:val="en-US" w:eastAsia="zh-CN"/>
        </w:rPr>
        <w:t>地质构造</w:t>
      </w:r>
    </w:p>
    <w:p w14:paraId="44EAF315">
      <w:pPr>
        <w:bidi w:val="0"/>
        <w:rPr>
          <w:rFonts w:hint="default"/>
          <w:color w:val="auto"/>
          <w:lang w:val="en-US" w:eastAsia="zh-CN"/>
        </w:rPr>
      </w:pPr>
      <w:r>
        <w:rPr>
          <w:rFonts w:hint="default"/>
          <w:color w:val="auto"/>
          <w:lang w:val="en-US" w:eastAsia="zh-CN"/>
        </w:rPr>
        <w:t>根据云南省山地城镇岩土工程导则（试行）附图《云南省第四纪活动断裂分布图》，场地西部约3.75km有北东向的马街断裂（F147）通过，该断裂为早-中更新世活动断裂；场地西部约13.1km有近南北向的普渡河断裂（F54）通过，该断裂为早-中更新世断裂；场地南部约14.6km有北东向的梨花海断裂（F148）通过，该断裂为早-中更新世活动断裂；场地东北部约14.6km有南北向的小江西支主干断裂（F7）通过，该断裂为全新世活动断裂。</w:t>
      </w:r>
    </w:p>
    <w:p w14:paraId="69DCA6A2">
      <w:pPr>
        <w:bidi w:val="0"/>
        <w:rPr>
          <w:rFonts w:hint="default"/>
          <w:color w:val="auto"/>
          <w:lang w:val="en-US" w:eastAsia="zh-CN"/>
        </w:rPr>
      </w:pPr>
      <w:r>
        <w:rPr>
          <w:rFonts w:hint="default"/>
          <w:color w:val="auto"/>
          <w:lang w:val="en-US" w:eastAsia="zh-CN"/>
        </w:rPr>
        <w:t>场地10km范围内无全新世活动断裂通过，工程场区周边10km范围内亦无发震断裂分布</w:t>
      </w:r>
      <w:r>
        <w:rPr>
          <w:rFonts w:hint="eastAsia"/>
          <w:color w:val="auto"/>
          <w:lang w:val="en-US" w:eastAsia="zh-CN"/>
        </w:rPr>
        <w:t>。</w:t>
      </w:r>
    </w:p>
    <w:p w14:paraId="2F318103">
      <w:pPr>
        <w:pStyle w:val="6"/>
        <w:bidi w:val="0"/>
        <w:rPr>
          <w:rFonts w:hint="default"/>
          <w:color w:val="auto"/>
          <w:lang w:val="en-US" w:eastAsia="zh-CN"/>
        </w:rPr>
      </w:pPr>
      <w:r>
        <w:rPr>
          <w:rFonts w:hint="default"/>
          <w:color w:val="auto"/>
          <w:lang w:val="en-US" w:eastAsia="zh-CN"/>
        </w:rPr>
        <w:t>2</w:t>
      </w:r>
      <w:r>
        <w:rPr>
          <w:rFonts w:hint="eastAsia"/>
          <w:color w:val="auto"/>
          <w:lang w:val="en-US" w:eastAsia="zh-CN"/>
        </w:rPr>
        <w:t>.2.4</w:t>
      </w:r>
      <w:r>
        <w:rPr>
          <w:rFonts w:hint="default"/>
          <w:color w:val="auto"/>
          <w:lang w:val="en-US" w:eastAsia="zh-CN"/>
        </w:rPr>
        <w:t xml:space="preserve"> 地震效应</w:t>
      </w:r>
    </w:p>
    <w:p w14:paraId="48C8EE44">
      <w:pPr>
        <w:bidi w:val="0"/>
        <w:rPr>
          <w:rFonts w:hint="default"/>
          <w:color w:val="auto"/>
          <w:lang w:val="en-US" w:eastAsia="zh-CN"/>
        </w:rPr>
      </w:pPr>
      <w:r>
        <w:rPr>
          <w:rFonts w:hint="default"/>
          <w:color w:val="auto"/>
          <w:lang w:val="en-US" w:eastAsia="zh-CN"/>
        </w:rPr>
        <w:t>根据《中国地震动参数区划图》（GB 18306-2015）及《建筑抗震设计规范》（GB50011-2010 2016年版）第3.2.4条及附录A规定，拟建场地所在的寻甸回族彝族自治县柯渡镇，地震分组为第三组，其抗震设防烈度为8度，基本加速度为0.20g，反应谱特征周期为0.45s，结构设计应据此设防。</w:t>
      </w:r>
    </w:p>
    <w:p w14:paraId="6FABD1A5">
      <w:pPr>
        <w:pStyle w:val="6"/>
        <w:bidi w:val="0"/>
        <w:rPr>
          <w:rFonts w:hint="default"/>
          <w:color w:val="auto"/>
          <w:lang w:val="en-US" w:eastAsia="zh-CN"/>
        </w:rPr>
      </w:pPr>
      <w:r>
        <w:rPr>
          <w:rFonts w:hint="eastAsia"/>
          <w:color w:val="auto"/>
          <w:lang w:val="en-US" w:eastAsia="zh-CN"/>
        </w:rPr>
        <w:t>2.2.5</w:t>
      </w:r>
      <w:r>
        <w:rPr>
          <w:rFonts w:hint="default"/>
          <w:color w:val="auto"/>
          <w:lang w:val="en-US" w:eastAsia="zh-CN"/>
        </w:rPr>
        <w:t xml:space="preserve"> 水文地质条件</w:t>
      </w:r>
    </w:p>
    <w:p w14:paraId="0B3B5118">
      <w:pPr>
        <w:bidi w:val="0"/>
        <w:rPr>
          <w:rFonts w:hint="default"/>
          <w:color w:val="auto"/>
          <w:lang w:val="en-US" w:eastAsia="zh-CN"/>
        </w:rPr>
      </w:pPr>
      <w:r>
        <w:rPr>
          <w:rFonts w:hint="eastAsia"/>
          <w:color w:val="auto"/>
          <w:lang w:val="en-US" w:eastAsia="zh-CN"/>
        </w:rPr>
        <w:t>1、</w:t>
      </w:r>
      <w:r>
        <w:rPr>
          <w:rFonts w:hint="default"/>
          <w:color w:val="auto"/>
          <w:lang w:val="en-US" w:eastAsia="zh-CN"/>
        </w:rPr>
        <w:t>场地水文地质单元</w:t>
      </w:r>
    </w:p>
    <w:p w14:paraId="7EF86937">
      <w:pPr>
        <w:bidi w:val="0"/>
        <w:rPr>
          <w:rFonts w:hint="default"/>
          <w:color w:val="auto"/>
          <w:lang w:val="en-US" w:eastAsia="zh-CN"/>
        </w:rPr>
      </w:pPr>
      <w:r>
        <w:rPr>
          <w:rFonts w:hint="default"/>
          <w:color w:val="auto"/>
          <w:lang w:val="en-US" w:eastAsia="zh-CN"/>
        </w:rPr>
        <w:t>场区属普渡河支流木板河（又称蟒蛇河）流域。从岩溶山区到河谷，构成相对独立的水文地质单元，山区地表径流向河谷汇集，地下水亦服从这一格局。场址区处于木板河汇水型水文地质单元的径流、排泄区，北部形成分水岭，分别排泄地表水和地下水。据此结合场址区的地质结构、岩性、地形地貌等，将场区水文地质单元划分为1个水文地质单元，简述如下：</w:t>
      </w:r>
    </w:p>
    <w:p w14:paraId="7B6DB650">
      <w:pPr>
        <w:bidi w:val="0"/>
        <w:rPr>
          <w:rFonts w:hint="eastAsia"/>
          <w:color w:val="auto"/>
          <w:lang w:val="en-US" w:eastAsia="zh-CN"/>
        </w:rPr>
      </w:pPr>
      <w:r>
        <w:rPr>
          <w:rFonts w:hint="default"/>
          <w:color w:val="auto"/>
          <w:lang w:val="en-US" w:eastAsia="zh-CN"/>
        </w:rPr>
        <w:t>木板河水文地质单元</w:t>
      </w:r>
      <w:r>
        <w:rPr>
          <w:rFonts w:hint="eastAsia"/>
          <w:color w:val="auto"/>
          <w:lang w:val="en-US" w:eastAsia="zh-CN"/>
        </w:rPr>
        <w:t>：</w:t>
      </w:r>
    </w:p>
    <w:p w14:paraId="71408C8F">
      <w:pPr>
        <w:bidi w:val="0"/>
        <w:rPr>
          <w:rFonts w:hint="default"/>
          <w:color w:val="auto"/>
          <w:lang w:val="en-US" w:eastAsia="zh-CN"/>
        </w:rPr>
      </w:pPr>
      <w:r>
        <w:rPr>
          <w:rFonts w:hint="default"/>
          <w:color w:val="auto"/>
          <w:lang w:val="en-US" w:eastAsia="zh-CN"/>
        </w:rPr>
        <w:t>该水文地质单元包含整个场区及其周边，其边界大致以北部分水岭为界；南部以木板河为界；西部以泥盆系中统（D2a)碎屑岩类基岩裂隙中等含水层为界；东部以二叠系上-下统（P1-2c)火成岩类基岩裂隙弱-中等含水层为界。场区及其周边出露地层主要含水层组为：新生界第四系（Q)、第三系；中生界三叠系上统舍资组（T3s)；古生界二叠系上下统（P1-2c)、（P1-2b)、（P1-2a)、二叠系下统（P</w:t>
      </w:r>
      <w:r>
        <w:rPr>
          <w:rFonts w:hint="default"/>
          <w:color w:val="auto"/>
          <w:vertAlign w:val="subscript"/>
          <w:lang w:val="en-US" w:eastAsia="zh-CN"/>
        </w:rPr>
        <w:t>1</w:t>
      </w:r>
      <w:r>
        <w:rPr>
          <w:rFonts w:hint="default"/>
          <w:color w:val="auto"/>
          <w:vertAlign w:val="superscript"/>
          <w:lang w:val="en-US" w:eastAsia="zh-CN"/>
        </w:rPr>
        <w:t>q+m</w:t>
      </w:r>
      <w:r>
        <w:rPr>
          <w:rFonts w:hint="default"/>
          <w:color w:val="auto"/>
          <w:lang w:val="en-US" w:eastAsia="zh-CN"/>
        </w:rPr>
        <w:t>)栖霞茅口组、矿山场组（P1k)、石炭系上-中统（C2-3)、下统（C1)、泥盆系中统（D2a)、下统（D1)、奥陶系下统红石崖组（O1h)、寒武系中统双龙潭组（∈2s)等地层。该单元以松散岩土类、碎屑岩类、火成岩类基岩裂隙水及碳酸盐岩类岩溶裂隙水为主，山区为补给径流区，木板河地势低洼处为排泄区。溪沟、地表分水岭及其汇水区构成一个小的水文地质单元，为有相对独立的补、径、排水动力区。区域各含水层地下水主要接受大气降水入渗补给，地下水总体由北东向南西径流，最终排泄至木板河。</w:t>
      </w:r>
    </w:p>
    <w:p w14:paraId="5160EF29">
      <w:pPr>
        <w:bidi w:val="0"/>
        <w:rPr>
          <w:rFonts w:hint="default"/>
          <w:color w:val="auto"/>
          <w:lang w:val="en-US" w:eastAsia="zh-CN"/>
        </w:rPr>
      </w:pPr>
      <w:r>
        <w:rPr>
          <w:rFonts w:hint="eastAsia"/>
          <w:color w:val="auto"/>
          <w:lang w:val="en-US" w:eastAsia="zh-CN"/>
        </w:rPr>
        <w:t>2、</w:t>
      </w:r>
      <w:r>
        <w:rPr>
          <w:rFonts w:hint="default"/>
          <w:color w:val="auto"/>
          <w:lang w:val="en-US" w:eastAsia="zh-CN"/>
        </w:rPr>
        <w:t>地下水</w:t>
      </w:r>
    </w:p>
    <w:p w14:paraId="6226E916">
      <w:pPr>
        <w:bidi w:val="0"/>
        <w:rPr>
          <w:rFonts w:hint="default"/>
          <w:color w:val="auto"/>
          <w:lang w:val="en-US" w:eastAsia="zh-CN"/>
        </w:rPr>
      </w:pPr>
      <w:r>
        <w:rPr>
          <w:rFonts w:hint="default"/>
          <w:color w:val="auto"/>
          <w:lang w:val="en-US" w:eastAsia="zh-CN"/>
        </w:rPr>
        <w:t>根据地层岩性特征及赋存地下水介质的孔隙特征，将场地地下水类型划分为松散堆积层孔隙含水层组、基岩裂隙含水层组和裂隙溶洞含水层组，各类型地下水含水层（组）及其富水性描述如下：</w:t>
      </w:r>
    </w:p>
    <w:p w14:paraId="03E3ADC8">
      <w:pPr>
        <w:bidi w:val="0"/>
        <w:rPr>
          <w:rFonts w:hint="default"/>
          <w:color w:val="auto"/>
          <w:lang w:val="en-US" w:eastAsia="zh-CN"/>
        </w:rPr>
      </w:pPr>
      <w:r>
        <w:rPr>
          <w:rFonts w:hint="eastAsia"/>
          <w:color w:val="auto"/>
          <w:lang w:val="en-US" w:eastAsia="zh-CN"/>
        </w:rPr>
        <w:t>（1）</w:t>
      </w:r>
      <w:r>
        <w:rPr>
          <w:rFonts w:hint="default"/>
          <w:color w:val="auto"/>
          <w:lang w:val="en-US" w:eastAsia="zh-CN"/>
        </w:rPr>
        <w:t>松散堆积层孔隙水含水层组</w:t>
      </w:r>
    </w:p>
    <w:p w14:paraId="31EFDF9E">
      <w:pPr>
        <w:bidi w:val="0"/>
        <w:rPr>
          <w:rFonts w:hint="default"/>
          <w:color w:val="auto"/>
          <w:lang w:val="en-US" w:eastAsia="zh-CN"/>
        </w:rPr>
      </w:pPr>
      <w:r>
        <w:rPr>
          <w:rFonts w:hint="default"/>
          <w:color w:val="auto"/>
          <w:lang w:val="en-US" w:eastAsia="zh-CN"/>
        </w:rPr>
        <w:t>指赋存于第四系松散层孔隙中的地下水，以土颗粒间隙、裂隙为存储空间及运移通道。勘察区内含水层主要为第四系人工堆积（Q</w:t>
      </w:r>
      <w:r>
        <w:rPr>
          <w:rFonts w:hint="default"/>
          <w:color w:val="auto"/>
          <w:vertAlign w:val="subscript"/>
          <w:lang w:val="en-US" w:eastAsia="zh-CN"/>
        </w:rPr>
        <w:t>4</w:t>
      </w:r>
      <w:r>
        <w:rPr>
          <w:rFonts w:hint="default"/>
          <w:color w:val="auto"/>
          <w:vertAlign w:val="superscript"/>
          <w:lang w:val="en-US" w:eastAsia="zh-CN"/>
        </w:rPr>
        <w:t>pd</w:t>
      </w:r>
      <w:r>
        <w:rPr>
          <w:rFonts w:hint="default"/>
          <w:color w:val="auto"/>
          <w:lang w:val="en-US" w:eastAsia="zh-CN"/>
        </w:rPr>
        <w:t>）形成的耕土，第四系坡残积层（Q</w:t>
      </w:r>
      <w:r>
        <w:rPr>
          <w:rFonts w:hint="default"/>
          <w:color w:val="auto"/>
          <w:vertAlign w:val="subscript"/>
          <w:lang w:val="en-US" w:eastAsia="zh-CN"/>
        </w:rPr>
        <w:t>4</w:t>
      </w:r>
      <w:r>
        <w:rPr>
          <w:rFonts w:hint="default"/>
          <w:color w:val="auto"/>
          <w:vertAlign w:val="superscript"/>
          <w:lang w:val="en-US" w:eastAsia="zh-CN"/>
        </w:rPr>
        <w:t>dl+el</w:t>
      </w:r>
      <w:r>
        <w:rPr>
          <w:rFonts w:hint="default"/>
          <w:color w:val="auto"/>
          <w:lang w:val="en-US" w:eastAsia="zh-CN"/>
        </w:rPr>
        <w:t>）形成的粘土和粉质粘土。因其岩性及其所处地形、地貌部位不同，富水程度差异较大，地下水位主要受季节性降水影响，仅在谷底、冲沟沟口段雨季时局部存在不连续的脉状包气带水，水量微弱，旱季即蒸发疏干。</w:t>
      </w:r>
    </w:p>
    <w:p w14:paraId="299ACEE3">
      <w:pPr>
        <w:bidi w:val="0"/>
        <w:rPr>
          <w:rFonts w:hint="default"/>
          <w:color w:val="auto"/>
          <w:lang w:val="en-US" w:eastAsia="zh-CN"/>
        </w:rPr>
      </w:pPr>
      <w:r>
        <w:rPr>
          <w:rFonts w:hint="eastAsia"/>
          <w:color w:val="auto"/>
          <w:lang w:val="en-US" w:eastAsia="zh-CN"/>
        </w:rPr>
        <w:t>根据地质勘察，</w:t>
      </w:r>
      <w:r>
        <w:rPr>
          <w:rFonts w:hint="default"/>
          <w:color w:val="auto"/>
          <w:lang w:val="en-US" w:eastAsia="zh-CN"/>
        </w:rPr>
        <w:t>所有勘探点均未揭露此层地下水。</w:t>
      </w:r>
    </w:p>
    <w:p w14:paraId="364C9223">
      <w:pPr>
        <w:bidi w:val="0"/>
        <w:rPr>
          <w:rFonts w:hint="default"/>
          <w:color w:val="auto"/>
          <w:lang w:val="en-US" w:eastAsia="zh-CN"/>
        </w:rPr>
      </w:pPr>
      <w:r>
        <w:rPr>
          <w:rFonts w:hint="eastAsia"/>
          <w:color w:val="auto"/>
          <w:lang w:val="en-US" w:eastAsia="zh-CN"/>
        </w:rPr>
        <w:t>（2）</w:t>
      </w:r>
      <w:r>
        <w:rPr>
          <w:rFonts w:hint="default"/>
          <w:color w:val="auto"/>
          <w:lang w:val="en-US" w:eastAsia="zh-CN"/>
        </w:rPr>
        <w:t>基岩裂隙水</w:t>
      </w:r>
    </w:p>
    <w:p w14:paraId="37A77819">
      <w:pPr>
        <w:bidi w:val="0"/>
        <w:rPr>
          <w:rFonts w:hint="default"/>
          <w:color w:val="auto"/>
          <w:lang w:val="en-US" w:eastAsia="zh-CN"/>
        </w:rPr>
      </w:pPr>
      <w:r>
        <w:rPr>
          <w:rFonts w:hint="default"/>
          <w:color w:val="auto"/>
          <w:lang w:val="en-US" w:eastAsia="zh-CN"/>
        </w:rPr>
        <w:t>由二叠系上-下统第二喷发旋回（P1-2b）风化基岩裂隙含水层组成。分布于勘察区的东部，岩性特征为玄武岩。地下水主要赋存于强～中等风化岩带风化裂隙孔隙中，其富水性强弱与风化裂隙发育程度、填充程度、补给条件密切相关。由于节理裂隙较发育，随基岩风化程度的降低，透水性呈弱～微透水的特征，强～中风化岩层具有一定的富水性，由于该段岩层地势均较高，其富水性相对较弱，所含水量较少，节理裂隙闭合地段无地下水分布；未风化岩层富水性极弱，所含水量极微。</w:t>
      </w:r>
    </w:p>
    <w:p w14:paraId="4593AC79">
      <w:pPr>
        <w:bidi w:val="0"/>
        <w:rPr>
          <w:rFonts w:hint="default"/>
          <w:color w:val="auto"/>
          <w:lang w:val="en-US" w:eastAsia="zh-CN"/>
        </w:rPr>
      </w:pPr>
      <w:r>
        <w:rPr>
          <w:rFonts w:hint="default"/>
          <w:color w:val="auto"/>
          <w:lang w:val="en-US" w:eastAsia="zh-CN"/>
        </w:rPr>
        <w:t>根据地质勘察，所有勘探点均未揭露此层地下水。</w:t>
      </w:r>
    </w:p>
    <w:p w14:paraId="0E646FFB">
      <w:pPr>
        <w:bidi w:val="0"/>
        <w:rPr>
          <w:rFonts w:hint="default"/>
          <w:color w:val="auto"/>
          <w:lang w:val="en-US" w:eastAsia="zh-CN"/>
        </w:rPr>
      </w:pPr>
      <w:r>
        <w:rPr>
          <w:rFonts w:hint="eastAsia"/>
          <w:color w:val="auto"/>
          <w:lang w:val="en-US" w:eastAsia="zh-CN"/>
        </w:rPr>
        <w:t>（3）</w:t>
      </w:r>
      <w:r>
        <w:rPr>
          <w:rFonts w:hint="default"/>
          <w:color w:val="auto"/>
          <w:lang w:val="en-US" w:eastAsia="zh-CN"/>
        </w:rPr>
        <w:t>裂隙溶洞岩溶水</w:t>
      </w:r>
    </w:p>
    <w:p w14:paraId="7428E42B">
      <w:pPr>
        <w:bidi w:val="0"/>
        <w:rPr>
          <w:rFonts w:hint="default"/>
          <w:color w:val="auto"/>
          <w:lang w:val="en-US" w:eastAsia="zh-CN"/>
        </w:rPr>
      </w:pPr>
      <w:r>
        <w:rPr>
          <w:rFonts w:hint="default"/>
          <w:color w:val="auto"/>
          <w:lang w:val="en-US" w:eastAsia="zh-CN"/>
        </w:rPr>
        <w:t>由二叠系下统栖霞茅口组（P</w:t>
      </w:r>
      <w:r>
        <w:rPr>
          <w:rFonts w:hint="default"/>
          <w:color w:val="auto"/>
          <w:vertAlign w:val="subscript"/>
          <w:lang w:val="en-US" w:eastAsia="zh-CN"/>
        </w:rPr>
        <w:t>1</w:t>
      </w:r>
      <w:r>
        <w:rPr>
          <w:rFonts w:hint="default"/>
          <w:color w:val="auto"/>
          <w:vertAlign w:val="superscript"/>
          <w:lang w:val="en-US" w:eastAsia="zh-CN"/>
        </w:rPr>
        <w:t>q+m</w:t>
      </w:r>
      <w:r>
        <w:rPr>
          <w:rFonts w:hint="default"/>
          <w:color w:val="auto"/>
          <w:lang w:val="en-US" w:eastAsia="zh-CN"/>
        </w:rPr>
        <w:t>）裂隙溶洞含水层组成。分布于勘察区的西部，岩性特征为灰岩。地下水主要赋存于中等～弱风化岩带的溶蚀裂隙和溶蚀管道中，其富水性强弱与溶蚀裂隙发育程度、填充程度、溶蚀管道联通程度及补给条件密切相关。本层含水层属裸露纯层型，溶洞暗河强烈发育，根据地质勘察，所有勘探点均未揭露此层地下水</w:t>
      </w:r>
      <w:r>
        <w:rPr>
          <w:rFonts w:hint="eastAsia"/>
          <w:color w:val="auto"/>
          <w:lang w:val="en-US" w:eastAsia="zh-CN"/>
        </w:rPr>
        <w:t>。</w:t>
      </w:r>
    </w:p>
    <w:p w14:paraId="3073761D">
      <w:pPr>
        <w:pStyle w:val="6"/>
        <w:bidi w:val="0"/>
        <w:rPr>
          <w:rFonts w:hint="default"/>
          <w:color w:val="auto"/>
          <w:lang w:val="en-US" w:eastAsia="zh-CN"/>
        </w:rPr>
      </w:pPr>
      <w:r>
        <w:rPr>
          <w:rFonts w:hint="eastAsia"/>
          <w:color w:val="auto"/>
          <w:lang w:val="en-US" w:eastAsia="zh-CN"/>
        </w:rPr>
        <w:t>2.2.6</w:t>
      </w:r>
      <w:r>
        <w:rPr>
          <w:rFonts w:hint="default"/>
          <w:color w:val="auto"/>
          <w:lang w:val="en-US" w:eastAsia="zh-CN"/>
        </w:rPr>
        <w:t xml:space="preserve"> 勘察报告结论</w:t>
      </w:r>
    </w:p>
    <w:p w14:paraId="67D98847">
      <w:pPr>
        <w:bidi w:val="0"/>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场地输送管线区域场地划分为对建筑抗震不利地段，其余地段划分为对建筑抗震一般地段，根据《城乡规划工程地质勘察规范》（CJJ57-2012）8.2.1 条可知场地属于基本稳定性的场地，基本适宜工程建设。</w:t>
      </w:r>
    </w:p>
    <w:p w14:paraId="219D7D4D">
      <w:pPr>
        <w:bidi w:val="0"/>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地基岩土层在水平和竖直方向岩性、状态及力学性质差异较大，同一地层在不同深度范围内表现出不均匀性，总体属不均匀地基。</w:t>
      </w:r>
    </w:p>
    <w:p w14:paraId="01A4661D">
      <w:pPr>
        <w:bidi w:val="0"/>
        <w:rPr>
          <w:rFonts w:hint="default"/>
          <w:color w:val="auto"/>
          <w:lang w:val="en-US" w:eastAsia="zh-CN"/>
        </w:rPr>
      </w:pPr>
      <w:r>
        <w:rPr>
          <w:rFonts w:hint="default"/>
          <w:color w:val="auto"/>
          <w:lang w:val="en-US" w:eastAsia="zh-CN"/>
        </w:rPr>
        <w:t>3</w:t>
      </w:r>
      <w:r>
        <w:rPr>
          <w:rFonts w:hint="eastAsia"/>
          <w:color w:val="auto"/>
          <w:lang w:val="en-US" w:eastAsia="zh-CN"/>
        </w:rPr>
        <w:t>、</w:t>
      </w:r>
      <w:r>
        <w:rPr>
          <w:rFonts w:hint="default"/>
          <w:color w:val="auto"/>
          <w:lang w:val="en-US" w:eastAsia="zh-CN"/>
        </w:rPr>
        <w:t>根据《建筑抗震设计规范》（GB</w:t>
      </w:r>
      <w:r>
        <w:rPr>
          <w:rFonts w:hint="eastAsia"/>
          <w:color w:val="auto"/>
          <w:lang w:val="en-US" w:eastAsia="zh-CN"/>
        </w:rPr>
        <w:t xml:space="preserve"> </w:t>
      </w:r>
      <w:r>
        <w:rPr>
          <w:rFonts w:hint="default"/>
          <w:color w:val="auto"/>
          <w:lang w:val="en-US" w:eastAsia="zh-CN"/>
        </w:rPr>
        <w:t>50011-2010/2016年版）附录A.0.25及《中国地震动参数区划图》（GB18306-2015），寻甸回族彝族自治县柯渡镇，地震分组为第三组，其抗震设防烈度为8度（根据《中国地震动参数区划图》（GB18306-2015）的相关参数，其基本加速度为0.20g，因此判定为8度），基本加速度为0.20g，反应谱特征周期为0.45s。</w:t>
      </w:r>
    </w:p>
    <w:p w14:paraId="5993BFF9">
      <w:pPr>
        <w:bidi w:val="0"/>
        <w:rPr>
          <w:rFonts w:hint="default"/>
          <w:color w:val="auto"/>
          <w:lang w:val="en-US" w:eastAsia="zh-CN"/>
        </w:rPr>
      </w:pPr>
      <w:r>
        <w:rPr>
          <w:rFonts w:hint="default"/>
          <w:color w:val="auto"/>
          <w:lang w:val="en-US" w:eastAsia="zh-CN"/>
        </w:rPr>
        <w:t>4</w:t>
      </w:r>
      <w:r>
        <w:rPr>
          <w:rFonts w:hint="eastAsia"/>
          <w:color w:val="auto"/>
          <w:lang w:val="en-US" w:eastAsia="zh-CN"/>
        </w:rPr>
        <w:t>、</w:t>
      </w:r>
      <w:r>
        <w:rPr>
          <w:rFonts w:hint="default"/>
          <w:color w:val="auto"/>
          <w:lang w:val="en-US" w:eastAsia="zh-CN"/>
        </w:rPr>
        <w:t>建筑场地类别总体划分为Ⅱ类场地，中硬土场地。</w:t>
      </w:r>
    </w:p>
    <w:p w14:paraId="573826BE">
      <w:pPr>
        <w:bidi w:val="0"/>
        <w:rPr>
          <w:rFonts w:hint="default"/>
          <w:color w:val="auto"/>
          <w:lang w:val="en-US" w:eastAsia="zh-CN"/>
        </w:rPr>
      </w:pPr>
      <w:r>
        <w:rPr>
          <w:rFonts w:hint="default"/>
          <w:color w:val="auto"/>
          <w:lang w:val="en-US" w:eastAsia="zh-CN"/>
        </w:rPr>
        <w:t>5</w:t>
      </w:r>
      <w:r>
        <w:rPr>
          <w:rFonts w:hint="eastAsia"/>
          <w:color w:val="auto"/>
          <w:lang w:val="en-US" w:eastAsia="zh-CN"/>
        </w:rPr>
        <w:t>、</w:t>
      </w:r>
      <w:r>
        <w:rPr>
          <w:rFonts w:hint="default"/>
          <w:color w:val="auto"/>
          <w:lang w:val="en-US" w:eastAsia="zh-CN"/>
        </w:rPr>
        <w:t>地基土对混凝土结构和钢筋混凝土中的钢筋及钢结构均具微腐蚀性。</w:t>
      </w:r>
    </w:p>
    <w:p w14:paraId="18F134F4">
      <w:pPr>
        <w:pStyle w:val="5"/>
        <w:bidi w:val="0"/>
        <w:rPr>
          <w:rFonts w:hint="default"/>
          <w:color w:val="auto"/>
          <w:lang w:val="en-US" w:eastAsia="zh-CN"/>
        </w:rPr>
      </w:pPr>
      <w:bookmarkStart w:id="7" w:name="_Toc15349"/>
      <w:r>
        <w:rPr>
          <w:rFonts w:hint="eastAsia"/>
          <w:color w:val="auto"/>
          <w:lang w:val="en-US" w:eastAsia="zh-CN"/>
        </w:rPr>
        <w:t>2.3</w:t>
      </w:r>
      <w:r>
        <w:rPr>
          <w:rFonts w:hint="default"/>
          <w:color w:val="auto"/>
          <w:lang w:val="en-US" w:eastAsia="zh-CN"/>
        </w:rPr>
        <w:t xml:space="preserve"> 项目建设条件</w:t>
      </w:r>
      <w:bookmarkEnd w:id="7"/>
    </w:p>
    <w:p w14:paraId="47B1C97A">
      <w:pPr>
        <w:pStyle w:val="6"/>
        <w:bidi w:val="0"/>
        <w:rPr>
          <w:rFonts w:hint="default"/>
          <w:color w:val="auto"/>
          <w:lang w:val="en-US" w:eastAsia="zh-CN"/>
        </w:rPr>
      </w:pPr>
      <w:r>
        <w:rPr>
          <w:rFonts w:hint="eastAsia"/>
          <w:color w:val="auto"/>
          <w:lang w:val="en-US" w:eastAsia="zh-CN"/>
        </w:rPr>
        <w:t>2.3.1</w:t>
      </w:r>
      <w:r>
        <w:rPr>
          <w:rFonts w:hint="default"/>
          <w:color w:val="auto"/>
          <w:lang w:val="en-US" w:eastAsia="zh-CN"/>
        </w:rPr>
        <w:t xml:space="preserve"> 供水水源</w:t>
      </w:r>
    </w:p>
    <w:p w14:paraId="35188B68">
      <w:pPr>
        <w:bidi w:val="0"/>
        <w:rPr>
          <w:rFonts w:hint="default"/>
          <w:color w:val="auto"/>
          <w:lang w:val="en-US" w:eastAsia="zh-CN"/>
        </w:rPr>
      </w:pPr>
      <w:r>
        <w:rPr>
          <w:rFonts w:hint="default"/>
          <w:color w:val="auto"/>
          <w:lang w:val="en-US" w:eastAsia="zh-CN"/>
        </w:rPr>
        <w:t>生产用水为选厂来料尾矿经过浓缩和压滤的澄清水供生产用水。生活用水为选厂职工生活用水的水源，饮用水为瓶装水，能充分满足生活用水的需求。</w:t>
      </w:r>
    </w:p>
    <w:p w14:paraId="6B4EEC64">
      <w:pPr>
        <w:pStyle w:val="6"/>
        <w:bidi w:val="0"/>
        <w:rPr>
          <w:rFonts w:hint="default"/>
          <w:color w:val="auto"/>
          <w:lang w:val="en-US" w:eastAsia="zh-CN"/>
        </w:rPr>
      </w:pPr>
      <w:r>
        <w:rPr>
          <w:rFonts w:hint="eastAsia"/>
          <w:color w:val="auto"/>
          <w:lang w:val="en-US" w:eastAsia="zh-CN"/>
        </w:rPr>
        <w:t>2.3.2</w:t>
      </w:r>
      <w:r>
        <w:rPr>
          <w:rFonts w:hint="default"/>
          <w:color w:val="auto"/>
          <w:lang w:val="en-US" w:eastAsia="zh-CN"/>
        </w:rPr>
        <w:t xml:space="preserve"> 供电电源</w:t>
      </w:r>
    </w:p>
    <w:p w14:paraId="1F1713F3">
      <w:pPr>
        <w:bidi w:val="0"/>
        <w:rPr>
          <w:rFonts w:hint="default"/>
          <w:color w:val="auto"/>
          <w:lang w:val="en-US" w:eastAsia="zh-CN"/>
        </w:rPr>
      </w:pPr>
      <w:r>
        <w:rPr>
          <w:rFonts w:hint="default"/>
          <w:color w:val="auto"/>
          <w:lang w:val="en-US" w:eastAsia="zh-CN"/>
        </w:rPr>
        <w:t>项目供电设施为从公司选矿厂变电站接来，新建2台800kVA（位于压滤车间旁）、1台315kVA（位于浓缩车间旁）油浸变压器，新建配电室，</w:t>
      </w:r>
      <w:r>
        <w:rPr>
          <w:rFonts w:hint="eastAsia"/>
          <w:color w:val="auto"/>
          <w:lang w:val="en-US" w:eastAsia="zh-CN"/>
        </w:rPr>
        <w:t>位于</w:t>
      </w:r>
      <w:r>
        <w:rPr>
          <w:rFonts w:hint="default"/>
          <w:color w:val="auto"/>
          <w:lang w:val="en-US" w:eastAsia="zh-CN"/>
        </w:rPr>
        <w:t>压滤车间旁</w:t>
      </w:r>
      <w:r>
        <w:rPr>
          <w:rFonts w:hint="eastAsia"/>
          <w:color w:val="auto"/>
          <w:lang w:val="en-US" w:eastAsia="zh-CN"/>
        </w:rPr>
        <w:t>，</w:t>
      </w:r>
      <w:r>
        <w:rPr>
          <w:rFonts w:hint="default"/>
          <w:color w:val="auto"/>
          <w:lang w:val="en-US" w:eastAsia="zh-CN"/>
        </w:rPr>
        <w:t>供尾矿处理系统各生产车间使用。</w:t>
      </w:r>
      <w:r>
        <w:rPr>
          <w:rFonts w:hint="eastAsia"/>
          <w:color w:val="auto"/>
          <w:lang w:val="en-US" w:eastAsia="zh-CN"/>
        </w:rPr>
        <w:t>供配电</w:t>
      </w:r>
      <w:r>
        <w:rPr>
          <w:rFonts w:hint="default"/>
          <w:color w:val="auto"/>
          <w:lang w:val="en-US" w:eastAsia="zh-CN"/>
        </w:rPr>
        <w:t>满足要求。</w:t>
      </w:r>
    </w:p>
    <w:p w14:paraId="7BDC871A">
      <w:pPr>
        <w:pStyle w:val="6"/>
        <w:bidi w:val="0"/>
        <w:rPr>
          <w:rFonts w:hint="default"/>
          <w:color w:val="auto"/>
          <w:lang w:val="en-US" w:eastAsia="zh-CN"/>
        </w:rPr>
      </w:pPr>
      <w:r>
        <w:rPr>
          <w:rFonts w:hint="eastAsia"/>
          <w:color w:val="auto"/>
          <w:lang w:val="en-US" w:eastAsia="zh-CN"/>
        </w:rPr>
        <w:t>2.3.3</w:t>
      </w:r>
      <w:r>
        <w:rPr>
          <w:rFonts w:hint="default"/>
          <w:color w:val="auto"/>
          <w:lang w:val="en-US" w:eastAsia="zh-CN"/>
        </w:rPr>
        <w:t xml:space="preserve"> 外部运输</w:t>
      </w:r>
    </w:p>
    <w:p w14:paraId="0637C410">
      <w:pPr>
        <w:bidi w:val="0"/>
        <w:rPr>
          <w:rFonts w:hint="default"/>
          <w:color w:val="auto"/>
          <w:lang w:val="en-US" w:eastAsia="zh-CN"/>
        </w:rPr>
      </w:pPr>
      <w:r>
        <w:rPr>
          <w:rFonts w:hint="default"/>
          <w:color w:val="auto"/>
          <w:lang w:val="en-US" w:eastAsia="zh-CN"/>
        </w:rPr>
        <w:t>物料运输主要在浓缩车间、输送管线、压滤车间之间。运输方式主要为管道运输和皮带运输。</w:t>
      </w:r>
    </w:p>
    <w:p w14:paraId="5E51A383">
      <w:pPr>
        <w:bidi w:val="0"/>
        <w:rPr>
          <w:rFonts w:hint="default"/>
          <w:color w:val="auto"/>
          <w:lang w:val="en-US" w:eastAsia="zh-CN"/>
        </w:rPr>
      </w:pPr>
      <w:r>
        <w:rPr>
          <w:rFonts w:hint="default"/>
          <w:color w:val="auto"/>
          <w:lang w:val="en-US" w:eastAsia="zh-CN"/>
        </w:rPr>
        <w:t>厂外物料运输为汽车运输方式。全厂大宗货物主要是将尾渣运出外售，其它辅料等运入量相对较小。</w:t>
      </w:r>
    </w:p>
    <w:p w14:paraId="49F71FD6">
      <w:pPr>
        <w:bidi w:val="0"/>
        <w:rPr>
          <w:rFonts w:hint="default"/>
          <w:color w:val="auto"/>
          <w:lang w:val="en-US" w:eastAsia="zh-CN"/>
        </w:rPr>
      </w:pPr>
      <w:r>
        <w:rPr>
          <w:rFonts w:hint="default"/>
          <w:color w:val="auto"/>
          <w:lang w:val="en-US" w:eastAsia="zh-CN"/>
        </w:rPr>
        <w:t>按照运输量测算交通运输组织方式。全厂需要装载机2台。</w:t>
      </w:r>
    </w:p>
    <w:p w14:paraId="4401A74F">
      <w:pPr>
        <w:pStyle w:val="6"/>
        <w:bidi w:val="0"/>
        <w:rPr>
          <w:rFonts w:hint="default"/>
          <w:color w:val="auto"/>
          <w:lang w:val="en-US" w:eastAsia="zh-CN"/>
        </w:rPr>
      </w:pPr>
      <w:r>
        <w:rPr>
          <w:rFonts w:hint="eastAsia"/>
          <w:color w:val="auto"/>
          <w:lang w:val="en-US" w:eastAsia="zh-CN"/>
        </w:rPr>
        <w:t>2.3.4</w:t>
      </w:r>
      <w:r>
        <w:rPr>
          <w:rFonts w:hint="default"/>
          <w:color w:val="auto"/>
          <w:lang w:val="en-US" w:eastAsia="zh-CN"/>
        </w:rPr>
        <w:t xml:space="preserve"> 施工条件</w:t>
      </w:r>
    </w:p>
    <w:p w14:paraId="02C03C00">
      <w:pPr>
        <w:bidi w:val="0"/>
        <w:rPr>
          <w:rFonts w:hint="default"/>
          <w:color w:val="auto"/>
          <w:lang w:val="en-US" w:eastAsia="zh-CN"/>
        </w:rPr>
      </w:pPr>
      <w:r>
        <w:rPr>
          <w:rFonts w:hint="default"/>
          <w:color w:val="auto"/>
          <w:lang w:val="en-US" w:eastAsia="zh-CN"/>
        </w:rPr>
        <w:t>工程建设所需钢材、木材、水泥、商品砼及砖、砂、石等，均可在当地购买，材料充足，运距近，可满足工程要求。</w:t>
      </w:r>
    </w:p>
    <w:p w14:paraId="6F72821B">
      <w:pPr>
        <w:pStyle w:val="5"/>
        <w:bidi w:val="0"/>
        <w:rPr>
          <w:rFonts w:hint="default"/>
          <w:color w:val="auto"/>
          <w:lang w:val="en-US" w:eastAsia="zh-CN"/>
        </w:rPr>
      </w:pPr>
      <w:bookmarkStart w:id="8" w:name="_Toc2154"/>
      <w:r>
        <w:rPr>
          <w:rFonts w:hint="eastAsia"/>
          <w:color w:val="auto"/>
          <w:lang w:val="en-US" w:eastAsia="zh-CN"/>
        </w:rPr>
        <w:t>2.4</w:t>
      </w:r>
      <w:r>
        <w:rPr>
          <w:rFonts w:hint="default"/>
          <w:color w:val="auto"/>
          <w:lang w:val="en-US" w:eastAsia="zh-CN"/>
        </w:rPr>
        <w:t xml:space="preserve"> 建设方案</w:t>
      </w:r>
      <w:bookmarkEnd w:id="8"/>
    </w:p>
    <w:p w14:paraId="7B2CE1C1">
      <w:pPr>
        <w:pStyle w:val="6"/>
        <w:bidi w:val="0"/>
        <w:rPr>
          <w:rFonts w:hint="default"/>
          <w:color w:val="auto"/>
          <w:lang w:val="en-US" w:eastAsia="zh-CN"/>
        </w:rPr>
      </w:pPr>
      <w:r>
        <w:rPr>
          <w:rFonts w:hint="eastAsia"/>
          <w:color w:val="auto"/>
          <w:lang w:val="en-US" w:eastAsia="zh-CN"/>
        </w:rPr>
        <w:t>2.4.1</w:t>
      </w:r>
      <w:r>
        <w:rPr>
          <w:rFonts w:hint="default"/>
          <w:color w:val="auto"/>
          <w:lang w:val="en-US" w:eastAsia="zh-CN"/>
        </w:rPr>
        <w:t xml:space="preserve"> 建设规模</w:t>
      </w:r>
    </w:p>
    <w:p w14:paraId="2D15F4E7">
      <w:pPr>
        <w:bidi w:val="0"/>
        <w:rPr>
          <w:rFonts w:hint="default"/>
          <w:color w:val="auto"/>
          <w:lang w:val="en-US" w:eastAsia="zh-CN"/>
        </w:rPr>
      </w:pPr>
      <w:r>
        <w:rPr>
          <w:rFonts w:hint="default"/>
          <w:color w:val="auto"/>
          <w:lang w:val="en-US" w:eastAsia="zh-CN"/>
        </w:rPr>
        <w:t>尾矿处理系统建设规模为年处理尾矿20万t，年工作天数200</w:t>
      </w:r>
      <w:r>
        <w:rPr>
          <w:rFonts w:hint="eastAsia"/>
          <w:color w:val="auto"/>
          <w:lang w:val="en-US" w:eastAsia="zh-CN"/>
        </w:rPr>
        <w:t>d</w:t>
      </w:r>
      <w:r>
        <w:rPr>
          <w:rFonts w:hint="default"/>
          <w:color w:val="auto"/>
          <w:lang w:val="en-US" w:eastAsia="zh-CN"/>
        </w:rPr>
        <w:t>，每天处理尾矿1000t。</w:t>
      </w:r>
    </w:p>
    <w:p w14:paraId="27284A9D">
      <w:pPr>
        <w:pStyle w:val="6"/>
        <w:bidi w:val="0"/>
        <w:rPr>
          <w:rFonts w:hint="default"/>
          <w:color w:val="auto"/>
          <w:lang w:val="en-US" w:eastAsia="zh-CN"/>
        </w:rPr>
      </w:pPr>
      <w:r>
        <w:rPr>
          <w:rFonts w:hint="eastAsia"/>
          <w:color w:val="auto"/>
          <w:lang w:val="en-US" w:eastAsia="zh-CN"/>
        </w:rPr>
        <w:t>2.4.2</w:t>
      </w:r>
      <w:r>
        <w:rPr>
          <w:rFonts w:hint="default"/>
          <w:color w:val="auto"/>
          <w:lang w:val="en-US" w:eastAsia="zh-CN"/>
        </w:rPr>
        <w:t xml:space="preserve"> 产品方案</w:t>
      </w:r>
    </w:p>
    <w:p w14:paraId="4F556CE7">
      <w:pPr>
        <w:bidi w:val="0"/>
        <w:rPr>
          <w:rFonts w:hint="default"/>
          <w:color w:val="auto"/>
          <w:lang w:val="en-US" w:eastAsia="zh-CN"/>
        </w:rPr>
      </w:pPr>
      <w:r>
        <w:rPr>
          <w:rFonts w:hint="default"/>
          <w:color w:val="auto"/>
          <w:lang w:val="en-US" w:eastAsia="zh-CN"/>
        </w:rPr>
        <w:t>尾矿通过浓缩、压滤脱水后，尾矿含水分不大于20%。</w:t>
      </w:r>
    </w:p>
    <w:p w14:paraId="137350C1">
      <w:pPr>
        <w:pStyle w:val="6"/>
        <w:bidi w:val="0"/>
        <w:rPr>
          <w:rFonts w:hint="default"/>
          <w:color w:val="auto"/>
          <w:lang w:val="en-US" w:eastAsia="zh-CN"/>
        </w:rPr>
      </w:pPr>
      <w:r>
        <w:rPr>
          <w:rFonts w:hint="eastAsia"/>
          <w:color w:val="auto"/>
          <w:lang w:val="en-US" w:eastAsia="zh-CN"/>
        </w:rPr>
        <w:t>2.4.</w:t>
      </w:r>
      <w:r>
        <w:rPr>
          <w:rFonts w:hint="default"/>
          <w:color w:val="auto"/>
          <w:lang w:val="en-US" w:eastAsia="zh-CN"/>
        </w:rPr>
        <w:t>3 劳动定员</w:t>
      </w:r>
      <w:r>
        <w:rPr>
          <w:rFonts w:hint="eastAsia"/>
          <w:color w:val="auto"/>
          <w:lang w:val="en-US" w:eastAsia="zh-CN"/>
        </w:rPr>
        <w:t>和</w:t>
      </w:r>
      <w:r>
        <w:rPr>
          <w:rFonts w:hint="default"/>
          <w:color w:val="auto"/>
          <w:lang w:val="en-US" w:eastAsia="zh-CN"/>
        </w:rPr>
        <w:t>工作制度</w:t>
      </w:r>
    </w:p>
    <w:p w14:paraId="481EB5ED">
      <w:pPr>
        <w:bidi w:val="0"/>
        <w:rPr>
          <w:rFonts w:hint="default"/>
          <w:color w:val="auto"/>
          <w:lang w:val="en-US" w:eastAsia="zh-CN"/>
        </w:rPr>
      </w:pPr>
      <w:r>
        <w:rPr>
          <w:rFonts w:hint="default"/>
          <w:color w:val="auto"/>
          <w:lang w:val="en-US" w:eastAsia="zh-CN"/>
        </w:rPr>
        <w:t>1、劳动定员</w:t>
      </w:r>
    </w:p>
    <w:p w14:paraId="0903F5AB">
      <w:pPr>
        <w:bidi w:val="0"/>
        <w:rPr>
          <w:rFonts w:hint="default"/>
          <w:color w:val="auto"/>
          <w:lang w:val="en-US" w:eastAsia="zh-CN"/>
        </w:rPr>
      </w:pPr>
      <w:r>
        <w:rPr>
          <w:rFonts w:hint="default"/>
          <w:color w:val="auto"/>
          <w:lang w:val="en-US" w:eastAsia="zh-CN"/>
        </w:rPr>
        <w:t>本项目劳动定员为：管理总负责人1人、安全环保管理人员2人、操作人员15人，总计18人。</w:t>
      </w:r>
    </w:p>
    <w:p w14:paraId="1936E80E">
      <w:pPr>
        <w:bidi w:val="0"/>
        <w:rPr>
          <w:rFonts w:hint="default"/>
          <w:color w:val="auto"/>
          <w:lang w:val="en-US" w:eastAsia="zh-CN"/>
        </w:rPr>
      </w:pPr>
      <w:r>
        <w:rPr>
          <w:rFonts w:hint="default"/>
          <w:color w:val="auto"/>
          <w:lang w:val="en-US" w:eastAsia="zh-CN"/>
        </w:rPr>
        <w:t>2、工作制度</w:t>
      </w:r>
    </w:p>
    <w:p w14:paraId="2765F0C5">
      <w:pPr>
        <w:bidi w:val="0"/>
        <w:rPr>
          <w:rFonts w:hint="default"/>
          <w:color w:val="auto"/>
          <w:lang w:val="en-US" w:eastAsia="zh-CN"/>
        </w:rPr>
      </w:pPr>
      <w:r>
        <w:rPr>
          <w:rFonts w:hint="default"/>
          <w:color w:val="auto"/>
          <w:lang w:val="en-US" w:eastAsia="zh-CN"/>
        </w:rPr>
        <w:t>尾矿处理系统实行年工作200d，每日三班，每班8h工作制。</w:t>
      </w:r>
    </w:p>
    <w:p w14:paraId="0376C2F3">
      <w:pPr>
        <w:pStyle w:val="5"/>
        <w:bidi w:val="0"/>
        <w:rPr>
          <w:rFonts w:hint="eastAsia"/>
          <w:color w:val="auto"/>
          <w:lang w:val="en-US" w:eastAsia="zh-CN"/>
        </w:rPr>
      </w:pPr>
      <w:bookmarkStart w:id="9" w:name="_Toc12770"/>
      <w:r>
        <w:rPr>
          <w:rFonts w:hint="eastAsia"/>
          <w:color w:val="auto"/>
          <w:lang w:val="en-US" w:eastAsia="zh-CN"/>
        </w:rPr>
        <w:t>2.5 尾矿处理系统</w:t>
      </w:r>
      <w:bookmarkEnd w:id="9"/>
    </w:p>
    <w:p w14:paraId="767D0382">
      <w:pPr>
        <w:pStyle w:val="6"/>
        <w:bidi w:val="0"/>
        <w:rPr>
          <w:rFonts w:hint="default"/>
          <w:color w:val="auto"/>
          <w:lang w:val="en-US" w:eastAsia="zh-CN"/>
        </w:rPr>
      </w:pPr>
      <w:r>
        <w:rPr>
          <w:rFonts w:hint="eastAsia"/>
          <w:color w:val="auto"/>
          <w:lang w:val="en-US" w:eastAsia="zh-CN"/>
        </w:rPr>
        <w:t>2.5.1</w:t>
      </w:r>
      <w:r>
        <w:rPr>
          <w:rFonts w:hint="default"/>
          <w:color w:val="auto"/>
          <w:lang w:val="en-US" w:eastAsia="zh-CN"/>
        </w:rPr>
        <w:t xml:space="preserve"> 尾矿处理系统组成</w:t>
      </w:r>
    </w:p>
    <w:p w14:paraId="3D120D4C">
      <w:pPr>
        <w:bidi w:val="0"/>
        <w:rPr>
          <w:rFonts w:hint="default"/>
          <w:color w:val="auto"/>
          <w:lang w:val="en-US" w:eastAsia="zh-CN"/>
        </w:rPr>
      </w:pPr>
      <w:r>
        <w:rPr>
          <w:rFonts w:hint="default"/>
          <w:color w:val="auto"/>
          <w:lang w:val="en-US" w:eastAsia="zh-CN"/>
        </w:rPr>
        <w:t>尾矿处理系统主要由浓缩车间、输送管线、压滤车间三部分组成。</w:t>
      </w:r>
    </w:p>
    <w:p w14:paraId="39384B70">
      <w:pPr>
        <w:pStyle w:val="6"/>
        <w:bidi w:val="0"/>
        <w:rPr>
          <w:rFonts w:hint="default"/>
          <w:color w:val="auto"/>
          <w:lang w:val="en-US" w:eastAsia="zh-CN"/>
        </w:rPr>
      </w:pPr>
      <w:r>
        <w:rPr>
          <w:rFonts w:hint="eastAsia"/>
          <w:color w:val="auto"/>
          <w:lang w:val="en-US" w:eastAsia="zh-CN"/>
        </w:rPr>
        <w:t>2.5.2</w:t>
      </w:r>
      <w:r>
        <w:rPr>
          <w:rFonts w:hint="default"/>
          <w:color w:val="auto"/>
          <w:lang w:val="en-US" w:eastAsia="zh-CN"/>
        </w:rPr>
        <w:t xml:space="preserve"> 生产能力和工作制度</w:t>
      </w:r>
    </w:p>
    <w:p w14:paraId="38DFFAE9">
      <w:pPr>
        <w:bidi w:val="0"/>
        <w:rPr>
          <w:rFonts w:hint="default"/>
          <w:color w:val="auto"/>
          <w:lang w:val="en-US" w:eastAsia="zh-CN"/>
        </w:rPr>
      </w:pPr>
      <w:r>
        <w:rPr>
          <w:rFonts w:hint="default"/>
          <w:color w:val="auto"/>
          <w:lang w:val="en-US" w:eastAsia="zh-CN"/>
        </w:rPr>
        <w:t>生产能力和工作制度见表</w:t>
      </w:r>
      <w:r>
        <w:rPr>
          <w:rFonts w:hint="eastAsia"/>
          <w:color w:val="auto"/>
          <w:lang w:val="en-US" w:eastAsia="zh-CN"/>
        </w:rPr>
        <w:t>2.5</w:t>
      </w:r>
      <w:r>
        <w:rPr>
          <w:rFonts w:hint="default"/>
          <w:color w:val="auto"/>
          <w:lang w:val="en-US" w:eastAsia="zh-CN"/>
        </w:rPr>
        <w:t>-1。</w:t>
      </w:r>
    </w:p>
    <w:p w14:paraId="11D63994">
      <w:pPr>
        <w:pStyle w:val="29"/>
        <w:bidi w:val="0"/>
        <w:rPr>
          <w:rFonts w:hint="default"/>
          <w:color w:val="auto"/>
          <w:lang w:val="en-US" w:eastAsia="zh-CN"/>
        </w:rPr>
      </w:pPr>
      <w:r>
        <w:rPr>
          <w:rFonts w:hint="default"/>
          <w:color w:val="auto"/>
          <w:lang w:val="en-US" w:eastAsia="zh-CN"/>
        </w:rPr>
        <w:t>表</w:t>
      </w:r>
      <w:r>
        <w:rPr>
          <w:rFonts w:hint="eastAsia"/>
          <w:color w:val="auto"/>
          <w:lang w:val="en-US" w:eastAsia="zh-CN"/>
        </w:rPr>
        <w:t>2.5</w:t>
      </w:r>
      <w:r>
        <w:rPr>
          <w:rFonts w:hint="default"/>
          <w:color w:val="auto"/>
          <w:lang w:val="en-US" w:eastAsia="zh-CN"/>
        </w:rPr>
        <w:t xml:space="preserve">-1 </w:t>
      </w:r>
      <w:r>
        <w:rPr>
          <w:rFonts w:hint="eastAsia"/>
          <w:color w:val="auto"/>
          <w:lang w:val="en-US" w:eastAsia="zh-CN"/>
        </w:rPr>
        <w:t xml:space="preserve"> </w:t>
      </w:r>
      <w:r>
        <w:rPr>
          <w:rFonts w:hint="default"/>
          <w:color w:val="auto"/>
          <w:lang w:val="en-US" w:eastAsia="zh-CN"/>
        </w:rPr>
        <w:t>生产能力和工作制度</w:t>
      </w: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16"/>
        <w:gridCol w:w="1481"/>
        <w:gridCol w:w="1754"/>
        <w:gridCol w:w="1756"/>
        <w:gridCol w:w="771"/>
        <w:gridCol w:w="771"/>
        <w:gridCol w:w="771"/>
        <w:gridCol w:w="778"/>
      </w:tblGrid>
      <w:tr w14:paraId="3C1C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700" w:type="pct"/>
            <w:vMerge w:val="restart"/>
            <w:shd w:val="clear" w:color="auto" w:fill="auto"/>
            <w:vAlign w:val="center"/>
          </w:tcPr>
          <w:p w14:paraId="03EA16D3">
            <w:pPr>
              <w:pStyle w:val="30"/>
              <w:bidi w:val="0"/>
              <w:rPr>
                <w:rFonts w:hint="eastAsia"/>
                <w:b/>
                <w:bCs/>
                <w:color w:val="auto"/>
              </w:rPr>
            </w:pPr>
            <w:r>
              <w:rPr>
                <w:rFonts w:hint="eastAsia"/>
                <w:b/>
                <w:bCs/>
                <w:color w:val="auto"/>
                <w:lang w:val="en-US" w:eastAsia="zh-CN"/>
              </w:rPr>
              <w:t>名称</w:t>
            </w:r>
          </w:p>
        </w:tc>
        <w:tc>
          <w:tcPr>
            <w:tcW w:w="2655" w:type="pct"/>
            <w:gridSpan w:val="3"/>
            <w:shd w:val="clear" w:color="auto" w:fill="auto"/>
            <w:vAlign w:val="center"/>
          </w:tcPr>
          <w:p w14:paraId="493186BE">
            <w:pPr>
              <w:pStyle w:val="30"/>
              <w:bidi w:val="0"/>
              <w:rPr>
                <w:rFonts w:hint="eastAsia"/>
                <w:b/>
                <w:bCs/>
                <w:color w:val="auto"/>
              </w:rPr>
            </w:pPr>
            <w:r>
              <w:rPr>
                <w:rFonts w:hint="eastAsia"/>
                <w:b/>
                <w:bCs/>
                <w:color w:val="auto"/>
                <w:lang w:val="en-US" w:eastAsia="zh-CN"/>
              </w:rPr>
              <w:t>生产能力（吨）</w:t>
            </w:r>
          </w:p>
        </w:tc>
        <w:tc>
          <w:tcPr>
            <w:tcW w:w="1644" w:type="pct"/>
            <w:gridSpan w:val="4"/>
            <w:shd w:val="clear" w:color="auto" w:fill="auto"/>
            <w:vAlign w:val="center"/>
          </w:tcPr>
          <w:p w14:paraId="24C35703">
            <w:pPr>
              <w:pStyle w:val="30"/>
              <w:bidi w:val="0"/>
              <w:rPr>
                <w:rFonts w:hint="eastAsia"/>
                <w:b/>
                <w:bCs/>
                <w:color w:val="auto"/>
              </w:rPr>
            </w:pPr>
            <w:r>
              <w:rPr>
                <w:rFonts w:hint="eastAsia"/>
                <w:b/>
                <w:bCs/>
                <w:color w:val="auto"/>
                <w:lang w:val="en-US" w:eastAsia="zh-CN"/>
              </w:rPr>
              <w:t>工作制度</w:t>
            </w:r>
          </w:p>
        </w:tc>
      </w:tr>
      <w:tr w14:paraId="460E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00" w:type="pct"/>
            <w:vMerge w:val="continue"/>
            <w:shd w:val="clear" w:color="auto" w:fill="auto"/>
            <w:vAlign w:val="center"/>
          </w:tcPr>
          <w:p w14:paraId="2DEA5072">
            <w:pPr>
              <w:pStyle w:val="30"/>
              <w:bidi w:val="0"/>
              <w:rPr>
                <w:rFonts w:hint="eastAsia"/>
                <w:b/>
                <w:bCs/>
                <w:color w:val="auto"/>
              </w:rPr>
            </w:pPr>
          </w:p>
        </w:tc>
        <w:tc>
          <w:tcPr>
            <w:tcW w:w="788" w:type="pct"/>
            <w:shd w:val="clear" w:color="auto" w:fill="auto"/>
            <w:vAlign w:val="center"/>
          </w:tcPr>
          <w:p w14:paraId="5BDAEA47">
            <w:pPr>
              <w:pStyle w:val="30"/>
              <w:bidi w:val="0"/>
              <w:rPr>
                <w:rFonts w:hint="eastAsia"/>
                <w:b/>
                <w:bCs/>
                <w:color w:val="auto"/>
              </w:rPr>
            </w:pPr>
            <w:r>
              <w:rPr>
                <w:rFonts w:hint="eastAsia"/>
                <w:b/>
                <w:bCs/>
                <w:color w:val="auto"/>
                <w:lang w:val="en-US" w:eastAsia="zh-CN"/>
              </w:rPr>
              <w:t>处理量</w:t>
            </w:r>
          </w:p>
        </w:tc>
        <w:tc>
          <w:tcPr>
            <w:tcW w:w="933" w:type="pct"/>
            <w:shd w:val="clear" w:color="auto" w:fill="auto"/>
            <w:vAlign w:val="center"/>
          </w:tcPr>
          <w:p w14:paraId="2409DA2E">
            <w:pPr>
              <w:pStyle w:val="30"/>
              <w:bidi w:val="0"/>
              <w:rPr>
                <w:rFonts w:hint="eastAsia"/>
                <w:b/>
                <w:bCs/>
                <w:color w:val="auto"/>
              </w:rPr>
            </w:pPr>
            <w:r>
              <w:rPr>
                <w:rFonts w:hint="eastAsia"/>
                <w:b/>
                <w:bCs/>
                <w:color w:val="auto"/>
                <w:lang w:val="en-US" w:eastAsia="zh-CN"/>
              </w:rPr>
              <w:t>处理量</w:t>
            </w:r>
          </w:p>
        </w:tc>
        <w:tc>
          <w:tcPr>
            <w:tcW w:w="933" w:type="pct"/>
            <w:shd w:val="clear" w:color="auto" w:fill="auto"/>
            <w:vAlign w:val="center"/>
          </w:tcPr>
          <w:p w14:paraId="00873819">
            <w:pPr>
              <w:pStyle w:val="30"/>
              <w:bidi w:val="0"/>
              <w:rPr>
                <w:rFonts w:hint="eastAsia"/>
                <w:b/>
                <w:bCs/>
                <w:color w:val="auto"/>
              </w:rPr>
            </w:pPr>
            <w:r>
              <w:rPr>
                <w:rFonts w:hint="eastAsia"/>
                <w:b/>
                <w:bCs/>
                <w:color w:val="auto"/>
                <w:lang w:val="en-US" w:eastAsia="zh-CN"/>
              </w:rPr>
              <w:t>处理量</w:t>
            </w:r>
          </w:p>
        </w:tc>
        <w:tc>
          <w:tcPr>
            <w:tcW w:w="410" w:type="pct"/>
            <w:vMerge w:val="restart"/>
            <w:shd w:val="clear" w:color="auto" w:fill="auto"/>
            <w:vAlign w:val="center"/>
          </w:tcPr>
          <w:p w14:paraId="346D8F0B">
            <w:pPr>
              <w:pStyle w:val="30"/>
              <w:bidi w:val="0"/>
              <w:rPr>
                <w:rFonts w:hint="eastAsia"/>
                <w:b/>
                <w:bCs/>
                <w:color w:val="auto"/>
              </w:rPr>
            </w:pPr>
            <w:r>
              <w:rPr>
                <w:rFonts w:hint="eastAsia"/>
                <w:b/>
                <w:bCs/>
                <w:color w:val="auto"/>
                <w:lang w:val="en-US" w:eastAsia="zh-CN"/>
              </w:rPr>
              <w:t>性质</w:t>
            </w:r>
          </w:p>
        </w:tc>
        <w:tc>
          <w:tcPr>
            <w:tcW w:w="410" w:type="pct"/>
            <w:shd w:val="clear" w:color="auto" w:fill="auto"/>
            <w:vAlign w:val="center"/>
          </w:tcPr>
          <w:p w14:paraId="339DF170">
            <w:pPr>
              <w:pStyle w:val="30"/>
              <w:bidi w:val="0"/>
              <w:rPr>
                <w:rFonts w:hint="eastAsia"/>
                <w:b/>
                <w:bCs/>
                <w:color w:val="auto"/>
              </w:rPr>
            </w:pPr>
            <w:r>
              <w:rPr>
                <w:rFonts w:hint="eastAsia"/>
                <w:b/>
                <w:bCs/>
                <w:color w:val="auto"/>
                <w:lang w:val="en-US" w:eastAsia="zh-CN"/>
              </w:rPr>
              <w:t>年工</w:t>
            </w:r>
          </w:p>
        </w:tc>
        <w:tc>
          <w:tcPr>
            <w:tcW w:w="410" w:type="pct"/>
            <w:shd w:val="clear" w:color="auto" w:fill="auto"/>
            <w:vAlign w:val="center"/>
          </w:tcPr>
          <w:p w14:paraId="2177FF14">
            <w:pPr>
              <w:pStyle w:val="30"/>
              <w:bidi w:val="0"/>
              <w:rPr>
                <w:rFonts w:hint="eastAsia"/>
                <w:b/>
                <w:bCs/>
                <w:color w:val="auto"/>
              </w:rPr>
            </w:pPr>
            <w:r>
              <w:rPr>
                <w:rFonts w:hint="eastAsia"/>
                <w:b/>
                <w:bCs/>
                <w:color w:val="auto"/>
                <w:lang w:val="en-US" w:eastAsia="zh-CN"/>
              </w:rPr>
              <w:t>日工</w:t>
            </w:r>
          </w:p>
        </w:tc>
        <w:tc>
          <w:tcPr>
            <w:tcW w:w="412" w:type="pct"/>
            <w:shd w:val="clear" w:color="auto" w:fill="auto"/>
            <w:vAlign w:val="center"/>
          </w:tcPr>
          <w:p w14:paraId="2E75F9C5">
            <w:pPr>
              <w:pStyle w:val="30"/>
              <w:bidi w:val="0"/>
              <w:rPr>
                <w:rFonts w:hint="eastAsia"/>
                <w:b/>
                <w:bCs/>
                <w:color w:val="auto"/>
              </w:rPr>
            </w:pPr>
            <w:r>
              <w:rPr>
                <w:rFonts w:hint="eastAsia"/>
                <w:b/>
                <w:bCs/>
                <w:color w:val="auto"/>
                <w:lang w:val="en-US" w:eastAsia="zh-CN"/>
              </w:rPr>
              <w:t>班工</w:t>
            </w:r>
          </w:p>
        </w:tc>
      </w:tr>
      <w:tr w14:paraId="4D87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00" w:type="pct"/>
            <w:vMerge w:val="continue"/>
            <w:shd w:val="clear" w:color="auto" w:fill="auto"/>
            <w:vAlign w:val="center"/>
          </w:tcPr>
          <w:p w14:paraId="11E1D550">
            <w:pPr>
              <w:pStyle w:val="30"/>
              <w:bidi w:val="0"/>
              <w:rPr>
                <w:rFonts w:hint="eastAsia"/>
                <w:b/>
                <w:bCs/>
                <w:color w:val="auto"/>
              </w:rPr>
            </w:pPr>
          </w:p>
        </w:tc>
        <w:tc>
          <w:tcPr>
            <w:tcW w:w="788" w:type="pct"/>
            <w:shd w:val="clear" w:color="auto" w:fill="auto"/>
            <w:vAlign w:val="center"/>
          </w:tcPr>
          <w:p w14:paraId="5794CC66">
            <w:pPr>
              <w:pStyle w:val="30"/>
              <w:bidi w:val="0"/>
              <w:rPr>
                <w:rFonts w:hint="eastAsia"/>
                <w:b/>
                <w:bCs/>
                <w:color w:val="auto"/>
              </w:rPr>
            </w:pPr>
            <w:r>
              <w:rPr>
                <w:rFonts w:hint="eastAsia"/>
                <w:b/>
                <w:bCs/>
                <w:color w:val="auto"/>
                <w:lang w:val="en-US" w:eastAsia="zh-CN"/>
              </w:rPr>
              <w:t>（吨/天）</w:t>
            </w:r>
          </w:p>
        </w:tc>
        <w:tc>
          <w:tcPr>
            <w:tcW w:w="933" w:type="pct"/>
            <w:shd w:val="clear" w:color="auto" w:fill="auto"/>
            <w:vAlign w:val="center"/>
          </w:tcPr>
          <w:p w14:paraId="13EC3540">
            <w:pPr>
              <w:pStyle w:val="30"/>
              <w:bidi w:val="0"/>
              <w:rPr>
                <w:rFonts w:hint="eastAsia"/>
                <w:b/>
                <w:bCs/>
                <w:color w:val="auto"/>
              </w:rPr>
            </w:pPr>
            <w:r>
              <w:rPr>
                <w:rFonts w:hint="eastAsia"/>
                <w:b/>
                <w:bCs/>
                <w:color w:val="auto"/>
                <w:lang w:val="en-US" w:eastAsia="zh-CN"/>
              </w:rPr>
              <w:t>（吨/小时）</w:t>
            </w:r>
          </w:p>
        </w:tc>
        <w:tc>
          <w:tcPr>
            <w:tcW w:w="933" w:type="pct"/>
            <w:shd w:val="clear" w:color="auto" w:fill="auto"/>
            <w:vAlign w:val="center"/>
          </w:tcPr>
          <w:p w14:paraId="30F2A769">
            <w:pPr>
              <w:pStyle w:val="30"/>
              <w:bidi w:val="0"/>
              <w:rPr>
                <w:rFonts w:hint="eastAsia"/>
                <w:b/>
                <w:bCs/>
                <w:color w:val="auto"/>
              </w:rPr>
            </w:pPr>
            <w:r>
              <w:rPr>
                <w:rFonts w:hint="eastAsia"/>
                <w:b/>
                <w:bCs/>
                <w:color w:val="auto"/>
                <w:lang w:val="en-US" w:eastAsia="zh-CN"/>
              </w:rPr>
              <w:t>（万吨/年）</w:t>
            </w:r>
          </w:p>
        </w:tc>
        <w:tc>
          <w:tcPr>
            <w:tcW w:w="410" w:type="pct"/>
            <w:vMerge w:val="continue"/>
            <w:shd w:val="clear" w:color="auto" w:fill="auto"/>
            <w:vAlign w:val="center"/>
          </w:tcPr>
          <w:p w14:paraId="55F7FCD1">
            <w:pPr>
              <w:pStyle w:val="30"/>
              <w:bidi w:val="0"/>
              <w:rPr>
                <w:rFonts w:hint="eastAsia"/>
                <w:b/>
                <w:bCs/>
                <w:color w:val="auto"/>
              </w:rPr>
            </w:pPr>
          </w:p>
        </w:tc>
        <w:tc>
          <w:tcPr>
            <w:tcW w:w="410" w:type="pct"/>
            <w:shd w:val="clear" w:color="auto" w:fill="auto"/>
            <w:vAlign w:val="center"/>
          </w:tcPr>
          <w:p w14:paraId="49EB700A">
            <w:pPr>
              <w:pStyle w:val="30"/>
              <w:bidi w:val="0"/>
              <w:rPr>
                <w:rFonts w:hint="eastAsia"/>
                <w:b/>
                <w:bCs/>
                <w:color w:val="auto"/>
              </w:rPr>
            </w:pPr>
            <w:r>
              <w:rPr>
                <w:rFonts w:hint="eastAsia"/>
                <w:b/>
                <w:bCs/>
                <w:color w:val="auto"/>
                <w:lang w:val="en-US" w:eastAsia="zh-CN"/>
              </w:rPr>
              <w:t>作日</w:t>
            </w:r>
          </w:p>
        </w:tc>
        <w:tc>
          <w:tcPr>
            <w:tcW w:w="410" w:type="pct"/>
            <w:shd w:val="clear" w:color="auto" w:fill="auto"/>
            <w:vAlign w:val="center"/>
          </w:tcPr>
          <w:p w14:paraId="70A2F1AE">
            <w:pPr>
              <w:pStyle w:val="30"/>
              <w:bidi w:val="0"/>
              <w:rPr>
                <w:rFonts w:hint="eastAsia"/>
                <w:b/>
                <w:bCs/>
                <w:color w:val="auto"/>
              </w:rPr>
            </w:pPr>
            <w:r>
              <w:rPr>
                <w:rFonts w:hint="eastAsia"/>
                <w:b/>
                <w:bCs/>
                <w:color w:val="auto"/>
                <w:lang w:val="en-US" w:eastAsia="zh-CN"/>
              </w:rPr>
              <w:t>作班</w:t>
            </w:r>
          </w:p>
        </w:tc>
        <w:tc>
          <w:tcPr>
            <w:tcW w:w="412" w:type="pct"/>
            <w:shd w:val="clear" w:color="auto" w:fill="auto"/>
            <w:vAlign w:val="center"/>
          </w:tcPr>
          <w:p w14:paraId="5D400B28">
            <w:pPr>
              <w:pStyle w:val="30"/>
              <w:bidi w:val="0"/>
              <w:rPr>
                <w:rFonts w:hint="eastAsia"/>
                <w:b/>
                <w:bCs/>
                <w:color w:val="auto"/>
              </w:rPr>
            </w:pPr>
            <w:r>
              <w:rPr>
                <w:rFonts w:hint="eastAsia"/>
                <w:b/>
                <w:bCs/>
                <w:color w:val="auto"/>
                <w:lang w:val="en-US" w:eastAsia="zh-CN"/>
              </w:rPr>
              <w:t>作时</w:t>
            </w:r>
          </w:p>
        </w:tc>
      </w:tr>
      <w:tr w14:paraId="6DF91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700" w:type="pct"/>
            <w:shd w:val="clear" w:color="auto" w:fill="auto"/>
            <w:vAlign w:val="center"/>
          </w:tcPr>
          <w:p w14:paraId="56B4CAF6">
            <w:pPr>
              <w:pStyle w:val="30"/>
              <w:bidi w:val="0"/>
              <w:rPr>
                <w:rFonts w:hint="eastAsia"/>
                <w:color w:val="auto"/>
              </w:rPr>
            </w:pPr>
            <w:r>
              <w:rPr>
                <w:rFonts w:hint="eastAsia"/>
                <w:color w:val="auto"/>
                <w:lang w:val="en-US" w:eastAsia="zh-CN"/>
              </w:rPr>
              <w:t>浓缩车间</w:t>
            </w:r>
          </w:p>
        </w:tc>
        <w:tc>
          <w:tcPr>
            <w:tcW w:w="788" w:type="pct"/>
            <w:shd w:val="clear" w:color="auto" w:fill="auto"/>
            <w:vAlign w:val="center"/>
          </w:tcPr>
          <w:p w14:paraId="6DFC1518">
            <w:pPr>
              <w:pStyle w:val="30"/>
              <w:bidi w:val="0"/>
              <w:rPr>
                <w:rFonts w:hint="default"/>
                <w:color w:val="auto"/>
              </w:rPr>
            </w:pPr>
            <w:r>
              <w:rPr>
                <w:rFonts w:hint="default"/>
                <w:color w:val="auto"/>
                <w:lang w:val="en-US" w:eastAsia="zh-CN"/>
              </w:rPr>
              <w:t>1000</w:t>
            </w:r>
          </w:p>
        </w:tc>
        <w:tc>
          <w:tcPr>
            <w:tcW w:w="933" w:type="pct"/>
            <w:shd w:val="clear" w:color="auto" w:fill="auto"/>
            <w:vAlign w:val="center"/>
          </w:tcPr>
          <w:p w14:paraId="11B9F64A">
            <w:pPr>
              <w:pStyle w:val="30"/>
              <w:bidi w:val="0"/>
              <w:rPr>
                <w:rFonts w:hint="default"/>
                <w:color w:val="auto"/>
              </w:rPr>
            </w:pPr>
            <w:r>
              <w:rPr>
                <w:rFonts w:hint="default"/>
                <w:color w:val="auto"/>
                <w:lang w:val="en-US" w:eastAsia="zh-CN"/>
              </w:rPr>
              <w:t>41.67</w:t>
            </w:r>
          </w:p>
        </w:tc>
        <w:tc>
          <w:tcPr>
            <w:tcW w:w="933" w:type="pct"/>
            <w:shd w:val="clear" w:color="auto" w:fill="auto"/>
            <w:vAlign w:val="center"/>
          </w:tcPr>
          <w:p w14:paraId="6B8DA240">
            <w:pPr>
              <w:pStyle w:val="30"/>
              <w:bidi w:val="0"/>
              <w:rPr>
                <w:rFonts w:hint="default"/>
                <w:color w:val="auto"/>
              </w:rPr>
            </w:pPr>
            <w:r>
              <w:rPr>
                <w:rFonts w:hint="default"/>
                <w:color w:val="auto"/>
                <w:lang w:val="en-US" w:eastAsia="zh-CN"/>
              </w:rPr>
              <w:t>20</w:t>
            </w:r>
          </w:p>
        </w:tc>
        <w:tc>
          <w:tcPr>
            <w:tcW w:w="410" w:type="pct"/>
            <w:shd w:val="clear" w:color="auto" w:fill="auto"/>
            <w:vAlign w:val="center"/>
          </w:tcPr>
          <w:p w14:paraId="11334B66">
            <w:pPr>
              <w:pStyle w:val="30"/>
              <w:bidi w:val="0"/>
              <w:rPr>
                <w:rFonts w:hint="eastAsia"/>
                <w:color w:val="auto"/>
              </w:rPr>
            </w:pPr>
            <w:r>
              <w:rPr>
                <w:rFonts w:hint="eastAsia"/>
                <w:color w:val="auto"/>
                <w:lang w:val="en-US" w:eastAsia="zh-CN"/>
              </w:rPr>
              <w:t>连续</w:t>
            </w:r>
          </w:p>
        </w:tc>
        <w:tc>
          <w:tcPr>
            <w:tcW w:w="410" w:type="pct"/>
            <w:shd w:val="clear" w:color="auto" w:fill="auto"/>
            <w:vAlign w:val="center"/>
          </w:tcPr>
          <w:p w14:paraId="52B5E6A6">
            <w:pPr>
              <w:pStyle w:val="30"/>
              <w:bidi w:val="0"/>
              <w:rPr>
                <w:rFonts w:hint="default"/>
                <w:color w:val="auto"/>
              </w:rPr>
            </w:pPr>
            <w:r>
              <w:rPr>
                <w:rFonts w:hint="default"/>
                <w:color w:val="auto"/>
                <w:lang w:val="en-US" w:eastAsia="zh-CN"/>
              </w:rPr>
              <w:t>200</w:t>
            </w:r>
          </w:p>
        </w:tc>
        <w:tc>
          <w:tcPr>
            <w:tcW w:w="410" w:type="pct"/>
            <w:shd w:val="clear" w:color="auto" w:fill="auto"/>
            <w:vAlign w:val="center"/>
          </w:tcPr>
          <w:p w14:paraId="0268777E">
            <w:pPr>
              <w:pStyle w:val="30"/>
              <w:bidi w:val="0"/>
              <w:rPr>
                <w:rFonts w:hint="default"/>
                <w:color w:val="auto"/>
              </w:rPr>
            </w:pPr>
            <w:r>
              <w:rPr>
                <w:rFonts w:hint="default"/>
                <w:color w:val="auto"/>
                <w:lang w:val="en-US" w:eastAsia="zh-CN"/>
              </w:rPr>
              <w:t>3</w:t>
            </w:r>
          </w:p>
        </w:tc>
        <w:tc>
          <w:tcPr>
            <w:tcW w:w="412" w:type="pct"/>
            <w:shd w:val="clear" w:color="auto" w:fill="auto"/>
            <w:vAlign w:val="center"/>
          </w:tcPr>
          <w:p w14:paraId="251085F0">
            <w:pPr>
              <w:pStyle w:val="30"/>
              <w:bidi w:val="0"/>
              <w:rPr>
                <w:rFonts w:hint="default"/>
                <w:color w:val="auto"/>
              </w:rPr>
            </w:pPr>
            <w:r>
              <w:rPr>
                <w:rFonts w:hint="default"/>
                <w:color w:val="auto"/>
                <w:lang w:val="en-US" w:eastAsia="zh-CN"/>
              </w:rPr>
              <w:t>8</w:t>
            </w:r>
          </w:p>
        </w:tc>
      </w:tr>
      <w:tr w14:paraId="0B2E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00" w:type="pct"/>
            <w:shd w:val="clear" w:color="auto" w:fill="auto"/>
            <w:vAlign w:val="center"/>
          </w:tcPr>
          <w:p w14:paraId="330E231D">
            <w:pPr>
              <w:pStyle w:val="30"/>
              <w:bidi w:val="0"/>
              <w:rPr>
                <w:rFonts w:hint="eastAsia"/>
                <w:color w:val="auto"/>
              </w:rPr>
            </w:pPr>
            <w:r>
              <w:rPr>
                <w:rFonts w:hint="eastAsia"/>
                <w:color w:val="auto"/>
                <w:lang w:val="en-US" w:eastAsia="zh-CN"/>
              </w:rPr>
              <w:t>输送管线</w:t>
            </w:r>
          </w:p>
        </w:tc>
        <w:tc>
          <w:tcPr>
            <w:tcW w:w="788" w:type="pct"/>
            <w:shd w:val="clear" w:color="auto" w:fill="auto"/>
            <w:vAlign w:val="center"/>
          </w:tcPr>
          <w:p w14:paraId="4E06DFC2">
            <w:pPr>
              <w:pStyle w:val="30"/>
              <w:bidi w:val="0"/>
              <w:rPr>
                <w:rFonts w:hint="default"/>
                <w:color w:val="auto"/>
              </w:rPr>
            </w:pPr>
            <w:r>
              <w:rPr>
                <w:rFonts w:hint="default"/>
                <w:color w:val="auto"/>
                <w:lang w:val="en-US" w:eastAsia="zh-CN"/>
              </w:rPr>
              <w:t>1000</w:t>
            </w:r>
          </w:p>
        </w:tc>
        <w:tc>
          <w:tcPr>
            <w:tcW w:w="933" w:type="pct"/>
            <w:shd w:val="clear" w:color="auto" w:fill="auto"/>
            <w:vAlign w:val="center"/>
          </w:tcPr>
          <w:p w14:paraId="2E6EECC8">
            <w:pPr>
              <w:pStyle w:val="30"/>
              <w:bidi w:val="0"/>
              <w:rPr>
                <w:rFonts w:hint="default"/>
                <w:color w:val="auto"/>
              </w:rPr>
            </w:pPr>
            <w:r>
              <w:rPr>
                <w:rFonts w:hint="default"/>
                <w:color w:val="auto"/>
                <w:lang w:val="en-US" w:eastAsia="zh-CN"/>
              </w:rPr>
              <w:t>41.67</w:t>
            </w:r>
          </w:p>
        </w:tc>
        <w:tc>
          <w:tcPr>
            <w:tcW w:w="933" w:type="pct"/>
            <w:shd w:val="clear" w:color="auto" w:fill="auto"/>
            <w:vAlign w:val="center"/>
          </w:tcPr>
          <w:p w14:paraId="177B69D6">
            <w:pPr>
              <w:pStyle w:val="30"/>
              <w:bidi w:val="0"/>
              <w:rPr>
                <w:rFonts w:hint="default"/>
                <w:color w:val="auto"/>
              </w:rPr>
            </w:pPr>
            <w:r>
              <w:rPr>
                <w:rFonts w:hint="default"/>
                <w:color w:val="auto"/>
                <w:lang w:val="en-US" w:eastAsia="zh-CN"/>
              </w:rPr>
              <w:t>20</w:t>
            </w:r>
          </w:p>
        </w:tc>
        <w:tc>
          <w:tcPr>
            <w:tcW w:w="410" w:type="pct"/>
            <w:shd w:val="clear" w:color="auto" w:fill="auto"/>
            <w:vAlign w:val="center"/>
          </w:tcPr>
          <w:p w14:paraId="57DBB5E5">
            <w:pPr>
              <w:pStyle w:val="30"/>
              <w:bidi w:val="0"/>
              <w:rPr>
                <w:rFonts w:hint="eastAsia"/>
                <w:color w:val="auto"/>
              </w:rPr>
            </w:pPr>
            <w:r>
              <w:rPr>
                <w:rFonts w:hint="eastAsia"/>
                <w:color w:val="auto"/>
                <w:lang w:val="en-US" w:eastAsia="zh-CN"/>
              </w:rPr>
              <w:t>连续</w:t>
            </w:r>
          </w:p>
        </w:tc>
        <w:tc>
          <w:tcPr>
            <w:tcW w:w="410" w:type="pct"/>
            <w:shd w:val="clear" w:color="auto" w:fill="auto"/>
            <w:vAlign w:val="center"/>
          </w:tcPr>
          <w:p w14:paraId="57305ADB">
            <w:pPr>
              <w:pStyle w:val="30"/>
              <w:bidi w:val="0"/>
              <w:rPr>
                <w:rFonts w:hint="default"/>
                <w:color w:val="auto"/>
              </w:rPr>
            </w:pPr>
            <w:r>
              <w:rPr>
                <w:rFonts w:hint="default"/>
                <w:color w:val="auto"/>
                <w:lang w:val="en-US" w:eastAsia="zh-CN"/>
              </w:rPr>
              <w:t>200</w:t>
            </w:r>
          </w:p>
        </w:tc>
        <w:tc>
          <w:tcPr>
            <w:tcW w:w="410" w:type="pct"/>
            <w:shd w:val="clear" w:color="auto" w:fill="auto"/>
            <w:vAlign w:val="center"/>
          </w:tcPr>
          <w:p w14:paraId="23484236">
            <w:pPr>
              <w:pStyle w:val="30"/>
              <w:bidi w:val="0"/>
              <w:rPr>
                <w:rFonts w:hint="default"/>
                <w:color w:val="auto"/>
              </w:rPr>
            </w:pPr>
            <w:r>
              <w:rPr>
                <w:rFonts w:hint="default"/>
                <w:color w:val="auto"/>
                <w:lang w:val="en-US" w:eastAsia="zh-CN"/>
              </w:rPr>
              <w:t>3</w:t>
            </w:r>
          </w:p>
        </w:tc>
        <w:tc>
          <w:tcPr>
            <w:tcW w:w="412" w:type="pct"/>
            <w:shd w:val="clear" w:color="auto" w:fill="auto"/>
            <w:vAlign w:val="center"/>
          </w:tcPr>
          <w:p w14:paraId="059F785B">
            <w:pPr>
              <w:pStyle w:val="30"/>
              <w:bidi w:val="0"/>
              <w:rPr>
                <w:rFonts w:hint="default"/>
                <w:color w:val="auto"/>
              </w:rPr>
            </w:pPr>
            <w:r>
              <w:rPr>
                <w:rFonts w:hint="default"/>
                <w:color w:val="auto"/>
                <w:lang w:val="en-US" w:eastAsia="zh-CN"/>
              </w:rPr>
              <w:t>8</w:t>
            </w:r>
          </w:p>
        </w:tc>
      </w:tr>
      <w:tr w14:paraId="2029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00" w:type="pct"/>
            <w:shd w:val="clear" w:color="auto" w:fill="auto"/>
            <w:vAlign w:val="center"/>
          </w:tcPr>
          <w:p w14:paraId="5F73BA2F">
            <w:pPr>
              <w:pStyle w:val="30"/>
              <w:bidi w:val="0"/>
              <w:rPr>
                <w:rFonts w:hint="eastAsia"/>
                <w:color w:val="auto"/>
              </w:rPr>
            </w:pPr>
            <w:r>
              <w:rPr>
                <w:rFonts w:hint="eastAsia"/>
                <w:color w:val="auto"/>
                <w:lang w:val="en-US" w:eastAsia="zh-CN"/>
              </w:rPr>
              <w:t>压滤车间</w:t>
            </w:r>
          </w:p>
        </w:tc>
        <w:tc>
          <w:tcPr>
            <w:tcW w:w="788" w:type="pct"/>
            <w:shd w:val="clear" w:color="auto" w:fill="auto"/>
            <w:vAlign w:val="center"/>
          </w:tcPr>
          <w:p w14:paraId="7BD18735">
            <w:pPr>
              <w:pStyle w:val="30"/>
              <w:bidi w:val="0"/>
              <w:rPr>
                <w:rFonts w:hint="default"/>
                <w:color w:val="auto"/>
              </w:rPr>
            </w:pPr>
            <w:r>
              <w:rPr>
                <w:rFonts w:hint="default"/>
                <w:color w:val="auto"/>
                <w:lang w:val="en-US" w:eastAsia="zh-CN"/>
              </w:rPr>
              <w:t>1000</w:t>
            </w:r>
          </w:p>
        </w:tc>
        <w:tc>
          <w:tcPr>
            <w:tcW w:w="933" w:type="pct"/>
            <w:shd w:val="clear" w:color="auto" w:fill="auto"/>
            <w:vAlign w:val="center"/>
          </w:tcPr>
          <w:p w14:paraId="770C80C4">
            <w:pPr>
              <w:pStyle w:val="30"/>
              <w:bidi w:val="0"/>
              <w:rPr>
                <w:rFonts w:hint="default"/>
                <w:color w:val="auto"/>
              </w:rPr>
            </w:pPr>
            <w:r>
              <w:rPr>
                <w:rFonts w:hint="default"/>
                <w:color w:val="auto"/>
                <w:lang w:val="en-US" w:eastAsia="zh-CN"/>
              </w:rPr>
              <w:t>41.67</w:t>
            </w:r>
          </w:p>
        </w:tc>
        <w:tc>
          <w:tcPr>
            <w:tcW w:w="933" w:type="pct"/>
            <w:shd w:val="clear" w:color="auto" w:fill="auto"/>
            <w:vAlign w:val="center"/>
          </w:tcPr>
          <w:p w14:paraId="443A0ABE">
            <w:pPr>
              <w:pStyle w:val="30"/>
              <w:bidi w:val="0"/>
              <w:rPr>
                <w:rFonts w:hint="default"/>
                <w:color w:val="auto"/>
              </w:rPr>
            </w:pPr>
            <w:r>
              <w:rPr>
                <w:rFonts w:hint="default"/>
                <w:color w:val="auto"/>
                <w:lang w:val="en-US" w:eastAsia="zh-CN"/>
              </w:rPr>
              <w:t>20</w:t>
            </w:r>
          </w:p>
        </w:tc>
        <w:tc>
          <w:tcPr>
            <w:tcW w:w="410" w:type="pct"/>
            <w:shd w:val="clear" w:color="auto" w:fill="auto"/>
            <w:vAlign w:val="center"/>
          </w:tcPr>
          <w:p w14:paraId="2333924F">
            <w:pPr>
              <w:pStyle w:val="30"/>
              <w:bidi w:val="0"/>
              <w:rPr>
                <w:rFonts w:hint="eastAsia"/>
                <w:color w:val="auto"/>
              </w:rPr>
            </w:pPr>
            <w:r>
              <w:rPr>
                <w:rFonts w:hint="eastAsia"/>
                <w:color w:val="auto"/>
                <w:lang w:val="en-US" w:eastAsia="zh-CN"/>
              </w:rPr>
              <w:t>连续</w:t>
            </w:r>
          </w:p>
        </w:tc>
        <w:tc>
          <w:tcPr>
            <w:tcW w:w="410" w:type="pct"/>
            <w:shd w:val="clear" w:color="auto" w:fill="auto"/>
            <w:vAlign w:val="center"/>
          </w:tcPr>
          <w:p w14:paraId="269BEFB1">
            <w:pPr>
              <w:pStyle w:val="30"/>
              <w:bidi w:val="0"/>
              <w:rPr>
                <w:rFonts w:hint="default"/>
                <w:color w:val="auto"/>
              </w:rPr>
            </w:pPr>
            <w:r>
              <w:rPr>
                <w:rFonts w:hint="default"/>
                <w:color w:val="auto"/>
                <w:lang w:val="en-US" w:eastAsia="zh-CN"/>
              </w:rPr>
              <w:t>200</w:t>
            </w:r>
          </w:p>
        </w:tc>
        <w:tc>
          <w:tcPr>
            <w:tcW w:w="410" w:type="pct"/>
            <w:shd w:val="clear" w:color="auto" w:fill="auto"/>
            <w:vAlign w:val="center"/>
          </w:tcPr>
          <w:p w14:paraId="1BA935D2">
            <w:pPr>
              <w:pStyle w:val="30"/>
              <w:bidi w:val="0"/>
              <w:rPr>
                <w:rFonts w:hint="default"/>
                <w:color w:val="auto"/>
              </w:rPr>
            </w:pPr>
            <w:r>
              <w:rPr>
                <w:rFonts w:hint="default"/>
                <w:color w:val="auto"/>
                <w:lang w:val="en-US" w:eastAsia="zh-CN"/>
              </w:rPr>
              <w:t>3</w:t>
            </w:r>
          </w:p>
        </w:tc>
        <w:tc>
          <w:tcPr>
            <w:tcW w:w="412" w:type="pct"/>
            <w:shd w:val="clear" w:color="auto" w:fill="auto"/>
            <w:vAlign w:val="center"/>
          </w:tcPr>
          <w:p w14:paraId="5B87AB77">
            <w:pPr>
              <w:pStyle w:val="30"/>
              <w:bidi w:val="0"/>
              <w:rPr>
                <w:rFonts w:hint="default"/>
                <w:color w:val="auto"/>
              </w:rPr>
            </w:pPr>
            <w:r>
              <w:rPr>
                <w:rFonts w:hint="default"/>
                <w:color w:val="auto"/>
                <w:lang w:val="en-US" w:eastAsia="zh-CN"/>
              </w:rPr>
              <w:t>8</w:t>
            </w:r>
          </w:p>
        </w:tc>
      </w:tr>
    </w:tbl>
    <w:p w14:paraId="5D721EF8">
      <w:pPr>
        <w:pStyle w:val="6"/>
        <w:bidi w:val="0"/>
        <w:rPr>
          <w:rFonts w:hint="default"/>
          <w:color w:val="auto"/>
          <w:lang w:val="en-US" w:eastAsia="zh-CN"/>
        </w:rPr>
      </w:pPr>
      <w:r>
        <w:rPr>
          <w:rFonts w:hint="eastAsia"/>
          <w:color w:val="auto"/>
          <w:lang w:val="en-US" w:eastAsia="zh-CN"/>
        </w:rPr>
        <w:t>2.5.3 生产工艺</w:t>
      </w:r>
    </w:p>
    <w:p w14:paraId="7F678C62">
      <w:pPr>
        <w:bidi w:val="0"/>
        <w:rPr>
          <w:rFonts w:hint="default"/>
          <w:color w:val="auto"/>
          <w:lang w:val="en-US" w:eastAsia="zh-CN"/>
        </w:rPr>
      </w:pPr>
      <w:r>
        <w:rPr>
          <w:rFonts w:hint="eastAsia"/>
          <w:color w:val="auto"/>
          <w:lang w:val="en-US" w:eastAsia="zh-CN"/>
        </w:rPr>
        <w:t>本项目采用的工艺流程为浓缩-输送-压滤，尾矿处理系统主要由浓缩车间、输送管线、压滤车间三部分组成。</w:t>
      </w:r>
    </w:p>
    <w:p w14:paraId="68393D76">
      <w:pPr>
        <w:pStyle w:val="6"/>
        <w:bidi w:val="0"/>
        <w:rPr>
          <w:rFonts w:hint="default"/>
          <w:color w:val="auto"/>
          <w:lang w:val="en-US" w:eastAsia="zh-CN"/>
        </w:rPr>
      </w:pPr>
      <w:r>
        <w:rPr>
          <w:rFonts w:hint="eastAsia"/>
          <w:color w:val="auto"/>
          <w:lang w:val="en-US" w:eastAsia="zh-CN"/>
        </w:rPr>
        <w:t xml:space="preserve">2.5.4 </w:t>
      </w:r>
      <w:r>
        <w:rPr>
          <w:rFonts w:hint="default"/>
          <w:color w:val="auto"/>
          <w:lang w:val="en-US" w:eastAsia="zh-CN"/>
        </w:rPr>
        <w:t>主要设备</w:t>
      </w:r>
    </w:p>
    <w:p w14:paraId="040D0F21">
      <w:pPr>
        <w:pStyle w:val="29"/>
        <w:bidi w:val="0"/>
        <w:rPr>
          <w:rFonts w:hint="eastAsia"/>
          <w:color w:val="auto"/>
          <w:lang w:val="en-US" w:eastAsia="zh-CN"/>
        </w:rPr>
      </w:pPr>
    </w:p>
    <w:p w14:paraId="75E4F1BE">
      <w:pPr>
        <w:pStyle w:val="29"/>
        <w:bidi w:val="0"/>
        <w:rPr>
          <w:rFonts w:hint="default"/>
          <w:color w:val="auto"/>
          <w:lang w:val="en-US" w:eastAsia="zh-CN"/>
        </w:rPr>
      </w:pPr>
      <w:r>
        <w:rPr>
          <w:rFonts w:hint="eastAsia"/>
          <w:color w:val="auto"/>
          <w:lang w:val="en-US" w:eastAsia="zh-CN"/>
        </w:rPr>
        <w:t>表2.5-2  主要设备表</w:t>
      </w:r>
    </w:p>
    <w:tbl>
      <w:tblPr>
        <w:tblStyle w:val="2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31"/>
        <w:gridCol w:w="2057"/>
        <w:gridCol w:w="2466"/>
        <w:gridCol w:w="701"/>
        <w:gridCol w:w="936"/>
        <w:gridCol w:w="945"/>
        <w:gridCol w:w="1203"/>
        <w:gridCol w:w="652"/>
      </w:tblGrid>
      <w:tr w14:paraId="711A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blHeader/>
        </w:trPr>
        <w:tc>
          <w:tcPr>
            <w:tcW w:w="229" w:type="pct"/>
            <w:vMerge w:val="restart"/>
            <w:shd w:val="clear" w:color="auto" w:fill="auto"/>
            <w:vAlign w:val="center"/>
          </w:tcPr>
          <w:p w14:paraId="4F825723">
            <w:pPr>
              <w:pStyle w:val="30"/>
              <w:bidi w:val="0"/>
              <w:rPr>
                <w:rFonts w:hint="eastAsia"/>
                <w:b/>
                <w:bCs/>
                <w:color w:val="auto"/>
              </w:rPr>
            </w:pPr>
            <w:r>
              <w:rPr>
                <w:rFonts w:hint="eastAsia"/>
                <w:b/>
                <w:bCs/>
                <w:color w:val="auto"/>
                <w:lang w:val="en-US" w:eastAsia="zh-CN"/>
              </w:rPr>
              <w:t>序号</w:t>
            </w:r>
          </w:p>
        </w:tc>
        <w:tc>
          <w:tcPr>
            <w:tcW w:w="1095" w:type="pct"/>
            <w:vMerge w:val="restart"/>
            <w:shd w:val="clear" w:color="auto" w:fill="auto"/>
            <w:vAlign w:val="center"/>
          </w:tcPr>
          <w:p w14:paraId="748A1416">
            <w:pPr>
              <w:pStyle w:val="30"/>
              <w:bidi w:val="0"/>
              <w:rPr>
                <w:rFonts w:hint="eastAsia"/>
                <w:b/>
                <w:bCs/>
                <w:color w:val="auto"/>
              </w:rPr>
            </w:pPr>
            <w:r>
              <w:rPr>
                <w:rFonts w:hint="eastAsia"/>
                <w:b/>
                <w:bCs/>
                <w:color w:val="auto"/>
                <w:lang w:val="en-US" w:eastAsia="zh-CN"/>
              </w:rPr>
              <w:t>名称</w:t>
            </w:r>
          </w:p>
        </w:tc>
        <w:tc>
          <w:tcPr>
            <w:tcW w:w="1312" w:type="pct"/>
            <w:vMerge w:val="restart"/>
            <w:shd w:val="clear" w:color="auto" w:fill="auto"/>
            <w:vAlign w:val="center"/>
          </w:tcPr>
          <w:p w14:paraId="0074DA21">
            <w:pPr>
              <w:pStyle w:val="30"/>
              <w:bidi w:val="0"/>
              <w:rPr>
                <w:rFonts w:hint="eastAsia"/>
                <w:b/>
                <w:bCs/>
                <w:color w:val="auto"/>
              </w:rPr>
            </w:pPr>
            <w:r>
              <w:rPr>
                <w:rFonts w:hint="eastAsia"/>
                <w:b/>
                <w:bCs/>
                <w:color w:val="auto"/>
                <w:lang w:val="en-US" w:eastAsia="zh-CN"/>
              </w:rPr>
              <w:t>规格及主要性能</w:t>
            </w:r>
          </w:p>
        </w:tc>
        <w:tc>
          <w:tcPr>
            <w:tcW w:w="373" w:type="pct"/>
            <w:vMerge w:val="restart"/>
            <w:shd w:val="clear" w:color="auto" w:fill="auto"/>
            <w:vAlign w:val="center"/>
          </w:tcPr>
          <w:p w14:paraId="1AB13AE8">
            <w:pPr>
              <w:pStyle w:val="30"/>
              <w:bidi w:val="0"/>
              <w:rPr>
                <w:rFonts w:hint="eastAsia"/>
                <w:b/>
                <w:bCs/>
                <w:color w:val="auto"/>
              </w:rPr>
            </w:pPr>
            <w:r>
              <w:rPr>
                <w:rFonts w:hint="eastAsia"/>
                <w:b/>
                <w:bCs/>
                <w:color w:val="auto"/>
                <w:lang w:val="en-US" w:eastAsia="zh-CN"/>
              </w:rPr>
              <w:t>数量(台)</w:t>
            </w:r>
          </w:p>
        </w:tc>
        <w:tc>
          <w:tcPr>
            <w:tcW w:w="498" w:type="pct"/>
            <w:vMerge w:val="restart"/>
            <w:shd w:val="clear" w:color="auto" w:fill="auto"/>
            <w:vAlign w:val="center"/>
          </w:tcPr>
          <w:p w14:paraId="1A55D04D">
            <w:pPr>
              <w:pStyle w:val="30"/>
              <w:bidi w:val="0"/>
              <w:rPr>
                <w:rFonts w:hint="eastAsia"/>
                <w:b/>
                <w:bCs/>
                <w:color w:val="auto"/>
              </w:rPr>
            </w:pPr>
            <w:r>
              <w:rPr>
                <w:rFonts w:hint="eastAsia"/>
                <w:b/>
                <w:bCs/>
                <w:color w:val="auto"/>
                <w:lang w:val="en-US" w:eastAsia="zh-CN"/>
              </w:rPr>
              <w:t>重量(t/台)</w:t>
            </w:r>
          </w:p>
        </w:tc>
        <w:tc>
          <w:tcPr>
            <w:tcW w:w="1143" w:type="pct"/>
            <w:gridSpan w:val="2"/>
            <w:shd w:val="clear" w:color="auto" w:fill="auto"/>
            <w:vAlign w:val="center"/>
          </w:tcPr>
          <w:p w14:paraId="20005766">
            <w:pPr>
              <w:pStyle w:val="30"/>
              <w:bidi w:val="0"/>
              <w:rPr>
                <w:rFonts w:hint="eastAsia"/>
                <w:b/>
                <w:bCs/>
                <w:color w:val="auto"/>
              </w:rPr>
            </w:pPr>
            <w:r>
              <w:rPr>
                <w:rFonts w:hint="eastAsia"/>
                <w:b/>
                <w:bCs/>
                <w:color w:val="auto"/>
                <w:lang w:val="en-US" w:eastAsia="zh-CN"/>
              </w:rPr>
              <w:t>电机功率</w:t>
            </w:r>
          </w:p>
        </w:tc>
        <w:tc>
          <w:tcPr>
            <w:tcW w:w="347" w:type="pct"/>
            <w:vMerge w:val="restart"/>
            <w:shd w:val="clear" w:color="auto" w:fill="auto"/>
            <w:vAlign w:val="center"/>
          </w:tcPr>
          <w:p w14:paraId="44C56F73">
            <w:pPr>
              <w:pStyle w:val="30"/>
              <w:bidi w:val="0"/>
              <w:rPr>
                <w:rFonts w:hint="eastAsia"/>
                <w:b/>
                <w:bCs/>
                <w:color w:val="auto"/>
              </w:rPr>
            </w:pPr>
            <w:r>
              <w:rPr>
                <w:rFonts w:hint="eastAsia"/>
                <w:b/>
                <w:bCs/>
                <w:color w:val="auto"/>
                <w:lang w:val="en-US" w:eastAsia="zh-CN"/>
              </w:rPr>
              <w:t>备注</w:t>
            </w:r>
          </w:p>
        </w:tc>
      </w:tr>
      <w:tr w14:paraId="7091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229" w:type="pct"/>
            <w:vMerge w:val="continue"/>
            <w:shd w:val="clear" w:color="auto" w:fill="auto"/>
            <w:vAlign w:val="center"/>
          </w:tcPr>
          <w:p w14:paraId="4BA63C96">
            <w:pPr>
              <w:pStyle w:val="30"/>
              <w:bidi w:val="0"/>
              <w:rPr>
                <w:rFonts w:hint="eastAsia"/>
                <w:color w:val="auto"/>
              </w:rPr>
            </w:pPr>
          </w:p>
        </w:tc>
        <w:tc>
          <w:tcPr>
            <w:tcW w:w="1095" w:type="pct"/>
            <w:vMerge w:val="continue"/>
            <w:shd w:val="clear" w:color="auto" w:fill="auto"/>
            <w:vAlign w:val="center"/>
          </w:tcPr>
          <w:p w14:paraId="55DFB4C9">
            <w:pPr>
              <w:pStyle w:val="30"/>
              <w:bidi w:val="0"/>
              <w:rPr>
                <w:rFonts w:hint="eastAsia"/>
                <w:color w:val="auto"/>
              </w:rPr>
            </w:pPr>
          </w:p>
        </w:tc>
        <w:tc>
          <w:tcPr>
            <w:tcW w:w="1312" w:type="pct"/>
            <w:vMerge w:val="continue"/>
            <w:shd w:val="clear" w:color="auto" w:fill="auto"/>
            <w:vAlign w:val="center"/>
          </w:tcPr>
          <w:p w14:paraId="32EF5084">
            <w:pPr>
              <w:pStyle w:val="30"/>
              <w:bidi w:val="0"/>
              <w:rPr>
                <w:rFonts w:hint="eastAsia"/>
                <w:color w:val="auto"/>
              </w:rPr>
            </w:pPr>
          </w:p>
        </w:tc>
        <w:tc>
          <w:tcPr>
            <w:tcW w:w="373" w:type="pct"/>
            <w:vMerge w:val="continue"/>
            <w:shd w:val="clear" w:color="auto" w:fill="auto"/>
            <w:noWrap/>
            <w:vAlign w:val="center"/>
          </w:tcPr>
          <w:p w14:paraId="4C7EB456">
            <w:pPr>
              <w:pStyle w:val="30"/>
              <w:bidi w:val="0"/>
              <w:rPr>
                <w:rFonts w:hint="eastAsia"/>
                <w:color w:val="auto"/>
              </w:rPr>
            </w:pPr>
          </w:p>
        </w:tc>
        <w:tc>
          <w:tcPr>
            <w:tcW w:w="498" w:type="pct"/>
            <w:vMerge w:val="continue"/>
            <w:shd w:val="clear" w:color="auto" w:fill="auto"/>
            <w:vAlign w:val="center"/>
          </w:tcPr>
          <w:p w14:paraId="1D3E146C">
            <w:pPr>
              <w:pStyle w:val="30"/>
              <w:bidi w:val="0"/>
              <w:rPr>
                <w:rFonts w:hint="eastAsia"/>
                <w:color w:val="auto"/>
              </w:rPr>
            </w:pPr>
          </w:p>
        </w:tc>
        <w:tc>
          <w:tcPr>
            <w:tcW w:w="503" w:type="pct"/>
            <w:shd w:val="clear" w:color="auto" w:fill="auto"/>
            <w:vAlign w:val="center"/>
          </w:tcPr>
          <w:p w14:paraId="751B504A">
            <w:pPr>
              <w:pStyle w:val="30"/>
              <w:bidi w:val="0"/>
              <w:rPr>
                <w:rFonts w:hint="eastAsia"/>
                <w:b/>
                <w:bCs/>
                <w:color w:val="auto"/>
              </w:rPr>
            </w:pPr>
            <w:r>
              <w:rPr>
                <w:rFonts w:hint="eastAsia"/>
                <w:b/>
                <w:bCs/>
                <w:color w:val="auto"/>
                <w:lang w:val="en-US" w:eastAsia="zh-CN"/>
              </w:rPr>
              <w:t>电机型</w:t>
            </w:r>
          </w:p>
        </w:tc>
        <w:tc>
          <w:tcPr>
            <w:tcW w:w="640" w:type="pct"/>
            <w:shd w:val="clear" w:color="auto" w:fill="auto"/>
            <w:vAlign w:val="center"/>
          </w:tcPr>
          <w:p w14:paraId="041A7E04">
            <w:pPr>
              <w:pStyle w:val="30"/>
              <w:bidi w:val="0"/>
              <w:rPr>
                <w:rFonts w:hint="eastAsia"/>
                <w:b/>
                <w:bCs/>
                <w:color w:val="auto"/>
              </w:rPr>
            </w:pPr>
            <w:r>
              <w:rPr>
                <w:rFonts w:hint="eastAsia"/>
                <w:b/>
                <w:bCs/>
                <w:color w:val="auto"/>
                <w:lang w:val="en-US" w:eastAsia="zh-CN"/>
              </w:rPr>
              <w:t>功率</w:t>
            </w:r>
          </w:p>
        </w:tc>
        <w:tc>
          <w:tcPr>
            <w:tcW w:w="347" w:type="pct"/>
            <w:vMerge w:val="continue"/>
            <w:shd w:val="clear" w:color="auto" w:fill="auto"/>
            <w:vAlign w:val="center"/>
          </w:tcPr>
          <w:p w14:paraId="0817EEF9">
            <w:pPr>
              <w:pStyle w:val="30"/>
              <w:bidi w:val="0"/>
              <w:rPr>
                <w:rFonts w:hint="eastAsia"/>
                <w:color w:val="auto"/>
              </w:rPr>
            </w:pPr>
          </w:p>
        </w:tc>
      </w:tr>
      <w:tr w14:paraId="592A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Header/>
        </w:trPr>
        <w:tc>
          <w:tcPr>
            <w:tcW w:w="229" w:type="pct"/>
            <w:vMerge w:val="continue"/>
            <w:shd w:val="clear" w:color="auto" w:fill="auto"/>
            <w:vAlign w:val="center"/>
          </w:tcPr>
          <w:p w14:paraId="2B0B39D4">
            <w:pPr>
              <w:pStyle w:val="30"/>
              <w:bidi w:val="0"/>
              <w:rPr>
                <w:rFonts w:hint="eastAsia"/>
                <w:color w:val="auto"/>
              </w:rPr>
            </w:pPr>
          </w:p>
        </w:tc>
        <w:tc>
          <w:tcPr>
            <w:tcW w:w="1095" w:type="pct"/>
            <w:vMerge w:val="continue"/>
            <w:shd w:val="clear" w:color="auto" w:fill="auto"/>
            <w:vAlign w:val="center"/>
          </w:tcPr>
          <w:p w14:paraId="5D2FCD62">
            <w:pPr>
              <w:pStyle w:val="30"/>
              <w:bidi w:val="0"/>
              <w:rPr>
                <w:rFonts w:hint="eastAsia"/>
                <w:color w:val="auto"/>
              </w:rPr>
            </w:pPr>
          </w:p>
        </w:tc>
        <w:tc>
          <w:tcPr>
            <w:tcW w:w="1312" w:type="pct"/>
            <w:vMerge w:val="continue"/>
            <w:shd w:val="clear" w:color="auto" w:fill="auto"/>
            <w:vAlign w:val="center"/>
          </w:tcPr>
          <w:p w14:paraId="72D036DE">
            <w:pPr>
              <w:pStyle w:val="30"/>
              <w:bidi w:val="0"/>
              <w:rPr>
                <w:rFonts w:hint="eastAsia"/>
                <w:color w:val="auto"/>
              </w:rPr>
            </w:pPr>
          </w:p>
        </w:tc>
        <w:tc>
          <w:tcPr>
            <w:tcW w:w="373" w:type="pct"/>
            <w:vMerge w:val="continue"/>
            <w:shd w:val="clear" w:color="auto" w:fill="auto"/>
            <w:noWrap/>
            <w:vAlign w:val="center"/>
          </w:tcPr>
          <w:p w14:paraId="33174977">
            <w:pPr>
              <w:pStyle w:val="30"/>
              <w:bidi w:val="0"/>
              <w:rPr>
                <w:rFonts w:hint="eastAsia"/>
                <w:color w:val="auto"/>
              </w:rPr>
            </w:pPr>
          </w:p>
        </w:tc>
        <w:tc>
          <w:tcPr>
            <w:tcW w:w="498" w:type="pct"/>
            <w:vMerge w:val="continue"/>
            <w:shd w:val="clear" w:color="auto" w:fill="auto"/>
            <w:noWrap/>
            <w:vAlign w:val="center"/>
          </w:tcPr>
          <w:p w14:paraId="38EAD864">
            <w:pPr>
              <w:pStyle w:val="30"/>
              <w:bidi w:val="0"/>
              <w:rPr>
                <w:rFonts w:hint="eastAsia"/>
                <w:color w:val="auto"/>
              </w:rPr>
            </w:pPr>
          </w:p>
        </w:tc>
        <w:tc>
          <w:tcPr>
            <w:tcW w:w="503" w:type="pct"/>
            <w:shd w:val="clear" w:color="auto" w:fill="auto"/>
            <w:vAlign w:val="center"/>
          </w:tcPr>
          <w:p w14:paraId="59385C76">
            <w:pPr>
              <w:pStyle w:val="30"/>
              <w:bidi w:val="0"/>
              <w:rPr>
                <w:rFonts w:hint="eastAsia"/>
                <w:b/>
                <w:bCs/>
                <w:color w:val="auto"/>
              </w:rPr>
            </w:pPr>
            <w:r>
              <w:rPr>
                <w:rFonts w:hint="eastAsia"/>
                <w:b/>
                <w:bCs/>
                <w:color w:val="auto"/>
                <w:lang w:val="en-US" w:eastAsia="zh-CN"/>
              </w:rPr>
              <w:t>号</w:t>
            </w:r>
          </w:p>
        </w:tc>
        <w:tc>
          <w:tcPr>
            <w:tcW w:w="640" w:type="pct"/>
            <w:shd w:val="clear" w:color="auto" w:fill="auto"/>
            <w:vAlign w:val="center"/>
          </w:tcPr>
          <w:p w14:paraId="3E8C1EF7">
            <w:pPr>
              <w:pStyle w:val="30"/>
              <w:bidi w:val="0"/>
              <w:rPr>
                <w:rFonts w:hint="eastAsia"/>
                <w:b/>
                <w:bCs/>
                <w:color w:val="auto"/>
              </w:rPr>
            </w:pPr>
            <w:r>
              <w:rPr>
                <w:rFonts w:hint="eastAsia"/>
                <w:b/>
                <w:bCs/>
                <w:color w:val="auto"/>
                <w:lang w:val="en-US" w:eastAsia="zh-CN"/>
              </w:rPr>
              <w:t>（kW）</w:t>
            </w:r>
          </w:p>
        </w:tc>
        <w:tc>
          <w:tcPr>
            <w:tcW w:w="347" w:type="pct"/>
            <w:vMerge w:val="continue"/>
            <w:shd w:val="clear" w:color="auto" w:fill="auto"/>
            <w:vAlign w:val="center"/>
          </w:tcPr>
          <w:p w14:paraId="3C66749D">
            <w:pPr>
              <w:pStyle w:val="30"/>
              <w:bidi w:val="0"/>
              <w:rPr>
                <w:rFonts w:hint="eastAsia"/>
                <w:color w:val="auto"/>
              </w:rPr>
            </w:pPr>
          </w:p>
        </w:tc>
      </w:tr>
      <w:tr w14:paraId="1161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9" w:type="pct"/>
            <w:shd w:val="clear" w:color="auto" w:fill="auto"/>
            <w:vAlign w:val="center"/>
          </w:tcPr>
          <w:p w14:paraId="5753D8A1">
            <w:pPr>
              <w:pStyle w:val="30"/>
              <w:bidi w:val="0"/>
              <w:rPr>
                <w:rFonts w:hint="default"/>
                <w:color w:val="auto"/>
              </w:rPr>
            </w:pPr>
            <w:r>
              <w:rPr>
                <w:rFonts w:hint="default"/>
                <w:color w:val="auto"/>
                <w:lang w:val="en-US" w:eastAsia="zh-CN"/>
              </w:rPr>
              <w:t>1</w:t>
            </w:r>
          </w:p>
        </w:tc>
        <w:tc>
          <w:tcPr>
            <w:tcW w:w="1095" w:type="pct"/>
            <w:shd w:val="clear" w:color="auto" w:fill="auto"/>
            <w:vAlign w:val="center"/>
          </w:tcPr>
          <w:p w14:paraId="60C1C21E">
            <w:pPr>
              <w:pStyle w:val="30"/>
              <w:bidi w:val="0"/>
              <w:rPr>
                <w:rFonts w:hint="eastAsia"/>
                <w:color w:val="auto"/>
              </w:rPr>
            </w:pPr>
            <w:r>
              <w:rPr>
                <w:rFonts w:hint="eastAsia"/>
                <w:color w:val="auto"/>
                <w:lang w:val="en-US" w:eastAsia="zh-CN"/>
              </w:rPr>
              <w:t>中心传动浓缩机</w:t>
            </w:r>
          </w:p>
        </w:tc>
        <w:tc>
          <w:tcPr>
            <w:tcW w:w="1312" w:type="pct"/>
            <w:shd w:val="clear" w:color="auto" w:fill="auto"/>
            <w:vAlign w:val="center"/>
          </w:tcPr>
          <w:p w14:paraId="57DBCB57">
            <w:pPr>
              <w:pStyle w:val="30"/>
              <w:bidi w:val="0"/>
              <w:rPr>
                <w:rFonts w:hint="default"/>
                <w:color w:val="auto"/>
              </w:rPr>
            </w:pPr>
            <w:r>
              <w:rPr>
                <w:rFonts w:hint="default"/>
                <w:color w:val="auto"/>
                <w:lang w:val="en-US" w:eastAsia="zh-CN"/>
              </w:rPr>
              <w:t>NXZ-30</w:t>
            </w:r>
          </w:p>
        </w:tc>
        <w:tc>
          <w:tcPr>
            <w:tcW w:w="373" w:type="pct"/>
            <w:shd w:val="clear" w:color="auto" w:fill="auto"/>
            <w:vAlign w:val="center"/>
          </w:tcPr>
          <w:p w14:paraId="22171844">
            <w:pPr>
              <w:pStyle w:val="30"/>
              <w:bidi w:val="0"/>
              <w:rPr>
                <w:rFonts w:hint="default"/>
                <w:color w:val="auto"/>
              </w:rPr>
            </w:pPr>
            <w:r>
              <w:rPr>
                <w:rFonts w:hint="default"/>
                <w:color w:val="auto"/>
                <w:lang w:val="en-US" w:eastAsia="zh-CN"/>
              </w:rPr>
              <w:t>1</w:t>
            </w:r>
          </w:p>
        </w:tc>
        <w:tc>
          <w:tcPr>
            <w:tcW w:w="498" w:type="pct"/>
            <w:shd w:val="clear" w:color="auto" w:fill="auto"/>
            <w:vAlign w:val="center"/>
          </w:tcPr>
          <w:p w14:paraId="2FEBCEFB">
            <w:pPr>
              <w:pStyle w:val="30"/>
              <w:bidi w:val="0"/>
              <w:rPr>
                <w:rFonts w:hint="eastAsia"/>
                <w:color w:val="auto"/>
              </w:rPr>
            </w:pPr>
          </w:p>
        </w:tc>
        <w:tc>
          <w:tcPr>
            <w:tcW w:w="503" w:type="pct"/>
            <w:shd w:val="clear" w:color="auto" w:fill="auto"/>
            <w:vAlign w:val="center"/>
          </w:tcPr>
          <w:p w14:paraId="031A7B5E">
            <w:pPr>
              <w:pStyle w:val="30"/>
              <w:bidi w:val="0"/>
              <w:rPr>
                <w:rFonts w:hint="eastAsia"/>
                <w:color w:val="auto"/>
              </w:rPr>
            </w:pPr>
          </w:p>
        </w:tc>
        <w:tc>
          <w:tcPr>
            <w:tcW w:w="640" w:type="pct"/>
            <w:shd w:val="clear" w:color="auto" w:fill="auto"/>
            <w:vAlign w:val="center"/>
          </w:tcPr>
          <w:p w14:paraId="6F7B595F">
            <w:pPr>
              <w:pStyle w:val="30"/>
              <w:bidi w:val="0"/>
              <w:rPr>
                <w:rFonts w:hint="default"/>
                <w:color w:val="auto"/>
              </w:rPr>
            </w:pPr>
            <w:r>
              <w:rPr>
                <w:rFonts w:hint="default"/>
                <w:color w:val="auto"/>
                <w:lang w:val="en-US" w:eastAsia="zh-CN"/>
              </w:rPr>
              <w:t>15</w:t>
            </w:r>
          </w:p>
        </w:tc>
        <w:tc>
          <w:tcPr>
            <w:tcW w:w="347" w:type="pct"/>
            <w:shd w:val="clear" w:color="auto" w:fill="auto"/>
            <w:vAlign w:val="center"/>
          </w:tcPr>
          <w:p w14:paraId="5E50D4AD">
            <w:pPr>
              <w:pStyle w:val="30"/>
              <w:bidi w:val="0"/>
              <w:rPr>
                <w:rFonts w:hint="eastAsia"/>
                <w:color w:val="auto"/>
              </w:rPr>
            </w:pPr>
          </w:p>
        </w:tc>
      </w:tr>
      <w:tr w14:paraId="4846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9" w:type="pct"/>
            <w:shd w:val="clear" w:color="auto" w:fill="auto"/>
            <w:vAlign w:val="center"/>
          </w:tcPr>
          <w:p w14:paraId="36D6E5F9">
            <w:pPr>
              <w:pStyle w:val="30"/>
              <w:bidi w:val="0"/>
              <w:rPr>
                <w:rFonts w:hint="default"/>
                <w:color w:val="auto"/>
              </w:rPr>
            </w:pPr>
            <w:r>
              <w:rPr>
                <w:rFonts w:hint="default"/>
                <w:color w:val="auto"/>
                <w:lang w:val="en-US" w:eastAsia="zh-CN"/>
              </w:rPr>
              <w:t>2</w:t>
            </w:r>
          </w:p>
        </w:tc>
        <w:tc>
          <w:tcPr>
            <w:tcW w:w="1095" w:type="pct"/>
            <w:shd w:val="clear" w:color="auto" w:fill="auto"/>
            <w:vAlign w:val="center"/>
          </w:tcPr>
          <w:p w14:paraId="6596FF8D">
            <w:pPr>
              <w:pStyle w:val="30"/>
              <w:bidi w:val="0"/>
              <w:rPr>
                <w:rFonts w:hint="eastAsia"/>
                <w:color w:val="auto"/>
              </w:rPr>
            </w:pPr>
            <w:r>
              <w:rPr>
                <w:rFonts w:hint="eastAsia"/>
                <w:color w:val="auto"/>
                <w:lang w:val="en-US" w:eastAsia="zh-CN"/>
              </w:rPr>
              <w:t>机械隔膜泵</w:t>
            </w:r>
          </w:p>
        </w:tc>
        <w:tc>
          <w:tcPr>
            <w:tcW w:w="1312" w:type="pct"/>
            <w:shd w:val="clear" w:color="auto" w:fill="auto"/>
            <w:vAlign w:val="center"/>
          </w:tcPr>
          <w:p w14:paraId="0C9A0CA3">
            <w:pPr>
              <w:pStyle w:val="30"/>
              <w:bidi w:val="0"/>
              <w:rPr>
                <w:rFonts w:hint="default"/>
                <w:color w:val="auto"/>
              </w:rPr>
            </w:pPr>
            <w:r>
              <w:rPr>
                <w:rFonts w:hint="default"/>
                <w:color w:val="auto"/>
                <w:lang w:val="en-US" w:eastAsia="zh-CN"/>
              </w:rPr>
              <w:t>JG580/3.8</w:t>
            </w:r>
          </w:p>
        </w:tc>
        <w:tc>
          <w:tcPr>
            <w:tcW w:w="373" w:type="pct"/>
            <w:shd w:val="clear" w:color="auto" w:fill="auto"/>
            <w:vAlign w:val="center"/>
          </w:tcPr>
          <w:p w14:paraId="0142DE88">
            <w:pPr>
              <w:pStyle w:val="30"/>
              <w:bidi w:val="0"/>
              <w:rPr>
                <w:rFonts w:hint="default"/>
                <w:color w:val="auto"/>
              </w:rPr>
            </w:pPr>
            <w:r>
              <w:rPr>
                <w:rFonts w:hint="default"/>
                <w:color w:val="auto"/>
                <w:lang w:val="en-US" w:eastAsia="zh-CN"/>
              </w:rPr>
              <w:t>1</w:t>
            </w:r>
          </w:p>
        </w:tc>
        <w:tc>
          <w:tcPr>
            <w:tcW w:w="498" w:type="pct"/>
            <w:shd w:val="clear" w:color="auto" w:fill="auto"/>
            <w:vAlign w:val="center"/>
          </w:tcPr>
          <w:p w14:paraId="282F901E">
            <w:pPr>
              <w:pStyle w:val="30"/>
              <w:bidi w:val="0"/>
              <w:rPr>
                <w:rFonts w:hint="eastAsia"/>
                <w:color w:val="auto"/>
              </w:rPr>
            </w:pPr>
          </w:p>
        </w:tc>
        <w:tc>
          <w:tcPr>
            <w:tcW w:w="503" w:type="pct"/>
            <w:shd w:val="clear" w:color="auto" w:fill="auto"/>
            <w:vAlign w:val="center"/>
          </w:tcPr>
          <w:p w14:paraId="6F675E7B">
            <w:pPr>
              <w:pStyle w:val="30"/>
              <w:bidi w:val="0"/>
              <w:rPr>
                <w:rFonts w:hint="eastAsia"/>
                <w:color w:val="auto"/>
              </w:rPr>
            </w:pPr>
          </w:p>
        </w:tc>
        <w:tc>
          <w:tcPr>
            <w:tcW w:w="640" w:type="pct"/>
            <w:shd w:val="clear" w:color="auto" w:fill="auto"/>
            <w:vAlign w:val="center"/>
          </w:tcPr>
          <w:p w14:paraId="73E03E20">
            <w:pPr>
              <w:pStyle w:val="30"/>
              <w:bidi w:val="0"/>
              <w:rPr>
                <w:rFonts w:hint="default"/>
                <w:color w:val="auto"/>
              </w:rPr>
            </w:pPr>
            <w:r>
              <w:rPr>
                <w:rFonts w:hint="default"/>
                <w:color w:val="auto"/>
                <w:lang w:val="en-US" w:eastAsia="zh-CN"/>
              </w:rPr>
              <w:t>710</w:t>
            </w:r>
          </w:p>
        </w:tc>
        <w:tc>
          <w:tcPr>
            <w:tcW w:w="347" w:type="pct"/>
            <w:shd w:val="clear" w:color="auto" w:fill="auto"/>
            <w:vAlign w:val="center"/>
          </w:tcPr>
          <w:p w14:paraId="52DAA0C5">
            <w:pPr>
              <w:pStyle w:val="30"/>
              <w:bidi w:val="0"/>
              <w:rPr>
                <w:rFonts w:hint="eastAsia"/>
                <w:color w:val="auto"/>
              </w:rPr>
            </w:pPr>
          </w:p>
        </w:tc>
      </w:tr>
      <w:tr w14:paraId="239D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29" w:type="pct"/>
            <w:shd w:val="clear" w:color="auto" w:fill="auto"/>
            <w:vAlign w:val="center"/>
          </w:tcPr>
          <w:p w14:paraId="59232ED0">
            <w:pPr>
              <w:pStyle w:val="30"/>
              <w:bidi w:val="0"/>
              <w:rPr>
                <w:rFonts w:hint="default"/>
                <w:color w:val="auto"/>
              </w:rPr>
            </w:pPr>
            <w:r>
              <w:rPr>
                <w:rFonts w:hint="default"/>
                <w:color w:val="auto"/>
                <w:lang w:val="en-US" w:eastAsia="zh-CN"/>
              </w:rPr>
              <w:t>3</w:t>
            </w:r>
          </w:p>
        </w:tc>
        <w:tc>
          <w:tcPr>
            <w:tcW w:w="1095" w:type="pct"/>
            <w:shd w:val="clear" w:color="auto" w:fill="auto"/>
            <w:vAlign w:val="center"/>
          </w:tcPr>
          <w:p w14:paraId="2CBEADFB">
            <w:pPr>
              <w:pStyle w:val="30"/>
              <w:bidi w:val="0"/>
              <w:rPr>
                <w:rFonts w:hint="eastAsia"/>
                <w:color w:val="auto"/>
              </w:rPr>
            </w:pPr>
            <w:r>
              <w:rPr>
                <w:rFonts w:hint="eastAsia"/>
                <w:color w:val="auto"/>
                <w:lang w:val="en-US" w:eastAsia="zh-CN"/>
              </w:rPr>
              <w:t>振动筛</w:t>
            </w:r>
          </w:p>
        </w:tc>
        <w:tc>
          <w:tcPr>
            <w:tcW w:w="1312" w:type="pct"/>
            <w:shd w:val="clear" w:color="auto" w:fill="auto"/>
            <w:vAlign w:val="center"/>
          </w:tcPr>
          <w:p w14:paraId="6BF791B0">
            <w:pPr>
              <w:pStyle w:val="30"/>
              <w:bidi w:val="0"/>
              <w:rPr>
                <w:rFonts w:hint="default"/>
                <w:color w:val="auto"/>
              </w:rPr>
            </w:pPr>
            <w:r>
              <w:rPr>
                <w:rFonts w:hint="default"/>
                <w:color w:val="auto"/>
                <w:lang w:val="en-US" w:eastAsia="zh-CN"/>
              </w:rPr>
              <w:t>JZQ3061</w:t>
            </w:r>
          </w:p>
        </w:tc>
        <w:tc>
          <w:tcPr>
            <w:tcW w:w="373" w:type="pct"/>
            <w:shd w:val="clear" w:color="auto" w:fill="auto"/>
            <w:vAlign w:val="center"/>
          </w:tcPr>
          <w:p w14:paraId="2944772B">
            <w:pPr>
              <w:pStyle w:val="30"/>
              <w:bidi w:val="0"/>
              <w:rPr>
                <w:rFonts w:hint="default"/>
                <w:color w:val="auto"/>
              </w:rPr>
            </w:pPr>
            <w:r>
              <w:rPr>
                <w:rFonts w:hint="default"/>
                <w:color w:val="auto"/>
                <w:lang w:val="en-US" w:eastAsia="zh-CN"/>
              </w:rPr>
              <w:t>3</w:t>
            </w:r>
          </w:p>
        </w:tc>
        <w:tc>
          <w:tcPr>
            <w:tcW w:w="498" w:type="pct"/>
            <w:shd w:val="clear" w:color="auto" w:fill="auto"/>
            <w:vAlign w:val="center"/>
          </w:tcPr>
          <w:p w14:paraId="004E3085">
            <w:pPr>
              <w:pStyle w:val="30"/>
              <w:bidi w:val="0"/>
              <w:rPr>
                <w:rFonts w:hint="eastAsia"/>
                <w:color w:val="auto"/>
              </w:rPr>
            </w:pPr>
          </w:p>
        </w:tc>
        <w:tc>
          <w:tcPr>
            <w:tcW w:w="503" w:type="pct"/>
            <w:shd w:val="clear" w:color="auto" w:fill="auto"/>
            <w:vAlign w:val="center"/>
          </w:tcPr>
          <w:p w14:paraId="7ACD645A">
            <w:pPr>
              <w:pStyle w:val="30"/>
              <w:bidi w:val="0"/>
              <w:rPr>
                <w:rFonts w:hint="eastAsia"/>
                <w:color w:val="auto"/>
              </w:rPr>
            </w:pPr>
          </w:p>
        </w:tc>
        <w:tc>
          <w:tcPr>
            <w:tcW w:w="640" w:type="pct"/>
            <w:shd w:val="clear" w:color="auto" w:fill="auto"/>
            <w:vAlign w:val="center"/>
          </w:tcPr>
          <w:p w14:paraId="06B8401B">
            <w:pPr>
              <w:pStyle w:val="30"/>
              <w:bidi w:val="0"/>
              <w:rPr>
                <w:rFonts w:hint="default"/>
                <w:color w:val="auto"/>
              </w:rPr>
            </w:pPr>
            <w:r>
              <w:rPr>
                <w:rFonts w:hint="default"/>
                <w:color w:val="auto"/>
                <w:lang w:val="en-US" w:eastAsia="zh-CN"/>
              </w:rPr>
              <w:t>37</w:t>
            </w:r>
          </w:p>
        </w:tc>
        <w:tc>
          <w:tcPr>
            <w:tcW w:w="347" w:type="pct"/>
            <w:shd w:val="clear" w:color="auto" w:fill="auto"/>
            <w:vAlign w:val="center"/>
          </w:tcPr>
          <w:p w14:paraId="32DA0BC7">
            <w:pPr>
              <w:pStyle w:val="30"/>
              <w:bidi w:val="0"/>
              <w:rPr>
                <w:rFonts w:hint="eastAsia"/>
                <w:color w:val="auto"/>
              </w:rPr>
            </w:pPr>
          </w:p>
        </w:tc>
      </w:tr>
      <w:tr w14:paraId="61CD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29" w:type="pct"/>
            <w:shd w:val="clear" w:color="auto" w:fill="auto"/>
            <w:vAlign w:val="center"/>
          </w:tcPr>
          <w:p w14:paraId="24486F0D">
            <w:pPr>
              <w:pStyle w:val="30"/>
              <w:bidi w:val="0"/>
              <w:rPr>
                <w:rFonts w:hint="default"/>
                <w:color w:val="auto"/>
              </w:rPr>
            </w:pPr>
            <w:r>
              <w:rPr>
                <w:rFonts w:hint="default"/>
                <w:color w:val="auto"/>
                <w:lang w:val="en-US" w:eastAsia="zh-CN"/>
              </w:rPr>
              <w:t>4</w:t>
            </w:r>
          </w:p>
        </w:tc>
        <w:tc>
          <w:tcPr>
            <w:tcW w:w="1095" w:type="pct"/>
            <w:shd w:val="clear" w:color="auto" w:fill="auto"/>
            <w:vAlign w:val="center"/>
          </w:tcPr>
          <w:p w14:paraId="66B79044">
            <w:pPr>
              <w:pStyle w:val="30"/>
              <w:bidi w:val="0"/>
              <w:rPr>
                <w:rFonts w:hint="eastAsia"/>
                <w:color w:val="auto"/>
              </w:rPr>
            </w:pPr>
            <w:r>
              <w:rPr>
                <w:rFonts w:hint="eastAsia"/>
                <w:color w:val="auto"/>
                <w:lang w:val="en-US" w:eastAsia="zh-CN"/>
              </w:rPr>
              <w:t>中心传动浓缩机</w:t>
            </w:r>
          </w:p>
        </w:tc>
        <w:tc>
          <w:tcPr>
            <w:tcW w:w="1312" w:type="pct"/>
            <w:shd w:val="clear" w:color="auto" w:fill="auto"/>
            <w:vAlign w:val="center"/>
          </w:tcPr>
          <w:p w14:paraId="1D1CE787">
            <w:pPr>
              <w:pStyle w:val="30"/>
              <w:bidi w:val="0"/>
              <w:rPr>
                <w:rFonts w:hint="default"/>
                <w:color w:val="auto"/>
              </w:rPr>
            </w:pPr>
            <w:r>
              <w:rPr>
                <w:rFonts w:hint="default"/>
                <w:color w:val="auto"/>
                <w:lang w:val="en-US" w:eastAsia="zh-CN"/>
              </w:rPr>
              <w:t>NXZ-15</w:t>
            </w:r>
          </w:p>
        </w:tc>
        <w:tc>
          <w:tcPr>
            <w:tcW w:w="373" w:type="pct"/>
            <w:shd w:val="clear" w:color="auto" w:fill="auto"/>
            <w:vAlign w:val="center"/>
          </w:tcPr>
          <w:p w14:paraId="40C85B74">
            <w:pPr>
              <w:pStyle w:val="30"/>
              <w:bidi w:val="0"/>
              <w:rPr>
                <w:rFonts w:hint="default"/>
                <w:color w:val="auto"/>
              </w:rPr>
            </w:pPr>
            <w:r>
              <w:rPr>
                <w:rFonts w:hint="default"/>
                <w:color w:val="auto"/>
                <w:lang w:val="en-US" w:eastAsia="zh-CN"/>
              </w:rPr>
              <w:t>1</w:t>
            </w:r>
          </w:p>
        </w:tc>
        <w:tc>
          <w:tcPr>
            <w:tcW w:w="498" w:type="pct"/>
            <w:shd w:val="clear" w:color="auto" w:fill="auto"/>
            <w:vAlign w:val="center"/>
          </w:tcPr>
          <w:p w14:paraId="418BD9F7">
            <w:pPr>
              <w:pStyle w:val="30"/>
              <w:bidi w:val="0"/>
              <w:rPr>
                <w:rFonts w:hint="eastAsia"/>
                <w:color w:val="auto"/>
              </w:rPr>
            </w:pPr>
          </w:p>
        </w:tc>
        <w:tc>
          <w:tcPr>
            <w:tcW w:w="503" w:type="pct"/>
            <w:shd w:val="clear" w:color="auto" w:fill="auto"/>
            <w:vAlign w:val="center"/>
          </w:tcPr>
          <w:p w14:paraId="1C5BAB3E">
            <w:pPr>
              <w:pStyle w:val="30"/>
              <w:bidi w:val="0"/>
              <w:rPr>
                <w:rFonts w:hint="eastAsia"/>
                <w:color w:val="auto"/>
              </w:rPr>
            </w:pPr>
          </w:p>
        </w:tc>
        <w:tc>
          <w:tcPr>
            <w:tcW w:w="640" w:type="pct"/>
            <w:shd w:val="clear" w:color="auto" w:fill="auto"/>
            <w:vAlign w:val="center"/>
          </w:tcPr>
          <w:p w14:paraId="54194F14">
            <w:pPr>
              <w:pStyle w:val="30"/>
              <w:bidi w:val="0"/>
              <w:rPr>
                <w:rFonts w:hint="default"/>
                <w:color w:val="auto"/>
              </w:rPr>
            </w:pPr>
            <w:r>
              <w:rPr>
                <w:rFonts w:hint="default"/>
                <w:color w:val="auto"/>
                <w:lang w:val="en-US" w:eastAsia="zh-CN"/>
              </w:rPr>
              <w:t>15</w:t>
            </w:r>
          </w:p>
        </w:tc>
        <w:tc>
          <w:tcPr>
            <w:tcW w:w="347" w:type="pct"/>
            <w:shd w:val="clear" w:color="auto" w:fill="auto"/>
            <w:vAlign w:val="center"/>
          </w:tcPr>
          <w:p w14:paraId="7CAC3CD3">
            <w:pPr>
              <w:pStyle w:val="30"/>
              <w:bidi w:val="0"/>
              <w:rPr>
                <w:rFonts w:hint="eastAsia"/>
                <w:color w:val="auto"/>
              </w:rPr>
            </w:pPr>
          </w:p>
        </w:tc>
      </w:tr>
      <w:tr w14:paraId="456C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9" w:type="pct"/>
            <w:shd w:val="clear" w:color="auto" w:fill="auto"/>
            <w:vAlign w:val="center"/>
          </w:tcPr>
          <w:p w14:paraId="0217121B">
            <w:pPr>
              <w:pStyle w:val="30"/>
              <w:bidi w:val="0"/>
              <w:rPr>
                <w:rFonts w:hint="default"/>
                <w:color w:val="auto"/>
              </w:rPr>
            </w:pPr>
            <w:r>
              <w:rPr>
                <w:rFonts w:hint="default"/>
                <w:color w:val="auto"/>
                <w:lang w:val="en-US" w:eastAsia="zh-CN"/>
              </w:rPr>
              <w:t>5</w:t>
            </w:r>
          </w:p>
        </w:tc>
        <w:tc>
          <w:tcPr>
            <w:tcW w:w="1095" w:type="pct"/>
            <w:shd w:val="clear" w:color="auto" w:fill="auto"/>
            <w:vAlign w:val="center"/>
          </w:tcPr>
          <w:p w14:paraId="3988A86B">
            <w:pPr>
              <w:pStyle w:val="30"/>
              <w:bidi w:val="0"/>
              <w:rPr>
                <w:rFonts w:hint="eastAsia"/>
                <w:color w:val="auto"/>
              </w:rPr>
            </w:pPr>
            <w:r>
              <w:rPr>
                <w:rFonts w:hint="eastAsia"/>
                <w:color w:val="auto"/>
                <w:lang w:val="en-US" w:eastAsia="zh-CN"/>
              </w:rPr>
              <w:t>板框压滤机</w:t>
            </w:r>
          </w:p>
        </w:tc>
        <w:tc>
          <w:tcPr>
            <w:tcW w:w="1312" w:type="pct"/>
            <w:shd w:val="clear" w:color="auto" w:fill="auto"/>
            <w:vAlign w:val="center"/>
          </w:tcPr>
          <w:p w14:paraId="7BB0540A">
            <w:pPr>
              <w:pStyle w:val="30"/>
              <w:bidi w:val="0"/>
              <w:rPr>
                <w:rFonts w:hint="default"/>
                <w:color w:val="auto"/>
              </w:rPr>
            </w:pPr>
            <w:r>
              <w:rPr>
                <w:rFonts w:hint="default"/>
                <w:color w:val="auto"/>
                <w:lang w:val="en-US" w:eastAsia="zh-CN"/>
              </w:rPr>
              <w:t>HMZG800/2000-U</w:t>
            </w:r>
          </w:p>
        </w:tc>
        <w:tc>
          <w:tcPr>
            <w:tcW w:w="373" w:type="pct"/>
            <w:shd w:val="clear" w:color="auto" w:fill="auto"/>
            <w:vAlign w:val="center"/>
          </w:tcPr>
          <w:p w14:paraId="7909EEF4">
            <w:pPr>
              <w:pStyle w:val="30"/>
              <w:bidi w:val="0"/>
              <w:rPr>
                <w:rFonts w:hint="default"/>
                <w:color w:val="auto"/>
              </w:rPr>
            </w:pPr>
            <w:r>
              <w:rPr>
                <w:rFonts w:hint="default"/>
                <w:color w:val="auto"/>
                <w:lang w:val="en-US" w:eastAsia="zh-CN"/>
              </w:rPr>
              <w:t>7</w:t>
            </w:r>
          </w:p>
        </w:tc>
        <w:tc>
          <w:tcPr>
            <w:tcW w:w="498" w:type="pct"/>
            <w:shd w:val="clear" w:color="auto" w:fill="auto"/>
            <w:vAlign w:val="center"/>
          </w:tcPr>
          <w:p w14:paraId="7B3B82C6">
            <w:pPr>
              <w:pStyle w:val="30"/>
              <w:bidi w:val="0"/>
              <w:rPr>
                <w:rFonts w:hint="eastAsia"/>
                <w:color w:val="auto"/>
              </w:rPr>
            </w:pPr>
          </w:p>
        </w:tc>
        <w:tc>
          <w:tcPr>
            <w:tcW w:w="503" w:type="pct"/>
            <w:shd w:val="clear" w:color="auto" w:fill="auto"/>
            <w:vAlign w:val="center"/>
          </w:tcPr>
          <w:p w14:paraId="05505A07">
            <w:pPr>
              <w:pStyle w:val="30"/>
              <w:bidi w:val="0"/>
              <w:rPr>
                <w:rFonts w:hint="eastAsia"/>
                <w:color w:val="auto"/>
              </w:rPr>
            </w:pPr>
          </w:p>
        </w:tc>
        <w:tc>
          <w:tcPr>
            <w:tcW w:w="640" w:type="pct"/>
            <w:shd w:val="clear" w:color="auto" w:fill="auto"/>
            <w:vAlign w:val="center"/>
          </w:tcPr>
          <w:p w14:paraId="26BA906A">
            <w:pPr>
              <w:pStyle w:val="30"/>
              <w:bidi w:val="0"/>
              <w:rPr>
                <w:rFonts w:hint="default"/>
                <w:color w:val="auto"/>
              </w:rPr>
            </w:pPr>
            <w:r>
              <w:rPr>
                <w:rFonts w:hint="default"/>
                <w:color w:val="auto"/>
                <w:lang w:val="en-US" w:eastAsia="zh-CN"/>
              </w:rPr>
              <w:t>18.5</w:t>
            </w:r>
          </w:p>
        </w:tc>
        <w:tc>
          <w:tcPr>
            <w:tcW w:w="347" w:type="pct"/>
            <w:shd w:val="clear" w:color="auto" w:fill="auto"/>
            <w:vAlign w:val="center"/>
          </w:tcPr>
          <w:p w14:paraId="71C43AF9">
            <w:pPr>
              <w:pStyle w:val="30"/>
              <w:bidi w:val="0"/>
              <w:rPr>
                <w:rFonts w:hint="eastAsia"/>
                <w:color w:val="auto"/>
              </w:rPr>
            </w:pPr>
          </w:p>
        </w:tc>
      </w:tr>
      <w:tr w14:paraId="4354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29" w:type="pct"/>
            <w:shd w:val="clear" w:color="auto" w:fill="auto"/>
            <w:vAlign w:val="center"/>
          </w:tcPr>
          <w:p w14:paraId="2E9B38B4">
            <w:pPr>
              <w:pStyle w:val="30"/>
              <w:bidi w:val="0"/>
              <w:rPr>
                <w:rFonts w:hint="default"/>
                <w:color w:val="auto"/>
              </w:rPr>
            </w:pPr>
            <w:r>
              <w:rPr>
                <w:rFonts w:hint="default"/>
                <w:color w:val="auto"/>
                <w:lang w:val="en-US" w:eastAsia="zh-CN"/>
              </w:rPr>
              <w:t>6</w:t>
            </w:r>
          </w:p>
        </w:tc>
        <w:tc>
          <w:tcPr>
            <w:tcW w:w="1095" w:type="pct"/>
            <w:shd w:val="clear" w:color="auto" w:fill="auto"/>
            <w:vAlign w:val="center"/>
          </w:tcPr>
          <w:p w14:paraId="402BC567">
            <w:pPr>
              <w:pStyle w:val="30"/>
              <w:bidi w:val="0"/>
              <w:rPr>
                <w:rFonts w:hint="eastAsia"/>
                <w:color w:val="auto"/>
              </w:rPr>
            </w:pPr>
            <w:r>
              <w:rPr>
                <w:rFonts w:hint="eastAsia"/>
                <w:color w:val="auto"/>
                <w:lang w:val="en-US" w:eastAsia="zh-CN"/>
              </w:rPr>
              <w:t>皮带输送机</w:t>
            </w:r>
          </w:p>
        </w:tc>
        <w:tc>
          <w:tcPr>
            <w:tcW w:w="1312" w:type="pct"/>
            <w:shd w:val="clear" w:color="auto" w:fill="auto"/>
            <w:vAlign w:val="center"/>
          </w:tcPr>
          <w:p w14:paraId="612FA649">
            <w:pPr>
              <w:pStyle w:val="30"/>
              <w:bidi w:val="0"/>
              <w:rPr>
                <w:rFonts w:hint="default"/>
                <w:color w:val="auto"/>
              </w:rPr>
            </w:pPr>
            <w:r>
              <w:rPr>
                <w:rFonts w:hint="default"/>
                <w:color w:val="auto"/>
                <w:lang w:val="en-US" w:eastAsia="zh-CN"/>
              </w:rPr>
              <w:t>TD75-1200</w:t>
            </w:r>
          </w:p>
        </w:tc>
        <w:tc>
          <w:tcPr>
            <w:tcW w:w="373" w:type="pct"/>
            <w:shd w:val="clear" w:color="auto" w:fill="auto"/>
            <w:vAlign w:val="center"/>
          </w:tcPr>
          <w:p w14:paraId="66D8035A">
            <w:pPr>
              <w:pStyle w:val="30"/>
              <w:bidi w:val="0"/>
              <w:rPr>
                <w:rFonts w:hint="default"/>
                <w:color w:val="auto"/>
              </w:rPr>
            </w:pPr>
            <w:r>
              <w:rPr>
                <w:rFonts w:hint="default"/>
                <w:color w:val="auto"/>
                <w:lang w:val="en-US" w:eastAsia="zh-CN"/>
              </w:rPr>
              <w:t>7</w:t>
            </w:r>
          </w:p>
        </w:tc>
        <w:tc>
          <w:tcPr>
            <w:tcW w:w="498" w:type="pct"/>
            <w:shd w:val="clear" w:color="auto" w:fill="auto"/>
            <w:vAlign w:val="center"/>
          </w:tcPr>
          <w:p w14:paraId="77B5B4F5">
            <w:pPr>
              <w:pStyle w:val="30"/>
              <w:bidi w:val="0"/>
              <w:rPr>
                <w:rFonts w:hint="eastAsia"/>
                <w:color w:val="auto"/>
              </w:rPr>
            </w:pPr>
          </w:p>
        </w:tc>
        <w:tc>
          <w:tcPr>
            <w:tcW w:w="503" w:type="pct"/>
            <w:shd w:val="clear" w:color="auto" w:fill="auto"/>
            <w:vAlign w:val="center"/>
          </w:tcPr>
          <w:p w14:paraId="3B0D609E">
            <w:pPr>
              <w:pStyle w:val="30"/>
              <w:bidi w:val="0"/>
              <w:rPr>
                <w:rFonts w:hint="eastAsia"/>
                <w:color w:val="auto"/>
              </w:rPr>
            </w:pPr>
          </w:p>
        </w:tc>
        <w:tc>
          <w:tcPr>
            <w:tcW w:w="640" w:type="pct"/>
            <w:shd w:val="clear" w:color="auto" w:fill="auto"/>
            <w:vAlign w:val="center"/>
          </w:tcPr>
          <w:p w14:paraId="7580FE23">
            <w:pPr>
              <w:pStyle w:val="30"/>
              <w:bidi w:val="0"/>
              <w:rPr>
                <w:rFonts w:hint="default"/>
                <w:color w:val="auto"/>
              </w:rPr>
            </w:pPr>
            <w:r>
              <w:rPr>
                <w:rFonts w:hint="default"/>
                <w:color w:val="auto"/>
                <w:lang w:val="en-US" w:eastAsia="zh-CN"/>
              </w:rPr>
              <w:t>15</w:t>
            </w:r>
          </w:p>
        </w:tc>
        <w:tc>
          <w:tcPr>
            <w:tcW w:w="347" w:type="pct"/>
            <w:shd w:val="clear" w:color="auto" w:fill="auto"/>
            <w:vAlign w:val="center"/>
          </w:tcPr>
          <w:p w14:paraId="6EBA3BFE">
            <w:pPr>
              <w:pStyle w:val="30"/>
              <w:bidi w:val="0"/>
              <w:rPr>
                <w:rFonts w:hint="eastAsia"/>
                <w:color w:val="auto"/>
              </w:rPr>
            </w:pPr>
          </w:p>
        </w:tc>
      </w:tr>
      <w:tr w14:paraId="3678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9" w:type="pct"/>
            <w:shd w:val="clear" w:color="auto" w:fill="auto"/>
            <w:vAlign w:val="center"/>
          </w:tcPr>
          <w:p w14:paraId="0F36D471">
            <w:pPr>
              <w:pStyle w:val="30"/>
              <w:bidi w:val="0"/>
              <w:rPr>
                <w:rFonts w:hint="default"/>
                <w:color w:val="auto"/>
              </w:rPr>
            </w:pPr>
            <w:r>
              <w:rPr>
                <w:rFonts w:hint="default"/>
                <w:color w:val="auto"/>
                <w:lang w:val="en-US" w:eastAsia="zh-CN"/>
              </w:rPr>
              <w:t>7</w:t>
            </w:r>
          </w:p>
        </w:tc>
        <w:tc>
          <w:tcPr>
            <w:tcW w:w="1095" w:type="pct"/>
            <w:shd w:val="clear" w:color="auto" w:fill="auto"/>
            <w:vAlign w:val="center"/>
          </w:tcPr>
          <w:p w14:paraId="14B707BA">
            <w:pPr>
              <w:pStyle w:val="30"/>
              <w:bidi w:val="0"/>
              <w:rPr>
                <w:rFonts w:hint="eastAsia"/>
                <w:color w:val="auto"/>
              </w:rPr>
            </w:pPr>
            <w:r>
              <w:rPr>
                <w:rFonts w:hint="eastAsia"/>
                <w:color w:val="auto"/>
                <w:lang w:val="en-US" w:eastAsia="zh-CN"/>
              </w:rPr>
              <w:t>皮带输送机</w:t>
            </w:r>
          </w:p>
        </w:tc>
        <w:tc>
          <w:tcPr>
            <w:tcW w:w="1312" w:type="pct"/>
            <w:shd w:val="clear" w:color="auto" w:fill="auto"/>
            <w:vAlign w:val="center"/>
          </w:tcPr>
          <w:p w14:paraId="2F539653">
            <w:pPr>
              <w:pStyle w:val="30"/>
              <w:bidi w:val="0"/>
              <w:rPr>
                <w:rFonts w:hint="default"/>
                <w:color w:val="auto"/>
              </w:rPr>
            </w:pPr>
            <w:r>
              <w:rPr>
                <w:rFonts w:hint="default"/>
                <w:color w:val="auto"/>
                <w:lang w:val="en-US" w:eastAsia="zh-CN"/>
              </w:rPr>
              <w:t>TD75-1400</w:t>
            </w:r>
          </w:p>
        </w:tc>
        <w:tc>
          <w:tcPr>
            <w:tcW w:w="373" w:type="pct"/>
            <w:shd w:val="clear" w:color="auto" w:fill="auto"/>
            <w:vAlign w:val="center"/>
          </w:tcPr>
          <w:p w14:paraId="7A46C5D7">
            <w:pPr>
              <w:pStyle w:val="30"/>
              <w:bidi w:val="0"/>
              <w:rPr>
                <w:rFonts w:hint="default"/>
                <w:color w:val="auto"/>
              </w:rPr>
            </w:pPr>
            <w:r>
              <w:rPr>
                <w:rFonts w:hint="default"/>
                <w:color w:val="auto"/>
                <w:lang w:val="en-US" w:eastAsia="zh-CN"/>
              </w:rPr>
              <w:t>1</w:t>
            </w:r>
          </w:p>
        </w:tc>
        <w:tc>
          <w:tcPr>
            <w:tcW w:w="498" w:type="pct"/>
            <w:shd w:val="clear" w:color="auto" w:fill="auto"/>
            <w:vAlign w:val="center"/>
          </w:tcPr>
          <w:p w14:paraId="52794D3B">
            <w:pPr>
              <w:pStyle w:val="30"/>
              <w:bidi w:val="0"/>
              <w:rPr>
                <w:rFonts w:hint="eastAsia"/>
                <w:color w:val="auto"/>
              </w:rPr>
            </w:pPr>
          </w:p>
        </w:tc>
        <w:tc>
          <w:tcPr>
            <w:tcW w:w="503" w:type="pct"/>
            <w:shd w:val="clear" w:color="auto" w:fill="auto"/>
            <w:vAlign w:val="center"/>
          </w:tcPr>
          <w:p w14:paraId="56EFC788">
            <w:pPr>
              <w:pStyle w:val="30"/>
              <w:bidi w:val="0"/>
              <w:rPr>
                <w:rFonts w:hint="eastAsia"/>
                <w:color w:val="auto"/>
              </w:rPr>
            </w:pPr>
          </w:p>
        </w:tc>
        <w:tc>
          <w:tcPr>
            <w:tcW w:w="640" w:type="pct"/>
            <w:shd w:val="clear" w:color="auto" w:fill="auto"/>
            <w:vAlign w:val="center"/>
          </w:tcPr>
          <w:p w14:paraId="66A9CDA9">
            <w:pPr>
              <w:pStyle w:val="30"/>
              <w:bidi w:val="0"/>
              <w:rPr>
                <w:rFonts w:hint="default"/>
                <w:color w:val="auto"/>
              </w:rPr>
            </w:pPr>
            <w:r>
              <w:rPr>
                <w:rFonts w:hint="default"/>
                <w:color w:val="auto"/>
                <w:lang w:val="en-US" w:eastAsia="zh-CN"/>
              </w:rPr>
              <w:t>37</w:t>
            </w:r>
          </w:p>
        </w:tc>
        <w:tc>
          <w:tcPr>
            <w:tcW w:w="347" w:type="pct"/>
            <w:shd w:val="clear" w:color="auto" w:fill="auto"/>
            <w:vAlign w:val="center"/>
          </w:tcPr>
          <w:p w14:paraId="7494E2C0">
            <w:pPr>
              <w:pStyle w:val="30"/>
              <w:bidi w:val="0"/>
              <w:rPr>
                <w:rFonts w:hint="eastAsia"/>
                <w:color w:val="auto"/>
              </w:rPr>
            </w:pPr>
          </w:p>
        </w:tc>
      </w:tr>
      <w:tr w14:paraId="6E1A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9" w:type="pct"/>
            <w:shd w:val="clear" w:color="auto" w:fill="auto"/>
            <w:vAlign w:val="center"/>
          </w:tcPr>
          <w:p w14:paraId="44790147">
            <w:pPr>
              <w:pStyle w:val="30"/>
              <w:bidi w:val="0"/>
              <w:rPr>
                <w:rFonts w:hint="default"/>
                <w:color w:val="auto"/>
              </w:rPr>
            </w:pPr>
            <w:r>
              <w:rPr>
                <w:rFonts w:hint="default"/>
                <w:color w:val="auto"/>
                <w:lang w:val="en-US" w:eastAsia="zh-CN"/>
              </w:rPr>
              <w:t>8</w:t>
            </w:r>
          </w:p>
        </w:tc>
        <w:tc>
          <w:tcPr>
            <w:tcW w:w="1095" w:type="pct"/>
            <w:shd w:val="clear" w:color="auto" w:fill="auto"/>
            <w:vAlign w:val="center"/>
          </w:tcPr>
          <w:p w14:paraId="46A3F10B">
            <w:pPr>
              <w:pStyle w:val="30"/>
              <w:bidi w:val="0"/>
              <w:rPr>
                <w:rFonts w:hint="eastAsia"/>
                <w:color w:val="auto"/>
              </w:rPr>
            </w:pPr>
            <w:r>
              <w:rPr>
                <w:rFonts w:hint="eastAsia"/>
                <w:color w:val="auto"/>
                <w:lang w:val="en-US" w:eastAsia="zh-CN"/>
              </w:rPr>
              <w:t>皮带输送机</w:t>
            </w:r>
          </w:p>
        </w:tc>
        <w:tc>
          <w:tcPr>
            <w:tcW w:w="1312" w:type="pct"/>
            <w:shd w:val="clear" w:color="auto" w:fill="auto"/>
            <w:vAlign w:val="center"/>
          </w:tcPr>
          <w:p w14:paraId="2A9CDD43">
            <w:pPr>
              <w:pStyle w:val="30"/>
              <w:bidi w:val="0"/>
              <w:rPr>
                <w:rFonts w:hint="default"/>
                <w:color w:val="auto"/>
              </w:rPr>
            </w:pPr>
            <w:r>
              <w:rPr>
                <w:rFonts w:hint="default"/>
                <w:color w:val="auto"/>
                <w:lang w:val="en-US" w:eastAsia="zh-CN"/>
              </w:rPr>
              <w:t>TD75-1400</w:t>
            </w:r>
          </w:p>
        </w:tc>
        <w:tc>
          <w:tcPr>
            <w:tcW w:w="373" w:type="pct"/>
            <w:shd w:val="clear" w:color="auto" w:fill="auto"/>
            <w:vAlign w:val="center"/>
          </w:tcPr>
          <w:p w14:paraId="14F8B420">
            <w:pPr>
              <w:pStyle w:val="30"/>
              <w:bidi w:val="0"/>
              <w:rPr>
                <w:rFonts w:hint="default"/>
                <w:color w:val="auto"/>
              </w:rPr>
            </w:pPr>
            <w:r>
              <w:rPr>
                <w:rFonts w:hint="default"/>
                <w:color w:val="auto"/>
                <w:lang w:val="en-US" w:eastAsia="zh-CN"/>
              </w:rPr>
              <w:t>1</w:t>
            </w:r>
          </w:p>
        </w:tc>
        <w:tc>
          <w:tcPr>
            <w:tcW w:w="498" w:type="pct"/>
            <w:shd w:val="clear" w:color="auto" w:fill="auto"/>
            <w:vAlign w:val="center"/>
          </w:tcPr>
          <w:p w14:paraId="1ADB78C8">
            <w:pPr>
              <w:pStyle w:val="30"/>
              <w:bidi w:val="0"/>
              <w:rPr>
                <w:rFonts w:hint="eastAsia"/>
                <w:color w:val="auto"/>
              </w:rPr>
            </w:pPr>
          </w:p>
        </w:tc>
        <w:tc>
          <w:tcPr>
            <w:tcW w:w="503" w:type="pct"/>
            <w:shd w:val="clear" w:color="auto" w:fill="auto"/>
            <w:vAlign w:val="center"/>
          </w:tcPr>
          <w:p w14:paraId="33C2E40F">
            <w:pPr>
              <w:pStyle w:val="30"/>
              <w:bidi w:val="0"/>
              <w:rPr>
                <w:rFonts w:hint="eastAsia"/>
                <w:color w:val="auto"/>
              </w:rPr>
            </w:pPr>
          </w:p>
        </w:tc>
        <w:tc>
          <w:tcPr>
            <w:tcW w:w="640" w:type="pct"/>
            <w:shd w:val="clear" w:color="auto" w:fill="auto"/>
            <w:vAlign w:val="center"/>
          </w:tcPr>
          <w:p w14:paraId="269FA248">
            <w:pPr>
              <w:pStyle w:val="30"/>
              <w:bidi w:val="0"/>
              <w:rPr>
                <w:rFonts w:hint="default"/>
                <w:color w:val="auto"/>
              </w:rPr>
            </w:pPr>
            <w:r>
              <w:rPr>
                <w:rFonts w:hint="default"/>
                <w:color w:val="auto"/>
                <w:lang w:val="en-US" w:eastAsia="zh-CN"/>
              </w:rPr>
              <w:t>18.5</w:t>
            </w:r>
          </w:p>
        </w:tc>
        <w:tc>
          <w:tcPr>
            <w:tcW w:w="347" w:type="pct"/>
            <w:shd w:val="clear" w:color="auto" w:fill="auto"/>
            <w:vAlign w:val="center"/>
          </w:tcPr>
          <w:p w14:paraId="638161F2">
            <w:pPr>
              <w:pStyle w:val="30"/>
              <w:bidi w:val="0"/>
              <w:rPr>
                <w:rFonts w:hint="eastAsia"/>
                <w:color w:val="auto"/>
              </w:rPr>
            </w:pPr>
          </w:p>
        </w:tc>
      </w:tr>
      <w:tr w14:paraId="1992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29" w:type="pct"/>
            <w:shd w:val="clear" w:color="auto" w:fill="auto"/>
            <w:vAlign w:val="center"/>
          </w:tcPr>
          <w:p w14:paraId="2C9E7242">
            <w:pPr>
              <w:pStyle w:val="30"/>
              <w:bidi w:val="0"/>
              <w:rPr>
                <w:rFonts w:hint="default"/>
                <w:color w:val="auto"/>
              </w:rPr>
            </w:pPr>
            <w:r>
              <w:rPr>
                <w:rFonts w:hint="default"/>
                <w:color w:val="auto"/>
                <w:lang w:val="en-US" w:eastAsia="zh-CN"/>
              </w:rPr>
              <w:t>9</w:t>
            </w:r>
          </w:p>
        </w:tc>
        <w:tc>
          <w:tcPr>
            <w:tcW w:w="1095" w:type="pct"/>
            <w:shd w:val="clear" w:color="auto" w:fill="auto"/>
            <w:vAlign w:val="center"/>
          </w:tcPr>
          <w:p w14:paraId="1A2DF33C">
            <w:pPr>
              <w:pStyle w:val="30"/>
              <w:bidi w:val="0"/>
              <w:rPr>
                <w:rFonts w:hint="eastAsia"/>
                <w:color w:val="auto"/>
              </w:rPr>
            </w:pPr>
            <w:r>
              <w:rPr>
                <w:rFonts w:hint="eastAsia"/>
                <w:color w:val="auto"/>
                <w:lang w:val="en-US" w:eastAsia="zh-CN"/>
              </w:rPr>
              <w:t>电动单梁吊</w:t>
            </w:r>
          </w:p>
        </w:tc>
        <w:tc>
          <w:tcPr>
            <w:tcW w:w="1312" w:type="pct"/>
            <w:shd w:val="clear" w:color="auto" w:fill="auto"/>
            <w:vAlign w:val="center"/>
          </w:tcPr>
          <w:p w14:paraId="2F015366">
            <w:pPr>
              <w:pStyle w:val="30"/>
              <w:bidi w:val="0"/>
              <w:rPr>
                <w:rFonts w:hint="default"/>
                <w:color w:val="auto"/>
              </w:rPr>
            </w:pPr>
            <w:r>
              <w:rPr>
                <w:rFonts w:hint="default"/>
                <w:color w:val="auto"/>
                <w:lang w:val="en-US" w:eastAsia="zh-CN"/>
              </w:rPr>
              <w:t>LD16t</w:t>
            </w:r>
          </w:p>
        </w:tc>
        <w:tc>
          <w:tcPr>
            <w:tcW w:w="373" w:type="pct"/>
            <w:shd w:val="clear" w:color="auto" w:fill="auto"/>
            <w:vAlign w:val="center"/>
          </w:tcPr>
          <w:p w14:paraId="07AC2B4B">
            <w:pPr>
              <w:pStyle w:val="30"/>
              <w:bidi w:val="0"/>
              <w:rPr>
                <w:rFonts w:hint="default"/>
                <w:color w:val="auto"/>
              </w:rPr>
            </w:pPr>
            <w:r>
              <w:rPr>
                <w:rFonts w:hint="default"/>
                <w:color w:val="auto"/>
                <w:lang w:val="en-US" w:eastAsia="zh-CN"/>
              </w:rPr>
              <w:t>1</w:t>
            </w:r>
          </w:p>
        </w:tc>
        <w:tc>
          <w:tcPr>
            <w:tcW w:w="498" w:type="pct"/>
            <w:shd w:val="clear" w:color="auto" w:fill="auto"/>
            <w:vAlign w:val="center"/>
          </w:tcPr>
          <w:p w14:paraId="4EFB251B">
            <w:pPr>
              <w:pStyle w:val="30"/>
              <w:bidi w:val="0"/>
              <w:rPr>
                <w:rFonts w:hint="eastAsia"/>
                <w:color w:val="auto"/>
              </w:rPr>
            </w:pPr>
          </w:p>
        </w:tc>
        <w:tc>
          <w:tcPr>
            <w:tcW w:w="503" w:type="pct"/>
            <w:shd w:val="clear" w:color="auto" w:fill="auto"/>
            <w:vAlign w:val="center"/>
          </w:tcPr>
          <w:p w14:paraId="1F075686">
            <w:pPr>
              <w:pStyle w:val="30"/>
              <w:bidi w:val="0"/>
              <w:rPr>
                <w:rFonts w:hint="eastAsia"/>
                <w:color w:val="auto"/>
              </w:rPr>
            </w:pPr>
          </w:p>
        </w:tc>
        <w:tc>
          <w:tcPr>
            <w:tcW w:w="640" w:type="pct"/>
            <w:shd w:val="clear" w:color="auto" w:fill="auto"/>
            <w:vAlign w:val="center"/>
          </w:tcPr>
          <w:p w14:paraId="03D15D52">
            <w:pPr>
              <w:pStyle w:val="30"/>
              <w:bidi w:val="0"/>
              <w:rPr>
                <w:rFonts w:hint="default"/>
                <w:color w:val="auto"/>
              </w:rPr>
            </w:pPr>
            <w:r>
              <w:rPr>
                <w:rFonts w:hint="default"/>
                <w:color w:val="auto"/>
                <w:lang w:val="en-US" w:eastAsia="zh-CN"/>
              </w:rPr>
              <w:t>15</w:t>
            </w:r>
          </w:p>
        </w:tc>
        <w:tc>
          <w:tcPr>
            <w:tcW w:w="347" w:type="pct"/>
            <w:shd w:val="clear" w:color="auto" w:fill="auto"/>
            <w:vAlign w:val="center"/>
          </w:tcPr>
          <w:p w14:paraId="77A110C5">
            <w:pPr>
              <w:pStyle w:val="30"/>
              <w:bidi w:val="0"/>
              <w:rPr>
                <w:rFonts w:hint="eastAsia"/>
                <w:color w:val="auto"/>
              </w:rPr>
            </w:pPr>
          </w:p>
        </w:tc>
      </w:tr>
      <w:tr w14:paraId="2577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9" w:type="pct"/>
            <w:shd w:val="clear" w:color="auto" w:fill="auto"/>
            <w:vAlign w:val="center"/>
          </w:tcPr>
          <w:p w14:paraId="0020E212">
            <w:pPr>
              <w:pStyle w:val="30"/>
              <w:bidi w:val="0"/>
              <w:rPr>
                <w:rFonts w:hint="default"/>
                <w:color w:val="auto"/>
              </w:rPr>
            </w:pPr>
            <w:r>
              <w:rPr>
                <w:rFonts w:hint="default"/>
                <w:color w:val="auto"/>
                <w:lang w:val="en-US" w:eastAsia="zh-CN"/>
              </w:rPr>
              <w:t>10</w:t>
            </w:r>
          </w:p>
        </w:tc>
        <w:tc>
          <w:tcPr>
            <w:tcW w:w="1095" w:type="pct"/>
            <w:shd w:val="clear" w:color="auto" w:fill="auto"/>
            <w:vAlign w:val="center"/>
          </w:tcPr>
          <w:p w14:paraId="51C27DB3">
            <w:pPr>
              <w:pStyle w:val="30"/>
              <w:bidi w:val="0"/>
              <w:rPr>
                <w:rFonts w:hint="eastAsia"/>
                <w:color w:val="auto"/>
              </w:rPr>
            </w:pPr>
            <w:r>
              <w:rPr>
                <w:rFonts w:hint="eastAsia"/>
                <w:color w:val="auto"/>
                <w:lang w:val="en-US" w:eastAsia="zh-CN"/>
              </w:rPr>
              <w:t>电动单梁吊</w:t>
            </w:r>
          </w:p>
        </w:tc>
        <w:tc>
          <w:tcPr>
            <w:tcW w:w="1312" w:type="pct"/>
            <w:shd w:val="clear" w:color="auto" w:fill="auto"/>
            <w:vAlign w:val="center"/>
          </w:tcPr>
          <w:p w14:paraId="7DF3666F">
            <w:pPr>
              <w:pStyle w:val="30"/>
              <w:bidi w:val="0"/>
              <w:rPr>
                <w:rFonts w:hint="default"/>
                <w:color w:val="auto"/>
              </w:rPr>
            </w:pPr>
            <w:r>
              <w:rPr>
                <w:rFonts w:hint="default"/>
                <w:color w:val="auto"/>
                <w:lang w:val="en-US" w:eastAsia="zh-CN"/>
              </w:rPr>
              <w:t>LD3t</w:t>
            </w:r>
          </w:p>
        </w:tc>
        <w:tc>
          <w:tcPr>
            <w:tcW w:w="373" w:type="pct"/>
            <w:shd w:val="clear" w:color="auto" w:fill="auto"/>
            <w:vAlign w:val="center"/>
          </w:tcPr>
          <w:p w14:paraId="652D8ACD">
            <w:pPr>
              <w:pStyle w:val="30"/>
              <w:bidi w:val="0"/>
              <w:rPr>
                <w:rFonts w:hint="default"/>
                <w:color w:val="auto"/>
              </w:rPr>
            </w:pPr>
            <w:r>
              <w:rPr>
                <w:rFonts w:hint="default"/>
                <w:color w:val="auto"/>
                <w:lang w:val="en-US" w:eastAsia="zh-CN"/>
              </w:rPr>
              <w:t>1</w:t>
            </w:r>
          </w:p>
        </w:tc>
        <w:tc>
          <w:tcPr>
            <w:tcW w:w="498" w:type="pct"/>
            <w:shd w:val="clear" w:color="auto" w:fill="auto"/>
            <w:vAlign w:val="center"/>
          </w:tcPr>
          <w:p w14:paraId="507F2747">
            <w:pPr>
              <w:pStyle w:val="30"/>
              <w:bidi w:val="0"/>
              <w:rPr>
                <w:rFonts w:hint="eastAsia"/>
                <w:color w:val="auto"/>
              </w:rPr>
            </w:pPr>
          </w:p>
        </w:tc>
        <w:tc>
          <w:tcPr>
            <w:tcW w:w="503" w:type="pct"/>
            <w:shd w:val="clear" w:color="auto" w:fill="auto"/>
            <w:vAlign w:val="center"/>
          </w:tcPr>
          <w:p w14:paraId="2FCC90B3">
            <w:pPr>
              <w:pStyle w:val="30"/>
              <w:bidi w:val="0"/>
              <w:rPr>
                <w:rFonts w:hint="eastAsia"/>
                <w:color w:val="auto"/>
              </w:rPr>
            </w:pPr>
          </w:p>
        </w:tc>
        <w:tc>
          <w:tcPr>
            <w:tcW w:w="640" w:type="pct"/>
            <w:shd w:val="clear" w:color="auto" w:fill="auto"/>
            <w:vAlign w:val="center"/>
          </w:tcPr>
          <w:p w14:paraId="15893B5B">
            <w:pPr>
              <w:pStyle w:val="30"/>
              <w:bidi w:val="0"/>
              <w:rPr>
                <w:rFonts w:hint="default"/>
                <w:color w:val="auto"/>
              </w:rPr>
            </w:pPr>
            <w:r>
              <w:rPr>
                <w:rFonts w:hint="default"/>
                <w:color w:val="auto"/>
                <w:lang w:val="en-US" w:eastAsia="zh-CN"/>
              </w:rPr>
              <w:t>11</w:t>
            </w:r>
          </w:p>
        </w:tc>
        <w:tc>
          <w:tcPr>
            <w:tcW w:w="347" w:type="pct"/>
            <w:shd w:val="clear" w:color="auto" w:fill="auto"/>
            <w:vAlign w:val="center"/>
          </w:tcPr>
          <w:p w14:paraId="1DF0991C">
            <w:pPr>
              <w:pStyle w:val="30"/>
              <w:bidi w:val="0"/>
              <w:rPr>
                <w:rFonts w:hint="eastAsia"/>
                <w:color w:val="auto"/>
              </w:rPr>
            </w:pPr>
          </w:p>
        </w:tc>
      </w:tr>
      <w:tr w14:paraId="4CD9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9" w:type="pct"/>
            <w:shd w:val="clear" w:color="auto" w:fill="auto"/>
            <w:vAlign w:val="center"/>
          </w:tcPr>
          <w:p w14:paraId="741266B1">
            <w:pPr>
              <w:pStyle w:val="30"/>
              <w:bidi w:val="0"/>
              <w:rPr>
                <w:rFonts w:hint="default"/>
                <w:color w:val="auto"/>
              </w:rPr>
            </w:pPr>
            <w:r>
              <w:rPr>
                <w:rFonts w:hint="default"/>
                <w:color w:val="auto"/>
                <w:lang w:val="en-US" w:eastAsia="zh-CN"/>
              </w:rPr>
              <w:t>11</w:t>
            </w:r>
          </w:p>
        </w:tc>
        <w:tc>
          <w:tcPr>
            <w:tcW w:w="1095" w:type="pct"/>
            <w:shd w:val="clear" w:color="auto" w:fill="auto"/>
            <w:vAlign w:val="center"/>
          </w:tcPr>
          <w:p w14:paraId="44F0C8E5">
            <w:pPr>
              <w:pStyle w:val="30"/>
              <w:bidi w:val="0"/>
              <w:rPr>
                <w:rFonts w:hint="eastAsia"/>
                <w:color w:val="auto"/>
              </w:rPr>
            </w:pPr>
            <w:r>
              <w:rPr>
                <w:rFonts w:hint="eastAsia"/>
                <w:color w:val="auto"/>
                <w:lang w:val="en-US" w:eastAsia="zh-CN"/>
              </w:rPr>
              <w:t>渣浆泵</w:t>
            </w:r>
          </w:p>
        </w:tc>
        <w:tc>
          <w:tcPr>
            <w:tcW w:w="1312" w:type="pct"/>
            <w:shd w:val="clear" w:color="auto" w:fill="auto"/>
            <w:vAlign w:val="center"/>
          </w:tcPr>
          <w:p w14:paraId="1AE71F3C">
            <w:pPr>
              <w:pStyle w:val="30"/>
              <w:bidi w:val="0"/>
              <w:rPr>
                <w:rFonts w:hint="default"/>
                <w:color w:val="auto"/>
              </w:rPr>
            </w:pPr>
            <w:r>
              <w:rPr>
                <w:rFonts w:hint="default"/>
                <w:color w:val="auto"/>
                <w:lang w:val="en-US" w:eastAsia="zh-CN"/>
              </w:rPr>
              <w:t>200ZGM-50</w:t>
            </w:r>
          </w:p>
        </w:tc>
        <w:tc>
          <w:tcPr>
            <w:tcW w:w="373" w:type="pct"/>
            <w:shd w:val="clear" w:color="auto" w:fill="auto"/>
            <w:vAlign w:val="center"/>
          </w:tcPr>
          <w:p w14:paraId="49188D88">
            <w:pPr>
              <w:pStyle w:val="30"/>
              <w:bidi w:val="0"/>
              <w:rPr>
                <w:rFonts w:hint="default"/>
                <w:color w:val="auto"/>
              </w:rPr>
            </w:pPr>
            <w:r>
              <w:rPr>
                <w:rFonts w:hint="default"/>
                <w:color w:val="auto"/>
                <w:lang w:val="en-US" w:eastAsia="zh-CN"/>
              </w:rPr>
              <w:t>2</w:t>
            </w:r>
          </w:p>
        </w:tc>
        <w:tc>
          <w:tcPr>
            <w:tcW w:w="498" w:type="pct"/>
            <w:shd w:val="clear" w:color="auto" w:fill="auto"/>
            <w:vAlign w:val="center"/>
          </w:tcPr>
          <w:p w14:paraId="629C2AB7">
            <w:pPr>
              <w:pStyle w:val="30"/>
              <w:bidi w:val="0"/>
              <w:rPr>
                <w:rFonts w:hint="eastAsia"/>
                <w:color w:val="auto"/>
              </w:rPr>
            </w:pPr>
          </w:p>
        </w:tc>
        <w:tc>
          <w:tcPr>
            <w:tcW w:w="503" w:type="pct"/>
            <w:shd w:val="clear" w:color="auto" w:fill="auto"/>
            <w:vAlign w:val="center"/>
          </w:tcPr>
          <w:p w14:paraId="2298BE07">
            <w:pPr>
              <w:pStyle w:val="30"/>
              <w:bidi w:val="0"/>
              <w:rPr>
                <w:rFonts w:hint="eastAsia"/>
                <w:color w:val="auto"/>
              </w:rPr>
            </w:pPr>
          </w:p>
        </w:tc>
        <w:tc>
          <w:tcPr>
            <w:tcW w:w="640" w:type="pct"/>
            <w:shd w:val="clear" w:color="auto" w:fill="auto"/>
            <w:vAlign w:val="center"/>
          </w:tcPr>
          <w:p w14:paraId="04A19BC0">
            <w:pPr>
              <w:pStyle w:val="30"/>
              <w:bidi w:val="0"/>
              <w:rPr>
                <w:rFonts w:hint="default"/>
                <w:color w:val="auto"/>
              </w:rPr>
            </w:pPr>
            <w:r>
              <w:rPr>
                <w:rFonts w:hint="default"/>
                <w:color w:val="auto"/>
                <w:lang w:val="en-US" w:eastAsia="zh-CN"/>
              </w:rPr>
              <w:t>132</w:t>
            </w:r>
          </w:p>
        </w:tc>
        <w:tc>
          <w:tcPr>
            <w:tcW w:w="347" w:type="pct"/>
            <w:shd w:val="clear" w:color="auto" w:fill="auto"/>
            <w:vAlign w:val="center"/>
          </w:tcPr>
          <w:p w14:paraId="465B449B">
            <w:pPr>
              <w:pStyle w:val="30"/>
              <w:bidi w:val="0"/>
              <w:rPr>
                <w:rFonts w:hint="eastAsia"/>
                <w:color w:val="auto"/>
              </w:rPr>
            </w:pPr>
          </w:p>
        </w:tc>
      </w:tr>
      <w:tr w14:paraId="628B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229" w:type="pct"/>
            <w:shd w:val="clear" w:color="auto" w:fill="auto"/>
            <w:vAlign w:val="center"/>
          </w:tcPr>
          <w:p w14:paraId="7D64E945">
            <w:pPr>
              <w:pStyle w:val="30"/>
              <w:bidi w:val="0"/>
              <w:rPr>
                <w:rFonts w:hint="default"/>
                <w:color w:val="auto"/>
              </w:rPr>
            </w:pPr>
            <w:r>
              <w:rPr>
                <w:rFonts w:hint="default"/>
                <w:color w:val="auto"/>
                <w:lang w:val="en-US" w:eastAsia="zh-CN"/>
              </w:rPr>
              <w:t>12</w:t>
            </w:r>
          </w:p>
        </w:tc>
        <w:tc>
          <w:tcPr>
            <w:tcW w:w="1095" w:type="pct"/>
            <w:shd w:val="clear" w:color="auto" w:fill="auto"/>
            <w:vAlign w:val="center"/>
          </w:tcPr>
          <w:p w14:paraId="561B3BC7">
            <w:pPr>
              <w:pStyle w:val="30"/>
              <w:bidi w:val="0"/>
              <w:rPr>
                <w:rFonts w:hint="eastAsia"/>
                <w:color w:val="auto"/>
              </w:rPr>
            </w:pPr>
            <w:r>
              <w:rPr>
                <w:rFonts w:hint="eastAsia"/>
                <w:color w:val="auto"/>
                <w:lang w:val="en-US" w:eastAsia="zh-CN"/>
              </w:rPr>
              <w:t>立式单级离心泵（回水泵）</w:t>
            </w:r>
          </w:p>
        </w:tc>
        <w:tc>
          <w:tcPr>
            <w:tcW w:w="1312" w:type="pct"/>
            <w:shd w:val="clear" w:color="auto" w:fill="auto"/>
            <w:vAlign w:val="center"/>
          </w:tcPr>
          <w:p w14:paraId="1B20B80F">
            <w:pPr>
              <w:pStyle w:val="30"/>
              <w:bidi w:val="0"/>
              <w:rPr>
                <w:rFonts w:hint="default"/>
                <w:color w:val="auto"/>
              </w:rPr>
            </w:pPr>
            <w:r>
              <w:rPr>
                <w:rFonts w:hint="default"/>
                <w:color w:val="auto"/>
                <w:lang w:val="en-US" w:eastAsia="zh-CN"/>
              </w:rPr>
              <w:t>150KQL200-50-45/4+HT</w:t>
            </w:r>
          </w:p>
        </w:tc>
        <w:tc>
          <w:tcPr>
            <w:tcW w:w="373" w:type="pct"/>
            <w:shd w:val="clear" w:color="auto" w:fill="auto"/>
            <w:vAlign w:val="center"/>
          </w:tcPr>
          <w:p w14:paraId="5C19C523">
            <w:pPr>
              <w:pStyle w:val="30"/>
              <w:bidi w:val="0"/>
              <w:rPr>
                <w:rFonts w:hint="default"/>
                <w:color w:val="auto"/>
              </w:rPr>
            </w:pPr>
            <w:r>
              <w:rPr>
                <w:rFonts w:hint="default"/>
                <w:color w:val="auto"/>
                <w:lang w:val="en-US" w:eastAsia="zh-CN"/>
              </w:rPr>
              <w:t>1</w:t>
            </w:r>
          </w:p>
        </w:tc>
        <w:tc>
          <w:tcPr>
            <w:tcW w:w="498" w:type="pct"/>
            <w:shd w:val="clear" w:color="auto" w:fill="auto"/>
            <w:vAlign w:val="center"/>
          </w:tcPr>
          <w:p w14:paraId="34E30358">
            <w:pPr>
              <w:pStyle w:val="30"/>
              <w:bidi w:val="0"/>
              <w:rPr>
                <w:rFonts w:hint="eastAsia"/>
                <w:color w:val="auto"/>
              </w:rPr>
            </w:pPr>
          </w:p>
        </w:tc>
        <w:tc>
          <w:tcPr>
            <w:tcW w:w="503" w:type="pct"/>
            <w:shd w:val="clear" w:color="auto" w:fill="auto"/>
            <w:vAlign w:val="center"/>
          </w:tcPr>
          <w:p w14:paraId="66E72B4E">
            <w:pPr>
              <w:pStyle w:val="30"/>
              <w:bidi w:val="0"/>
              <w:rPr>
                <w:rFonts w:hint="eastAsia"/>
                <w:color w:val="auto"/>
              </w:rPr>
            </w:pPr>
          </w:p>
        </w:tc>
        <w:tc>
          <w:tcPr>
            <w:tcW w:w="640" w:type="pct"/>
            <w:shd w:val="clear" w:color="auto" w:fill="auto"/>
            <w:vAlign w:val="center"/>
          </w:tcPr>
          <w:p w14:paraId="7BF01AE8">
            <w:pPr>
              <w:pStyle w:val="30"/>
              <w:bidi w:val="0"/>
              <w:rPr>
                <w:rFonts w:hint="default"/>
                <w:color w:val="auto"/>
              </w:rPr>
            </w:pPr>
            <w:r>
              <w:rPr>
                <w:rFonts w:hint="default"/>
                <w:color w:val="auto"/>
                <w:lang w:val="en-US" w:eastAsia="zh-CN"/>
              </w:rPr>
              <w:t>45</w:t>
            </w:r>
          </w:p>
        </w:tc>
        <w:tc>
          <w:tcPr>
            <w:tcW w:w="347" w:type="pct"/>
            <w:shd w:val="clear" w:color="auto" w:fill="auto"/>
            <w:vAlign w:val="center"/>
          </w:tcPr>
          <w:p w14:paraId="48D1E547">
            <w:pPr>
              <w:pStyle w:val="30"/>
              <w:bidi w:val="0"/>
              <w:rPr>
                <w:rFonts w:hint="eastAsia"/>
                <w:color w:val="auto"/>
              </w:rPr>
            </w:pPr>
          </w:p>
        </w:tc>
      </w:tr>
      <w:tr w14:paraId="1D81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229" w:type="pct"/>
            <w:shd w:val="clear" w:color="auto" w:fill="auto"/>
            <w:vAlign w:val="center"/>
          </w:tcPr>
          <w:p w14:paraId="5D133C5B">
            <w:pPr>
              <w:pStyle w:val="30"/>
              <w:bidi w:val="0"/>
              <w:rPr>
                <w:rFonts w:hint="default"/>
                <w:color w:val="auto"/>
              </w:rPr>
            </w:pPr>
            <w:r>
              <w:rPr>
                <w:rFonts w:hint="default"/>
                <w:color w:val="auto"/>
                <w:lang w:val="en-US" w:eastAsia="zh-CN"/>
              </w:rPr>
              <w:t>13</w:t>
            </w:r>
          </w:p>
        </w:tc>
        <w:tc>
          <w:tcPr>
            <w:tcW w:w="1095" w:type="pct"/>
            <w:shd w:val="clear" w:color="auto" w:fill="auto"/>
            <w:vAlign w:val="center"/>
          </w:tcPr>
          <w:p w14:paraId="4E89907F">
            <w:pPr>
              <w:pStyle w:val="30"/>
              <w:bidi w:val="0"/>
              <w:rPr>
                <w:rFonts w:hint="eastAsia"/>
                <w:color w:val="auto"/>
              </w:rPr>
            </w:pPr>
            <w:r>
              <w:rPr>
                <w:rFonts w:hint="eastAsia"/>
                <w:color w:val="auto"/>
                <w:lang w:val="en-US" w:eastAsia="zh-CN"/>
              </w:rPr>
              <w:t>卧式管道泵（回水泵）</w:t>
            </w:r>
          </w:p>
        </w:tc>
        <w:tc>
          <w:tcPr>
            <w:tcW w:w="1312" w:type="pct"/>
            <w:shd w:val="clear" w:color="auto" w:fill="auto"/>
            <w:vAlign w:val="center"/>
          </w:tcPr>
          <w:p w14:paraId="1490D3AD">
            <w:pPr>
              <w:pStyle w:val="30"/>
              <w:bidi w:val="0"/>
              <w:rPr>
                <w:rFonts w:hint="default"/>
                <w:color w:val="auto"/>
              </w:rPr>
            </w:pPr>
            <w:r>
              <w:rPr>
                <w:rFonts w:hint="default"/>
                <w:color w:val="auto"/>
                <w:lang w:val="en-US" w:eastAsia="zh-CN"/>
              </w:rPr>
              <w:t>ISW80-200</w:t>
            </w:r>
          </w:p>
        </w:tc>
        <w:tc>
          <w:tcPr>
            <w:tcW w:w="373" w:type="pct"/>
            <w:shd w:val="clear" w:color="auto" w:fill="auto"/>
            <w:vAlign w:val="center"/>
          </w:tcPr>
          <w:p w14:paraId="760FFC60">
            <w:pPr>
              <w:pStyle w:val="30"/>
              <w:bidi w:val="0"/>
              <w:rPr>
                <w:rFonts w:hint="default"/>
                <w:color w:val="auto"/>
              </w:rPr>
            </w:pPr>
            <w:r>
              <w:rPr>
                <w:rFonts w:hint="default"/>
                <w:color w:val="auto"/>
                <w:lang w:val="en-US" w:eastAsia="zh-CN"/>
              </w:rPr>
              <w:t>3</w:t>
            </w:r>
          </w:p>
        </w:tc>
        <w:tc>
          <w:tcPr>
            <w:tcW w:w="498" w:type="pct"/>
            <w:shd w:val="clear" w:color="auto" w:fill="auto"/>
            <w:vAlign w:val="center"/>
          </w:tcPr>
          <w:p w14:paraId="04D83921">
            <w:pPr>
              <w:pStyle w:val="30"/>
              <w:bidi w:val="0"/>
              <w:rPr>
                <w:rFonts w:hint="eastAsia"/>
                <w:color w:val="auto"/>
              </w:rPr>
            </w:pPr>
          </w:p>
        </w:tc>
        <w:tc>
          <w:tcPr>
            <w:tcW w:w="503" w:type="pct"/>
            <w:shd w:val="clear" w:color="auto" w:fill="auto"/>
            <w:vAlign w:val="center"/>
          </w:tcPr>
          <w:p w14:paraId="411B3B39">
            <w:pPr>
              <w:pStyle w:val="30"/>
              <w:bidi w:val="0"/>
              <w:rPr>
                <w:rFonts w:hint="eastAsia"/>
                <w:color w:val="auto"/>
              </w:rPr>
            </w:pPr>
          </w:p>
        </w:tc>
        <w:tc>
          <w:tcPr>
            <w:tcW w:w="640" w:type="pct"/>
            <w:shd w:val="clear" w:color="auto" w:fill="auto"/>
            <w:vAlign w:val="center"/>
          </w:tcPr>
          <w:p w14:paraId="7D94BCCA">
            <w:pPr>
              <w:pStyle w:val="30"/>
              <w:bidi w:val="0"/>
              <w:rPr>
                <w:rFonts w:hint="default"/>
                <w:color w:val="auto"/>
              </w:rPr>
            </w:pPr>
            <w:r>
              <w:rPr>
                <w:rFonts w:hint="default"/>
                <w:color w:val="auto"/>
                <w:lang w:val="en-US" w:eastAsia="zh-CN"/>
              </w:rPr>
              <w:t>15</w:t>
            </w:r>
          </w:p>
        </w:tc>
        <w:tc>
          <w:tcPr>
            <w:tcW w:w="347" w:type="pct"/>
            <w:shd w:val="clear" w:color="auto" w:fill="auto"/>
            <w:vAlign w:val="center"/>
          </w:tcPr>
          <w:p w14:paraId="7E510280">
            <w:pPr>
              <w:pStyle w:val="30"/>
              <w:bidi w:val="0"/>
              <w:rPr>
                <w:rFonts w:hint="eastAsia"/>
                <w:color w:val="auto"/>
              </w:rPr>
            </w:pPr>
          </w:p>
        </w:tc>
      </w:tr>
      <w:tr w14:paraId="2FF7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29" w:type="pct"/>
            <w:vMerge w:val="restart"/>
            <w:shd w:val="clear" w:color="auto" w:fill="auto"/>
            <w:vAlign w:val="center"/>
          </w:tcPr>
          <w:p w14:paraId="04F75776">
            <w:pPr>
              <w:pStyle w:val="30"/>
              <w:bidi w:val="0"/>
              <w:rPr>
                <w:rFonts w:hint="default"/>
                <w:color w:val="auto"/>
              </w:rPr>
            </w:pPr>
            <w:r>
              <w:rPr>
                <w:rFonts w:hint="default"/>
                <w:color w:val="auto"/>
                <w:lang w:val="en-US" w:eastAsia="zh-CN"/>
              </w:rPr>
              <w:t>14</w:t>
            </w:r>
          </w:p>
        </w:tc>
        <w:tc>
          <w:tcPr>
            <w:tcW w:w="1095" w:type="pct"/>
            <w:shd w:val="clear" w:color="auto" w:fill="auto"/>
            <w:vAlign w:val="center"/>
          </w:tcPr>
          <w:p w14:paraId="7CF0404C">
            <w:pPr>
              <w:pStyle w:val="30"/>
              <w:bidi w:val="0"/>
              <w:rPr>
                <w:rFonts w:hint="eastAsia"/>
                <w:color w:val="auto"/>
              </w:rPr>
            </w:pPr>
            <w:r>
              <w:rPr>
                <w:rFonts w:hint="eastAsia"/>
                <w:color w:val="auto"/>
                <w:lang w:val="en-US" w:eastAsia="zh-CN"/>
              </w:rPr>
              <w:t>压榨轻型立式多级</w:t>
            </w:r>
          </w:p>
        </w:tc>
        <w:tc>
          <w:tcPr>
            <w:tcW w:w="1312" w:type="pct"/>
            <w:vMerge w:val="restart"/>
            <w:shd w:val="clear" w:color="auto" w:fill="auto"/>
            <w:vAlign w:val="center"/>
          </w:tcPr>
          <w:p w14:paraId="400C0936">
            <w:pPr>
              <w:pStyle w:val="30"/>
              <w:bidi w:val="0"/>
              <w:rPr>
                <w:rFonts w:hint="default"/>
                <w:color w:val="auto"/>
              </w:rPr>
            </w:pPr>
            <w:r>
              <w:rPr>
                <w:rFonts w:hint="default"/>
                <w:color w:val="auto"/>
                <w:lang w:val="en-US" w:eastAsia="zh-CN"/>
              </w:rPr>
              <w:t>CDM42-6-2FSWPC</w:t>
            </w:r>
          </w:p>
        </w:tc>
        <w:tc>
          <w:tcPr>
            <w:tcW w:w="373" w:type="pct"/>
            <w:vMerge w:val="restart"/>
            <w:shd w:val="clear" w:color="auto" w:fill="auto"/>
            <w:vAlign w:val="center"/>
          </w:tcPr>
          <w:p w14:paraId="729340DC">
            <w:pPr>
              <w:pStyle w:val="30"/>
              <w:bidi w:val="0"/>
              <w:rPr>
                <w:rFonts w:hint="default"/>
                <w:color w:val="auto"/>
              </w:rPr>
            </w:pPr>
            <w:r>
              <w:rPr>
                <w:rFonts w:hint="default"/>
                <w:color w:val="auto"/>
                <w:lang w:val="en-US" w:eastAsia="zh-CN"/>
              </w:rPr>
              <w:t>7</w:t>
            </w:r>
          </w:p>
        </w:tc>
        <w:tc>
          <w:tcPr>
            <w:tcW w:w="498" w:type="pct"/>
            <w:vMerge w:val="restart"/>
            <w:shd w:val="clear" w:color="auto" w:fill="auto"/>
            <w:vAlign w:val="center"/>
          </w:tcPr>
          <w:p w14:paraId="17E3E0B6">
            <w:pPr>
              <w:pStyle w:val="30"/>
              <w:bidi w:val="0"/>
              <w:rPr>
                <w:rFonts w:hint="eastAsia"/>
                <w:color w:val="auto"/>
              </w:rPr>
            </w:pPr>
          </w:p>
        </w:tc>
        <w:tc>
          <w:tcPr>
            <w:tcW w:w="503" w:type="pct"/>
            <w:vMerge w:val="restart"/>
            <w:shd w:val="clear" w:color="auto" w:fill="auto"/>
            <w:vAlign w:val="center"/>
          </w:tcPr>
          <w:p w14:paraId="4A4AF9B1">
            <w:pPr>
              <w:pStyle w:val="30"/>
              <w:bidi w:val="0"/>
              <w:rPr>
                <w:rFonts w:hint="eastAsia"/>
                <w:color w:val="auto"/>
              </w:rPr>
            </w:pPr>
          </w:p>
        </w:tc>
        <w:tc>
          <w:tcPr>
            <w:tcW w:w="640" w:type="pct"/>
            <w:vMerge w:val="restart"/>
            <w:shd w:val="clear" w:color="auto" w:fill="auto"/>
            <w:vAlign w:val="center"/>
          </w:tcPr>
          <w:p w14:paraId="7041A6FF">
            <w:pPr>
              <w:pStyle w:val="30"/>
              <w:bidi w:val="0"/>
              <w:rPr>
                <w:rFonts w:hint="default"/>
                <w:color w:val="auto"/>
              </w:rPr>
            </w:pPr>
            <w:r>
              <w:rPr>
                <w:rFonts w:hint="default"/>
                <w:color w:val="auto"/>
                <w:lang w:val="en-US" w:eastAsia="zh-CN"/>
              </w:rPr>
              <w:t>22</w:t>
            </w:r>
          </w:p>
        </w:tc>
        <w:tc>
          <w:tcPr>
            <w:tcW w:w="347" w:type="pct"/>
            <w:vMerge w:val="restart"/>
            <w:shd w:val="clear" w:color="auto" w:fill="auto"/>
            <w:vAlign w:val="center"/>
          </w:tcPr>
          <w:p w14:paraId="1D6607D8">
            <w:pPr>
              <w:pStyle w:val="30"/>
              <w:bidi w:val="0"/>
              <w:rPr>
                <w:rFonts w:hint="eastAsia"/>
                <w:color w:val="auto"/>
              </w:rPr>
            </w:pPr>
          </w:p>
        </w:tc>
      </w:tr>
      <w:tr w14:paraId="4DB5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9" w:type="pct"/>
            <w:vMerge w:val="continue"/>
            <w:shd w:val="clear" w:color="auto" w:fill="auto"/>
            <w:vAlign w:val="center"/>
          </w:tcPr>
          <w:p w14:paraId="120AADD9">
            <w:pPr>
              <w:pStyle w:val="30"/>
              <w:bidi w:val="0"/>
              <w:rPr>
                <w:rFonts w:hint="default"/>
                <w:color w:val="auto"/>
              </w:rPr>
            </w:pPr>
          </w:p>
        </w:tc>
        <w:tc>
          <w:tcPr>
            <w:tcW w:w="1095" w:type="pct"/>
            <w:shd w:val="clear" w:color="auto" w:fill="auto"/>
            <w:vAlign w:val="center"/>
          </w:tcPr>
          <w:p w14:paraId="70259598">
            <w:pPr>
              <w:pStyle w:val="30"/>
              <w:bidi w:val="0"/>
              <w:rPr>
                <w:rFonts w:hint="eastAsia"/>
                <w:color w:val="auto"/>
              </w:rPr>
            </w:pPr>
            <w:r>
              <w:rPr>
                <w:rFonts w:hint="eastAsia"/>
                <w:color w:val="auto"/>
                <w:lang w:val="en-US" w:eastAsia="zh-CN"/>
              </w:rPr>
              <w:t>离心泵</w:t>
            </w:r>
          </w:p>
        </w:tc>
        <w:tc>
          <w:tcPr>
            <w:tcW w:w="1312" w:type="pct"/>
            <w:vMerge w:val="continue"/>
            <w:shd w:val="clear" w:color="auto" w:fill="auto"/>
            <w:vAlign w:val="center"/>
          </w:tcPr>
          <w:p w14:paraId="427C7303">
            <w:pPr>
              <w:pStyle w:val="30"/>
              <w:bidi w:val="0"/>
              <w:rPr>
                <w:rFonts w:hint="default"/>
                <w:color w:val="auto"/>
              </w:rPr>
            </w:pPr>
          </w:p>
        </w:tc>
        <w:tc>
          <w:tcPr>
            <w:tcW w:w="373" w:type="pct"/>
            <w:vMerge w:val="continue"/>
            <w:shd w:val="clear" w:color="auto" w:fill="auto"/>
            <w:vAlign w:val="center"/>
          </w:tcPr>
          <w:p w14:paraId="76656B89">
            <w:pPr>
              <w:pStyle w:val="30"/>
              <w:bidi w:val="0"/>
              <w:rPr>
                <w:rFonts w:hint="default"/>
                <w:color w:val="auto"/>
              </w:rPr>
            </w:pPr>
          </w:p>
        </w:tc>
        <w:tc>
          <w:tcPr>
            <w:tcW w:w="498" w:type="pct"/>
            <w:vMerge w:val="continue"/>
            <w:shd w:val="clear" w:color="auto" w:fill="auto"/>
            <w:vAlign w:val="center"/>
          </w:tcPr>
          <w:p w14:paraId="3FBEF59E">
            <w:pPr>
              <w:pStyle w:val="30"/>
              <w:bidi w:val="0"/>
              <w:rPr>
                <w:rFonts w:hint="eastAsia"/>
                <w:color w:val="auto"/>
              </w:rPr>
            </w:pPr>
          </w:p>
        </w:tc>
        <w:tc>
          <w:tcPr>
            <w:tcW w:w="503" w:type="pct"/>
            <w:vMerge w:val="continue"/>
            <w:shd w:val="clear" w:color="auto" w:fill="auto"/>
            <w:vAlign w:val="center"/>
          </w:tcPr>
          <w:p w14:paraId="42F8BE17">
            <w:pPr>
              <w:pStyle w:val="30"/>
              <w:bidi w:val="0"/>
              <w:rPr>
                <w:rFonts w:hint="eastAsia"/>
                <w:color w:val="auto"/>
              </w:rPr>
            </w:pPr>
          </w:p>
        </w:tc>
        <w:tc>
          <w:tcPr>
            <w:tcW w:w="640" w:type="pct"/>
            <w:vMerge w:val="continue"/>
            <w:shd w:val="clear" w:color="auto" w:fill="auto"/>
            <w:vAlign w:val="center"/>
          </w:tcPr>
          <w:p w14:paraId="2B20619C">
            <w:pPr>
              <w:pStyle w:val="30"/>
              <w:bidi w:val="0"/>
              <w:rPr>
                <w:rFonts w:hint="default"/>
                <w:color w:val="auto"/>
              </w:rPr>
            </w:pPr>
          </w:p>
        </w:tc>
        <w:tc>
          <w:tcPr>
            <w:tcW w:w="347" w:type="pct"/>
            <w:vMerge w:val="continue"/>
            <w:shd w:val="clear" w:color="auto" w:fill="auto"/>
            <w:vAlign w:val="center"/>
          </w:tcPr>
          <w:p w14:paraId="53D868F6">
            <w:pPr>
              <w:pStyle w:val="30"/>
              <w:bidi w:val="0"/>
              <w:rPr>
                <w:rFonts w:hint="eastAsia"/>
                <w:color w:val="auto"/>
              </w:rPr>
            </w:pPr>
          </w:p>
        </w:tc>
      </w:tr>
      <w:tr w14:paraId="131B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29" w:type="pct"/>
            <w:shd w:val="clear" w:color="auto" w:fill="auto"/>
            <w:vAlign w:val="center"/>
          </w:tcPr>
          <w:p w14:paraId="07B28F31">
            <w:pPr>
              <w:pStyle w:val="30"/>
              <w:bidi w:val="0"/>
              <w:rPr>
                <w:rFonts w:hint="default"/>
                <w:color w:val="auto"/>
              </w:rPr>
            </w:pPr>
            <w:r>
              <w:rPr>
                <w:rFonts w:hint="default"/>
                <w:color w:val="auto"/>
                <w:lang w:val="en-US" w:eastAsia="zh-CN"/>
              </w:rPr>
              <w:t>15</w:t>
            </w:r>
          </w:p>
        </w:tc>
        <w:tc>
          <w:tcPr>
            <w:tcW w:w="1095" w:type="pct"/>
            <w:shd w:val="clear" w:color="auto" w:fill="auto"/>
            <w:vAlign w:val="center"/>
          </w:tcPr>
          <w:p w14:paraId="39ECA40B">
            <w:pPr>
              <w:pStyle w:val="30"/>
              <w:bidi w:val="0"/>
              <w:rPr>
                <w:rFonts w:hint="eastAsia"/>
                <w:color w:val="auto"/>
              </w:rPr>
            </w:pPr>
            <w:r>
              <w:rPr>
                <w:rFonts w:hint="eastAsia"/>
                <w:color w:val="auto"/>
                <w:lang w:val="en-US" w:eastAsia="zh-CN"/>
              </w:rPr>
              <w:t>电葫芦</w:t>
            </w:r>
          </w:p>
        </w:tc>
        <w:tc>
          <w:tcPr>
            <w:tcW w:w="1312" w:type="pct"/>
            <w:shd w:val="clear" w:color="auto" w:fill="auto"/>
            <w:vAlign w:val="center"/>
          </w:tcPr>
          <w:p w14:paraId="05998E03">
            <w:pPr>
              <w:pStyle w:val="30"/>
              <w:bidi w:val="0"/>
              <w:rPr>
                <w:rFonts w:hint="default"/>
                <w:color w:val="auto"/>
              </w:rPr>
            </w:pPr>
            <w:r>
              <w:rPr>
                <w:rFonts w:hint="default"/>
                <w:color w:val="auto"/>
                <w:lang w:val="en-US" w:eastAsia="zh-CN"/>
              </w:rPr>
              <w:t>CD2-24D，Q=2t</w:t>
            </w:r>
          </w:p>
        </w:tc>
        <w:tc>
          <w:tcPr>
            <w:tcW w:w="373" w:type="pct"/>
            <w:shd w:val="clear" w:color="auto" w:fill="auto"/>
            <w:vAlign w:val="center"/>
          </w:tcPr>
          <w:p w14:paraId="28784438">
            <w:pPr>
              <w:pStyle w:val="30"/>
              <w:bidi w:val="0"/>
              <w:rPr>
                <w:rFonts w:hint="default"/>
                <w:color w:val="auto"/>
              </w:rPr>
            </w:pPr>
            <w:r>
              <w:rPr>
                <w:rFonts w:hint="default"/>
                <w:color w:val="auto"/>
                <w:lang w:val="en-US" w:eastAsia="zh-CN"/>
              </w:rPr>
              <w:t>5</w:t>
            </w:r>
          </w:p>
        </w:tc>
        <w:tc>
          <w:tcPr>
            <w:tcW w:w="498" w:type="pct"/>
            <w:shd w:val="clear" w:color="auto" w:fill="auto"/>
            <w:vAlign w:val="center"/>
          </w:tcPr>
          <w:p w14:paraId="73F39BA9">
            <w:pPr>
              <w:pStyle w:val="30"/>
              <w:bidi w:val="0"/>
              <w:rPr>
                <w:rFonts w:hint="eastAsia"/>
                <w:color w:val="auto"/>
              </w:rPr>
            </w:pPr>
          </w:p>
        </w:tc>
        <w:tc>
          <w:tcPr>
            <w:tcW w:w="503" w:type="pct"/>
            <w:shd w:val="clear" w:color="auto" w:fill="auto"/>
            <w:vAlign w:val="center"/>
          </w:tcPr>
          <w:p w14:paraId="0A97B08C">
            <w:pPr>
              <w:pStyle w:val="30"/>
              <w:bidi w:val="0"/>
              <w:rPr>
                <w:rFonts w:hint="eastAsia"/>
                <w:color w:val="auto"/>
              </w:rPr>
            </w:pPr>
          </w:p>
        </w:tc>
        <w:tc>
          <w:tcPr>
            <w:tcW w:w="640" w:type="pct"/>
            <w:shd w:val="clear" w:color="auto" w:fill="auto"/>
            <w:vAlign w:val="center"/>
          </w:tcPr>
          <w:p w14:paraId="5265E8C8">
            <w:pPr>
              <w:pStyle w:val="30"/>
              <w:bidi w:val="0"/>
              <w:rPr>
                <w:rFonts w:hint="default"/>
                <w:color w:val="auto"/>
              </w:rPr>
            </w:pPr>
            <w:r>
              <w:rPr>
                <w:rFonts w:hint="default"/>
                <w:color w:val="auto"/>
                <w:lang w:val="en-US" w:eastAsia="zh-CN"/>
              </w:rPr>
              <w:t>3.4</w:t>
            </w:r>
          </w:p>
        </w:tc>
        <w:tc>
          <w:tcPr>
            <w:tcW w:w="347" w:type="pct"/>
            <w:shd w:val="clear" w:color="auto" w:fill="auto"/>
            <w:vAlign w:val="center"/>
          </w:tcPr>
          <w:p w14:paraId="27519F6F">
            <w:pPr>
              <w:pStyle w:val="30"/>
              <w:bidi w:val="0"/>
              <w:rPr>
                <w:rFonts w:hint="eastAsia"/>
                <w:color w:val="auto"/>
              </w:rPr>
            </w:pPr>
          </w:p>
        </w:tc>
      </w:tr>
    </w:tbl>
    <w:p w14:paraId="31B3D3F9">
      <w:pPr>
        <w:pStyle w:val="6"/>
        <w:bidi w:val="0"/>
        <w:rPr>
          <w:rFonts w:hint="default"/>
          <w:color w:val="auto"/>
          <w:lang w:val="en-US" w:eastAsia="zh-CN"/>
        </w:rPr>
      </w:pPr>
      <w:r>
        <w:rPr>
          <w:rFonts w:hint="eastAsia"/>
          <w:color w:val="auto"/>
          <w:lang w:val="en-US" w:eastAsia="zh-CN"/>
        </w:rPr>
        <w:t>2.5.5</w:t>
      </w:r>
      <w:r>
        <w:rPr>
          <w:rFonts w:hint="default"/>
          <w:color w:val="auto"/>
          <w:lang w:val="en-US" w:eastAsia="zh-CN"/>
        </w:rPr>
        <w:t xml:space="preserve"> 厂房布置和设备配置</w:t>
      </w:r>
    </w:p>
    <w:p w14:paraId="57A88308">
      <w:pPr>
        <w:bidi w:val="0"/>
        <w:rPr>
          <w:rFonts w:hint="default"/>
          <w:color w:val="auto"/>
          <w:lang w:val="en-US" w:eastAsia="zh-CN"/>
        </w:rPr>
      </w:pPr>
      <w:r>
        <w:rPr>
          <w:rFonts w:hint="eastAsia"/>
          <w:color w:val="auto"/>
          <w:lang w:val="en-US" w:eastAsia="zh-CN"/>
        </w:rPr>
        <w:t>1、</w:t>
      </w:r>
      <w:r>
        <w:rPr>
          <w:rFonts w:hint="default"/>
          <w:color w:val="auto"/>
          <w:lang w:val="en-US" w:eastAsia="zh-CN"/>
        </w:rPr>
        <w:t>厂房布置</w:t>
      </w:r>
    </w:p>
    <w:p w14:paraId="6DBB90FE">
      <w:pPr>
        <w:bidi w:val="0"/>
        <w:rPr>
          <w:rFonts w:hint="default"/>
          <w:color w:val="auto"/>
          <w:lang w:val="en-US" w:eastAsia="zh-CN"/>
        </w:rPr>
      </w:pPr>
      <w:r>
        <w:rPr>
          <w:rFonts w:hint="default"/>
          <w:color w:val="auto"/>
          <w:lang w:val="en-US" w:eastAsia="zh-CN"/>
        </w:rPr>
        <w:t>尾矿处理系统主要由浓缩车间、输送管线、压滤车间三部分组成。</w:t>
      </w:r>
    </w:p>
    <w:p w14:paraId="5FDC71AD">
      <w:pPr>
        <w:bidi w:val="0"/>
        <w:rPr>
          <w:rFonts w:hint="default"/>
          <w:color w:val="auto"/>
          <w:lang w:val="en-US" w:eastAsia="zh-CN"/>
        </w:rPr>
      </w:pPr>
      <w:r>
        <w:rPr>
          <w:rFonts w:hint="eastAsia"/>
          <w:color w:val="auto"/>
          <w:lang w:val="en-US" w:eastAsia="zh-CN"/>
        </w:rPr>
        <w:t>（1）</w:t>
      </w:r>
      <w:r>
        <w:rPr>
          <w:rFonts w:hint="default"/>
          <w:color w:val="auto"/>
          <w:lang w:val="en-US" w:eastAsia="zh-CN"/>
        </w:rPr>
        <w:t>浓缩车间</w:t>
      </w:r>
    </w:p>
    <w:p w14:paraId="78834D9F">
      <w:pPr>
        <w:bidi w:val="0"/>
        <w:rPr>
          <w:rFonts w:hint="default"/>
          <w:color w:val="auto"/>
          <w:lang w:val="en-US" w:eastAsia="zh-CN"/>
        </w:rPr>
      </w:pPr>
      <w:r>
        <w:rPr>
          <w:rFonts w:hint="default"/>
          <w:color w:val="auto"/>
          <w:lang w:val="en-US" w:eastAsia="zh-CN"/>
        </w:rPr>
        <w:t>浓缩机、机械隔膜泵布置在浓缩车间中呈阶梯式布置。</w:t>
      </w:r>
    </w:p>
    <w:p w14:paraId="59020742">
      <w:pPr>
        <w:bidi w:val="0"/>
        <w:rPr>
          <w:rFonts w:hint="default"/>
          <w:color w:val="auto"/>
          <w:lang w:val="en-US" w:eastAsia="zh-CN"/>
        </w:rPr>
      </w:pPr>
      <w:r>
        <w:rPr>
          <w:rFonts w:hint="eastAsia"/>
          <w:color w:val="auto"/>
          <w:lang w:val="en-US" w:eastAsia="zh-CN"/>
        </w:rPr>
        <w:t>（2）</w:t>
      </w:r>
      <w:r>
        <w:rPr>
          <w:rFonts w:hint="default"/>
          <w:color w:val="auto"/>
          <w:lang w:val="en-US" w:eastAsia="zh-CN"/>
        </w:rPr>
        <w:t>输送管线</w:t>
      </w:r>
    </w:p>
    <w:p w14:paraId="6ACC263E">
      <w:pPr>
        <w:bidi w:val="0"/>
        <w:rPr>
          <w:rFonts w:hint="default"/>
          <w:color w:val="auto"/>
          <w:lang w:val="en-US" w:eastAsia="zh-CN"/>
        </w:rPr>
      </w:pPr>
      <w:r>
        <w:rPr>
          <w:rFonts w:hint="default"/>
          <w:color w:val="auto"/>
          <w:lang w:val="en-US" w:eastAsia="zh-CN"/>
        </w:rPr>
        <w:t>输送管线沿地形线布置。</w:t>
      </w:r>
    </w:p>
    <w:p w14:paraId="47B0EA9F">
      <w:pPr>
        <w:bidi w:val="0"/>
        <w:rPr>
          <w:rFonts w:hint="default"/>
          <w:color w:val="auto"/>
          <w:lang w:val="en-US" w:eastAsia="zh-CN"/>
        </w:rPr>
      </w:pPr>
      <w:r>
        <w:rPr>
          <w:rFonts w:hint="eastAsia"/>
          <w:color w:val="auto"/>
          <w:lang w:val="en-US" w:eastAsia="zh-CN"/>
        </w:rPr>
        <w:t>（3）</w:t>
      </w:r>
      <w:r>
        <w:rPr>
          <w:rFonts w:hint="default"/>
          <w:color w:val="auto"/>
          <w:lang w:val="en-US" w:eastAsia="zh-CN"/>
        </w:rPr>
        <w:t>压滤车间</w:t>
      </w:r>
    </w:p>
    <w:p w14:paraId="0FD2F9C2">
      <w:pPr>
        <w:bidi w:val="0"/>
        <w:rPr>
          <w:rFonts w:hint="default"/>
          <w:color w:val="auto"/>
          <w:lang w:val="en-US" w:eastAsia="zh-CN"/>
        </w:rPr>
      </w:pPr>
      <w:r>
        <w:rPr>
          <w:rFonts w:hint="default"/>
          <w:color w:val="auto"/>
          <w:lang w:val="en-US" w:eastAsia="zh-CN"/>
        </w:rPr>
        <w:t>振动筛、浓缩机、压滤机布置在压滤车间中呈阶梯式布置。</w:t>
      </w:r>
    </w:p>
    <w:p w14:paraId="222BBA59">
      <w:pPr>
        <w:bidi w:val="0"/>
        <w:rPr>
          <w:rFonts w:hint="default"/>
          <w:color w:val="auto"/>
          <w:lang w:val="en-US" w:eastAsia="zh-CN"/>
        </w:rPr>
      </w:pPr>
      <w:r>
        <w:rPr>
          <w:rFonts w:hint="eastAsia"/>
          <w:color w:val="auto"/>
          <w:lang w:val="en-US" w:eastAsia="zh-CN"/>
        </w:rPr>
        <w:t>（4）</w:t>
      </w:r>
      <w:r>
        <w:rPr>
          <w:rFonts w:hint="default"/>
          <w:color w:val="auto"/>
          <w:lang w:val="en-US" w:eastAsia="zh-CN"/>
        </w:rPr>
        <w:t>其它车间</w:t>
      </w:r>
    </w:p>
    <w:p w14:paraId="617B1699">
      <w:pPr>
        <w:bidi w:val="0"/>
        <w:rPr>
          <w:rFonts w:hint="default"/>
          <w:color w:val="auto"/>
          <w:lang w:val="en-US" w:eastAsia="zh-CN"/>
        </w:rPr>
      </w:pPr>
      <w:r>
        <w:rPr>
          <w:rFonts w:hint="default"/>
          <w:color w:val="auto"/>
          <w:lang w:val="en-US" w:eastAsia="zh-CN"/>
        </w:rPr>
        <w:t>其它生产车间、辅助车间、管理等均设在尾矿处理系统四周</w:t>
      </w:r>
      <w:r>
        <w:rPr>
          <w:rFonts w:hint="eastAsia"/>
          <w:color w:val="auto"/>
          <w:lang w:val="en-US" w:eastAsia="zh-CN"/>
        </w:rPr>
        <w:t>。</w:t>
      </w:r>
    </w:p>
    <w:p w14:paraId="0A57F3E1">
      <w:pPr>
        <w:bidi w:val="0"/>
        <w:rPr>
          <w:rFonts w:hint="default"/>
          <w:color w:val="auto"/>
          <w:lang w:val="en-US" w:eastAsia="zh-CN"/>
        </w:rPr>
      </w:pPr>
      <w:r>
        <w:rPr>
          <w:rFonts w:hint="eastAsia"/>
          <w:color w:val="auto"/>
          <w:lang w:val="en-US" w:eastAsia="zh-CN"/>
        </w:rPr>
        <w:t>2、</w:t>
      </w:r>
      <w:r>
        <w:rPr>
          <w:rFonts w:hint="default"/>
          <w:color w:val="auto"/>
          <w:lang w:val="en-US" w:eastAsia="zh-CN"/>
        </w:rPr>
        <w:t>设备配置</w:t>
      </w:r>
    </w:p>
    <w:p w14:paraId="7E56A8A4">
      <w:pPr>
        <w:bidi w:val="0"/>
        <w:rPr>
          <w:rFonts w:hint="default"/>
          <w:color w:val="auto"/>
          <w:lang w:val="en-US" w:eastAsia="zh-CN"/>
        </w:rPr>
      </w:pPr>
      <w:r>
        <w:rPr>
          <w:rFonts w:hint="default"/>
          <w:color w:val="auto"/>
          <w:lang w:val="en-US" w:eastAsia="zh-CN"/>
        </w:rPr>
        <w:t>根据工艺流程特点，浓缩－输送－压滤等流程，作业点多，结合现场地形特点，厂房采用阶梯式布置以创造高差，为物料输送提供有利条件。</w:t>
      </w:r>
    </w:p>
    <w:p w14:paraId="1A25A182">
      <w:pPr>
        <w:bidi w:val="0"/>
        <w:rPr>
          <w:rFonts w:hint="default"/>
          <w:color w:val="auto"/>
          <w:lang w:val="en-US" w:eastAsia="zh-CN"/>
        </w:rPr>
      </w:pPr>
      <w:r>
        <w:rPr>
          <w:rFonts w:hint="default"/>
          <w:color w:val="auto"/>
          <w:lang w:val="en-US" w:eastAsia="zh-CN"/>
        </w:rPr>
        <w:t>尾矿脱水对外销售。</w:t>
      </w:r>
    </w:p>
    <w:p w14:paraId="4A18EFC7">
      <w:pPr>
        <w:pStyle w:val="6"/>
        <w:bidi w:val="0"/>
        <w:rPr>
          <w:rFonts w:hint="default"/>
          <w:color w:val="auto"/>
          <w:lang w:val="en-US" w:eastAsia="zh-CN"/>
        </w:rPr>
      </w:pPr>
      <w:r>
        <w:rPr>
          <w:rFonts w:hint="eastAsia"/>
          <w:color w:val="auto"/>
          <w:lang w:val="en-US" w:eastAsia="zh-CN"/>
        </w:rPr>
        <w:t>2.5.6</w:t>
      </w:r>
      <w:r>
        <w:rPr>
          <w:rFonts w:hint="default"/>
          <w:color w:val="auto"/>
          <w:lang w:val="en-US" w:eastAsia="zh-CN"/>
        </w:rPr>
        <w:t xml:space="preserve"> 尾矿设施</w:t>
      </w:r>
    </w:p>
    <w:p w14:paraId="49153EAA">
      <w:pPr>
        <w:bidi w:val="0"/>
        <w:rPr>
          <w:rFonts w:hint="default"/>
          <w:color w:val="auto"/>
          <w:lang w:val="en-US" w:eastAsia="zh-CN"/>
        </w:rPr>
      </w:pPr>
      <w:r>
        <w:rPr>
          <w:rFonts w:hint="default"/>
          <w:color w:val="auto"/>
          <w:lang w:val="en-US" w:eastAsia="zh-CN"/>
        </w:rPr>
        <w:t>把选矿厂生产的尾矿通过浓缩、压滤脱水后得到尾矿渣销售给第三方公司进行土壤化，土壤化后进行复垦，以此减少入库尾矿，延长尾矿库服务年限。</w:t>
      </w:r>
    </w:p>
    <w:p w14:paraId="1CF7BE83">
      <w:pPr>
        <w:pStyle w:val="5"/>
        <w:bidi w:val="0"/>
        <w:rPr>
          <w:rFonts w:hint="default"/>
          <w:color w:val="auto"/>
          <w:lang w:val="en-US" w:eastAsia="zh-CN"/>
        </w:rPr>
      </w:pPr>
      <w:bookmarkStart w:id="10" w:name="_Toc12131"/>
      <w:r>
        <w:rPr>
          <w:rFonts w:hint="eastAsia"/>
          <w:color w:val="auto"/>
          <w:lang w:val="en-US" w:eastAsia="zh-CN"/>
        </w:rPr>
        <w:t xml:space="preserve">2.6 </w:t>
      </w:r>
      <w:r>
        <w:rPr>
          <w:rFonts w:hint="default"/>
          <w:color w:val="auto"/>
          <w:lang w:val="en-US" w:eastAsia="zh-CN"/>
        </w:rPr>
        <w:t>总图运输</w:t>
      </w:r>
      <w:bookmarkEnd w:id="10"/>
    </w:p>
    <w:p w14:paraId="690478D7">
      <w:pPr>
        <w:pStyle w:val="6"/>
        <w:bidi w:val="0"/>
        <w:rPr>
          <w:rFonts w:hint="default"/>
          <w:color w:val="auto"/>
          <w:lang w:val="en-US" w:eastAsia="zh-CN"/>
        </w:rPr>
      </w:pPr>
      <w:r>
        <w:rPr>
          <w:rFonts w:hint="eastAsia"/>
          <w:color w:val="auto"/>
          <w:lang w:val="en-US" w:eastAsia="zh-CN"/>
        </w:rPr>
        <w:t>2.6.1</w:t>
      </w:r>
      <w:r>
        <w:rPr>
          <w:rFonts w:hint="default"/>
          <w:color w:val="auto"/>
          <w:lang w:val="en-US" w:eastAsia="zh-CN"/>
        </w:rPr>
        <w:t xml:space="preserve"> 总平面布置</w:t>
      </w:r>
    </w:p>
    <w:p w14:paraId="149148D8">
      <w:pPr>
        <w:bidi w:val="0"/>
        <w:rPr>
          <w:rFonts w:hint="default"/>
          <w:color w:val="auto"/>
          <w:lang w:val="en-US" w:eastAsia="zh-CN"/>
        </w:rPr>
      </w:pPr>
      <w:r>
        <w:rPr>
          <w:rFonts w:hint="eastAsia"/>
          <w:color w:val="auto"/>
          <w:lang w:val="en-US" w:eastAsia="zh-CN"/>
        </w:rPr>
        <w:t>1、</w:t>
      </w:r>
      <w:r>
        <w:rPr>
          <w:rFonts w:hint="default"/>
          <w:color w:val="auto"/>
          <w:lang w:val="en-US" w:eastAsia="zh-CN"/>
        </w:rPr>
        <w:t>平面布置</w:t>
      </w:r>
    </w:p>
    <w:p w14:paraId="64E123DE">
      <w:pPr>
        <w:bidi w:val="0"/>
        <w:rPr>
          <w:rFonts w:hint="default"/>
          <w:color w:val="auto"/>
          <w:lang w:val="en-US" w:eastAsia="zh-CN"/>
        </w:rPr>
      </w:pPr>
      <w:r>
        <w:rPr>
          <w:rFonts w:hint="default"/>
          <w:color w:val="auto"/>
          <w:lang w:val="en-US" w:eastAsia="zh-CN"/>
        </w:rPr>
        <w:t>尾矿处理系统浓缩车间位于寻甸县柯渡镇猴街村委会乐目哨村，靠近选矿厂，浓缩车间尾矿通过4.4km输送管线输送至压滤车间，压滤车间位于寻甸县柯渡镇猴街村委会其纳海村。将各功能区按性质和功能相近，联系密切，对环境要求大体一致、各种管线及运输短捷的原则进行布置。新建配电室，供尾矿处理系统各生产车间使用。配电室布置在压滤车间旁，靠近负荷中心，以减少电力输送距离。</w:t>
      </w:r>
    </w:p>
    <w:p w14:paraId="45895419">
      <w:pPr>
        <w:bidi w:val="0"/>
        <w:rPr>
          <w:rFonts w:hint="default"/>
          <w:color w:val="auto"/>
          <w:lang w:val="en-US" w:eastAsia="zh-CN"/>
        </w:rPr>
      </w:pPr>
      <w:r>
        <w:rPr>
          <w:rFonts w:hint="default"/>
          <w:color w:val="auto"/>
          <w:lang w:val="en-US" w:eastAsia="zh-CN"/>
        </w:rPr>
        <w:t>办公区及宿舍区利用选厂原设施，选厂通过场地主干道路与各生产车间联系。</w:t>
      </w:r>
    </w:p>
    <w:p w14:paraId="7B52C880">
      <w:pPr>
        <w:bidi w:val="0"/>
        <w:rPr>
          <w:rFonts w:hint="default"/>
          <w:color w:val="auto"/>
          <w:lang w:val="en-US" w:eastAsia="zh-CN"/>
        </w:rPr>
      </w:pPr>
      <w:r>
        <w:rPr>
          <w:rFonts w:hint="eastAsia"/>
          <w:color w:val="auto"/>
          <w:lang w:val="en-US" w:eastAsia="zh-CN"/>
        </w:rPr>
        <w:t>2、</w:t>
      </w:r>
      <w:r>
        <w:rPr>
          <w:rFonts w:hint="default"/>
          <w:color w:val="auto"/>
          <w:lang w:val="en-US" w:eastAsia="zh-CN"/>
        </w:rPr>
        <w:t>竖向布置</w:t>
      </w:r>
    </w:p>
    <w:p w14:paraId="5A161FB6">
      <w:pPr>
        <w:bidi w:val="0"/>
        <w:rPr>
          <w:rFonts w:hint="default"/>
          <w:color w:val="auto"/>
          <w:lang w:val="en-US" w:eastAsia="zh-CN"/>
        </w:rPr>
      </w:pPr>
      <w:r>
        <w:rPr>
          <w:rFonts w:hint="default"/>
          <w:color w:val="auto"/>
          <w:lang w:val="en-US" w:eastAsia="zh-CN"/>
        </w:rPr>
        <w:t>根据现有项目建设情况，工业场地地层较好，为了确保工业场地基础的稳固性，本</w:t>
      </w:r>
      <w:r>
        <w:rPr>
          <w:rFonts w:hint="eastAsia"/>
          <w:color w:val="auto"/>
          <w:lang w:val="en-US" w:eastAsia="zh-CN"/>
        </w:rPr>
        <w:t>项目</w:t>
      </w:r>
      <w:r>
        <w:rPr>
          <w:rFonts w:hint="default"/>
          <w:color w:val="auto"/>
          <w:lang w:val="en-US" w:eastAsia="zh-CN"/>
        </w:rPr>
        <w:t>场地平整以挖方为主，尾矿处理系统主要建筑的基础均位于原岩之上。</w:t>
      </w:r>
    </w:p>
    <w:p w14:paraId="53D5571B">
      <w:pPr>
        <w:bidi w:val="0"/>
        <w:rPr>
          <w:rFonts w:hint="default"/>
          <w:color w:val="auto"/>
          <w:lang w:val="en-US" w:eastAsia="zh-CN"/>
        </w:rPr>
      </w:pPr>
      <w:r>
        <w:rPr>
          <w:rFonts w:hint="default"/>
          <w:color w:val="auto"/>
          <w:lang w:val="en-US" w:eastAsia="zh-CN"/>
        </w:rPr>
        <w:t>生产车间：浓缩车间、压滤车间均采用台阶式布置，输送管线沿地形线布置。</w:t>
      </w:r>
    </w:p>
    <w:p w14:paraId="6ACA16B9">
      <w:pPr>
        <w:bidi w:val="0"/>
        <w:rPr>
          <w:rFonts w:hint="default"/>
          <w:color w:val="auto"/>
          <w:lang w:val="en-US" w:eastAsia="zh-CN"/>
        </w:rPr>
      </w:pPr>
      <w:r>
        <w:rPr>
          <w:rFonts w:hint="default"/>
          <w:color w:val="auto"/>
          <w:lang w:val="en-US" w:eastAsia="zh-CN"/>
        </w:rPr>
        <w:t>辅助设施：辅助设施利用选厂原设施。</w:t>
      </w:r>
    </w:p>
    <w:p w14:paraId="3296B1CD">
      <w:pPr>
        <w:pStyle w:val="6"/>
        <w:bidi w:val="0"/>
        <w:rPr>
          <w:rFonts w:hint="default"/>
          <w:color w:val="auto"/>
          <w:lang w:val="en-US" w:eastAsia="zh-CN"/>
        </w:rPr>
      </w:pPr>
      <w:r>
        <w:rPr>
          <w:rFonts w:hint="eastAsia"/>
          <w:color w:val="auto"/>
          <w:lang w:val="en-US" w:eastAsia="zh-CN"/>
        </w:rPr>
        <w:t xml:space="preserve">2.6.2 </w:t>
      </w:r>
      <w:r>
        <w:rPr>
          <w:rFonts w:hint="default"/>
          <w:color w:val="auto"/>
          <w:lang w:val="en-US" w:eastAsia="zh-CN"/>
        </w:rPr>
        <w:t>场内外运输</w:t>
      </w:r>
    </w:p>
    <w:p w14:paraId="146D1761">
      <w:pPr>
        <w:bidi w:val="0"/>
        <w:rPr>
          <w:rFonts w:hint="default"/>
          <w:color w:val="auto"/>
          <w:lang w:val="en-US" w:eastAsia="zh-CN"/>
        </w:rPr>
      </w:pPr>
      <w:r>
        <w:rPr>
          <w:rFonts w:hint="default"/>
          <w:color w:val="auto"/>
          <w:lang w:val="en-US" w:eastAsia="zh-CN"/>
        </w:rPr>
        <w:t>物料运输主要在浓缩车间、输送管线、压滤车间之间。运输方式主要为管道运输和皮带运输。</w:t>
      </w:r>
    </w:p>
    <w:p w14:paraId="06091C3E">
      <w:pPr>
        <w:bidi w:val="0"/>
        <w:rPr>
          <w:rFonts w:hint="default"/>
          <w:color w:val="auto"/>
          <w:lang w:val="en-US" w:eastAsia="zh-CN"/>
        </w:rPr>
      </w:pPr>
      <w:r>
        <w:rPr>
          <w:rFonts w:hint="default"/>
          <w:color w:val="auto"/>
          <w:lang w:val="en-US" w:eastAsia="zh-CN"/>
        </w:rPr>
        <w:t>厂外物料运输为汽车运输方式。全厂大宗货物主要是将尾渣运出外售，其它辅料等运入量相对较小。</w:t>
      </w:r>
    </w:p>
    <w:p w14:paraId="64D862EB">
      <w:pPr>
        <w:bidi w:val="0"/>
        <w:rPr>
          <w:rFonts w:hint="default"/>
          <w:color w:val="auto"/>
          <w:lang w:val="en-US" w:eastAsia="zh-CN"/>
        </w:rPr>
      </w:pPr>
      <w:r>
        <w:rPr>
          <w:rFonts w:hint="default"/>
          <w:color w:val="auto"/>
          <w:lang w:val="en-US" w:eastAsia="zh-CN"/>
        </w:rPr>
        <w:t>按照运输量测算交通运输组织方式。全厂需要装载机2台。</w:t>
      </w:r>
    </w:p>
    <w:p w14:paraId="192EAD67">
      <w:pPr>
        <w:bidi w:val="0"/>
        <w:rPr>
          <w:rFonts w:hint="default"/>
          <w:color w:val="auto"/>
          <w:lang w:val="en-US" w:eastAsia="zh-CN"/>
        </w:rPr>
      </w:pPr>
      <w:r>
        <w:rPr>
          <w:rFonts w:hint="default"/>
          <w:color w:val="auto"/>
          <w:lang w:val="en-US" w:eastAsia="zh-CN"/>
        </w:rPr>
        <w:t>每年运出尾矿200000t，尾矿通过汽车运输外售。</w:t>
      </w:r>
    </w:p>
    <w:p w14:paraId="491D7DCE">
      <w:pPr>
        <w:pStyle w:val="6"/>
        <w:bidi w:val="0"/>
        <w:rPr>
          <w:rFonts w:hint="default"/>
          <w:color w:val="auto"/>
          <w:lang w:val="en-US" w:eastAsia="zh-CN"/>
        </w:rPr>
      </w:pPr>
      <w:r>
        <w:rPr>
          <w:rFonts w:hint="eastAsia"/>
          <w:color w:val="auto"/>
          <w:lang w:val="en-US" w:eastAsia="zh-CN"/>
        </w:rPr>
        <w:t>2.6.3</w:t>
      </w:r>
      <w:r>
        <w:rPr>
          <w:rFonts w:hint="default"/>
          <w:color w:val="auto"/>
          <w:lang w:val="en-US" w:eastAsia="zh-CN"/>
        </w:rPr>
        <w:t xml:space="preserve"> 厂区道路</w:t>
      </w:r>
    </w:p>
    <w:p w14:paraId="638A2623">
      <w:pPr>
        <w:bidi w:val="0"/>
        <w:rPr>
          <w:rFonts w:hint="default"/>
          <w:color w:val="auto"/>
          <w:lang w:val="en-US" w:eastAsia="zh-CN"/>
        </w:rPr>
      </w:pPr>
      <w:r>
        <w:rPr>
          <w:rFonts w:hint="default"/>
          <w:color w:val="auto"/>
          <w:lang w:val="en-US" w:eastAsia="zh-CN"/>
        </w:rPr>
        <w:t>厂外道路已形成，为原有简易道路，宽度4~6m，路面为土石路面。</w:t>
      </w:r>
    </w:p>
    <w:p w14:paraId="4DE02E60">
      <w:pPr>
        <w:bidi w:val="0"/>
        <w:rPr>
          <w:rFonts w:hint="default"/>
          <w:color w:val="auto"/>
          <w:lang w:val="en-US" w:eastAsia="zh-CN"/>
        </w:rPr>
      </w:pPr>
      <w:r>
        <w:rPr>
          <w:rFonts w:hint="default"/>
          <w:color w:val="auto"/>
          <w:lang w:val="en-US" w:eastAsia="zh-CN"/>
        </w:rPr>
        <w:t>厂内通过主要道路联系各个车间，进入生产区的道路路面宽度5m。道路路面结构为面层C25混凝土25cm，垫层35cm。为保护路面，厂区主干道设置立路牙，道路采用单面横坡，横坡坡度为1.5%。厂内与厂外道路的连接道路采用泥结碎石路面，路宽6m。厂内道路坡度控制在10%以内。</w:t>
      </w:r>
    </w:p>
    <w:p w14:paraId="54A26B48">
      <w:pPr>
        <w:pStyle w:val="6"/>
        <w:bidi w:val="0"/>
        <w:rPr>
          <w:rFonts w:hint="default"/>
          <w:color w:val="auto"/>
          <w:lang w:val="en-US" w:eastAsia="zh-CN"/>
        </w:rPr>
      </w:pPr>
      <w:r>
        <w:rPr>
          <w:rFonts w:hint="eastAsia"/>
          <w:color w:val="auto"/>
          <w:lang w:val="en-US" w:eastAsia="zh-CN"/>
        </w:rPr>
        <w:t>2.6.4</w:t>
      </w:r>
      <w:r>
        <w:rPr>
          <w:rFonts w:hint="default"/>
          <w:color w:val="auto"/>
          <w:lang w:val="en-US" w:eastAsia="zh-CN"/>
        </w:rPr>
        <w:t xml:space="preserve"> 厂区绿化</w:t>
      </w:r>
    </w:p>
    <w:p w14:paraId="6566D6E6">
      <w:pPr>
        <w:bidi w:val="0"/>
        <w:rPr>
          <w:rFonts w:hint="default"/>
          <w:color w:val="auto"/>
          <w:lang w:val="en-US" w:eastAsia="zh-CN"/>
        </w:rPr>
      </w:pPr>
      <w:r>
        <w:rPr>
          <w:rFonts w:hint="default"/>
          <w:color w:val="auto"/>
          <w:lang w:val="en-US" w:eastAsia="zh-CN"/>
        </w:rPr>
        <w:t>空地用花草绿化，采用规则式和自然式两种布局方式混合布置。绿化树种选用生命力强的树种。</w:t>
      </w:r>
    </w:p>
    <w:p w14:paraId="390F69FC">
      <w:pPr>
        <w:bidi w:val="0"/>
        <w:rPr>
          <w:rFonts w:hint="default"/>
          <w:color w:val="auto"/>
          <w:lang w:val="en-US" w:eastAsia="zh-CN"/>
        </w:rPr>
      </w:pPr>
      <w:r>
        <w:rPr>
          <w:rFonts w:hint="default"/>
          <w:color w:val="auto"/>
          <w:lang w:val="en-US" w:eastAsia="zh-CN"/>
        </w:rPr>
        <w:t>根据工厂的绿化条件，组成点、线、面相结合；单层、多层、垂直绿化相结合的绿化系统。充分利用工厂可绿化的边角地带、管线区的覆土地带、管桥架下的地面、建筑物和构筑物的墙面几场地护坡等地带进行绿化。</w:t>
      </w:r>
    </w:p>
    <w:p w14:paraId="337F947D">
      <w:pPr>
        <w:bidi w:val="0"/>
        <w:rPr>
          <w:rFonts w:hint="default"/>
          <w:color w:val="auto"/>
          <w:lang w:val="en-US" w:eastAsia="zh-CN"/>
        </w:rPr>
      </w:pPr>
      <w:r>
        <w:rPr>
          <w:rFonts w:hint="default"/>
          <w:color w:val="auto"/>
          <w:lang w:val="en-US" w:eastAsia="zh-CN"/>
        </w:rPr>
        <w:t>根据工厂条件，适当配制花园和少量园林建筑小品，以便更好的美化环境。</w:t>
      </w:r>
    </w:p>
    <w:p w14:paraId="0399D834">
      <w:pPr>
        <w:bidi w:val="0"/>
        <w:rPr>
          <w:rFonts w:hint="default"/>
          <w:color w:val="auto"/>
          <w:lang w:val="en-US" w:eastAsia="zh-CN"/>
        </w:rPr>
      </w:pPr>
      <w:r>
        <w:rPr>
          <w:rFonts w:hint="default"/>
          <w:color w:val="auto"/>
          <w:lang w:val="en-US" w:eastAsia="zh-CN"/>
        </w:rPr>
        <w:t>厂区绿化地面种植耐酸碱草皮，如剪股颖草，配以低矮灌木如夹竹桃、锦葵等，适当种植高大乔木如槐树、白皮松等。</w:t>
      </w:r>
    </w:p>
    <w:p w14:paraId="6F1CA136">
      <w:pPr>
        <w:pStyle w:val="5"/>
        <w:bidi w:val="0"/>
        <w:rPr>
          <w:rFonts w:hint="default"/>
          <w:color w:val="auto"/>
          <w:lang w:val="en-US" w:eastAsia="zh-CN"/>
        </w:rPr>
      </w:pPr>
      <w:bookmarkStart w:id="11" w:name="_Toc5582"/>
      <w:r>
        <w:rPr>
          <w:rFonts w:hint="eastAsia"/>
          <w:color w:val="auto"/>
          <w:lang w:val="en-US" w:eastAsia="zh-CN"/>
        </w:rPr>
        <w:t>2.7</w:t>
      </w:r>
      <w:r>
        <w:rPr>
          <w:rFonts w:hint="default"/>
          <w:color w:val="auto"/>
          <w:lang w:val="en-US" w:eastAsia="zh-CN"/>
        </w:rPr>
        <w:t xml:space="preserve"> 给排水</w:t>
      </w:r>
      <w:bookmarkEnd w:id="11"/>
    </w:p>
    <w:p w14:paraId="2AB085D6">
      <w:pPr>
        <w:pStyle w:val="6"/>
        <w:bidi w:val="0"/>
        <w:rPr>
          <w:rFonts w:hint="default"/>
          <w:color w:val="auto"/>
          <w:lang w:val="en-US" w:eastAsia="zh-CN"/>
        </w:rPr>
      </w:pPr>
      <w:r>
        <w:rPr>
          <w:rFonts w:hint="eastAsia"/>
          <w:color w:val="auto"/>
          <w:lang w:val="en-US" w:eastAsia="zh-CN"/>
        </w:rPr>
        <w:t>2.7.1</w:t>
      </w:r>
      <w:r>
        <w:rPr>
          <w:rFonts w:hint="default"/>
          <w:color w:val="auto"/>
          <w:lang w:val="en-US" w:eastAsia="zh-CN"/>
        </w:rPr>
        <w:t xml:space="preserve"> 水源</w:t>
      </w:r>
    </w:p>
    <w:p w14:paraId="304ACC32">
      <w:pPr>
        <w:bidi w:val="0"/>
        <w:rPr>
          <w:rFonts w:hint="default"/>
          <w:color w:val="auto"/>
          <w:lang w:val="en-US" w:eastAsia="zh-CN"/>
        </w:rPr>
      </w:pPr>
      <w:r>
        <w:rPr>
          <w:rFonts w:hint="default"/>
          <w:color w:val="auto"/>
          <w:lang w:val="en-US" w:eastAsia="zh-CN"/>
        </w:rPr>
        <w:t>生产用水为选厂来料尾矿经过浓缩和压滤的澄清水供生产用水。生活用水为选厂职工生活用水的水源，饮用水为瓶装水，能充分满足生活用水的需求。</w:t>
      </w:r>
    </w:p>
    <w:p w14:paraId="50997A8D">
      <w:pPr>
        <w:pStyle w:val="6"/>
        <w:bidi w:val="0"/>
        <w:rPr>
          <w:rFonts w:hint="default"/>
          <w:color w:val="auto"/>
          <w:lang w:val="en-US" w:eastAsia="zh-CN"/>
        </w:rPr>
      </w:pPr>
      <w:r>
        <w:rPr>
          <w:rFonts w:hint="eastAsia"/>
          <w:color w:val="auto"/>
          <w:lang w:val="en-US" w:eastAsia="zh-CN"/>
        </w:rPr>
        <w:t>2.7.2</w:t>
      </w:r>
      <w:r>
        <w:rPr>
          <w:rFonts w:hint="default"/>
          <w:color w:val="auto"/>
          <w:lang w:val="en-US" w:eastAsia="zh-CN"/>
        </w:rPr>
        <w:t xml:space="preserve"> 给水标准及用水量</w:t>
      </w:r>
    </w:p>
    <w:p w14:paraId="63602712">
      <w:pPr>
        <w:bidi w:val="0"/>
        <w:rPr>
          <w:rFonts w:hint="default"/>
          <w:color w:val="auto"/>
          <w:lang w:val="en-US" w:eastAsia="zh-CN"/>
        </w:rPr>
      </w:pPr>
      <w:r>
        <w:rPr>
          <w:rFonts w:hint="eastAsia"/>
          <w:color w:val="auto"/>
          <w:lang w:val="en-US" w:eastAsia="zh-CN"/>
        </w:rPr>
        <w:t>1、</w:t>
      </w:r>
      <w:r>
        <w:rPr>
          <w:rFonts w:hint="default"/>
          <w:color w:val="auto"/>
          <w:lang w:val="en-US" w:eastAsia="zh-CN"/>
        </w:rPr>
        <w:t>给水标准</w:t>
      </w:r>
    </w:p>
    <w:p w14:paraId="72D0335E">
      <w:pPr>
        <w:bidi w:val="0"/>
        <w:rPr>
          <w:rFonts w:hint="default"/>
          <w:color w:val="auto"/>
          <w:lang w:val="en-US" w:eastAsia="zh-CN"/>
        </w:rPr>
      </w:pPr>
      <w:r>
        <w:rPr>
          <w:rFonts w:hint="default"/>
          <w:color w:val="auto"/>
          <w:lang w:val="en-US" w:eastAsia="zh-CN"/>
        </w:rPr>
        <w:t>（1）选厂及生产辅助设施给水标准按生产工艺要求确定。</w:t>
      </w:r>
    </w:p>
    <w:p w14:paraId="41E669A5">
      <w:pPr>
        <w:bidi w:val="0"/>
        <w:rPr>
          <w:rFonts w:hint="default"/>
          <w:color w:val="auto"/>
          <w:lang w:val="en-US" w:eastAsia="zh-CN"/>
        </w:rPr>
      </w:pPr>
      <w:r>
        <w:rPr>
          <w:rFonts w:hint="default"/>
          <w:color w:val="auto"/>
          <w:lang w:val="en-US" w:eastAsia="zh-CN"/>
        </w:rPr>
        <w:t>（2）生活区综合用水5m</w:t>
      </w:r>
      <w:r>
        <w:rPr>
          <w:rFonts w:hint="default"/>
          <w:color w:val="auto"/>
          <w:vertAlign w:val="superscript"/>
          <w:lang w:val="en-US" w:eastAsia="zh-CN"/>
        </w:rPr>
        <w:t>3</w:t>
      </w:r>
      <w:r>
        <w:rPr>
          <w:rFonts w:hint="default"/>
          <w:color w:val="auto"/>
          <w:lang w:val="en-US" w:eastAsia="zh-CN"/>
        </w:rPr>
        <w:t>/d。</w:t>
      </w:r>
    </w:p>
    <w:p w14:paraId="132029FA">
      <w:pPr>
        <w:bidi w:val="0"/>
        <w:rPr>
          <w:rFonts w:hint="default"/>
          <w:color w:val="auto"/>
          <w:lang w:val="en-US" w:eastAsia="zh-CN"/>
        </w:rPr>
      </w:pPr>
      <w:r>
        <w:rPr>
          <w:rFonts w:hint="eastAsia"/>
          <w:color w:val="auto"/>
          <w:lang w:val="en-US" w:eastAsia="zh-CN"/>
        </w:rPr>
        <w:t>2、</w:t>
      </w:r>
      <w:r>
        <w:rPr>
          <w:rFonts w:hint="default"/>
          <w:color w:val="auto"/>
          <w:lang w:val="en-US" w:eastAsia="zh-CN"/>
        </w:rPr>
        <w:t>用水量、水压及水质</w:t>
      </w:r>
    </w:p>
    <w:p w14:paraId="2377BB28">
      <w:pPr>
        <w:bidi w:val="0"/>
        <w:rPr>
          <w:rFonts w:hint="default"/>
          <w:color w:val="auto"/>
          <w:lang w:val="en-US" w:eastAsia="zh-CN"/>
        </w:rPr>
      </w:pPr>
      <w:r>
        <w:rPr>
          <w:rFonts w:hint="default"/>
          <w:color w:val="auto"/>
          <w:lang w:val="en-US" w:eastAsia="zh-CN"/>
        </w:rPr>
        <w:t>（1）尾矿处理系统用水主要来自于选厂的尾矿矿浆，浓度为20%，每天矿浆含水量为4000m</w:t>
      </w:r>
      <w:r>
        <w:rPr>
          <w:rFonts w:hint="default"/>
          <w:color w:val="auto"/>
          <w:vertAlign w:val="superscript"/>
          <w:lang w:val="en-US" w:eastAsia="zh-CN"/>
        </w:rPr>
        <w:t>3</w:t>
      </w:r>
      <w:r>
        <w:rPr>
          <w:rFonts w:hint="default"/>
          <w:color w:val="auto"/>
          <w:lang w:val="en-US" w:eastAsia="zh-CN"/>
        </w:rPr>
        <w:t>，每天按10%的水量为400m</w:t>
      </w:r>
      <w:r>
        <w:rPr>
          <w:rFonts w:hint="default"/>
          <w:color w:val="auto"/>
          <w:vertAlign w:val="superscript"/>
          <w:lang w:val="en-US" w:eastAsia="zh-CN"/>
        </w:rPr>
        <w:t>3</w:t>
      </w:r>
      <w:r>
        <w:rPr>
          <w:rFonts w:hint="default"/>
          <w:color w:val="auto"/>
          <w:lang w:val="en-US" w:eastAsia="zh-CN"/>
        </w:rPr>
        <w:t>。生活用水量5.0m</w:t>
      </w:r>
      <w:r>
        <w:rPr>
          <w:rFonts w:hint="default"/>
          <w:color w:val="auto"/>
          <w:vertAlign w:val="superscript"/>
          <w:lang w:val="en-US" w:eastAsia="zh-CN"/>
        </w:rPr>
        <w:t>3</w:t>
      </w:r>
      <w:r>
        <w:rPr>
          <w:rFonts w:hint="default"/>
          <w:color w:val="auto"/>
          <w:lang w:val="en-US" w:eastAsia="zh-CN"/>
        </w:rPr>
        <w:t>/d。</w:t>
      </w:r>
    </w:p>
    <w:p w14:paraId="31A323A5">
      <w:pPr>
        <w:bidi w:val="0"/>
        <w:rPr>
          <w:rFonts w:hint="default"/>
          <w:color w:val="auto"/>
          <w:lang w:val="en-US" w:eastAsia="zh-CN"/>
        </w:rPr>
      </w:pPr>
      <w:r>
        <w:rPr>
          <w:rFonts w:hint="default"/>
          <w:color w:val="auto"/>
          <w:lang w:val="en-US" w:eastAsia="zh-CN"/>
        </w:rPr>
        <w:t>（2）供水压力：满足生产、生活用水要求。</w:t>
      </w:r>
    </w:p>
    <w:p w14:paraId="22DB600B">
      <w:pPr>
        <w:bidi w:val="0"/>
        <w:rPr>
          <w:rFonts w:hint="default"/>
          <w:color w:val="auto"/>
          <w:lang w:val="en-US" w:eastAsia="zh-CN"/>
        </w:rPr>
      </w:pPr>
      <w:r>
        <w:rPr>
          <w:rFonts w:hint="default"/>
          <w:color w:val="auto"/>
          <w:lang w:val="en-US" w:eastAsia="zh-CN"/>
        </w:rPr>
        <w:t>（3）供水水质：生产新水水质为一般工业生产新水水质标准，生活用水水质达到国家生活饮用水水质标准。</w:t>
      </w:r>
    </w:p>
    <w:p w14:paraId="4DFB4D7B">
      <w:pPr>
        <w:pStyle w:val="6"/>
        <w:bidi w:val="0"/>
        <w:rPr>
          <w:rFonts w:hint="default"/>
          <w:color w:val="auto"/>
          <w:lang w:val="en-US" w:eastAsia="zh-CN"/>
        </w:rPr>
      </w:pPr>
      <w:r>
        <w:rPr>
          <w:rFonts w:hint="eastAsia"/>
          <w:color w:val="auto"/>
          <w:lang w:val="en-US" w:eastAsia="zh-CN"/>
        </w:rPr>
        <w:t>2.7.3</w:t>
      </w:r>
      <w:r>
        <w:rPr>
          <w:rFonts w:hint="default"/>
          <w:color w:val="auto"/>
          <w:lang w:val="en-US" w:eastAsia="zh-CN"/>
        </w:rPr>
        <w:t xml:space="preserve"> </w:t>
      </w:r>
      <w:r>
        <w:rPr>
          <w:rFonts w:hint="eastAsia"/>
          <w:color w:val="auto"/>
          <w:lang w:val="en-US" w:eastAsia="zh-CN"/>
        </w:rPr>
        <w:t>项目</w:t>
      </w:r>
      <w:r>
        <w:rPr>
          <w:rFonts w:hint="default"/>
          <w:color w:val="auto"/>
          <w:lang w:val="en-US" w:eastAsia="zh-CN"/>
        </w:rPr>
        <w:t>生产水系统</w:t>
      </w:r>
    </w:p>
    <w:p w14:paraId="01128201">
      <w:pPr>
        <w:bidi w:val="0"/>
        <w:rPr>
          <w:rFonts w:hint="default"/>
          <w:color w:val="auto"/>
          <w:lang w:val="en-US" w:eastAsia="zh-CN"/>
        </w:rPr>
      </w:pPr>
      <w:r>
        <w:rPr>
          <w:rFonts w:hint="default"/>
          <w:color w:val="auto"/>
          <w:lang w:val="en-US" w:eastAsia="zh-CN"/>
        </w:rPr>
        <w:t>本项目用水大部分为选厂来料尾矿经过浓缩的澄清水，用泵泵至选矿厂回水系统重复利用，满足生产要求。</w:t>
      </w:r>
    </w:p>
    <w:p w14:paraId="409C1B93">
      <w:pPr>
        <w:bidi w:val="0"/>
        <w:rPr>
          <w:rFonts w:hint="default"/>
          <w:color w:val="auto"/>
          <w:lang w:val="en-US" w:eastAsia="zh-CN"/>
        </w:rPr>
      </w:pPr>
      <w:r>
        <w:rPr>
          <w:rFonts w:hint="eastAsia"/>
          <w:color w:val="auto"/>
          <w:lang w:val="en-US" w:eastAsia="zh-CN"/>
        </w:rPr>
        <w:t>项目</w:t>
      </w:r>
      <w:r>
        <w:rPr>
          <w:rFonts w:hint="default"/>
          <w:color w:val="auto"/>
          <w:lang w:val="en-US" w:eastAsia="zh-CN"/>
        </w:rPr>
        <w:t>回水系统</w:t>
      </w:r>
      <w:r>
        <w:rPr>
          <w:rFonts w:hint="eastAsia"/>
          <w:color w:val="auto"/>
          <w:lang w:val="en-US" w:eastAsia="zh-CN"/>
        </w:rPr>
        <w:t>：</w:t>
      </w:r>
    </w:p>
    <w:p w14:paraId="3B66181F">
      <w:pPr>
        <w:bidi w:val="0"/>
        <w:rPr>
          <w:rFonts w:hint="default"/>
          <w:color w:val="auto"/>
          <w:lang w:val="en-US" w:eastAsia="zh-CN"/>
        </w:rPr>
      </w:pPr>
      <w:r>
        <w:rPr>
          <w:rFonts w:hint="default"/>
          <w:color w:val="auto"/>
          <w:lang w:val="en-US" w:eastAsia="zh-CN"/>
        </w:rPr>
        <w:t>厂区回水主要来自尾矿脱水回水。</w:t>
      </w:r>
    </w:p>
    <w:p w14:paraId="5DDC7F69">
      <w:pPr>
        <w:pStyle w:val="6"/>
        <w:bidi w:val="0"/>
        <w:rPr>
          <w:rFonts w:hint="default"/>
          <w:color w:val="auto"/>
          <w:lang w:val="en-US" w:eastAsia="zh-CN"/>
        </w:rPr>
      </w:pPr>
      <w:r>
        <w:rPr>
          <w:rFonts w:hint="eastAsia"/>
          <w:color w:val="auto"/>
          <w:lang w:val="en-US" w:eastAsia="zh-CN"/>
        </w:rPr>
        <w:t>2.7.4</w:t>
      </w:r>
      <w:r>
        <w:rPr>
          <w:rFonts w:hint="default"/>
          <w:color w:val="auto"/>
          <w:lang w:val="en-US" w:eastAsia="zh-CN"/>
        </w:rPr>
        <w:t xml:space="preserve"> 生活区给排水</w:t>
      </w:r>
    </w:p>
    <w:p w14:paraId="48CE9799">
      <w:pPr>
        <w:bidi w:val="0"/>
        <w:rPr>
          <w:rFonts w:hint="default"/>
          <w:color w:val="auto"/>
          <w:lang w:val="en-US" w:eastAsia="zh-CN"/>
        </w:rPr>
      </w:pPr>
      <w:r>
        <w:rPr>
          <w:rFonts w:hint="default"/>
          <w:color w:val="auto"/>
          <w:lang w:val="en-US" w:eastAsia="zh-CN"/>
        </w:rPr>
        <w:t>选厂人员生活用水从选厂生活水系统供给。</w:t>
      </w:r>
    </w:p>
    <w:p w14:paraId="04FCA99C">
      <w:pPr>
        <w:bidi w:val="0"/>
        <w:rPr>
          <w:rFonts w:hint="default"/>
          <w:color w:val="auto"/>
          <w:lang w:val="en-US" w:eastAsia="zh-CN"/>
        </w:rPr>
      </w:pPr>
      <w:r>
        <w:rPr>
          <w:rFonts w:hint="default"/>
          <w:color w:val="auto"/>
          <w:lang w:val="en-US" w:eastAsia="zh-CN"/>
        </w:rPr>
        <w:t>生活排水排至选厂生活水处理系统。</w:t>
      </w:r>
    </w:p>
    <w:p w14:paraId="50FB7693">
      <w:pPr>
        <w:pStyle w:val="6"/>
        <w:bidi w:val="0"/>
        <w:rPr>
          <w:rFonts w:hint="default"/>
          <w:color w:val="auto"/>
          <w:lang w:val="en-US" w:eastAsia="zh-CN"/>
        </w:rPr>
      </w:pPr>
      <w:r>
        <w:rPr>
          <w:rFonts w:hint="eastAsia"/>
          <w:color w:val="auto"/>
          <w:lang w:val="en-US" w:eastAsia="zh-CN"/>
        </w:rPr>
        <w:t>2.7.5</w:t>
      </w:r>
      <w:r>
        <w:rPr>
          <w:rFonts w:hint="default"/>
          <w:color w:val="auto"/>
          <w:lang w:val="en-US" w:eastAsia="zh-CN"/>
        </w:rPr>
        <w:t xml:space="preserve"> 消防系统</w:t>
      </w:r>
    </w:p>
    <w:p w14:paraId="21DAFC6E">
      <w:pPr>
        <w:bidi w:val="0"/>
        <w:rPr>
          <w:rFonts w:hint="default"/>
          <w:color w:val="auto"/>
          <w:lang w:val="en-US" w:eastAsia="zh-CN"/>
        </w:rPr>
      </w:pPr>
      <w:r>
        <w:rPr>
          <w:rFonts w:hint="eastAsia"/>
          <w:color w:val="auto"/>
          <w:lang w:val="en-US" w:eastAsia="zh-CN"/>
        </w:rPr>
        <w:t>本项目</w:t>
      </w:r>
      <w:r>
        <w:rPr>
          <w:rFonts w:hint="default"/>
          <w:color w:val="auto"/>
          <w:lang w:val="en-US" w:eastAsia="zh-CN"/>
        </w:rPr>
        <w:t>生产类别为戊类，根据《建筑设计防火规范》</w:t>
      </w:r>
      <w:r>
        <w:rPr>
          <w:rFonts w:hint="eastAsia"/>
          <w:color w:val="auto"/>
          <w:lang w:val="en-US" w:eastAsia="zh-CN"/>
        </w:rPr>
        <w:t>（</w:t>
      </w:r>
      <w:r>
        <w:rPr>
          <w:rFonts w:hint="default"/>
          <w:color w:val="auto"/>
          <w:lang w:val="en-US" w:eastAsia="zh-CN"/>
        </w:rPr>
        <w:t>GB50016－</w:t>
      </w:r>
      <w:r>
        <w:rPr>
          <w:rFonts w:hint="eastAsia"/>
          <w:color w:val="auto"/>
          <w:lang w:val="en-US" w:eastAsia="zh-CN"/>
        </w:rPr>
        <w:t>2014，2018版）</w:t>
      </w:r>
      <w:r>
        <w:rPr>
          <w:rFonts w:hint="default"/>
          <w:color w:val="auto"/>
          <w:lang w:val="en-US" w:eastAsia="zh-CN"/>
        </w:rPr>
        <w:t>的规定，需设室外消防，消防水量为15L/s，同一时间火灾次数按1次考虑，火灾延续时间按2小时考虑，合计需水108m</w:t>
      </w:r>
      <w:r>
        <w:rPr>
          <w:rFonts w:hint="default"/>
          <w:color w:val="auto"/>
          <w:vertAlign w:val="superscript"/>
          <w:lang w:val="en-US" w:eastAsia="zh-CN"/>
        </w:rPr>
        <w:t>3</w:t>
      </w:r>
      <w:r>
        <w:rPr>
          <w:rFonts w:hint="default"/>
          <w:color w:val="auto"/>
          <w:lang w:val="en-US" w:eastAsia="zh-CN"/>
        </w:rPr>
        <w:t>。消防用水蓄存于新水池内，即在选厂整个生产过程中，在新水池中始终必须保持消防用水的水量。所以新水池，水深应随时保持</w:t>
      </w:r>
      <w:r>
        <w:rPr>
          <w:rFonts w:hint="eastAsia"/>
          <w:color w:val="auto"/>
          <w:lang w:val="en-US" w:eastAsia="zh-CN"/>
        </w:rPr>
        <w:t>能满足消防水量</w:t>
      </w:r>
      <w:r>
        <w:rPr>
          <w:rFonts w:hint="default"/>
          <w:color w:val="auto"/>
          <w:lang w:val="en-US" w:eastAsia="zh-CN"/>
        </w:rPr>
        <w:t>。</w:t>
      </w:r>
    </w:p>
    <w:p w14:paraId="00CA71F9">
      <w:pPr>
        <w:bidi w:val="0"/>
        <w:rPr>
          <w:rFonts w:hint="default"/>
          <w:color w:val="auto"/>
          <w:lang w:val="en-US" w:eastAsia="zh-CN"/>
        </w:rPr>
      </w:pPr>
      <w:r>
        <w:rPr>
          <w:rFonts w:hint="default"/>
          <w:color w:val="auto"/>
          <w:lang w:val="en-US" w:eastAsia="zh-CN"/>
        </w:rPr>
        <w:t>同时于厂区适宜位置设置了2套室外地上式消火栓，供全厂室外消防使用。</w:t>
      </w:r>
    </w:p>
    <w:p w14:paraId="75D9EF7E">
      <w:pPr>
        <w:bidi w:val="0"/>
        <w:rPr>
          <w:rFonts w:hint="default"/>
          <w:color w:val="auto"/>
          <w:lang w:val="en-US" w:eastAsia="zh-CN"/>
        </w:rPr>
      </w:pPr>
      <w:r>
        <w:rPr>
          <w:rFonts w:hint="default"/>
          <w:color w:val="auto"/>
          <w:lang w:val="en-US" w:eastAsia="zh-CN"/>
        </w:rPr>
        <w:t>灭火器配置如下：</w:t>
      </w:r>
    </w:p>
    <w:p w14:paraId="5787F3C3">
      <w:pPr>
        <w:bidi w:val="0"/>
        <w:rPr>
          <w:rFonts w:hint="default"/>
          <w:color w:val="auto"/>
          <w:lang w:val="en-US" w:eastAsia="zh-CN"/>
        </w:rPr>
      </w:pPr>
      <w:r>
        <w:rPr>
          <w:rFonts w:hint="default"/>
          <w:color w:val="auto"/>
          <w:lang w:val="en-US" w:eastAsia="zh-CN"/>
        </w:rPr>
        <w:t>浓缩车间：属于轻危险级，配置MFZ1（L）型灭火器；</w:t>
      </w:r>
    </w:p>
    <w:p w14:paraId="3D15C671">
      <w:pPr>
        <w:bidi w:val="0"/>
        <w:rPr>
          <w:rFonts w:hint="default"/>
          <w:color w:val="auto"/>
          <w:lang w:val="en-US" w:eastAsia="zh-CN"/>
        </w:rPr>
      </w:pPr>
      <w:r>
        <w:rPr>
          <w:rFonts w:hint="default"/>
          <w:color w:val="auto"/>
          <w:lang w:val="en-US" w:eastAsia="zh-CN"/>
        </w:rPr>
        <w:t>压滤车间：属于轻危险级，配置MFZ1（L）型灭火器。</w:t>
      </w:r>
    </w:p>
    <w:p w14:paraId="37BB7C64">
      <w:pPr>
        <w:pStyle w:val="5"/>
        <w:bidi w:val="0"/>
        <w:rPr>
          <w:rFonts w:hint="default"/>
          <w:color w:val="auto"/>
          <w:lang w:val="en-US" w:eastAsia="zh-CN"/>
        </w:rPr>
      </w:pPr>
      <w:bookmarkStart w:id="12" w:name="_Toc8117"/>
      <w:r>
        <w:rPr>
          <w:rFonts w:hint="eastAsia"/>
          <w:color w:val="auto"/>
          <w:lang w:val="en-US" w:eastAsia="zh-CN"/>
        </w:rPr>
        <w:t>2.8 电力</w:t>
      </w:r>
      <w:bookmarkEnd w:id="12"/>
    </w:p>
    <w:p w14:paraId="5DE80548">
      <w:pPr>
        <w:pStyle w:val="6"/>
        <w:bidi w:val="0"/>
        <w:rPr>
          <w:rFonts w:hint="default"/>
          <w:color w:val="auto"/>
          <w:lang w:val="en-US" w:eastAsia="zh-CN"/>
        </w:rPr>
      </w:pPr>
      <w:r>
        <w:rPr>
          <w:rFonts w:hint="eastAsia"/>
          <w:color w:val="auto"/>
          <w:lang w:val="en-US" w:eastAsia="zh-CN"/>
        </w:rPr>
        <w:t>2.8.1</w:t>
      </w:r>
      <w:r>
        <w:rPr>
          <w:rFonts w:hint="default"/>
          <w:color w:val="auto"/>
          <w:lang w:val="en-US" w:eastAsia="zh-CN"/>
        </w:rPr>
        <w:t xml:space="preserve"> 负荷及其特点</w:t>
      </w:r>
    </w:p>
    <w:p w14:paraId="21B9171C">
      <w:pPr>
        <w:bidi w:val="0"/>
        <w:rPr>
          <w:rFonts w:hint="default"/>
          <w:color w:val="auto"/>
          <w:lang w:val="en-US" w:eastAsia="zh-CN"/>
        </w:rPr>
      </w:pPr>
      <w:r>
        <w:rPr>
          <w:rFonts w:hint="default"/>
          <w:color w:val="auto"/>
          <w:lang w:val="en-US" w:eastAsia="zh-CN"/>
        </w:rPr>
        <w:t>本</w:t>
      </w:r>
      <w:r>
        <w:rPr>
          <w:rFonts w:hint="eastAsia"/>
          <w:color w:val="auto"/>
          <w:lang w:val="en-US" w:eastAsia="zh-CN"/>
        </w:rPr>
        <w:t>项目</w:t>
      </w:r>
      <w:r>
        <w:rPr>
          <w:rFonts w:hint="default"/>
          <w:color w:val="auto"/>
          <w:lang w:val="en-US" w:eastAsia="zh-CN"/>
        </w:rPr>
        <w:t>所有用电设备均为低压负荷，为三级负荷。根据各专业提供的条件进行了电气负荷计算，结果如下：</w:t>
      </w:r>
    </w:p>
    <w:p w14:paraId="73F31E67">
      <w:pPr>
        <w:bidi w:val="0"/>
        <w:rPr>
          <w:rFonts w:hint="default"/>
          <w:color w:val="auto"/>
          <w:lang w:val="en-US" w:eastAsia="zh-CN"/>
        </w:rPr>
      </w:pPr>
      <w:r>
        <w:rPr>
          <w:rFonts w:hint="eastAsia"/>
          <w:color w:val="auto"/>
          <w:lang w:val="en-US" w:eastAsia="zh-CN"/>
        </w:rPr>
        <w:t>项目</w:t>
      </w:r>
      <w:r>
        <w:rPr>
          <w:rFonts w:hint="default"/>
          <w:color w:val="auto"/>
          <w:lang w:val="en-US" w:eastAsia="zh-CN"/>
        </w:rPr>
        <w:t>380V侧：安装容量</w:t>
      </w:r>
      <w:r>
        <w:rPr>
          <w:rFonts w:hint="eastAsia"/>
          <w:color w:val="auto"/>
          <w:lang w:val="en-US" w:eastAsia="zh-CN"/>
        </w:rPr>
        <w:t>1852</w:t>
      </w:r>
      <w:r>
        <w:rPr>
          <w:rFonts w:hint="default"/>
          <w:color w:val="auto"/>
          <w:lang w:val="en-US" w:eastAsia="zh-CN"/>
        </w:rPr>
        <w:t>kW，</w:t>
      </w:r>
      <w:r>
        <w:rPr>
          <w:rFonts w:hint="eastAsia"/>
          <w:color w:val="auto"/>
          <w:lang w:val="en-US" w:eastAsia="zh-CN"/>
        </w:rPr>
        <w:t>47</w:t>
      </w:r>
      <w:r>
        <w:rPr>
          <w:rFonts w:hint="default"/>
          <w:color w:val="auto"/>
          <w:lang w:val="en-US" w:eastAsia="zh-CN"/>
        </w:rPr>
        <w:t>台；</w:t>
      </w:r>
    </w:p>
    <w:p w14:paraId="1D9C1F93">
      <w:pPr>
        <w:bidi w:val="0"/>
        <w:rPr>
          <w:rFonts w:hint="default"/>
          <w:color w:val="auto"/>
          <w:lang w:val="en-US" w:eastAsia="zh-CN"/>
        </w:rPr>
      </w:pPr>
      <w:r>
        <w:rPr>
          <w:rFonts w:hint="default"/>
          <w:color w:val="auto"/>
          <w:lang w:val="en-US" w:eastAsia="zh-CN"/>
        </w:rPr>
        <w:t>工作容量</w:t>
      </w:r>
      <w:r>
        <w:rPr>
          <w:rFonts w:hint="eastAsia"/>
          <w:color w:val="auto"/>
          <w:lang w:val="en-US" w:eastAsia="zh-CN"/>
        </w:rPr>
        <w:t>1852</w:t>
      </w:r>
      <w:r>
        <w:rPr>
          <w:rFonts w:hint="default"/>
          <w:color w:val="auto"/>
          <w:lang w:val="en-US" w:eastAsia="zh-CN"/>
        </w:rPr>
        <w:t>kW，</w:t>
      </w:r>
      <w:r>
        <w:rPr>
          <w:rFonts w:hint="eastAsia"/>
          <w:color w:val="auto"/>
          <w:lang w:val="en-US" w:eastAsia="zh-CN"/>
        </w:rPr>
        <w:t>47</w:t>
      </w:r>
      <w:r>
        <w:rPr>
          <w:rFonts w:hint="default"/>
          <w:color w:val="auto"/>
          <w:lang w:val="en-US" w:eastAsia="zh-CN"/>
        </w:rPr>
        <w:t>台；</w:t>
      </w:r>
    </w:p>
    <w:p w14:paraId="1AB85AA2">
      <w:pPr>
        <w:bidi w:val="0"/>
        <w:rPr>
          <w:rFonts w:hint="default"/>
          <w:color w:val="auto"/>
          <w:lang w:val="en-US" w:eastAsia="zh-CN"/>
        </w:rPr>
      </w:pPr>
      <w:r>
        <w:rPr>
          <w:rFonts w:hint="default"/>
          <w:color w:val="auto"/>
          <w:lang w:val="en-US" w:eastAsia="zh-CN"/>
        </w:rPr>
        <w:t>10kV侧计算负荷：有功功率</w:t>
      </w:r>
      <w:r>
        <w:rPr>
          <w:rFonts w:hint="eastAsia"/>
          <w:color w:val="auto"/>
          <w:lang w:val="en-US" w:eastAsia="zh-CN"/>
        </w:rPr>
        <w:t>1315.95</w:t>
      </w:r>
      <w:r>
        <w:rPr>
          <w:rFonts w:hint="default"/>
          <w:color w:val="auto"/>
          <w:lang w:val="en-US" w:eastAsia="zh-CN"/>
        </w:rPr>
        <w:t>kW</w:t>
      </w:r>
      <w:r>
        <w:rPr>
          <w:rFonts w:hint="eastAsia"/>
          <w:color w:val="auto"/>
          <w:lang w:val="en-US" w:eastAsia="zh-CN"/>
        </w:rPr>
        <w:t>；</w:t>
      </w:r>
    </w:p>
    <w:p w14:paraId="240CBDFE">
      <w:pPr>
        <w:bidi w:val="0"/>
        <w:rPr>
          <w:rFonts w:hint="default"/>
          <w:color w:val="auto"/>
          <w:lang w:val="en-US" w:eastAsia="zh-CN"/>
        </w:rPr>
      </w:pPr>
      <w:r>
        <w:rPr>
          <w:rFonts w:hint="default"/>
          <w:color w:val="auto"/>
          <w:lang w:val="en-US" w:eastAsia="zh-CN"/>
        </w:rPr>
        <w:t>无功功率</w:t>
      </w:r>
      <w:r>
        <w:rPr>
          <w:rFonts w:hint="eastAsia"/>
          <w:color w:val="auto"/>
          <w:lang w:val="en-US" w:eastAsia="zh-CN"/>
        </w:rPr>
        <w:t>498.30</w:t>
      </w:r>
      <w:r>
        <w:rPr>
          <w:rFonts w:hint="default"/>
          <w:color w:val="auto"/>
          <w:lang w:val="en-US" w:eastAsia="zh-CN"/>
        </w:rPr>
        <w:t>kvar</w:t>
      </w:r>
      <w:r>
        <w:rPr>
          <w:rFonts w:hint="eastAsia"/>
          <w:color w:val="auto"/>
          <w:lang w:val="en-US" w:eastAsia="zh-CN"/>
        </w:rPr>
        <w:t>；</w:t>
      </w:r>
    </w:p>
    <w:p w14:paraId="22E4834C">
      <w:pPr>
        <w:bidi w:val="0"/>
        <w:rPr>
          <w:rFonts w:hint="default"/>
          <w:color w:val="auto"/>
          <w:lang w:val="en-US" w:eastAsia="zh-CN"/>
        </w:rPr>
      </w:pPr>
      <w:r>
        <w:rPr>
          <w:rFonts w:hint="default"/>
          <w:color w:val="auto"/>
          <w:lang w:val="en-US" w:eastAsia="zh-CN"/>
        </w:rPr>
        <w:t>视在功率</w:t>
      </w:r>
      <w:r>
        <w:rPr>
          <w:rFonts w:hint="eastAsia"/>
          <w:color w:val="auto"/>
          <w:lang w:val="en-US" w:eastAsia="zh-CN"/>
        </w:rPr>
        <w:t>1407.13</w:t>
      </w:r>
      <w:r>
        <w:rPr>
          <w:rFonts w:hint="default"/>
          <w:color w:val="auto"/>
          <w:lang w:val="en-US" w:eastAsia="zh-CN"/>
        </w:rPr>
        <w:t>kVA。</w:t>
      </w:r>
    </w:p>
    <w:p w14:paraId="7EA7A3BC">
      <w:pPr>
        <w:bidi w:val="0"/>
        <w:rPr>
          <w:rFonts w:hint="default"/>
          <w:color w:val="auto"/>
          <w:lang w:val="en-US" w:eastAsia="zh-CN"/>
        </w:rPr>
      </w:pPr>
      <w:r>
        <w:rPr>
          <w:rFonts w:hint="eastAsia"/>
          <w:color w:val="auto"/>
          <w:lang w:val="en-US" w:eastAsia="zh-CN"/>
        </w:rPr>
        <w:t>本项目</w:t>
      </w:r>
      <w:r>
        <w:rPr>
          <w:rFonts w:hint="default"/>
          <w:color w:val="auto"/>
          <w:lang w:val="en-US" w:eastAsia="zh-CN"/>
        </w:rPr>
        <w:t>总的生产总耗电量</w:t>
      </w:r>
      <w:r>
        <w:rPr>
          <w:rFonts w:hint="eastAsia"/>
          <w:color w:val="auto"/>
          <w:lang w:val="en-US" w:eastAsia="zh-CN"/>
        </w:rPr>
        <w:t>506.57</w:t>
      </w:r>
      <w:r>
        <w:rPr>
          <w:rFonts w:hint="default"/>
          <w:color w:val="auto"/>
          <w:lang w:val="en-US" w:eastAsia="zh-CN"/>
        </w:rPr>
        <w:t>×10</w:t>
      </w:r>
      <w:r>
        <w:rPr>
          <w:rFonts w:hint="default"/>
          <w:color w:val="auto"/>
          <w:vertAlign w:val="superscript"/>
          <w:lang w:val="en-US" w:eastAsia="zh-CN"/>
        </w:rPr>
        <w:t>4</w:t>
      </w:r>
      <w:r>
        <w:rPr>
          <w:rFonts w:hint="default"/>
          <w:color w:val="auto"/>
          <w:lang w:val="en-US" w:eastAsia="zh-CN"/>
        </w:rPr>
        <w:t>kwh/a。</w:t>
      </w:r>
    </w:p>
    <w:p w14:paraId="23814C8B">
      <w:pPr>
        <w:pStyle w:val="6"/>
        <w:bidi w:val="0"/>
        <w:rPr>
          <w:rFonts w:hint="default"/>
          <w:color w:val="auto"/>
          <w:lang w:val="en-US" w:eastAsia="zh-CN"/>
        </w:rPr>
      </w:pPr>
      <w:r>
        <w:rPr>
          <w:rFonts w:hint="eastAsia"/>
          <w:color w:val="auto"/>
          <w:lang w:val="en-US" w:eastAsia="zh-CN"/>
        </w:rPr>
        <w:t>2.8.2</w:t>
      </w:r>
      <w:r>
        <w:rPr>
          <w:rFonts w:hint="default"/>
          <w:color w:val="auto"/>
          <w:lang w:val="en-US" w:eastAsia="zh-CN"/>
        </w:rPr>
        <w:t xml:space="preserve"> 电源</w:t>
      </w:r>
    </w:p>
    <w:p w14:paraId="5294C0CA">
      <w:pPr>
        <w:bidi w:val="0"/>
        <w:rPr>
          <w:rFonts w:hint="default"/>
          <w:color w:val="auto"/>
          <w:lang w:val="en-US" w:eastAsia="zh-CN"/>
        </w:rPr>
      </w:pPr>
      <w:r>
        <w:rPr>
          <w:rFonts w:hint="default"/>
          <w:color w:val="auto"/>
          <w:lang w:val="en-US" w:eastAsia="zh-CN"/>
        </w:rPr>
        <w:t>项目供电设施分别从公司选矿厂变电站接来（浓缩车间）和35kv柯渡变电站10kV新庄线T稗子田支线T旧村支线接来（压滤车间）</w:t>
      </w:r>
      <w:r>
        <w:rPr>
          <w:rFonts w:hint="eastAsia"/>
          <w:color w:val="auto"/>
          <w:lang w:val="en-US" w:eastAsia="zh-CN"/>
        </w:rPr>
        <w:t>。新建2台800</w:t>
      </w:r>
      <w:r>
        <w:rPr>
          <w:rFonts w:hint="default"/>
          <w:color w:val="auto"/>
          <w:lang w:val="en-US" w:eastAsia="zh-CN"/>
        </w:rPr>
        <w:t>kVA</w:t>
      </w:r>
      <w:r>
        <w:rPr>
          <w:rFonts w:hint="eastAsia"/>
          <w:color w:val="auto"/>
          <w:lang w:val="en-US" w:eastAsia="zh-CN"/>
        </w:rPr>
        <w:t>箱式变压器（位于压滤车间旁）、1台315</w:t>
      </w:r>
      <w:r>
        <w:rPr>
          <w:rFonts w:hint="default"/>
          <w:color w:val="auto"/>
          <w:lang w:val="en-US" w:eastAsia="zh-CN"/>
        </w:rPr>
        <w:t>kVA</w:t>
      </w:r>
      <w:r>
        <w:rPr>
          <w:rFonts w:hint="eastAsia"/>
          <w:color w:val="auto"/>
          <w:lang w:val="en-US" w:eastAsia="zh-CN"/>
        </w:rPr>
        <w:t>箱式变压器（位于浓缩车间旁），</w:t>
      </w:r>
      <w:r>
        <w:rPr>
          <w:rFonts w:hint="default"/>
          <w:color w:val="auto"/>
          <w:lang w:val="en-US" w:eastAsia="zh-CN"/>
        </w:rPr>
        <w:t>供尾矿处理系统各生产车间使用。</w:t>
      </w:r>
    </w:p>
    <w:p w14:paraId="41DCFAE8">
      <w:pPr>
        <w:pStyle w:val="6"/>
        <w:bidi w:val="0"/>
        <w:rPr>
          <w:rFonts w:hint="default"/>
          <w:color w:val="auto"/>
          <w:lang w:val="en-US" w:eastAsia="zh-CN"/>
        </w:rPr>
      </w:pPr>
      <w:r>
        <w:rPr>
          <w:rFonts w:hint="eastAsia"/>
          <w:color w:val="auto"/>
          <w:lang w:val="en-US" w:eastAsia="zh-CN"/>
        </w:rPr>
        <w:t>2.8.3</w:t>
      </w:r>
      <w:r>
        <w:rPr>
          <w:rFonts w:hint="default"/>
          <w:color w:val="auto"/>
          <w:lang w:val="en-US" w:eastAsia="zh-CN"/>
        </w:rPr>
        <w:t xml:space="preserve"> 供电系统及配线方式</w:t>
      </w:r>
    </w:p>
    <w:p w14:paraId="42F3332D">
      <w:pPr>
        <w:bidi w:val="0"/>
        <w:rPr>
          <w:rFonts w:hint="default"/>
          <w:color w:val="auto"/>
          <w:lang w:val="en-US" w:eastAsia="zh-CN"/>
        </w:rPr>
      </w:pPr>
      <w:r>
        <w:rPr>
          <w:rFonts w:hint="default"/>
          <w:color w:val="auto"/>
          <w:lang w:val="en-US" w:eastAsia="zh-CN"/>
        </w:rPr>
        <w:t>由附近10kV电源引至本</w:t>
      </w:r>
      <w:r>
        <w:rPr>
          <w:rFonts w:hint="eastAsia"/>
          <w:color w:val="auto"/>
          <w:lang w:val="en-US" w:eastAsia="zh-CN"/>
        </w:rPr>
        <w:t>项目</w:t>
      </w:r>
      <w:r>
        <w:rPr>
          <w:rFonts w:hint="default"/>
          <w:color w:val="auto"/>
          <w:lang w:val="en-US" w:eastAsia="zh-CN"/>
        </w:rPr>
        <w:t>生产车间旁的变压器。</w:t>
      </w:r>
    </w:p>
    <w:p w14:paraId="09775403">
      <w:pPr>
        <w:bidi w:val="0"/>
        <w:rPr>
          <w:rFonts w:hint="default"/>
          <w:color w:val="auto"/>
          <w:lang w:val="en-US" w:eastAsia="zh-CN"/>
        </w:rPr>
      </w:pPr>
      <w:r>
        <w:rPr>
          <w:rFonts w:hint="default"/>
          <w:color w:val="auto"/>
          <w:lang w:val="en-US" w:eastAsia="zh-CN"/>
        </w:rPr>
        <w:t>地面配线：</w:t>
      </w:r>
      <w:r>
        <w:rPr>
          <w:rFonts w:hint="eastAsia"/>
          <w:color w:val="auto"/>
          <w:lang w:val="en-US" w:eastAsia="zh-CN"/>
        </w:rPr>
        <w:t>本项目</w:t>
      </w:r>
      <w:r>
        <w:rPr>
          <w:rFonts w:hint="default"/>
          <w:color w:val="auto"/>
          <w:lang w:val="en-US" w:eastAsia="zh-CN"/>
        </w:rPr>
        <w:t>变电所设低压配电屏或户外配电箱，采用电缆放射式向各用电设备供电。各车间、室内设动力配电箱或照明配电箱作二级低压配电。</w:t>
      </w:r>
    </w:p>
    <w:p w14:paraId="027EFD39">
      <w:pPr>
        <w:bidi w:val="0"/>
        <w:rPr>
          <w:rFonts w:hint="default"/>
          <w:color w:val="auto"/>
          <w:lang w:val="en-US" w:eastAsia="zh-CN"/>
        </w:rPr>
      </w:pPr>
      <w:r>
        <w:rPr>
          <w:rFonts w:hint="default"/>
          <w:color w:val="auto"/>
          <w:lang w:val="en-US" w:eastAsia="zh-CN"/>
        </w:rPr>
        <w:t>配电室设低压配电屏或户外配电箱，采用电缆放射式向各用电设备供电。各车间、室内设动力配电箱或照明配电箱作二级低压配电。</w:t>
      </w:r>
    </w:p>
    <w:p w14:paraId="3BC4C88C">
      <w:pPr>
        <w:bidi w:val="0"/>
        <w:rPr>
          <w:rFonts w:hint="default"/>
          <w:color w:val="auto"/>
          <w:lang w:val="en-US" w:eastAsia="zh-CN"/>
        </w:rPr>
      </w:pPr>
      <w:r>
        <w:rPr>
          <w:rFonts w:hint="default"/>
          <w:color w:val="auto"/>
          <w:lang w:val="en-US" w:eastAsia="zh-CN"/>
        </w:rPr>
        <w:t>各车间内配线方式为：电力电缆、控制电缆及信号电缆都沿电缆桥架明敷设。顺桥架到设备处穿管明（暗）敷设。电缆桥架（含穿线管）尽量沿工艺管桥、建构筑物的柱、墙等处敷设。无上述条件时自立支柱单独敷设。</w:t>
      </w:r>
    </w:p>
    <w:p w14:paraId="2CD22DF6">
      <w:pPr>
        <w:bidi w:val="0"/>
        <w:rPr>
          <w:rFonts w:hint="default"/>
          <w:color w:val="auto"/>
          <w:lang w:val="en-US" w:eastAsia="zh-CN"/>
        </w:rPr>
      </w:pPr>
      <w:r>
        <w:rPr>
          <w:rFonts w:hint="default"/>
          <w:color w:val="auto"/>
          <w:lang w:val="en-US" w:eastAsia="zh-CN"/>
        </w:rPr>
        <w:t>车间内照明采用铜芯绝缘线穿钢管（或PVC）沿柱、墙、梁敷设。厂区内的道路、场地照明，用铜芯绝缘线穿管埋地敷设。一般穿PVC管，过路及运输通行处穿钢管埋地敷设。办公室、宿舍、等辅助用房照明用铜芯绝缘线穿PVC管暗敷设。</w:t>
      </w:r>
    </w:p>
    <w:p w14:paraId="4C43625F">
      <w:pPr>
        <w:pStyle w:val="6"/>
        <w:bidi w:val="0"/>
        <w:rPr>
          <w:rFonts w:hint="default"/>
          <w:color w:val="auto"/>
          <w:lang w:val="en-US" w:eastAsia="zh-CN"/>
        </w:rPr>
      </w:pPr>
      <w:r>
        <w:rPr>
          <w:rFonts w:hint="eastAsia"/>
          <w:color w:val="auto"/>
          <w:lang w:val="en-US" w:eastAsia="zh-CN"/>
        </w:rPr>
        <w:t>2.8.4</w:t>
      </w:r>
      <w:r>
        <w:rPr>
          <w:rFonts w:hint="default"/>
          <w:color w:val="auto"/>
          <w:lang w:val="en-US" w:eastAsia="zh-CN"/>
        </w:rPr>
        <w:t xml:space="preserve"> 主要设备选择及控制保护</w:t>
      </w:r>
    </w:p>
    <w:p w14:paraId="6D0C9450">
      <w:pPr>
        <w:bidi w:val="0"/>
        <w:rPr>
          <w:rFonts w:hint="default"/>
          <w:color w:val="auto"/>
          <w:lang w:val="en-US" w:eastAsia="zh-CN"/>
        </w:rPr>
      </w:pPr>
      <w:r>
        <w:rPr>
          <w:rFonts w:hint="eastAsia"/>
          <w:color w:val="auto"/>
          <w:lang w:val="en-US" w:eastAsia="zh-CN"/>
        </w:rPr>
        <w:t>1、</w:t>
      </w:r>
      <w:r>
        <w:rPr>
          <w:rFonts w:hint="default"/>
          <w:color w:val="auto"/>
          <w:lang w:val="en-US" w:eastAsia="zh-CN"/>
        </w:rPr>
        <w:t>设备选择</w:t>
      </w:r>
    </w:p>
    <w:p w14:paraId="67689B47">
      <w:pPr>
        <w:bidi w:val="0"/>
        <w:rPr>
          <w:rFonts w:hint="default"/>
          <w:color w:val="auto"/>
          <w:lang w:val="en-US" w:eastAsia="zh-CN"/>
        </w:rPr>
      </w:pPr>
      <w:r>
        <w:rPr>
          <w:rFonts w:hint="default"/>
          <w:color w:val="auto"/>
          <w:lang w:val="en-US" w:eastAsia="zh-CN"/>
        </w:rPr>
        <w:t>低压屏选用GGD型固定柜，动力箱选XL-21型，低压屏和动力箱内元器件选用国产中上等产品。大电机软启动器选用国产中上等产品。</w:t>
      </w:r>
    </w:p>
    <w:p w14:paraId="6D84F4F1">
      <w:pPr>
        <w:bidi w:val="0"/>
        <w:rPr>
          <w:rFonts w:hint="default"/>
          <w:color w:val="auto"/>
          <w:lang w:val="en-US" w:eastAsia="zh-CN"/>
        </w:rPr>
      </w:pPr>
      <w:r>
        <w:rPr>
          <w:rFonts w:hint="default"/>
          <w:color w:val="auto"/>
          <w:lang w:val="en-US" w:eastAsia="zh-CN"/>
        </w:rPr>
        <w:t>高、低压电力电缆选交联聚乙烯YJV型电缆，控制电缆选用KVV-500V，电线选用BV-500V铜芯绝缘线。按照电压、电流、敷设环境、短路参数等各种条件作动、热稳定校验后，经济合理的选择电缆、导线的截面。</w:t>
      </w:r>
    </w:p>
    <w:p w14:paraId="093F04E6">
      <w:pPr>
        <w:bidi w:val="0"/>
        <w:rPr>
          <w:rFonts w:hint="default"/>
          <w:color w:val="auto"/>
          <w:lang w:val="en-US" w:eastAsia="zh-CN"/>
        </w:rPr>
      </w:pPr>
      <w:r>
        <w:rPr>
          <w:rFonts w:hint="eastAsia"/>
          <w:color w:val="auto"/>
          <w:lang w:val="en-US" w:eastAsia="zh-CN"/>
        </w:rPr>
        <w:t>2、</w:t>
      </w:r>
      <w:r>
        <w:rPr>
          <w:rFonts w:hint="default"/>
          <w:color w:val="auto"/>
          <w:lang w:val="en-US" w:eastAsia="zh-CN"/>
        </w:rPr>
        <w:t>控制、保护及计量</w:t>
      </w:r>
    </w:p>
    <w:p w14:paraId="33DA1145">
      <w:pPr>
        <w:bidi w:val="0"/>
        <w:rPr>
          <w:rFonts w:hint="default"/>
          <w:color w:val="auto"/>
          <w:lang w:val="en-US" w:eastAsia="zh-CN"/>
        </w:rPr>
      </w:pPr>
      <w:r>
        <w:rPr>
          <w:rFonts w:hint="eastAsia"/>
          <w:color w:val="auto"/>
          <w:lang w:val="en-US" w:eastAsia="zh-CN"/>
        </w:rPr>
        <w:t>本项目</w:t>
      </w:r>
      <w:r>
        <w:rPr>
          <w:rFonts w:hint="default"/>
          <w:color w:val="auto"/>
          <w:lang w:val="en-US" w:eastAsia="zh-CN"/>
        </w:rPr>
        <w:t>变电所内选用直接装在开关柜上的综保模块。</w:t>
      </w:r>
    </w:p>
    <w:p w14:paraId="5558080B">
      <w:pPr>
        <w:bidi w:val="0"/>
        <w:rPr>
          <w:rFonts w:hint="default"/>
          <w:color w:val="auto"/>
          <w:lang w:val="en-US" w:eastAsia="zh-CN"/>
        </w:rPr>
      </w:pPr>
      <w:r>
        <w:rPr>
          <w:rFonts w:hint="default"/>
          <w:color w:val="auto"/>
          <w:lang w:val="en-US" w:eastAsia="zh-CN"/>
        </w:rPr>
        <w:t>低压电动机回路设短路及过负荷保护，低压配电回路主要设短路、过负荷保护。</w:t>
      </w:r>
    </w:p>
    <w:p w14:paraId="73FED6CB">
      <w:pPr>
        <w:bidi w:val="0"/>
        <w:rPr>
          <w:rFonts w:hint="default"/>
          <w:color w:val="auto"/>
          <w:lang w:val="en-US" w:eastAsia="zh-CN"/>
        </w:rPr>
      </w:pPr>
      <w:r>
        <w:rPr>
          <w:rFonts w:hint="default"/>
          <w:color w:val="auto"/>
          <w:lang w:val="en-US" w:eastAsia="zh-CN"/>
        </w:rPr>
        <w:t>低压电机大部分为就地控制，即：现场动力配电箱和磁力启动箱上控制。部分为两地控制，即：低压屏和现场按钮箱上控制。</w:t>
      </w:r>
    </w:p>
    <w:p w14:paraId="4100E2BE">
      <w:pPr>
        <w:bidi w:val="0"/>
        <w:rPr>
          <w:rFonts w:hint="default"/>
          <w:color w:val="auto"/>
          <w:lang w:val="en-US" w:eastAsia="zh-CN"/>
        </w:rPr>
      </w:pPr>
      <w:r>
        <w:rPr>
          <w:rFonts w:hint="default"/>
          <w:color w:val="auto"/>
          <w:lang w:val="en-US" w:eastAsia="zh-CN"/>
        </w:rPr>
        <w:t>低压电机大部分为直接启动。对于低压大电机，生产不需调速的选用软启动柜现场控制启动；生产需调速的选用变频柜现场控制、调速和保护。</w:t>
      </w:r>
    </w:p>
    <w:p w14:paraId="390005EF">
      <w:pPr>
        <w:bidi w:val="0"/>
        <w:rPr>
          <w:rFonts w:hint="default"/>
          <w:color w:val="auto"/>
          <w:lang w:val="en-US" w:eastAsia="zh-CN"/>
        </w:rPr>
      </w:pPr>
      <w:r>
        <w:rPr>
          <w:rFonts w:hint="default"/>
          <w:color w:val="auto"/>
          <w:lang w:val="en-US" w:eastAsia="zh-CN"/>
        </w:rPr>
        <w:t>低压电机凡需水位联动控制的均设数字式液位控制仪。以上所涉及到的控制，其控制电源电压一律定为~220V。</w:t>
      </w:r>
    </w:p>
    <w:p w14:paraId="275B7244">
      <w:pPr>
        <w:bidi w:val="0"/>
        <w:rPr>
          <w:rFonts w:hint="default"/>
          <w:color w:val="auto"/>
          <w:lang w:val="en-US" w:eastAsia="zh-CN"/>
        </w:rPr>
      </w:pPr>
      <w:r>
        <w:rPr>
          <w:rFonts w:hint="default"/>
          <w:color w:val="auto"/>
          <w:lang w:val="en-US" w:eastAsia="zh-CN"/>
        </w:rPr>
        <w:t>低压配电出线回路在低压屏或动力箱上配置电度表计量。55kW以上电机回路设电流表显示。</w:t>
      </w:r>
    </w:p>
    <w:p w14:paraId="30CF0F06">
      <w:pPr>
        <w:pStyle w:val="6"/>
        <w:bidi w:val="0"/>
        <w:rPr>
          <w:rFonts w:hint="default"/>
          <w:color w:val="auto"/>
          <w:lang w:val="en-US" w:eastAsia="zh-CN"/>
        </w:rPr>
      </w:pPr>
      <w:r>
        <w:rPr>
          <w:rFonts w:hint="eastAsia"/>
          <w:color w:val="auto"/>
          <w:lang w:val="en-US" w:eastAsia="zh-CN"/>
        </w:rPr>
        <w:t>2.8.5</w:t>
      </w:r>
      <w:r>
        <w:rPr>
          <w:rFonts w:hint="default"/>
          <w:color w:val="auto"/>
          <w:lang w:val="en-US" w:eastAsia="zh-CN"/>
        </w:rPr>
        <w:t xml:space="preserve"> 照明</w:t>
      </w:r>
    </w:p>
    <w:p w14:paraId="4CDA86DA">
      <w:pPr>
        <w:bidi w:val="0"/>
        <w:rPr>
          <w:rFonts w:hint="default"/>
          <w:color w:val="auto"/>
          <w:lang w:val="en-US" w:eastAsia="zh-CN"/>
        </w:rPr>
      </w:pPr>
      <w:r>
        <w:rPr>
          <w:rFonts w:hint="default"/>
          <w:color w:val="auto"/>
          <w:lang w:val="en-US" w:eastAsia="zh-CN"/>
        </w:rPr>
        <w:t>按</w:t>
      </w:r>
      <w:r>
        <w:rPr>
          <w:rFonts w:hint="eastAsia"/>
          <w:color w:val="auto"/>
          <w:lang w:val="en-US" w:eastAsia="zh-CN"/>
        </w:rPr>
        <w:t>《</w:t>
      </w:r>
      <w:r>
        <w:rPr>
          <w:rFonts w:hint="default"/>
          <w:color w:val="auto"/>
          <w:lang w:val="en-US" w:eastAsia="zh-CN"/>
        </w:rPr>
        <w:t>建筑照明设计标准</w:t>
      </w:r>
      <w:r>
        <w:rPr>
          <w:rFonts w:hint="eastAsia"/>
          <w:color w:val="auto"/>
          <w:lang w:val="en-US" w:eastAsia="zh-CN"/>
        </w:rPr>
        <w:t>》</w:t>
      </w:r>
      <w:r>
        <w:rPr>
          <w:rFonts w:hint="default"/>
          <w:color w:val="auto"/>
          <w:lang w:val="en-US" w:eastAsia="zh-CN"/>
        </w:rPr>
        <w:t>确定照度；按使用环境选不同灯具；光源一律选用节能光源，并满足照度标准要求。界区内地面及工业场地道路照明，采用路灯和投光灯照明。</w:t>
      </w:r>
    </w:p>
    <w:p w14:paraId="4412AA99">
      <w:pPr>
        <w:bidi w:val="0"/>
        <w:rPr>
          <w:rFonts w:hint="default"/>
          <w:color w:val="auto"/>
          <w:lang w:val="en-US" w:eastAsia="zh-CN"/>
        </w:rPr>
      </w:pPr>
      <w:r>
        <w:rPr>
          <w:rFonts w:hint="default"/>
          <w:color w:val="auto"/>
          <w:lang w:val="en-US" w:eastAsia="zh-CN"/>
        </w:rPr>
        <w:t>车间工作照明在照明箱上集中控制；车间周围弯杆局部照明灯及有些平台下的照明灯分散就地控制。</w:t>
      </w:r>
    </w:p>
    <w:p w14:paraId="3217B345">
      <w:pPr>
        <w:bidi w:val="0"/>
        <w:rPr>
          <w:rFonts w:hint="default"/>
          <w:color w:val="auto"/>
          <w:lang w:val="en-US" w:eastAsia="zh-CN"/>
        </w:rPr>
      </w:pPr>
      <w:r>
        <w:rPr>
          <w:rFonts w:hint="default"/>
          <w:color w:val="auto"/>
          <w:lang w:val="en-US" w:eastAsia="zh-CN"/>
        </w:rPr>
        <w:t>其他建筑物内的照明为分散就地控制。</w:t>
      </w:r>
    </w:p>
    <w:p w14:paraId="7C73D160">
      <w:pPr>
        <w:pStyle w:val="6"/>
        <w:bidi w:val="0"/>
        <w:rPr>
          <w:rFonts w:hint="default"/>
          <w:color w:val="auto"/>
          <w:lang w:val="en-US" w:eastAsia="zh-CN"/>
        </w:rPr>
      </w:pPr>
      <w:r>
        <w:rPr>
          <w:rFonts w:hint="eastAsia"/>
          <w:color w:val="auto"/>
          <w:lang w:val="en-US" w:eastAsia="zh-CN"/>
        </w:rPr>
        <w:t>2.8.6</w:t>
      </w:r>
      <w:r>
        <w:rPr>
          <w:rFonts w:hint="default"/>
          <w:color w:val="auto"/>
          <w:lang w:val="en-US" w:eastAsia="zh-CN"/>
        </w:rPr>
        <w:t xml:space="preserve"> 防雷接地</w:t>
      </w:r>
    </w:p>
    <w:p w14:paraId="270CFBE2">
      <w:pPr>
        <w:bidi w:val="0"/>
        <w:rPr>
          <w:rFonts w:hint="default"/>
          <w:color w:val="auto"/>
          <w:lang w:val="en-US" w:eastAsia="zh-CN"/>
        </w:rPr>
      </w:pPr>
      <w:r>
        <w:rPr>
          <w:rFonts w:hint="default"/>
          <w:color w:val="auto"/>
          <w:lang w:val="en-US" w:eastAsia="zh-CN"/>
        </w:rPr>
        <w:t>地面高压架空线路的末端和小于200</w:t>
      </w:r>
      <w:r>
        <w:rPr>
          <w:rFonts w:hint="eastAsia"/>
          <w:color w:val="auto"/>
          <w:lang w:val="en-US" w:eastAsia="zh-CN"/>
        </w:rPr>
        <w:t>m</w:t>
      </w:r>
      <w:r>
        <w:rPr>
          <w:rFonts w:hint="default"/>
          <w:color w:val="auto"/>
          <w:lang w:val="en-US" w:eastAsia="zh-CN"/>
        </w:rPr>
        <w:t>分支处和分支线末端以及直线段每隔一公里处都须作一次重复接地或加装避雷器。接地阻值小于10Ω。</w:t>
      </w:r>
    </w:p>
    <w:p w14:paraId="521AE5C5">
      <w:pPr>
        <w:bidi w:val="0"/>
        <w:rPr>
          <w:rFonts w:hint="default"/>
          <w:color w:val="auto"/>
          <w:lang w:val="en-US" w:eastAsia="zh-CN"/>
        </w:rPr>
      </w:pPr>
      <w:r>
        <w:rPr>
          <w:rFonts w:hint="eastAsia"/>
          <w:color w:val="auto"/>
          <w:lang w:val="en-US" w:eastAsia="zh-CN"/>
        </w:rPr>
        <w:t>本项目</w:t>
      </w:r>
      <w:r>
        <w:rPr>
          <w:rFonts w:hint="default"/>
          <w:color w:val="auto"/>
          <w:lang w:val="en-US" w:eastAsia="zh-CN"/>
        </w:rPr>
        <w:t>低压接线制式选用TN-C-S制。电缆或电线进建筑物时，需重复接地。</w:t>
      </w:r>
    </w:p>
    <w:p w14:paraId="38ADE40A">
      <w:pPr>
        <w:bidi w:val="0"/>
        <w:rPr>
          <w:rFonts w:hint="default"/>
          <w:color w:val="auto"/>
          <w:lang w:val="en-US" w:eastAsia="zh-CN"/>
        </w:rPr>
      </w:pPr>
      <w:r>
        <w:rPr>
          <w:rFonts w:hint="eastAsia"/>
          <w:color w:val="auto"/>
          <w:lang w:val="en-US" w:eastAsia="zh-CN"/>
        </w:rPr>
        <w:t>本项目</w:t>
      </w:r>
      <w:r>
        <w:rPr>
          <w:rFonts w:hint="default"/>
          <w:color w:val="auto"/>
          <w:lang w:val="en-US" w:eastAsia="zh-CN"/>
        </w:rPr>
        <w:t>建构筑物属于第三类防雷保护范畴。按规程规范进行各项设计。</w:t>
      </w:r>
    </w:p>
    <w:p w14:paraId="03B888CA">
      <w:pPr>
        <w:bidi w:val="0"/>
        <w:rPr>
          <w:rFonts w:hint="default"/>
          <w:color w:val="auto"/>
          <w:lang w:val="en-US" w:eastAsia="zh-CN"/>
        </w:rPr>
      </w:pPr>
      <w:r>
        <w:rPr>
          <w:rFonts w:hint="eastAsia"/>
          <w:color w:val="auto"/>
          <w:lang w:val="en-US" w:eastAsia="zh-CN"/>
        </w:rPr>
        <w:t>本项目</w:t>
      </w:r>
      <w:r>
        <w:rPr>
          <w:rFonts w:hint="default"/>
          <w:color w:val="auto"/>
          <w:lang w:val="en-US" w:eastAsia="zh-CN"/>
        </w:rPr>
        <w:t>所有设备正常不带电的金属外壳、金属基座及金属构架件（含电缆桥架）都须作保护接地。上述防雷接地和保护接地合二为一共用一接地系统时，接地阻值一般不大于4Ω。变配电所接地阻值不大于1Ω。</w:t>
      </w:r>
    </w:p>
    <w:p w14:paraId="0215AD3D">
      <w:pPr>
        <w:bidi w:val="0"/>
        <w:rPr>
          <w:rFonts w:hint="default"/>
          <w:color w:val="auto"/>
          <w:lang w:val="en-US" w:eastAsia="zh-CN"/>
        </w:rPr>
      </w:pPr>
      <w:r>
        <w:rPr>
          <w:rFonts w:hint="default"/>
          <w:color w:val="auto"/>
          <w:lang w:val="en-US" w:eastAsia="zh-CN"/>
        </w:rPr>
        <w:t>当上述接地装置接地阻值不够时，则增装扁钢接地带及角钢接地极，增装数量以达到阻值为准。</w:t>
      </w:r>
    </w:p>
    <w:p w14:paraId="070A0C17">
      <w:pPr>
        <w:bidi w:val="0"/>
        <w:rPr>
          <w:rFonts w:hint="default"/>
          <w:color w:val="auto"/>
          <w:lang w:val="en-US" w:eastAsia="zh-CN"/>
        </w:rPr>
      </w:pPr>
      <w:r>
        <w:rPr>
          <w:rFonts w:hint="default"/>
          <w:color w:val="auto"/>
          <w:lang w:val="en-US" w:eastAsia="zh-CN"/>
        </w:rPr>
        <w:t>防雷接地系统各部件间必须牢固电焊接。所用钢材必须热镀锌。</w:t>
      </w:r>
    </w:p>
    <w:p w14:paraId="7ED0C1BB">
      <w:pPr>
        <w:pStyle w:val="6"/>
        <w:bidi w:val="0"/>
        <w:rPr>
          <w:rFonts w:hint="default"/>
          <w:color w:val="auto"/>
          <w:lang w:val="en-US" w:eastAsia="zh-CN"/>
        </w:rPr>
      </w:pPr>
      <w:r>
        <w:rPr>
          <w:rFonts w:hint="eastAsia"/>
          <w:color w:val="auto"/>
          <w:lang w:val="en-US" w:eastAsia="zh-CN"/>
        </w:rPr>
        <w:t>2.8.7</w:t>
      </w:r>
      <w:r>
        <w:rPr>
          <w:rFonts w:hint="default"/>
          <w:color w:val="auto"/>
          <w:lang w:val="en-US" w:eastAsia="zh-CN"/>
        </w:rPr>
        <w:t xml:space="preserve"> 通讯</w:t>
      </w:r>
    </w:p>
    <w:p w14:paraId="73C22540">
      <w:pPr>
        <w:bidi w:val="0"/>
        <w:rPr>
          <w:rFonts w:hint="default"/>
          <w:color w:val="auto"/>
          <w:lang w:val="en-US" w:eastAsia="zh-CN"/>
        </w:rPr>
      </w:pPr>
      <w:r>
        <w:rPr>
          <w:rFonts w:hint="default"/>
          <w:color w:val="auto"/>
          <w:lang w:val="en-US" w:eastAsia="zh-CN"/>
        </w:rPr>
        <w:t>办公室、值班室等处均设置电话，通讯电缆由当地电信网干线引来，委托当地电讯部门实施。</w:t>
      </w:r>
    </w:p>
    <w:p w14:paraId="43F8F1F1">
      <w:pPr>
        <w:pStyle w:val="5"/>
        <w:bidi w:val="0"/>
        <w:rPr>
          <w:rFonts w:hint="default"/>
          <w:color w:val="auto"/>
          <w:lang w:val="en-US" w:eastAsia="zh-CN"/>
        </w:rPr>
      </w:pPr>
      <w:bookmarkStart w:id="13" w:name="_Toc31932"/>
      <w:r>
        <w:rPr>
          <w:rFonts w:hint="eastAsia"/>
          <w:color w:val="auto"/>
          <w:lang w:val="en-US" w:eastAsia="zh-CN"/>
        </w:rPr>
        <w:t xml:space="preserve">2.9 </w:t>
      </w:r>
      <w:r>
        <w:rPr>
          <w:rFonts w:hint="default"/>
          <w:color w:val="auto"/>
          <w:lang w:val="en-US" w:eastAsia="zh-CN"/>
        </w:rPr>
        <w:t>土建</w:t>
      </w:r>
      <w:bookmarkEnd w:id="13"/>
    </w:p>
    <w:p w14:paraId="4773C702">
      <w:pPr>
        <w:bidi w:val="0"/>
        <w:rPr>
          <w:rFonts w:hint="default"/>
          <w:color w:val="auto"/>
          <w:lang w:val="en-US" w:eastAsia="zh-CN"/>
        </w:rPr>
      </w:pPr>
      <w:r>
        <w:rPr>
          <w:rFonts w:hint="default"/>
          <w:color w:val="auto"/>
          <w:lang w:val="en-US" w:eastAsia="zh-CN"/>
        </w:rPr>
        <w:t>本尾矿处理系统工程土建项目包括生产区及办公生活区两部分。其中生产区部分包括浓缩车间、输送管线、</w:t>
      </w:r>
      <w:r>
        <w:rPr>
          <w:rFonts w:hint="eastAsia"/>
          <w:color w:val="auto"/>
          <w:lang w:val="en-US" w:eastAsia="zh-CN"/>
        </w:rPr>
        <w:t>压滤</w:t>
      </w:r>
      <w:r>
        <w:rPr>
          <w:rFonts w:hint="default"/>
          <w:color w:val="auto"/>
          <w:lang w:val="en-US" w:eastAsia="zh-CN"/>
        </w:rPr>
        <w:t>车间等主要生产区及辅助用房；</w:t>
      </w:r>
    </w:p>
    <w:p w14:paraId="713D96DA">
      <w:pPr>
        <w:bidi w:val="0"/>
        <w:rPr>
          <w:rFonts w:hint="default"/>
          <w:color w:val="auto"/>
          <w:lang w:val="en-US" w:eastAsia="zh-CN"/>
        </w:rPr>
      </w:pPr>
      <w:r>
        <w:rPr>
          <w:rFonts w:hint="default"/>
          <w:color w:val="auto"/>
          <w:lang w:val="en-US" w:eastAsia="zh-CN"/>
        </w:rPr>
        <w:t>办公生活区为原有选厂办公生活用房等建筑。</w:t>
      </w:r>
    </w:p>
    <w:p w14:paraId="29A263D1">
      <w:pPr>
        <w:pStyle w:val="29"/>
        <w:bidi w:val="0"/>
        <w:rPr>
          <w:rFonts w:hint="eastAsia"/>
          <w:color w:val="auto"/>
        </w:rPr>
      </w:pPr>
      <w:r>
        <w:rPr>
          <w:rFonts w:hint="eastAsia"/>
          <w:color w:val="auto"/>
        </w:rPr>
        <w:t>表</w:t>
      </w:r>
      <w:r>
        <w:rPr>
          <w:rFonts w:hint="eastAsia"/>
          <w:color w:val="auto"/>
          <w:lang w:val="en-US" w:eastAsia="zh-CN"/>
        </w:rPr>
        <w:t xml:space="preserve">2.9-1  </w:t>
      </w:r>
      <w:r>
        <w:rPr>
          <w:rFonts w:hint="eastAsia"/>
          <w:color w:val="auto"/>
        </w:rPr>
        <w:t>建（构）筑物表</w:t>
      </w:r>
    </w:p>
    <w:tbl>
      <w:tblPr>
        <w:tblStyle w:val="2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95"/>
        <w:gridCol w:w="1087"/>
        <w:gridCol w:w="1115"/>
        <w:gridCol w:w="859"/>
        <w:gridCol w:w="978"/>
        <w:gridCol w:w="978"/>
        <w:gridCol w:w="978"/>
        <w:gridCol w:w="1042"/>
      </w:tblGrid>
      <w:tr w14:paraId="34E3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404" w:type="pct"/>
            <w:vMerge w:val="restart"/>
            <w:noWrap w:val="0"/>
            <w:vAlign w:val="center"/>
          </w:tcPr>
          <w:p w14:paraId="6B512B05">
            <w:pPr>
              <w:pStyle w:val="30"/>
              <w:bidi w:val="0"/>
              <w:rPr>
                <w:rFonts w:hint="eastAsia"/>
                <w:b/>
                <w:bCs/>
                <w:color w:val="auto"/>
                <w:lang w:val="zh-CN" w:eastAsia="zh-CN"/>
              </w:rPr>
            </w:pPr>
            <w:r>
              <w:rPr>
                <w:rFonts w:hint="eastAsia"/>
                <w:b/>
                <w:bCs/>
                <w:color w:val="auto"/>
                <w:lang w:val="en-US" w:eastAsia="zh-CN"/>
              </w:rPr>
              <w:t>序号</w:t>
            </w:r>
          </w:p>
        </w:tc>
        <w:tc>
          <w:tcPr>
            <w:tcW w:w="848" w:type="pct"/>
            <w:vMerge w:val="restart"/>
            <w:noWrap w:val="0"/>
            <w:vAlign w:val="center"/>
          </w:tcPr>
          <w:p w14:paraId="4C222723">
            <w:pPr>
              <w:pStyle w:val="30"/>
              <w:bidi w:val="0"/>
              <w:rPr>
                <w:rFonts w:hint="eastAsia"/>
                <w:b/>
                <w:bCs/>
                <w:color w:val="auto"/>
                <w:lang w:val="zh-CN" w:eastAsia="zh-CN"/>
              </w:rPr>
            </w:pPr>
            <w:r>
              <w:rPr>
                <w:rFonts w:hint="eastAsia"/>
                <w:b/>
                <w:bCs/>
                <w:color w:val="auto"/>
                <w:lang w:val="zh-CN" w:eastAsia="zh-CN"/>
              </w:rPr>
              <w:t>项目名称</w:t>
            </w:r>
          </w:p>
        </w:tc>
        <w:tc>
          <w:tcPr>
            <w:tcW w:w="578" w:type="pct"/>
            <w:noWrap w:val="0"/>
            <w:vAlign w:val="center"/>
          </w:tcPr>
          <w:p w14:paraId="7C65C131">
            <w:pPr>
              <w:pStyle w:val="30"/>
              <w:bidi w:val="0"/>
              <w:rPr>
                <w:rFonts w:hint="eastAsia"/>
                <w:b/>
                <w:bCs/>
                <w:color w:val="auto"/>
                <w:lang w:val="zh-CN" w:eastAsia="zh-CN"/>
              </w:rPr>
            </w:pPr>
            <w:r>
              <w:rPr>
                <w:rFonts w:hint="eastAsia"/>
                <w:b/>
                <w:bCs/>
                <w:color w:val="auto"/>
                <w:lang w:val="en-US" w:eastAsia="zh-CN"/>
              </w:rPr>
              <w:t>占地面积</w:t>
            </w:r>
          </w:p>
        </w:tc>
        <w:tc>
          <w:tcPr>
            <w:tcW w:w="593" w:type="pct"/>
            <w:noWrap w:val="0"/>
            <w:vAlign w:val="center"/>
          </w:tcPr>
          <w:p w14:paraId="0A03B782">
            <w:pPr>
              <w:pStyle w:val="30"/>
              <w:bidi w:val="0"/>
              <w:rPr>
                <w:rFonts w:hint="eastAsia"/>
                <w:b/>
                <w:bCs/>
                <w:color w:val="auto"/>
                <w:lang w:val="zh-CN" w:eastAsia="zh-CN"/>
              </w:rPr>
            </w:pPr>
            <w:r>
              <w:rPr>
                <w:rFonts w:hint="eastAsia"/>
                <w:b/>
                <w:bCs/>
                <w:color w:val="auto"/>
                <w:lang w:val="en-US" w:eastAsia="zh-CN"/>
              </w:rPr>
              <w:t>建筑面积</w:t>
            </w:r>
          </w:p>
        </w:tc>
        <w:tc>
          <w:tcPr>
            <w:tcW w:w="457" w:type="pct"/>
            <w:vMerge w:val="restart"/>
            <w:noWrap w:val="0"/>
            <w:vAlign w:val="center"/>
          </w:tcPr>
          <w:p w14:paraId="2069B39B">
            <w:pPr>
              <w:pStyle w:val="30"/>
              <w:bidi w:val="0"/>
              <w:rPr>
                <w:rFonts w:hint="eastAsia"/>
                <w:b/>
                <w:bCs/>
                <w:color w:val="auto"/>
                <w:lang w:val="zh-CN" w:eastAsia="zh-CN"/>
              </w:rPr>
            </w:pPr>
            <w:r>
              <w:rPr>
                <w:rFonts w:hint="eastAsia"/>
                <w:b/>
                <w:bCs/>
                <w:color w:val="auto"/>
                <w:lang w:val="en-US" w:eastAsia="zh-CN"/>
              </w:rPr>
              <w:t>火灾危险性</w:t>
            </w:r>
          </w:p>
        </w:tc>
        <w:tc>
          <w:tcPr>
            <w:tcW w:w="520" w:type="pct"/>
            <w:vMerge w:val="restart"/>
            <w:noWrap w:val="0"/>
            <w:vAlign w:val="center"/>
          </w:tcPr>
          <w:p w14:paraId="6FA112B5">
            <w:pPr>
              <w:pStyle w:val="30"/>
              <w:bidi w:val="0"/>
              <w:rPr>
                <w:rFonts w:hint="eastAsia"/>
                <w:b/>
                <w:bCs/>
                <w:color w:val="auto"/>
                <w:lang w:val="en-US" w:eastAsia="zh-CN"/>
              </w:rPr>
            </w:pPr>
            <w:r>
              <w:rPr>
                <w:rFonts w:hint="eastAsia"/>
                <w:b/>
                <w:bCs/>
                <w:color w:val="auto"/>
                <w:lang w:val="en-US" w:eastAsia="zh-CN"/>
              </w:rPr>
              <w:t>耐火等级</w:t>
            </w:r>
          </w:p>
        </w:tc>
        <w:tc>
          <w:tcPr>
            <w:tcW w:w="520" w:type="pct"/>
            <w:vMerge w:val="restart"/>
            <w:noWrap w:val="0"/>
            <w:vAlign w:val="center"/>
          </w:tcPr>
          <w:p w14:paraId="526B2A39">
            <w:pPr>
              <w:pStyle w:val="30"/>
              <w:bidi w:val="0"/>
              <w:rPr>
                <w:rFonts w:hint="eastAsia"/>
                <w:b/>
                <w:bCs/>
                <w:color w:val="auto"/>
                <w:lang w:val="en-US" w:eastAsia="zh-CN"/>
              </w:rPr>
            </w:pPr>
            <w:r>
              <w:rPr>
                <w:rFonts w:hint="eastAsia"/>
                <w:b/>
                <w:bCs/>
                <w:color w:val="auto"/>
                <w:lang w:val="en-US" w:eastAsia="zh-CN"/>
              </w:rPr>
              <w:t>层数</w:t>
            </w:r>
          </w:p>
        </w:tc>
        <w:tc>
          <w:tcPr>
            <w:tcW w:w="520" w:type="pct"/>
            <w:vMerge w:val="restart"/>
            <w:noWrap w:val="0"/>
            <w:vAlign w:val="center"/>
          </w:tcPr>
          <w:p w14:paraId="49413DE1">
            <w:pPr>
              <w:pStyle w:val="30"/>
              <w:bidi w:val="0"/>
              <w:rPr>
                <w:rFonts w:hint="eastAsia"/>
                <w:b/>
                <w:bCs/>
                <w:color w:val="auto"/>
                <w:lang w:val="zh-CN" w:eastAsia="zh-CN"/>
              </w:rPr>
            </w:pPr>
            <w:r>
              <w:rPr>
                <w:rFonts w:hint="eastAsia"/>
                <w:b/>
                <w:bCs/>
                <w:color w:val="auto"/>
                <w:lang w:val="en-US" w:eastAsia="zh-CN"/>
              </w:rPr>
              <w:t>结构形式</w:t>
            </w:r>
          </w:p>
        </w:tc>
        <w:tc>
          <w:tcPr>
            <w:tcW w:w="554" w:type="pct"/>
            <w:vMerge w:val="restart"/>
            <w:noWrap w:val="0"/>
            <w:vAlign w:val="center"/>
          </w:tcPr>
          <w:p w14:paraId="4A08285C">
            <w:pPr>
              <w:pStyle w:val="30"/>
              <w:bidi w:val="0"/>
              <w:rPr>
                <w:rFonts w:hint="eastAsia"/>
                <w:b/>
                <w:bCs/>
                <w:color w:val="auto"/>
                <w:lang w:val="zh-CN" w:eastAsia="zh-CN"/>
              </w:rPr>
            </w:pPr>
            <w:r>
              <w:rPr>
                <w:rFonts w:hint="eastAsia"/>
                <w:b/>
                <w:bCs/>
                <w:color w:val="auto"/>
                <w:lang w:val="en-US" w:eastAsia="zh-CN"/>
              </w:rPr>
              <w:t>备注</w:t>
            </w:r>
          </w:p>
        </w:tc>
      </w:tr>
      <w:tr w14:paraId="6FAB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404" w:type="pct"/>
            <w:vMerge w:val="continue"/>
            <w:noWrap w:val="0"/>
            <w:vAlign w:val="center"/>
          </w:tcPr>
          <w:p w14:paraId="34B1DA18">
            <w:pPr>
              <w:pStyle w:val="30"/>
              <w:bidi w:val="0"/>
              <w:rPr>
                <w:rFonts w:hint="eastAsia"/>
                <w:color w:val="auto"/>
                <w:lang w:val="zh-CN" w:eastAsia="zh-CN"/>
              </w:rPr>
            </w:pPr>
          </w:p>
        </w:tc>
        <w:tc>
          <w:tcPr>
            <w:tcW w:w="848" w:type="pct"/>
            <w:vMerge w:val="continue"/>
            <w:noWrap w:val="0"/>
            <w:vAlign w:val="center"/>
          </w:tcPr>
          <w:p w14:paraId="7D492BE5">
            <w:pPr>
              <w:pStyle w:val="30"/>
              <w:bidi w:val="0"/>
              <w:rPr>
                <w:rFonts w:hint="eastAsia"/>
                <w:color w:val="auto"/>
                <w:lang w:val="zh-CN" w:eastAsia="zh-CN"/>
              </w:rPr>
            </w:pPr>
          </w:p>
        </w:tc>
        <w:tc>
          <w:tcPr>
            <w:tcW w:w="578" w:type="pct"/>
            <w:noWrap w:val="0"/>
            <w:vAlign w:val="center"/>
          </w:tcPr>
          <w:p w14:paraId="0C905E9B">
            <w:pPr>
              <w:pStyle w:val="30"/>
              <w:bidi w:val="0"/>
              <w:rPr>
                <w:rFonts w:hint="eastAsia"/>
                <w:b/>
                <w:bCs/>
                <w:color w:val="auto"/>
                <w:lang w:val="zh-CN" w:eastAsia="zh-CN"/>
              </w:rPr>
            </w:pPr>
            <w:r>
              <w:rPr>
                <w:rFonts w:hint="eastAsia"/>
                <w:b/>
                <w:bCs/>
                <w:color w:val="auto"/>
                <w:lang w:val="zh-CN" w:eastAsia="zh-CN"/>
              </w:rPr>
              <w:t>（㎡）</w:t>
            </w:r>
          </w:p>
        </w:tc>
        <w:tc>
          <w:tcPr>
            <w:tcW w:w="593" w:type="pct"/>
            <w:noWrap w:val="0"/>
            <w:vAlign w:val="center"/>
          </w:tcPr>
          <w:p w14:paraId="7990E74D">
            <w:pPr>
              <w:pStyle w:val="30"/>
              <w:bidi w:val="0"/>
              <w:rPr>
                <w:rFonts w:hint="eastAsia"/>
                <w:b/>
                <w:bCs/>
                <w:color w:val="auto"/>
                <w:lang w:val="zh-CN" w:eastAsia="zh-CN"/>
              </w:rPr>
            </w:pPr>
            <w:r>
              <w:rPr>
                <w:rFonts w:hint="eastAsia"/>
                <w:b/>
                <w:bCs/>
                <w:color w:val="auto"/>
                <w:lang w:val="zh-CN" w:eastAsia="zh-CN"/>
              </w:rPr>
              <w:t>（㎡）</w:t>
            </w:r>
          </w:p>
        </w:tc>
        <w:tc>
          <w:tcPr>
            <w:tcW w:w="457" w:type="pct"/>
            <w:vMerge w:val="continue"/>
            <w:noWrap w:val="0"/>
            <w:vAlign w:val="center"/>
          </w:tcPr>
          <w:p w14:paraId="49AD12B1">
            <w:pPr>
              <w:pStyle w:val="30"/>
              <w:bidi w:val="0"/>
              <w:rPr>
                <w:rFonts w:hint="eastAsia"/>
                <w:color w:val="auto"/>
                <w:lang w:val="zh-CN" w:eastAsia="zh-CN"/>
              </w:rPr>
            </w:pPr>
          </w:p>
        </w:tc>
        <w:tc>
          <w:tcPr>
            <w:tcW w:w="520" w:type="pct"/>
            <w:vMerge w:val="continue"/>
            <w:noWrap w:val="0"/>
            <w:vAlign w:val="center"/>
          </w:tcPr>
          <w:p w14:paraId="56ADDF4F">
            <w:pPr>
              <w:pStyle w:val="30"/>
              <w:bidi w:val="0"/>
              <w:rPr>
                <w:rFonts w:hint="eastAsia"/>
                <w:color w:val="auto"/>
                <w:lang w:val="zh-CN" w:eastAsia="zh-CN"/>
              </w:rPr>
            </w:pPr>
          </w:p>
        </w:tc>
        <w:tc>
          <w:tcPr>
            <w:tcW w:w="520" w:type="pct"/>
            <w:vMerge w:val="continue"/>
            <w:noWrap w:val="0"/>
            <w:vAlign w:val="center"/>
          </w:tcPr>
          <w:p w14:paraId="2FEBE4D0">
            <w:pPr>
              <w:pStyle w:val="30"/>
              <w:bidi w:val="0"/>
              <w:rPr>
                <w:rFonts w:hint="eastAsia"/>
                <w:color w:val="auto"/>
                <w:lang w:val="zh-CN" w:eastAsia="zh-CN"/>
              </w:rPr>
            </w:pPr>
          </w:p>
        </w:tc>
        <w:tc>
          <w:tcPr>
            <w:tcW w:w="520" w:type="pct"/>
            <w:vMerge w:val="continue"/>
            <w:noWrap w:val="0"/>
            <w:vAlign w:val="center"/>
          </w:tcPr>
          <w:p w14:paraId="6B3A11AD">
            <w:pPr>
              <w:pStyle w:val="30"/>
              <w:bidi w:val="0"/>
              <w:rPr>
                <w:rFonts w:hint="eastAsia"/>
                <w:color w:val="auto"/>
                <w:lang w:val="zh-CN" w:eastAsia="zh-CN"/>
              </w:rPr>
            </w:pPr>
          </w:p>
        </w:tc>
        <w:tc>
          <w:tcPr>
            <w:tcW w:w="554" w:type="pct"/>
            <w:vMerge w:val="continue"/>
            <w:noWrap w:val="0"/>
            <w:vAlign w:val="center"/>
          </w:tcPr>
          <w:p w14:paraId="3F2A3543">
            <w:pPr>
              <w:pStyle w:val="30"/>
              <w:bidi w:val="0"/>
              <w:rPr>
                <w:rFonts w:hint="eastAsia"/>
                <w:color w:val="auto"/>
                <w:lang w:val="zh-CN" w:eastAsia="zh-CN"/>
              </w:rPr>
            </w:pPr>
          </w:p>
        </w:tc>
      </w:tr>
      <w:tr w14:paraId="5D99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4" w:type="pct"/>
            <w:noWrap w:val="0"/>
            <w:vAlign w:val="center"/>
          </w:tcPr>
          <w:p w14:paraId="46E87A7D">
            <w:pPr>
              <w:pStyle w:val="30"/>
              <w:bidi w:val="0"/>
              <w:rPr>
                <w:rFonts w:hint="default"/>
                <w:color w:val="auto"/>
                <w:lang w:val="en-US" w:eastAsia="zh-CN"/>
              </w:rPr>
            </w:pPr>
            <w:r>
              <w:rPr>
                <w:rFonts w:hint="eastAsia"/>
                <w:color w:val="auto"/>
                <w:lang w:val="en-US" w:eastAsia="zh-CN"/>
              </w:rPr>
              <w:t>1</w:t>
            </w:r>
          </w:p>
        </w:tc>
        <w:tc>
          <w:tcPr>
            <w:tcW w:w="848" w:type="pct"/>
            <w:noWrap w:val="0"/>
            <w:vAlign w:val="center"/>
          </w:tcPr>
          <w:p w14:paraId="2B2E68C4">
            <w:pPr>
              <w:pStyle w:val="30"/>
              <w:bidi w:val="0"/>
              <w:rPr>
                <w:rFonts w:hint="eastAsia"/>
                <w:color w:val="auto"/>
                <w:lang w:val="en-US" w:eastAsia="zh-CN"/>
              </w:rPr>
            </w:pPr>
            <w:r>
              <w:rPr>
                <w:rFonts w:hint="eastAsia"/>
                <w:color w:val="auto"/>
                <w:lang w:val="en-US" w:eastAsia="zh-CN"/>
              </w:rPr>
              <w:t>浓缩机</w:t>
            </w:r>
          </w:p>
        </w:tc>
        <w:tc>
          <w:tcPr>
            <w:tcW w:w="578" w:type="pct"/>
            <w:noWrap w:val="0"/>
            <w:vAlign w:val="center"/>
          </w:tcPr>
          <w:p w14:paraId="294EAE33">
            <w:pPr>
              <w:pStyle w:val="30"/>
              <w:bidi w:val="0"/>
              <w:rPr>
                <w:rFonts w:hint="default"/>
                <w:color w:val="auto"/>
                <w:lang w:val="en-US" w:eastAsia="zh-CN"/>
              </w:rPr>
            </w:pPr>
            <w:r>
              <w:rPr>
                <w:rFonts w:hint="eastAsia"/>
                <w:color w:val="auto"/>
                <w:lang w:val="en-US" w:eastAsia="zh-CN"/>
              </w:rPr>
              <w:t>713</w:t>
            </w:r>
          </w:p>
        </w:tc>
        <w:tc>
          <w:tcPr>
            <w:tcW w:w="593" w:type="pct"/>
            <w:noWrap w:val="0"/>
            <w:vAlign w:val="center"/>
          </w:tcPr>
          <w:p w14:paraId="241E2F7C">
            <w:pPr>
              <w:pStyle w:val="30"/>
              <w:bidi w:val="0"/>
              <w:rPr>
                <w:rFonts w:hint="eastAsia"/>
                <w:color w:val="auto"/>
                <w:lang w:val="en-US" w:eastAsia="zh-CN"/>
              </w:rPr>
            </w:pPr>
            <w:r>
              <w:rPr>
                <w:rFonts w:hint="eastAsia"/>
                <w:color w:val="auto"/>
                <w:lang w:val="en-US" w:eastAsia="zh-CN"/>
              </w:rPr>
              <w:t>/</w:t>
            </w:r>
          </w:p>
        </w:tc>
        <w:tc>
          <w:tcPr>
            <w:tcW w:w="457" w:type="pct"/>
            <w:noWrap w:val="0"/>
            <w:vAlign w:val="center"/>
          </w:tcPr>
          <w:p w14:paraId="4C4683C2">
            <w:pPr>
              <w:pStyle w:val="30"/>
              <w:bidi w:val="0"/>
              <w:rPr>
                <w:rFonts w:hint="default"/>
                <w:color w:val="auto"/>
                <w:lang w:val="en-US" w:eastAsia="zh-CN"/>
              </w:rPr>
            </w:pPr>
            <w:r>
              <w:rPr>
                <w:rFonts w:hint="eastAsia"/>
                <w:color w:val="auto"/>
                <w:lang w:val="en-US" w:eastAsia="zh-CN"/>
              </w:rPr>
              <w:t>/</w:t>
            </w:r>
          </w:p>
        </w:tc>
        <w:tc>
          <w:tcPr>
            <w:tcW w:w="520" w:type="pct"/>
            <w:noWrap w:val="0"/>
            <w:vAlign w:val="center"/>
          </w:tcPr>
          <w:p w14:paraId="35509E85">
            <w:pPr>
              <w:pStyle w:val="30"/>
              <w:bidi w:val="0"/>
              <w:rPr>
                <w:rFonts w:hint="eastAsia"/>
                <w:color w:val="auto"/>
                <w:lang w:val="en-US" w:eastAsia="zh-CN"/>
              </w:rPr>
            </w:pPr>
            <w:r>
              <w:rPr>
                <w:rFonts w:hint="eastAsia"/>
                <w:color w:val="auto"/>
                <w:lang w:val="en-US" w:eastAsia="zh-CN"/>
              </w:rPr>
              <w:t>/</w:t>
            </w:r>
          </w:p>
        </w:tc>
        <w:tc>
          <w:tcPr>
            <w:tcW w:w="520" w:type="pct"/>
            <w:noWrap w:val="0"/>
            <w:vAlign w:val="center"/>
          </w:tcPr>
          <w:p w14:paraId="47ACACEB">
            <w:pPr>
              <w:pStyle w:val="30"/>
              <w:bidi w:val="0"/>
              <w:rPr>
                <w:rFonts w:hint="eastAsia"/>
                <w:color w:val="auto"/>
                <w:lang w:val="en-US" w:eastAsia="zh-CN"/>
              </w:rPr>
            </w:pPr>
            <w:r>
              <w:rPr>
                <w:rFonts w:hint="eastAsia"/>
                <w:color w:val="auto"/>
                <w:lang w:val="en-US" w:eastAsia="zh-CN"/>
              </w:rPr>
              <w:t>/</w:t>
            </w:r>
          </w:p>
        </w:tc>
        <w:tc>
          <w:tcPr>
            <w:tcW w:w="520" w:type="pct"/>
            <w:noWrap w:val="0"/>
            <w:vAlign w:val="center"/>
          </w:tcPr>
          <w:p w14:paraId="399A7CEA">
            <w:pPr>
              <w:pStyle w:val="30"/>
              <w:bidi w:val="0"/>
              <w:rPr>
                <w:rFonts w:hint="default"/>
                <w:color w:val="auto"/>
                <w:lang w:val="en-US" w:eastAsia="zh-CN"/>
              </w:rPr>
            </w:pPr>
            <w:r>
              <w:rPr>
                <w:rFonts w:hint="eastAsia"/>
                <w:color w:val="auto"/>
                <w:lang w:val="en-US" w:eastAsia="zh-CN"/>
              </w:rPr>
              <w:t>砖混</w:t>
            </w:r>
          </w:p>
        </w:tc>
        <w:tc>
          <w:tcPr>
            <w:tcW w:w="554" w:type="pct"/>
            <w:vMerge w:val="restart"/>
            <w:noWrap w:val="0"/>
            <w:vAlign w:val="center"/>
          </w:tcPr>
          <w:p w14:paraId="4C1616D6">
            <w:pPr>
              <w:pStyle w:val="30"/>
              <w:bidi w:val="0"/>
              <w:rPr>
                <w:rFonts w:hint="default"/>
                <w:color w:val="auto"/>
                <w:lang w:val="en-US" w:eastAsia="zh-CN"/>
              </w:rPr>
            </w:pPr>
            <w:r>
              <w:rPr>
                <w:rFonts w:hint="eastAsia"/>
                <w:color w:val="auto"/>
                <w:lang w:val="en-US" w:eastAsia="zh-CN"/>
              </w:rPr>
              <w:t>浓缩车间</w:t>
            </w:r>
          </w:p>
        </w:tc>
      </w:tr>
      <w:tr w14:paraId="79D0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4" w:type="pct"/>
            <w:noWrap w:val="0"/>
            <w:vAlign w:val="center"/>
          </w:tcPr>
          <w:p w14:paraId="77A2DBB1">
            <w:pPr>
              <w:pStyle w:val="30"/>
              <w:bidi w:val="0"/>
              <w:rPr>
                <w:rFonts w:hint="default"/>
                <w:color w:val="auto"/>
                <w:lang w:val="en-US" w:eastAsia="zh-CN"/>
              </w:rPr>
            </w:pPr>
            <w:r>
              <w:rPr>
                <w:rFonts w:hint="eastAsia"/>
                <w:color w:val="auto"/>
                <w:lang w:val="en-US" w:eastAsia="zh-CN"/>
              </w:rPr>
              <w:t>2</w:t>
            </w:r>
          </w:p>
        </w:tc>
        <w:tc>
          <w:tcPr>
            <w:tcW w:w="848" w:type="pct"/>
            <w:noWrap w:val="0"/>
            <w:vAlign w:val="center"/>
          </w:tcPr>
          <w:p w14:paraId="2AE56014">
            <w:pPr>
              <w:pStyle w:val="30"/>
              <w:bidi w:val="0"/>
              <w:rPr>
                <w:rFonts w:hint="default"/>
                <w:color w:val="auto"/>
                <w:lang w:val="en-US" w:eastAsia="zh-CN"/>
              </w:rPr>
            </w:pPr>
            <w:r>
              <w:rPr>
                <w:rFonts w:hint="eastAsia"/>
                <w:color w:val="auto"/>
                <w:lang w:val="en-US" w:eastAsia="zh-CN"/>
              </w:rPr>
              <w:t>泵房</w:t>
            </w:r>
          </w:p>
        </w:tc>
        <w:tc>
          <w:tcPr>
            <w:tcW w:w="578" w:type="pct"/>
            <w:noWrap w:val="0"/>
            <w:vAlign w:val="center"/>
          </w:tcPr>
          <w:p w14:paraId="42B2DC28">
            <w:pPr>
              <w:pStyle w:val="30"/>
              <w:bidi w:val="0"/>
              <w:rPr>
                <w:rFonts w:hint="default"/>
                <w:color w:val="auto"/>
                <w:lang w:val="en-US" w:eastAsia="zh-CN"/>
              </w:rPr>
            </w:pPr>
            <w:r>
              <w:rPr>
                <w:rFonts w:hint="eastAsia"/>
                <w:color w:val="auto"/>
                <w:lang w:val="en-US" w:eastAsia="zh-CN"/>
              </w:rPr>
              <w:t>282.2</w:t>
            </w:r>
          </w:p>
        </w:tc>
        <w:tc>
          <w:tcPr>
            <w:tcW w:w="593" w:type="pct"/>
            <w:noWrap w:val="0"/>
            <w:vAlign w:val="center"/>
          </w:tcPr>
          <w:p w14:paraId="6F422E05">
            <w:pPr>
              <w:pStyle w:val="30"/>
              <w:bidi w:val="0"/>
              <w:rPr>
                <w:rFonts w:hint="default"/>
                <w:color w:val="auto"/>
                <w:lang w:val="en-US" w:eastAsia="zh-CN"/>
              </w:rPr>
            </w:pPr>
            <w:r>
              <w:rPr>
                <w:rFonts w:hint="eastAsia"/>
                <w:color w:val="auto"/>
                <w:lang w:val="en-US" w:eastAsia="zh-CN"/>
              </w:rPr>
              <w:t>282.2</w:t>
            </w:r>
          </w:p>
        </w:tc>
        <w:tc>
          <w:tcPr>
            <w:tcW w:w="457" w:type="pct"/>
            <w:noWrap w:val="0"/>
            <w:vAlign w:val="center"/>
          </w:tcPr>
          <w:p w14:paraId="355DBC68">
            <w:pPr>
              <w:pStyle w:val="30"/>
              <w:bidi w:val="0"/>
              <w:rPr>
                <w:rFonts w:hint="eastAsia"/>
                <w:color w:val="auto"/>
                <w:lang w:val="en-US" w:eastAsia="zh-CN"/>
              </w:rPr>
            </w:pPr>
            <w:r>
              <w:rPr>
                <w:rFonts w:hint="eastAsia"/>
                <w:color w:val="auto"/>
                <w:lang w:val="en-US" w:eastAsia="zh-CN"/>
              </w:rPr>
              <w:t>戊类</w:t>
            </w:r>
          </w:p>
        </w:tc>
        <w:tc>
          <w:tcPr>
            <w:tcW w:w="520" w:type="pct"/>
            <w:noWrap w:val="0"/>
            <w:vAlign w:val="center"/>
          </w:tcPr>
          <w:p w14:paraId="7817A3A0">
            <w:pPr>
              <w:pStyle w:val="30"/>
              <w:bidi w:val="0"/>
              <w:rPr>
                <w:rFonts w:hint="eastAsia"/>
                <w:color w:val="auto"/>
                <w:lang w:val="en-US" w:eastAsia="zh-CN"/>
              </w:rPr>
            </w:pPr>
            <w:r>
              <w:rPr>
                <w:rFonts w:hint="eastAsia"/>
                <w:color w:val="auto"/>
                <w:lang w:val="en-US" w:eastAsia="zh-CN"/>
              </w:rPr>
              <w:t>二级</w:t>
            </w:r>
          </w:p>
        </w:tc>
        <w:tc>
          <w:tcPr>
            <w:tcW w:w="520" w:type="pct"/>
            <w:noWrap w:val="0"/>
            <w:vAlign w:val="center"/>
          </w:tcPr>
          <w:p w14:paraId="2D498F4C">
            <w:pPr>
              <w:pStyle w:val="30"/>
              <w:bidi w:val="0"/>
              <w:rPr>
                <w:rFonts w:hint="eastAsia"/>
                <w:color w:val="auto"/>
                <w:lang w:val="en-US" w:eastAsia="zh-CN"/>
              </w:rPr>
            </w:pPr>
            <w:r>
              <w:rPr>
                <w:rFonts w:hint="eastAsia"/>
                <w:color w:val="auto"/>
                <w:lang w:val="en-US" w:eastAsia="zh-CN"/>
              </w:rPr>
              <w:t>1F</w:t>
            </w:r>
          </w:p>
        </w:tc>
        <w:tc>
          <w:tcPr>
            <w:tcW w:w="520" w:type="pct"/>
            <w:noWrap w:val="0"/>
            <w:vAlign w:val="center"/>
          </w:tcPr>
          <w:p w14:paraId="263EA0D0">
            <w:pPr>
              <w:pStyle w:val="30"/>
              <w:bidi w:val="0"/>
              <w:rPr>
                <w:rFonts w:hint="eastAsia"/>
                <w:color w:val="auto"/>
                <w:lang w:val="en-US" w:eastAsia="zh-CN"/>
              </w:rPr>
            </w:pPr>
            <w:r>
              <w:rPr>
                <w:rFonts w:hint="eastAsia"/>
                <w:color w:val="auto"/>
                <w:lang w:val="en-US" w:eastAsia="zh-CN"/>
              </w:rPr>
              <w:t>钢结构</w:t>
            </w:r>
          </w:p>
        </w:tc>
        <w:tc>
          <w:tcPr>
            <w:tcW w:w="554" w:type="pct"/>
            <w:vMerge w:val="continue"/>
            <w:noWrap w:val="0"/>
            <w:vAlign w:val="center"/>
          </w:tcPr>
          <w:p w14:paraId="18C4F9E7">
            <w:pPr>
              <w:pStyle w:val="30"/>
              <w:bidi w:val="0"/>
              <w:rPr>
                <w:rFonts w:hint="eastAsia"/>
                <w:color w:val="auto"/>
                <w:lang w:val="zh-CN" w:eastAsia="zh-CN"/>
              </w:rPr>
            </w:pPr>
          </w:p>
        </w:tc>
      </w:tr>
      <w:tr w14:paraId="7F71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4" w:type="pct"/>
            <w:noWrap w:val="0"/>
            <w:vAlign w:val="center"/>
          </w:tcPr>
          <w:p w14:paraId="058D6140">
            <w:pPr>
              <w:pStyle w:val="30"/>
              <w:bidi w:val="0"/>
              <w:rPr>
                <w:rFonts w:hint="default"/>
                <w:color w:val="auto"/>
                <w:lang w:val="en-US" w:eastAsia="zh-CN"/>
              </w:rPr>
            </w:pPr>
            <w:r>
              <w:rPr>
                <w:rFonts w:hint="eastAsia"/>
                <w:color w:val="auto"/>
                <w:lang w:val="en-US" w:eastAsia="zh-CN"/>
              </w:rPr>
              <w:t>3</w:t>
            </w:r>
          </w:p>
        </w:tc>
        <w:tc>
          <w:tcPr>
            <w:tcW w:w="848" w:type="pct"/>
            <w:noWrap w:val="0"/>
            <w:vAlign w:val="center"/>
          </w:tcPr>
          <w:p w14:paraId="08C887DB">
            <w:pPr>
              <w:pStyle w:val="30"/>
              <w:bidi w:val="0"/>
              <w:rPr>
                <w:rFonts w:hint="default"/>
                <w:color w:val="auto"/>
                <w:lang w:val="en-US" w:eastAsia="zh-CN"/>
              </w:rPr>
            </w:pPr>
            <w:r>
              <w:rPr>
                <w:rFonts w:hint="eastAsia"/>
                <w:color w:val="auto"/>
                <w:lang w:val="en-US" w:eastAsia="zh-CN"/>
              </w:rPr>
              <w:t>压滤车间</w:t>
            </w:r>
          </w:p>
        </w:tc>
        <w:tc>
          <w:tcPr>
            <w:tcW w:w="578" w:type="pct"/>
            <w:noWrap w:val="0"/>
            <w:vAlign w:val="center"/>
          </w:tcPr>
          <w:p w14:paraId="410CE326">
            <w:pPr>
              <w:pStyle w:val="30"/>
              <w:bidi w:val="0"/>
              <w:rPr>
                <w:rFonts w:hint="default"/>
                <w:color w:val="auto"/>
                <w:lang w:val="en-US" w:eastAsia="zh-CN"/>
              </w:rPr>
            </w:pPr>
            <w:r>
              <w:rPr>
                <w:rFonts w:hint="eastAsia"/>
                <w:color w:val="auto"/>
                <w:lang w:val="en-US" w:eastAsia="zh-CN"/>
              </w:rPr>
              <w:t>1,796.5</w:t>
            </w:r>
          </w:p>
        </w:tc>
        <w:tc>
          <w:tcPr>
            <w:tcW w:w="593" w:type="pct"/>
            <w:noWrap w:val="0"/>
            <w:vAlign w:val="center"/>
          </w:tcPr>
          <w:p w14:paraId="2B962721">
            <w:pPr>
              <w:pStyle w:val="30"/>
              <w:bidi w:val="0"/>
              <w:rPr>
                <w:rFonts w:hint="default"/>
                <w:color w:val="auto"/>
                <w:lang w:val="en-US" w:eastAsia="zh-CN"/>
              </w:rPr>
            </w:pPr>
            <w:r>
              <w:rPr>
                <w:rFonts w:hint="eastAsia"/>
                <w:color w:val="auto"/>
                <w:lang w:val="en-US" w:eastAsia="zh-CN"/>
              </w:rPr>
              <w:t>1,796.5</w:t>
            </w:r>
          </w:p>
        </w:tc>
        <w:tc>
          <w:tcPr>
            <w:tcW w:w="457" w:type="pct"/>
            <w:noWrap w:val="0"/>
            <w:vAlign w:val="center"/>
          </w:tcPr>
          <w:p w14:paraId="43F86713">
            <w:pPr>
              <w:pStyle w:val="30"/>
              <w:bidi w:val="0"/>
              <w:rPr>
                <w:rFonts w:hint="eastAsia"/>
                <w:color w:val="auto"/>
                <w:lang w:val="en-US" w:eastAsia="zh-CN"/>
              </w:rPr>
            </w:pPr>
            <w:r>
              <w:rPr>
                <w:rFonts w:hint="eastAsia"/>
                <w:color w:val="auto"/>
                <w:lang w:val="en-US" w:eastAsia="zh-CN"/>
              </w:rPr>
              <w:t>戊类</w:t>
            </w:r>
          </w:p>
        </w:tc>
        <w:tc>
          <w:tcPr>
            <w:tcW w:w="520" w:type="pct"/>
            <w:noWrap w:val="0"/>
            <w:vAlign w:val="center"/>
          </w:tcPr>
          <w:p w14:paraId="57697690">
            <w:pPr>
              <w:pStyle w:val="30"/>
              <w:bidi w:val="0"/>
              <w:rPr>
                <w:rFonts w:hint="eastAsia"/>
                <w:color w:val="auto"/>
                <w:lang w:val="en-US" w:eastAsia="zh-CN"/>
              </w:rPr>
            </w:pPr>
            <w:r>
              <w:rPr>
                <w:rFonts w:hint="eastAsia"/>
                <w:color w:val="auto"/>
                <w:lang w:val="en-US" w:eastAsia="zh-CN"/>
              </w:rPr>
              <w:t>二级</w:t>
            </w:r>
          </w:p>
        </w:tc>
        <w:tc>
          <w:tcPr>
            <w:tcW w:w="520" w:type="pct"/>
            <w:noWrap w:val="0"/>
            <w:vAlign w:val="center"/>
          </w:tcPr>
          <w:p w14:paraId="4431A0A6">
            <w:pPr>
              <w:pStyle w:val="30"/>
              <w:bidi w:val="0"/>
              <w:rPr>
                <w:rFonts w:hint="eastAsia"/>
                <w:color w:val="auto"/>
                <w:lang w:val="en-US" w:eastAsia="zh-CN"/>
              </w:rPr>
            </w:pPr>
            <w:r>
              <w:rPr>
                <w:rFonts w:hint="eastAsia"/>
                <w:color w:val="auto"/>
                <w:lang w:val="en-US" w:eastAsia="zh-CN"/>
              </w:rPr>
              <w:t>1F</w:t>
            </w:r>
          </w:p>
        </w:tc>
        <w:tc>
          <w:tcPr>
            <w:tcW w:w="520" w:type="pct"/>
            <w:noWrap w:val="0"/>
            <w:vAlign w:val="center"/>
          </w:tcPr>
          <w:p w14:paraId="65CDC9C8">
            <w:pPr>
              <w:pStyle w:val="30"/>
              <w:bidi w:val="0"/>
              <w:rPr>
                <w:rFonts w:hint="eastAsia"/>
                <w:color w:val="auto"/>
                <w:lang w:val="en-US" w:eastAsia="zh-CN"/>
              </w:rPr>
            </w:pPr>
            <w:r>
              <w:rPr>
                <w:rFonts w:hint="eastAsia"/>
                <w:color w:val="auto"/>
                <w:lang w:val="en-US" w:eastAsia="zh-CN"/>
              </w:rPr>
              <w:t>钢结构</w:t>
            </w:r>
          </w:p>
        </w:tc>
        <w:tc>
          <w:tcPr>
            <w:tcW w:w="554" w:type="pct"/>
            <w:noWrap w:val="0"/>
            <w:vAlign w:val="center"/>
          </w:tcPr>
          <w:p w14:paraId="0AE85065">
            <w:pPr>
              <w:pStyle w:val="30"/>
              <w:bidi w:val="0"/>
              <w:rPr>
                <w:rFonts w:hint="eastAsia"/>
                <w:color w:val="auto"/>
                <w:lang w:val="zh-CN" w:eastAsia="zh-CN"/>
              </w:rPr>
            </w:pPr>
          </w:p>
        </w:tc>
      </w:tr>
      <w:tr w14:paraId="30FE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4" w:type="pct"/>
            <w:noWrap w:val="0"/>
            <w:vAlign w:val="center"/>
          </w:tcPr>
          <w:p w14:paraId="0BF97DE2">
            <w:pPr>
              <w:pStyle w:val="30"/>
              <w:bidi w:val="0"/>
              <w:rPr>
                <w:rFonts w:hint="default"/>
                <w:color w:val="auto"/>
                <w:lang w:val="en-US" w:eastAsia="zh-CN"/>
              </w:rPr>
            </w:pPr>
            <w:r>
              <w:rPr>
                <w:rFonts w:hint="eastAsia"/>
                <w:color w:val="auto"/>
                <w:lang w:val="en-US" w:eastAsia="zh-CN"/>
              </w:rPr>
              <w:t>4</w:t>
            </w:r>
          </w:p>
        </w:tc>
        <w:tc>
          <w:tcPr>
            <w:tcW w:w="848" w:type="pct"/>
            <w:noWrap w:val="0"/>
            <w:vAlign w:val="center"/>
          </w:tcPr>
          <w:p w14:paraId="4754CAA0">
            <w:pPr>
              <w:pStyle w:val="30"/>
              <w:bidi w:val="0"/>
              <w:rPr>
                <w:rFonts w:hint="default"/>
                <w:color w:val="auto"/>
                <w:lang w:val="en-US" w:eastAsia="zh-CN"/>
              </w:rPr>
            </w:pPr>
            <w:r>
              <w:rPr>
                <w:rFonts w:hint="eastAsia"/>
                <w:color w:val="auto"/>
                <w:lang w:val="en-US" w:eastAsia="zh-CN"/>
              </w:rPr>
              <w:t>值班室</w:t>
            </w:r>
          </w:p>
        </w:tc>
        <w:tc>
          <w:tcPr>
            <w:tcW w:w="578" w:type="pct"/>
            <w:noWrap w:val="0"/>
            <w:vAlign w:val="center"/>
          </w:tcPr>
          <w:p w14:paraId="4DFB6C30">
            <w:pPr>
              <w:pStyle w:val="30"/>
              <w:bidi w:val="0"/>
              <w:rPr>
                <w:rFonts w:hint="default"/>
                <w:color w:val="auto"/>
                <w:lang w:val="en-US" w:eastAsia="zh-CN"/>
              </w:rPr>
            </w:pPr>
            <w:r>
              <w:rPr>
                <w:rFonts w:hint="eastAsia"/>
                <w:color w:val="auto"/>
                <w:lang w:val="en-US" w:eastAsia="zh-CN"/>
              </w:rPr>
              <w:t>17.9</w:t>
            </w:r>
          </w:p>
        </w:tc>
        <w:tc>
          <w:tcPr>
            <w:tcW w:w="593" w:type="pct"/>
            <w:noWrap w:val="0"/>
            <w:vAlign w:val="center"/>
          </w:tcPr>
          <w:p w14:paraId="50FBE435">
            <w:pPr>
              <w:pStyle w:val="30"/>
              <w:bidi w:val="0"/>
              <w:rPr>
                <w:rFonts w:hint="default"/>
                <w:color w:val="auto"/>
                <w:lang w:val="en-US" w:eastAsia="zh-CN"/>
              </w:rPr>
            </w:pPr>
            <w:r>
              <w:rPr>
                <w:rFonts w:hint="eastAsia"/>
                <w:color w:val="auto"/>
                <w:lang w:val="en-US" w:eastAsia="zh-CN"/>
              </w:rPr>
              <w:t>17.9</w:t>
            </w:r>
          </w:p>
        </w:tc>
        <w:tc>
          <w:tcPr>
            <w:tcW w:w="457" w:type="pct"/>
            <w:noWrap w:val="0"/>
            <w:vAlign w:val="center"/>
          </w:tcPr>
          <w:p w14:paraId="3128C5ED">
            <w:pPr>
              <w:pStyle w:val="30"/>
              <w:bidi w:val="0"/>
              <w:rPr>
                <w:rFonts w:hint="eastAsia"/>
                <w:color w:val="auto"/>
                <w:lang w:val="en-US" w:eastAsia="zh-CN"/>
              </w:rPr>
            </w:pPr>
            <w:r>
              <w:rPr>
                <w:rFonts w:hint="eastAsia"/>
                <w:color w:val="auto"/>
                <w:lang w:val="en-US" w:eastAsia="zh-CN"/>
              </w:rPr>
              <w:t>戊类</w:t>
            </w:r>
          </w:p>
        </w:tc>
        <w:tc>
          <w:tcPr>
            <w:tcW w:w="520" w:type="pct"/>
            <w:noWrap w:val="0"/>
            <w:vAlign w:val="center"/>
          </w:tcPr>
          <w:p w14:paraId="1CBCF247">
            <w:pPr>
              <w:pStyle w:val="30"/>
              <w:bidi w:val="0"/>
              <w:rPr>
                <w:rFonts w:hint="eastAsia"/>
                <w:color w:val="auto"/>
                <w:lang w:val="en-US" w:eastAsia="zh-CN"/>
              </w:rPr>
            </w:pPr>
            <w:r>
              <w:rPr>
                <w:rFonts w:hint="eastAsia"/>
                <w:color w:val="auto"/>
                <w:lang w:val="en-US" w:eastAsia="zh-CN"/>
              </w:rPr>
              <w:t>二级</w:t>
            </w:r>
          </w:p>
        </w:tc>
        <w:tc>
          <w:tcPr>
            <w:tcW w:w="520" w:type="pct"/>
            <w:noWrap w:val="0"/>
            <w:vAlign w:val="center"/>
          </w:tcPr>
          <w:p w14:paraId="27596F2B">
            <w:pPr>
              <w:pStyle w:val="30"/>
              <w:bidi w:val="0"/>
              <w:rPr>
                <w:rFonts w:hint="eastAsia"/>
                <w:color w:val="auto"/>
                <w:lang w:val="en-US" w:eastAsia="zh-CN"/>
              </w:rPr>
            </w:pPr>
            <w:r>
              <w:rPr>
                <w:rFonts w:hint="eastAsia"/>
                <w:color w:val="auto"/>
                <w:lang w:val="en-US" w:eastAsia="zh-CN"/>
              </w:rPr>
              <w:t>1F</w:t>
            </w:r>
          </w:p>
        </w:tc>
        <w:tc>
          <w:tcPr>
            <w:tcW w:w="520" w:type="pct"/>
            <w:noWrap w:val="0"/>
            <w:vAlign w:val="center"/>
          </w:tcPr>
          <w:p w14:paraId="0F721B31">
            <w:pPr>
              <w:pStyle w:val="30"/>
              <w:bidi w:val="0"/>
              <w:rPr>
                <w:rFonts w:hint="eastAsia"/>
                <w:color w:val="auto"/>
                <w:lang w:val="en-US" w:eastAsia="zh-CN"/>
              </w:rPr>
            </w:pPr>
            <w:r>
              <w:rPr>
                <w:rFonts w:hint="eastAsia"/>
                <w:color w:val="auto"/>
                <w:lang w:val="en-US" w:eastAsia="zh-CN"/>
              </w:rPr>
              <w:t>钢结构</w:t>
            </w:r>
          </w:p>
        </w:tc>
        <w:tc>
          <w:tcPr>
            <w:tcW w:w="554" w:type="pct"/>
            <w:noWrap w:val="0"/>
            <w:vAlign w:val="center"/>
          </w:tcPr>
          <w:p w14:paraId="09702880">
            <w:pPr>
              <w:pStyle w:val="30"/>
              <w:bidi w:val="0"/>
              <w:rPr>
                <w:rFonts w:hint="eastAsia"/>
                <w:color w:val="auto"/>
                <w:lang w:val="en-US" w:eastAsia="zh-CN"/>
              </w:rPr>
            </w:pPr>
          </w:p>
        </w:tc>
      </w:tr>
    </w:tbl>
    <w:p w14:paraId="54507795">
      <w:pPr>
        <w:pStyle w:val="5"/>
        <w:bidi w:val="0"/>
        <w:rPr>
          <w:rFonts w:hint="default"/>
          <w:color w:val="auto"/>
          <w:lang w:val="en-US" w:eastAsia="zh-CN"/>
        </w:rPr>
      </w:pPr>
      <w:bookmarkStart w:id="14" w:name="_Toc7908"/>
      <w:r>
        <w:rPr>
          <w:rFonts w:hint="eastAsia"/>
          <w:color w:val="auto"/>
          <w:lang w:val="en-US" w:eastAsia="zh-CN"/>
        </w:rPr>
        <w:t>2.10 安全管理</w:t>
      </w:r>
      <w:bookmarkEnd w:id="14"/>
    </w:p>
    <w:p w14:paraId="5E19BF42">
      <w:pPr>
        <w:pStyle w:val="6"/>
        <w:bidi w:val="0"/>
        <w:rPr>
          <w:rFonts w:hint="default"/>
          <w:color w:val="auto"/>
          <w:lang w:val="en-US" w:eastAsia="zh-CN"/>
        </w:rPr>
      </w:pPr>
      <w:r>
        <w:rPr>
          <w:rFonts w:hint="eastAsia"/>
          <w:color w:val="auto"/>
          <w:lang w:val="en-US" w:eastAsia="zh-CN"/>
        </w:rPr>
        <w:t>2.10.1 安全管理机构</w:t>
      </w:r>
    </w:p>
    <w:p w14:paraId="76AB2B73">
      <w:pPr>
        <w:bidi w:val="0"/>
        <w:rPr>
          <w:rFonts w:hint="default"/>
          <w:color w:val="auto"/>
          <w:lang w:val="en-US" w:eastAsia="zh-CN"/>
        </w:rPr>
      </w:pPr>
      <w:r>
        <w:rPr>
          <w:rFonts w:hint="default"/>
          <w:color w:val="auto"/>
          <w:lang w:val="en-US" w:eastAsia="zh-CN"/>
        </w:rPr>
        <w:t>设置</w:t>
      </w:r>
      <w:r>
        <w:rPr>
          <w:rFonts w:hint="eastAsia"/>
          <w:color w:val="auto"/>
          <w:lang w:val="en-US" w:eastAsia="zh-CN"/>
        </w:rPr>
        <w:t>安全领导小组为</w:t>
      </w:r>
      <w:r>
        <w:rPr>
          <w:rFonts w:hint="default"/>
          <w:color w:val="auto"/>
          <w:lang w:val="en-US" w:eastAsia="zh-CN"/>
        </w:rPr>
        <w:t>安全管理机构，各生产车间、班组与公司形成一个安全卫生管理网，按国家及有关部门规定的职能和职责，检查、监督和贯彻国家、部门下达的各项安全管理指令和规定，制定必要的管理方法、规程和规章制度，定期对职工进行安全教育，实行全面、系统的安全管理。</w:t>
      </w:r>
    </w:p>
    <w:p w14:paraId="0FB38D81">
      <w:pPr>
        <w:pStyle w:val="6"/>
        <w:bidi w:val="0"/>
        <w:rPr>
          <w:rFonts w:hint="default"/>
          <w:color w:val="auto"/>
          <w:lang w:val="en-US" w:eastAsia="zh-CN"/>
        </w:rPr>
      </w:pPr>
      <w:r>
        <w:rPr>
          <w:rFonts w:hint="eastAsia"/>
          <w:color w:val="auto"/>
          <w:lang w:val="en-US" w:eastAsia="zh-CN"/>
        </w:rPr>
        <w:t>2.10.2</w:t>
      </w:r>
      <w:r>
        <w:rPr>
          <w:rFonts w:hint="default"/>
          <w:color w:val="auto"/>
          <w:lang w:val="en-US" w:eastAsia="zh-CN"/>
        </w:rPr>
        <w:t xml:space="preserve"> 生产经营单位主要负责人、安全管理人员</w:t>
      </w:r>
    </w:p>
    <w:p w14:paraId="342C5C23">
      <w:pPr>
        <w:bidi w:val="0"/>
        <w:rPr>
          <w:rFonts w:hint="default"/>
          <w:color w:val="auto"/>
          <w:lang w:val="en-US" w:eastAsia="zh-CN"/>
        </w:rPr>
      </w:pPr>
      <w:r>
        <w:rPr>
          <w:rFonts w:hint="default"/>
          <w:color w:val="auto"/>
          <w:lang w:val="en-US" w:eastAsia="zh-CN"/>
        </w:rPr>
        <w:t>根据《生产经营单位安全培训规定》（国家安监总局第3号令公布，第63号令修正，第80号令第二次修正），生产经营单位主要负责人、安全管理人员安全培训应当包括下列内容：</w:t>
      </w:r>
    </w:p>
    <w:p w14:paraId="45D40253">
      <w:pPr>
        <w:bidi w:val="0"/>
        <w:rPr>
          <w:rFonts w:hint="default"/>
          <w:color w:val="auto"/>
          <w:lang w:val="en-US" w:eastAsia="zh-CN"/>
        </w:rPr>
      </w:pPr>
      <w:r>
        <w:rPr>
          <w:rFonts w:hint="default"/>
          <w:color w:val="auto"/>
          <w:lang w:val="en-US" w:eastAsia="zh-CN"/>
        </w:rPr>
        <w:t>（1）国家安全生产方针、政策和有关安全生产的法律、法规、规章及标准；</w:t>
      </w:r>
    </w:p>
    <w:p w14:paraId="033E6E7A">
      <w:pPr>
        <w:bidi w:val="0"/>
        <w:rPr>
          <w:rFonts w:hint="default"/>
          <w:color w:val="auto"/>
          <w:lang w:val="en-US" w:eastAsia="zh-CN"/>
        </w:rPr>
      </w:pPr>
      <w:r>
        <w:rPr>
          <w:rFonts w:hint="default"/>
          <w:color w:val="auto"/>
          <w:lang w:val="en-US" w:eastAsia="zh-CN"/>
        </w:rPr>
        <w:t>（2）安全生产管理基本知识、安全生产技术、安全生产专业知识；</w:t>
      </w:r>
    </w:p>
    <w:p w14:paraId="4A74A625">
      <w:pPr>
        <w:bidi w:val="0"/>
        <w:rPr>
          <w:rFonts w:hint="default"/>
          <w:color w:val="auto"/>
          <w:lang w:val="en-US" w:eastAsia="zh-CN"/>
        </w:rPr>
      </w:pPr>
      <w:r>
        <w:rPr>
          <w:rFonts w:hint="default"/>
          <w:color w:val="auto"/>
          <w:lang w:val="en-US" w:eastAsia="zh-CN"/>
        </w:rPr>
        <w:t>（3）重大事故防范、应急管理和救援组织以及事故调查处理的有关规定；</w:t>
      </w:r>
    </w:p>
    <w:p w14:paraId="584A853D">
      <w:pPr>
        <w:bidi w:val="0"/>
        <w:rPr>
          <w:rFonts w:hint="default"/>
          <w:color w:val="auto"/>
          <w:lang w:val="en-US" w:eastAsia="zh-CN"/>
        </w:rPr>
      </w:pPr>
      <w:r>
        <w:rPr>
          <w:rFonts w:hint="default"/>
          <w:color w:val="auto"/>
          <w:lang w:val="en-US" w:eastAsia="zh-CN"/>
        </w:rPr>
        <w:t>（4）职业危害及其预防措施；</w:t>
      </w:r>
    </w:p>
    <w:p w14:paraId="7129CB4F">
      <w:pPr>
        <w:bidi w:val="0"/>
        <w:rPr>
          <w:rFonts w:hint="default"/>
          <w:color w:val="auto"/>
          <w:lang w:val="en-US" w:eastAsia="zh-CN"/>
        </w:rPr>
      </w:pPr>
      <w:r>
        <w:rPr>
          <w:rFonts w:hint="default"/>
          <w:color w:val="auto"/>
          <w:lang w:val="en-US" w:eastAsia="zh-CN"/>
        </w:rPr>
        <w:t>（5）国内外先进的安全生产管理经验；</w:t>
      </w:r>
    </w:p>
    <w:p w14:paraId="30E9882C">
      <w:pPr>
        <w:bidi w:val="0"/>
        <w:rPr>
          <w:rFonts w:hint="default"/>
          <w:color w:val="auto"/>
          <w:lang w:val="en-US" w:eastAsia="zh-CN"/>
        </w:rPr>
      </w:pPr>
      <w:r>
        <w:rPr>
          <w:rFonts w:hint="default"/>
          <w:color w:val="auto"/>
          <w:lang w:val="en-US" w:eastAsia="zh-CN"/>
        </w:rPr>
        <w:t>（6）典型事故和应急救援案例分析；</w:t>
      </w:r>
    </w:p>
    <w:p w14:paraId="2D11FEE3">
      <w:pPr>
        <w:bidi w:val="0"/>
        <w:rPr>
          <w:rFonts w:hint="default"/>
          <w:color w:val="auto"/>
          <w:lang w:val="en-US" w:eastAsia="zh-CN"/>
        </w:rPr>
      </w:pPr>
      <w:r>
        <w:rPr>
          <w:rFonts w:hint="default"/>
          <w:color w:val="auto"/>
          <w:lang w:val="en-US" w:eastAsia="zh-CN"/>
        </w:rPr>
        <w:t>（7）其他需要培训的内容。</w:t>
      </w:r>
    </w:p>
    <w:p w14:paraId="3C209FD1">
      <w:pPr>
        <w:bidi w:val="0"/>
        <w:rPr>
          <w:rFonts w:hint="default"/>
          <w:color w:val="auto"/>
          <w:lang w:val="en-US" w:eastAsia="zh-CN"/>
        </w:rPr>
      </w:pPr>
      <w:r>
        <w:rPr>
          <w:rFonts w:hint="default"/>
          <w:color w:val="auto"/>
          <w:lang w:val="en-US" w:eastAsia="zh-CN"/>
        </w:rPr>
        <w:t>根据工作性质对其他从业人员进行安全培训，保证其具备本岗位安全操作、应急处置等知识和技能。</w:t>
      </w:r>
    </w:p>
    <w:p w14:paraId="39BE47EC">
      <w:pPr>
        <w:bidi w:val="0"/>
        <w:rPr>
          <w:rFonts w:hint="default"/>
          <w:color w:val="auto"/>
          <w:lang w:val="en-US" w:eastAsia="zh-CN"/>
        </w:rPr>
      </w:pPr>
      <w:r>
        <w:rPr>
          <w:rFonts w:hint="default"/>
          <w:color w:val="auto"/>
          <w:lang w:val="en-US" w:eastAsia="zh-CN"/>
        </w:rPr>
        <w:t>生产经营单位主要负责人和安全生产管理人员初次安全培训时间不得少于</w:t>
      </w:r>
      <w:r>
        <w:rPr>
          <w:rFonts w:hint="eastAsia"/>
          <w:color w:val="auto"/>
          <w:lang w:val="en-US" w:eastAsia="zh-CN"/>
        </w:rPr>
        <w:t>72</w:t>
      </w:r>
      <w:r>
        <w:rPr>
          <w:rFonts w:hint="default"/>
          <w:color w:val="auto"/>
          <w:lang w:val="en-US" w:eastAsia="zh-CN"/>
        </w:rPr>
        <w:t>学时。每年再培训时间不得少于</w:t>
      </w:r>
      <w:r>
        <w:rPr>
          <w:rFonts w:hint="eastAsia"/>
          <w:color w:val="auto"/>
          <w:lang w:val="en-US" w:eastAsia="zh-CN"/>
        </w:rPr>
        <w:t>20</w:t>
      </w:r>
      <w:r>
        <w:rPr>
          <w:rFonts w:hint="default"/>
          <w:color w:val="auto"/>
          <w:lang w:val="en-US" w:eastAsia="zh-CN"/>
        </w:rPr>
        <w:t>学时。</w:t>
      </w:r>
    </w:p>
    <w:p w14:paraId="3D868521">
      <w:pPr>
        <w:pStyle w:val="6"/>
        <w:bidi w:val="0"/>
        <w:rPr>
          <w:rFonts w:hint="default"/>
          <w:color w:val="auto"/>
          <w:lang w:val="en-US" w:eastAsia="zh-CN"/>
        </w:rPr>
      </w:pPr>
      <w:r>
        <w:rPr>
          <w:rFonts w:hint="eastAsia"/>
          <w:color w:val="auto"/>
          <w:lang w:val="en-US" w:eastAsia="zh-CN"/>
        </w:rPr>
        <w:t>2.10.3</w:t>
      </w:r>
      <w:r>
        <w:rPr>
          <w:rFonts w:hint="default"/>
          <w:color w:val="auto"/>
          <w:lang w:val="en-US" w:eastAsia="zh-CN"/>
        </w:rPr>
        <w:t xml:space="preserve"> 特种作业人员</w:t>
      </w:r>
    </w:p>
    <w:p w14:paraId="0B0003C9">
      <w:pPr>
        <w:bidi w:val="0"/>
        <w:rPr>
          <w:rFonts w:hint="default"/>
          <w:color w:val="auto"/>
          <w:lang w:val="en-US" w:eastAsia="zh-CN"/>
        </w:rPr>
      </w:pPr>
      <w:r>
        <w:rPr>
          <w:rFonts w:hint="default"/>
          <w:color w:val="auto"/>
          <w:lang w:val="en-US" w:eastAsia="zh-CN"/>
        </w:rPr>
        <w:t>根据《安全生产法》第</w:t>
      </w:r>
      <w:r>
        <w:rPr>
          <w:rFonts w:hint="eastAsia"/>
          <w:color w:val="auto"/>
          <w:lang w:val="en-US" w:eastAsia="zh-CN"/>
        </w:rPr>
        <w:t>三十</w:t>
      </w:r>
      <w:r>
        <w:rPr>
          <w:rFonts w:hint="default"/>
          <w:color w:val="auto"/>
          <w:lang w:val="en-US" w:eastAsia="zh-CN"/>
        </w:rPr>
        <w:t>条，生产经营单位的特种作业人员必须按照国家有关规定经专门的安全作业培训，取得相应资格，方可上岗作业。</w:t>
      </w:r>
    </w:p>
    <w:p w14:paraId="02256A90">
      <w:pPr>
        <w:bidi w:val="0"/>
        <w:rPr>
          <w:rFonts w:hint="default"/>
          <w:color w:val="auto"/>
          <w:lang w:val="en-US" w:eastAsia="zh-CN"/>
        </w:rPr>
      </w:pPr>
      <w:r>
        <w:rPr>
          <w:rFonts w:hint="default"/>
          <w:color w:val="auto"/>
          <w:lang w:val="en-US" w:eastAsia="zh-CN"/>
        </w:rPr>
        <w:t>生产经营单位特种作业人员的安全技术培训、考核、发证、复审及其监督管理要符合《特种作业人员安全技术培训考核管理规定》（国家安全生产监督管理总局令第30号，安监总局令第80号令修改）的规定。</w:t>
      </w:r>
    </w:p>
    <w:p w14:paraId="7883D8AE">
      <w:pPr>
        <w:pStyle w:val="6"/>
        <w:bidi w:val="0"/>
        <w:rPr>
          <w:rFonts w:hint="default"/>
          <w:color w:val="auto"/>
          <w:lang w:val="en-US" w:eastAsia="zh-CN"/>
        </w:rPr>
      </w:pPr>
      <w:r>
        <w:rPr>
          <w:rFonts w:hint="eastAsia"/>
          <w:color w:val="auto"/>
          <w:lang w:val="en-US" w:eastAsia="zh-CN"/>
        </w:rPr>
        <w:t>2.10.4</w:t>
      </w:r>
      <w:r>
        <w:rPr>
          <w:rFonts w:hint="default"/>
          <w:color w:val="auto"/>
          <w:lang w:val="en-US" w:eastAsia="zh-CN"/>
        </w:rPr>
        <w:t xml:space="preserve"> 从业人员</w:t>
      </w:r>
    </w:p>
    <w:p w14:paraId="5261C7D1">
      <w:pPr>
        <w:bidi w:val="0"/>
        <w:rPr>
          <w:rFonts w:hint="default"/>
          <w:color w:val="auto"/>
          <w:lang w:val="en-US" w:eastAsia="zh-CN"/>
        </w:rPr>
      </w:pPr>
      <w:r>
        <w:rPr>
          <w:rFonts w:hint="default"/>
          <w:color w:val="auto"/>
          <w:lang w:val="en-US" w:eastAsia="zh-CN"/>
        </w:rPr>
        <w:t>根据《安全生产法》第二十</w:t>
      </w:r>
      <w:r>
        <w:rPr>
          <w:rFonts w:hint="eastAsia"/>
          <w:color w:val="auto"/>
          <w:lang w:val="en-US" w:eastAsia="zh-CN"/>
        </w:rPr>
        <w:t>八</w:t>
      </w:r>
      <w:r>
        <w:rPr>
          <w:rFonts w:hint="default"/>
          <w:color w:val="auto"/>
          <w:lang w:val="en-US" w:eastAsia="zh-CN"/>
        </w:rPr>
        <w:t>条，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074C9263">
      <w:pPr>
        <w:pStyle w:val="6"/>
        <w:bidi w:val="0"/>
        <w:rPr>
          <w:rFonts w:hint="default"/>
          <w:color w:val="auto"/>
          <w:lang w:val="en-US" w:eastAsia="zh-CN"/>
        </w:rPr>
      </w:pPr>
      <w:r>
        <w:rPr>
          <w:rFonts w:hint="eastAsia"/>
          <w:color w:val="auto"/>
          <w:lang w:val="en-US" w:eastAsia="zh-CN"/>
        </w:rPr>
        <w:t>2.10.5</w:t>
      </w:r>
      <w:r>
        <w:rPr>
          <w:rFonts w:hint="default"/>
          <w:color w:val="auto"/>
          <w:lang w:val="en-US" w:eastAsia="zh-CN"/>
        </w:rPr>
        <w:t xml:space="preserve"> 外协人员及相关方人员</w:t>
      </w:r>
    </w:p>
    <w:p w14:paraId="1B9F701C">
      <w:pPr>
        <w:bidi w:val="0"/>
        <w:rPr>
          <w:rFonts w:hint="default"/>
          <w:color w:val="auto"/>
          <w:lang w:val="en-US" w:eastAsia="zh-CN"/>
        </w:rPr>
      </w:pPr>
      <w:r>
        <w:rPr>
          <w:rFonts w:hint="default"/>
          <w:color w:val="auto"/>
          <w:lang w:val="en-US" w:eastAsia="zh-CN"/>
        </w:rPr>
        <w:t>根据《安全生产法》第二十</w:t>
      </w:r>
      <w:r>
        <w:rPr>
          <w:rFonts w:hint="eastAsia"/>
          <w:color w:val="auto"/>
          <w:lang w:val="en-US" w:eastAsia="zh-CN"/>
        </w:rPr>
        <w:t>八</w:t>
      </w:r>
      <w:r>
        <w:rPr>
          <w:rFonts w:hint="default"/>
          <w:color w:val="auto"/>
          <w:lang w:val="en-US" w:eastAsia="zh-CN"/>
        </w:rPr>
        <w:t>条，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24EBC9F3">
      <w:pPr>
        <w:pStyle w:val="5"/>
        <w:bidi w:val="0"/>
        <w:rPr>
          <w:rFonts w:hint="default"/>
          <w:color w:val="auto"/>
          <w:lang w:val="en-US" w:eastAsia="zh-CN"/>
        </w:rPr>
      </w:pPr>
      <w:bookmarkStart w:id="15" w:name="_Toc20580"/>
      <w:r>
        <w:rPr>
          <w:rFonts w:hint="eastAsia"/>
          <w:color w:val="auto"/>
          <w:lang w:val="en-US" w:eastAsia="zh-CN"/>
        </w:rPr>
        <w:t>2.11</w:t>
      </w:r>
      <w:r>
        <w:rPr>
          <w:rFonts w:hint="default"/>
          <w:color w:val="auto"/>
          <w:lang w:val="en-US" w:eastAsia="zh-CN"/>
        </w:rPr>
        <w:t xml:space="preserve"> 安全设施投入</w:t>
      </w:r>
      <w:bookmarkEnd w:id="15"/>
    </w:p>
    <w:p w14:paraId="34CBD694">
      <w:pPr>
        <w:bidi w:val="0"/>
        <w:rPr>
          <w:rFonts w:hint="default"/>
          <w:color w:val="auto"/>
          <w:lang w:val="en-US" w:eastAsia="zh-CN"/>
        </w:rPr>
      </w:pPr>
      <w:r>
        <w:rPr>
          <w:rFonts w:hint="default"/>
          <w:color w:val="auto"/>
          <w:lang w:val="en-US" w:eastAsia="zh-CN"/>
        </w:rPr>
        <w:t>项目总资金6299.84万元，初步设计中未明确安全设施投入情况。</w:t>
      </w:r>
    </w:p>
    <w:p w14:paraId="5D050392">
      <w:pPr>
        <w:rPr>
          <w:rFonts w:hint="default"/>
          <w:color w:val="auto"/>
          <w:lang w:val="en-US" w:eastAsia="zh-CN"/>
        </w:rPr>
      </w:pPr>
      <w:r>
        <w:rPr>
          <w:rFonts w:hint="default"/>
          <w:color w:val="auto"/>
          <w:lang w:val="en-US" w:eastAsia="zh-CN"/>
        </w:rPr>
        <w:br w:type="page"/>
      </w:r>
    </w:p>
    <w:p w14:paraId="74922A30">
      <w:pPr>
        <w:pStyle w:val="4"/>
        <w:bidi w:val="0"/>
        <w:rPr>
          <w:rFonts w:hint="default"/>
          <w:color w:val="auto"/>
          <w:lang w:val="en-US" w:eastAsia="zh-CN"/>
        </w:rPr>
      </w:pPr>
      <w:bookmarkStart w:id="16" w:name="_Toc26860"/>
      <w:r>
        <w:rPr>
          <w:rFonts w:hint="default"/>
          <w:color w:val="auto"/>
          <w:lang w:val="en-US" w:eastAsia="zh-CN"/>
        </w:rPr>
        <w:t>3 危险、有害因素辨识及分析</w:t>
      </w:r>
      <w:bookmarkEnd w:id="16"/>
    </w:p>
    <w:p w14:paraId="6D5597F4">
      <w:pPr>
        <w:pStyle w:val="5"/>
        <w:bidi w:val="0"/>
        <w:rPr>
          <w:rFonts w:hint="default"/>
          <w:color w:val="auto"/>
          <w:lang w:val="en-US" w:eastAsia="zh-CN"/>
        </w:rPr>
      </w:pPr>
      <w:bookmarkStart w:id="17" w:name="_Toc31089"/>
      <w:r>
        <w:rPr>
          <w:rFonts w:hint="default"/>
          <w:color w:val="auto"/>
          <w:lang w:val="en-US" w:eastAsia="zh-CN"/>
        </w:rPr>
        <w:t>3.1 主要危险、有害因素辨识与分析</w:t>
      </w:r>
      <w:bookmarkEnd w:id="17"/>
    </w:p>
    <w:p w14:paraId="5A652687">
      <w:pPr>
        <w:pStyle w:val="6"/>
        <w:bidi w:val="0"/>
        <w:rPr>
          <w:rFonts w:hint="default"/>
          <w:color w:val="auto"/>
          <w:lang w:val="en-US" w:eastAsia="zh-CN"/>
        </w:rPr>
      </w:pPr>
      <w:r>
        <w:rPr>
          <w:rFonts w:hint="default"/>
          <w:color w:val="auto"/>
          <w:lang w:val="en-US" w:eastAsia="zh-CN"/>
        </w:rPr>
        <w:t>3.1.1 辨识与分析的目的</w:t>
      </w:r>
    </w:p>
    <w:p w14:paraId="620B0D7B">
      <w:pPr>
        <w:bidi w:val="0"/>
        <w:rPr>
          <w:rFonts w:hint="default"/>
          <w:color w:val="auto"/>
          <w:lang w:val="en-US" w:eastAsia="zh-CN"/>
        </w:rPr>
      </w:pPr>
      <w:r>
        <w:rPr>
          <w:rFonts w:hint="default"/>
          <w:color w:val="auto"/>
          <w:lang w:val="en-US" w:eastAsia="zh-CN"/>
        </w:rPr>
        <w:t>危险因素分析的目的是对系统中的潜在危险进行辨识，并根据其危险等级确定防止这些潜在危险发展成事故的对策措施。</w:t>
      </w:r>
    </w:p>
    <w:p w14:paraId="4DCA472F">
      <w:pPr>
        <w:bidi w:val="0"/>
        <w:rPr>
          <w:rFonts w:hint="default"/>
          <w:color w:val="auto"/>
          <w:lang w:val="en-US" w:eastAsia="zh-CN"/>
        </w:rPr>
      </w:pPr>
      <w:r>
        <w:rPr>
          <w:rFonts w:hint="default"/>
          <w:color w:val="auto"/>
          <w:lang w:val="en-US" w:eastAsia="zh-CN"/>
        </w:rPr>
        <w:t>有害因素分析的目的是找出生产活动中对作业人员可能产生的各种有害因素，并评估其等级，提出改善劳动条件和防护措施的要求。通过贯彻实施，以控制和减少职业危害，保证作业人员的职业健康。</w:t>
      </w:r>
    </w:p>
    <w:p w14:paraId="2FF6F9B4">
      <w:pPr>
        <w:bidi w:val="0"/>
        <w:rPr>
          <w:rFonts w:hint="default"/>
          <w:color w:val="auto"/>
          <w:lang w:val="en-US" w:eastAsia="zh-CN"/>
        </w:rPr>
      </w:pPr>
      <w:r>
        <w:rPr>
          <w:rFonts w:hint="default"/>
          <w:color w:val="auto"/>
          <w:lang w:val="en-US" w:eastAsia="zh-CN"/>
        </w:rPr>
        <w:t>危险、有害因素分析是安全评价的基础。通过对</w:t>
      </w:r>
      <w:r>
        <w:rPr>
          <w:rFonts w:hint="eastAsia"/>
          <w:color w:val="auto"/>
          <w:lang w:val="en-US" w:eastAsia="zh-CN"/>
        </w:rPr>
        <w:t>尾矿处理</w:t>
      </w:r>
      <w:r>
        <w:rPr>
          <w:rFonts w:hint="default"/>
          <w:color w:val="auto"/>
          <w:lang w:val="en-US" w:eastAsia="zh-CN"/>
        </w:rPr>
        <w:t>工艺及系统中可能存在的危险、有害因素进行辨识和分析，确定主要危险、有害因素的种类、存在部位及可能产生的后果，选用适当的评价方法并针对性地提出防治、控制措施。</w:t>
      </w:r>
    </w:p>
    <w:p w14:paraId="59DDF391">
      <w:pPr>
        <w:pStyle w:val="6"/>
        <w:bidi w:val="0"/>
        <w:rPr>
          <w:rFonts w:hint="default"/>
          <w:color w:val="auto"/>
          <w:lang w:val="en-US" w:eastAsia="zh-CN"/>
        </w:rPr>
      </w:pPr>
      <w:r>
        <w:rPr>
          <w:rFonts w:hint="default"/>
          <w:color w:val="auto"/>
          <w:lang w:val="en-US" w:eastAsia="zh-CN"/>
        </w:rPr>
        <w:t>3.1.2 辨识与分析的方法</w:t>
      </w:r>
    </w:p>
    <w:p w14:paraId="0480B232">
      <w:pPr>
        <w:bidi w:val="0"/>
        <w:rPr>
          <w:rFonts w:hint="default"/>
          <w:color w:val="auto"/>
          <w:lang w:val="en-US" w:eastAsia="zh-CN"/>
        </w:rPr>
      </w:pPr>
      <w:r>
        <w:rPr>
          <w:rFonts w:hint="default"/>
          <w:color w:val="auto"/>
          <w:lang w:val="en-US" w:eastAsia="zh-CN"/>
        </w:rPr>
        <w:t>《企业员工伤亡事故分类》（GB6441-1986）把事故分为20类，综合考虑起因物、引起事故的诱导性原因、致害物、伤害方式等，本项目可能发生物体打击、车辆伤害、机械伤害、触电、淹溺、高处坠落、坍塌、灼烫、火灾、其他爆炸、中毒和窒息及其他伤害等事故。</w:t>
      </w:r>
    </w:p>
    <w:p w14:paraId="3122D5A7">
      <w:pPr>
        <w:bidi w:val="0"/>
        <w:rPr>
          <w:rFonts w:hint="default"/>
          <w:color w:val="auto"/>
          <w:lang w:val="en-US" w:eastAsia="zh-CN"/>
        </w:rPr>
      </w:pPr>
      <w:r>
        <w:rPr>
          <w:rFonts w:hint="default"/>
          <w:color w:val="auto"/>
          <w:lang w:val="en-US" w:eastAsia="zh-CN"/>
        </w:rPr>
        <w:t>按照《生产过程危险和有害因素分类与代码》（GB/T 13861-2022）的规定，将生产及检维修过程中的危险、有害因素分为以下4类：</w:t>
      </w:r>
    </w:p>
    <w:p w14:paraId="2860F54B">
      <w:pPr>
        <w:bidi w:val="0"/>
        <w:rPr>
          <w:rFonts w:hint="default"/>
          <w:color w:val="auto"/>
          <w:lang w:val="en-US" w:eastAsia="zh-CN"/>
        </w:rPr>
      </w:pPr>
      <w:r>
        <w:rPr>
          <w:rFonts w:hint="default"/>
          <w:color w:val="auto"/>
          <w:lang w:val="en-US" w:eastAsia="zh-CN"/>
        </w:rPr>
        <w:t>（1）人的因素</w:t>
      </w:r>
    </w:p>
    <w:p w14:paraId="6634BB8B">
      <w:pPr>
        <w:bidi w:val="0"/>
        <w:rPr>
          <w:rFonts w:hint="default"/>
          <w:color w:val="auto"/>
          <w:lang w:val="en-US" w:eastAsia="zh-CN"/>
        </w:rPr>
      </w:pPr>
      <w:r>
        <w:rPr>
          <w:rFonts w:hint="default"/>
          <w:color w:val="auto"/>
          <w:lang w:val="en-US" w:eastAsia="zh-CN"/>
        </w:rPr>
        <w:t>1）心理、生理性危险和有害因素；</w:t>
      </w:r>
    </w:p>
    <w:p w14:paraId="5D5D23D1">
      <w:pPr>
        <w:bidi w:val="0"/>
        <w:rPr>
          <w:rFonts w:hint="default"/>
          <w:color w:val="auto"/>
          <w:lang w:val="en-US" w:eastAsia="zh-CN"/>
        </w:rPr>
      </w:pPr>
      <w:r>
        <w:rPr>
          <w:rFonts w:hint="default"/>
          <w:color w:val="auto"/>
          <w:lang w:val="en-US" w:eastAsia="zh-CN"/>
        </w:rPr>
        <w:t>2）行为性危险和有害因素。</w:t>
      </w:r>
    </w:p>
    <w:p w14:paraId="0778E737">
      <w:pPr>
        <w:bidi w:val="0"/>
        <w:rPr>
          <w:rFonts w:hint="default"/>
          <w:color w:val="auto"/>
          <w:lang w:val="en-US" w:eastAsia="zh-CN"/>
        </w:rPr>
      </w:pPr>
      <w:r>
        <w:rPr>
          <w:rFonts w:hint="default"/>
          <w:color w:val="auto"/>
          <w:lang w:val="en-US" w:eastAsia="zh-CN"/>
        </w:rPr>
        <w:t>（2）物的因素</w:t>
      </w:r>
    </w:p>
    <w:p w14:paraId="2A9A5BC2">
      <w:pPr>
        <w:bidi w:val="0"/>
        <w:rPr>
          <w:rFonts w:hint="default"/>
          <w:color w:val="auto"/>
          <w:lang w:val="en-US" w:eastAsia="zh-CN"/>
        </w:rPr>
      </w:pPr>
      <w:r>
        <w:rPr>
          <w:rFonts w:hint="default"/>
          <w:color w:val="auto"/>
          <w:lang w:val="en-US" w:eastAsia="zh-CN"/>
        </w:rPr>
        <w:t>1）物理性危险和有害因素；</w:t>
      </w:r>
    </w:p>
    <w:p w14:paraId="6A57543A">
      <w:pPr>
        <w:bidi w:val="0"/>
        <w:rPr>
          <w:rFonts w:hint="default"/>
          <w:color w:val="auto"/>
          <w:lang w:val="en-US" w:eastAsia="zh-CN"/>
        </w:rPr>
      </w:pPr>
      <w:r>
        <w:rPr>
          <w:rFonts w:hint="default"/>
          <w:color w:val="auto"/>
          <w:lang w:val="en-US" w:eastAsia="zh-CN"/>
        </w:rPr>
        <w:t>2）生物性危险和有害因素。</w:t>
      </w:r>
    </w:p>
    <w:p w14:paraId="17FB30D2">
      <w:pPr>
        <w:bidi w:val="0"/>
        <w:rPr>
          <w:rFonts w:hint="default"/>
          <w:color w:val="auto"/>
          <w:lang w:val="en-US" w:eastAsia="zh-CN"/>
        </w:rPr>
      </w:pPr>
      <w:r>
        <w:rPr>
          <w:rFonts w:hint="default"/>
          <w:color w:val="auto"/>
          <w:lang w:val="en-US" w:eastAsia="zh-CN"/>
        </w:rPr>
        <w:t>（3）环境因素</w:t>
      </w:r>
    </w:p>
    <w:p w14:paraId="16408F5A">
      <w:pPr>
        <w:bidi w:val="0"/>
        <w:rPr>
          <w:rFonts w:hint="default"/>
          <w:color w:val="auto"/>
          <w:lang w:val="en-US" w:eastAsia="zh-CN"/>
        </w:rPr>
      </w:pPr>
      <w:r>
        <w:rPr>
          <w:rFonts w:hint="default"/>
          <w:color w:val="auto"/>
          <w:lang w:val="en-US" w:eastAsia="zh-CN"/>
        </w:rPr>
        <w:t>1）室内作业场所环境不良；</w:t>
      </w:r>
    </w:p>
    <w:p w14:paraId="1AEEBCC1">
      <w:pPr>
        <w:bidi w:val="0"/>
        <w:rPr>
          <w:rFonts w:hint="default"/>
          <w:color w:val="auto"/>
          <w:lang w:val="en-US" w:eastAsia="zh-CN"/>
        </w:rPr>
      </w:pPr>
      <w:r>
        <w:rPr>
          <w:rFonts w:hint="default"/>
          <w:color w:val="auto"/>
          <w:lang w:val="en-US" w:eastAsia="zh-CN"/>
        </w:rPr>
        <w:t>2）室外作业场地环境不良；</w:t>
      </w:r>
    </w:p>
    <w:p w14:paraId="494C6AB4">
      <w:pPr>
        <w:bidi w:val="0"/>
        <w:rPr>
          <w:rFonts w:hint="default"/>
          <w:color w:val="auto"/>
          <w:lang w:val="en-US" w:eastAsia="zh-CN"/>
        </w:rPr>
      </w:pPr>
      <w:r>
        <w:rPr>
          <w:rFonts w:hint="default"/>
          <w:color w:val="auto"/>
          <w:lang w:val="en-US" w:eastAsia="zh-CN"/>
        </w:rPr>
        <w:t>3）地下（含水下）作业环境不良；</w:t>
      </w:r>
    </w:p>
    <w:p w14:paraId="7EDD75F3">
      <w:pPr>
        <w:bidi w:val="0"/>
        <w:rPr>
          <w:rFonts w:hint="default"/>
          <w:color w:val="auto"/>
          <w:lang w:val="en-US" w:eastAsia="zh-CN"/>
        </w:rPr>
      </w:pPr>
      <w:r>
        <w:rPr>
          <w:rFonts w:hint="default"/>
          <w:color w:val="auto"/>
          <w:lang w:val="en-US" w:eastAsia="zh-CN"/>
        </w:rPr>
        <w:t>4）其他作业环境不良。</w:t>
      </w:r>
    </w:p>
    <w:p w14:paraId="3D123AA2">
      <w:pPr>
        <w:bidi w:val="0"/>
        <w:rPr>
          <w:rFonts w:hint="default"/>
          <w:color w:val="auto"/>
          <w:lang w:val="en-US" w:eastAsia="zh-CN"/>
        </w:rPr>
      </w:pPr>
      <w:r>
        <w:rPr>
          <w:rFonts w:hint="default"/>
          <w:color w:val="auto"/>
          <w:lang w:val="en-US" w:eastAsia="zh-CN"/>
        </w:rPr>
        <w:t>（4）管理因素</w:t>
      </w:r>
    </w:p>
    <w:p w14:paraId="6D57E3D4">
      <w:pPr>
        <w:bidi w:val="0"/>
        <w:rPr>
          <w:rFonts w:hint="default"/>
          <w:color w:val="auto"/>
          <w:lang w:val="en-US" w:eastAsia="zh-CN"/>
        </w:rPr>
      </w:pPr>
      <w:r>
        <w:rPr>
          <w:rFonts w:hint="default"/>
          <w:color w:val="auto"/>
          <w:lang w:val="en-US" w:eastAsia="zh-CN"/>
        </w:rPr>
        <w:t>1）职业安全卫生组织机构不健全；</w:t>
      </w:r>
    </w:p>
    <w:p w14:paraId="28FAC6F0">
      <w:pPr>
        <w:bidi w:val="0"/>
        <w:rPr>
          <w:rFonts w:hint="default"/>
          <w:color w:val="auto"/>
          <w:lang w:val="en-US" w:eastAsia="zh-CN"/>
        </w:rPr>
      </w:pPr>
      <w:r>
        <w:rPr>
          <w:rFonts w:hint="default"/>
          <w:color w:val="auto"/>
          <w:lang w:val="en-US" w:eastAsia="zh-CN"/>
        </w:rPr>
        <w:t>2）职业安全卫生责任制未落实；</w:t>
      </w:r>
    </w:p>
    <w:p w14:paraId="1DC4FE53">
      <w:pPr>
        <w:bidi w:val="0"/>
        <w:rPr>
          <w:rFonts w:hint="default"/>
          <w:color w:val="auto"/>
          <w:lang w:val="en-US" w:eastAsia="zh-CN"/>
        </w:rPr>
      </w:pPr>
      <w:r>
        <w:rPr>
          <w:rFonts w:hint="default"/>
          <w:color w:val="auto"/>
          <w:lang w:val="en-US" w:eastAsia="zh-CN"/>
        </w:rPr>
        <w:t>3）职业安全卫生管理规章制度不完善；</w:t>
      </w:r>
    </w:p>
    <w:p w14:paraId="3687A3A4">
      <w:pPr>
        <w:bidi w:val="0"/>
        <w:rPr>
          <w:rFonts w:hint="default"/>
          <w:color w:val="auto"/>
          <w:lang w:val="en-US" w:eastAsia="zh-CN"/>
        </w:rPr>
      </w:pPr>
      <w:r>
        <w:rPr>
          <w:rFonts w:hint="default"/>
          <w:color w:val="auto"/>
          <w:lang w:val="en-US" w:eastAsia="zh-CN"/>
        </w:rPr>
        <w:t>4）职业安全卫生投入不足；</w:t>
      </w:r>
    </w:p>
    <w:p w14:paraId="14E3E09C">
      <w:pPr>
        <w:bidi w:val="0"/>
        <w:rPr>
          <w:rFonts w:hint="default"/>
          <w:color w:val="auto"/>
          <w:lang w:val="en-US" w:eastAsia="zh-CN"/>
        </w:rPr>
      </w:pPr>
      <w:r>
        <w:rPr>
          <w:rFonts w:hint="default"/>
          <w:color w:val="auto"/>
          <w:lang w:val="en-US" w:eastAsia="zh-CN"/>
        </w:rPr>
        <w:t>5）职业健康管理不完善；</w:t>
      </w:r>
    </w:p>
    <w:p w14:paraId="62CE446A">
      <w:pPr>
        <w:bidi w:val="0"/>
        <w:rPr>
          <w:rFonts w:hint="default"/>
          <w:color w:val="auto"/>
          <w:lang w:val="en-US" w:eastAsia="zh-CN"/>
        </w:rPr>
      </w:pPr>
      <w:r>
        <w:rPr>
          <w:rFonts w:hint="default"/>
          <w:color w:val="auto"/>
          <w:lang w:val="en-US" w:eastAsia="zh-CN"/>
        </w:rPr>
        <w:t>6）其他管理因素缺陷。</w:t>
      </w:r>
    </w:p>
    <w:p w14:paraId="22A5706A">
      <w:pPr>
        <w:pStyle w:val="6"/>
        <w:bidi w:val="0"/>
        <w:rPr>
          <w:rFonts w:hint="default"/>
          <w:color w:val="auto"/>
          <w:lang w:val="en-US" w:eastAsia="zh-CN"/>
        </w:rPr>
      </w:pPr>
      <w:r>
        <w:rPr>
          <w:rFonts w:hint="default"/>
          <w:color w:val="auto"/>
          <w:lang w:val="en-US" w:eastAsia="zh-CN"/>
        </w:rPr>
        <w:t>3.1.3 危险、有害因素辨识依据</w:t>
      </w:r>
    </w:p>
    <w:p w14:paraId="637D854C">
      <w:pPr>
        <w:bidi w:val="0"/>
        <w:rPr>
          <w:rFonts w:hint="default"/>
          <w:color w:val="auto"/>
          <w:lang w:val="en-US" w:eastAsia="zh-CN"/>
        </w:rPr>
      </w:pPr>
      <w:r>
        <w:rPr>
          <w:rFonts w:hint="default"/>
          <w:color w:val="auto"/>
          <w:lang w:val="en-US" w:eastAsia="zh-CN"/>
        </w:rPr>
        <w:t>本报告主要依据《企业职工伤亡事故分类》（GB6441-1986）、《生产过程危险和有害因素分类与代码》（GB/T 13861-2022）、《关于公布建设项目职业病危害风险分类管理目录的通知》（国卫办职健发〔2021〕5号）、《危险化学品</w:t>
      </w:r>
      <w:r>
        <w:rPr>
          <w:rFonts w:hint="eastAsia"/>
          <w:color w:val="auto"/>
          <w:lang w:val="en-US" w:eastAsia="zh-CN"/>
        </w:rPr>
        <w:t>目</w:t>
      </w:r>
      <w:r>
        <w:rPr>
          <w:rFonts w:hint="default"/>
          <w:color w:val="auto"/>
          <w:lang w:val="en-US" w:eastAsia="zh-CN"/>
        </w:rPr>
        <w:t>录》（2022年调整版）等对该项目可能存在的危险、有害因进行辨识分析。</w:t>
      </w:r>
    </w:p>
    <w:p w14:paraId="1A56B99D">
      <w:pPr>
        <w:bidi w:val="0"/>
        <w:rPr>
          <w:rFonts w:hint="default"/>
          <w:color w:val="auto"/>
          <w:lang w:val="en-US" w:eastAsia="zh-CN"/>
        </w:rPr>
      </w:pPr>
      <w:r>
        <w:rPr>
          <w:rFonts w:hint="default"/>
          <w:color w:val="auto"/>
          <w:lang w:val="en-US" w:eastAsia="zh-CN"/>
        </w:rPr>
        <w:t>参照《关于公布建设项目职业病危害风险分类管理目录的通知》（国卫办职健发〔2021〕5号），将有害因素分为生产性粉尘、毒物、噪声与振动、高温、低温、辐射（电离辐射、非电离辐射）及其它有害因素等13类。</w:t>
      </w:r>
    </w:p>
    <w:p w14:paraId="022F326D">
      <w:pPr>
        <w:pStyle w:val="5"/>
        <w:bidi w:val="0"/>
        <w:rPr>
          <w:rFonts w:hint="default"/>
          <w:color w:val="auto"/>
          <w:lang w:val="en-US" w:eastAsia="zh-CN"/>
        </w:rPr>
      </w:pPr>
      <w:bookmarkStart w:id="18" w:name="_Toc22012"/>
      <w:r>
        <w:rPr>
          <w:rFonts w:hint="default"/>
          <w:color w:val="auto"/>
          <w:lang w:val="en-US" w:eastAsia="zh-CN"/>
        </w:rPr>
        <w:t>3.2 主要危险、有害物质辨识与分析</w:t>
      </w:r>
      <w:bookmarkEnd w:id="18"/>
    </w:p>
    <w:p w14:paraId="095AB1B9">
      <w:pPr>
        <w:bidi w:val="0"/>
        <w:rPr>
          <w:rFonts w:hint="default"/>
          <w:color w:val="auto"/>
          <w:lang w:val="en-US" w:eastAsia="zh-CN"/>
        </w:rPr>
      </w:pPr>
      <w:r>
        <w:rPr>
          <w:rFonts w:hint="default"/>
          <w:color w:val="auto"/>
          <w:lang w:val="en-US" w:eastAsia="zh-CN"/>
        </w:rPr>
        <w:t>该项目选用的物料主要为尾矿、机油。能源介质为水、电。</w:t>
      </w:r>
      <w:r>
        <w:rPr>
          <w:rFonts w:hint="eastAsia"/>
          <w:color w:val="auto"/>
          <w:lang w:val="en-US" w:eastAsia="zh-CN"/>
        </w:rPr>
        <w:t>项目检维修使用到氧气和乙炔，氧气和乙炔贮于存选厂。装载机使用的柴油。项目</w:t>
      </w:r>
      <w:r>
        <w:rPr>
          <w:rFonts w:hint="default"/>
          <w:color w:val="auto"/>
          <w:lang w:val="en-US" w:eastAsia="zh-CN"/>
        </w:rPr>
        <w:t>存在的潜在危害因素为粉尘危害、火灾爆炸事故、起重事故、机械伤害、噪声振动危害的潜在危害等。</w:t>
      </w:r>
    </w:p>
    <w:p w14:paraId="7A2AF3CB">
      <w:pPr>
        <w:pStyle w:val="6"/>
        <w:bidi w:val="0"/>
        <w:rPr>
          <w:rFonts w:hint="eastAsia"/>
          <w:color w:val="auto"/>
          <w:lang w:val="en-US" w:eastAsia="zh-CN"/>
        </w:rPr>
      </w:pPr>
      <w:r>
        <w:rPr>
          <w:rFonts w:hint="eastAsia"/>
          <w:color w:val="auto"/>
          <w:lang w:val="en-US" w:eastAsia="zh-CN"/>
        </w:rPr>
        <w:t>3.2.1 危险化学品辨识</w:t>
      </w:r>
    </w:p>
    <w:p w14:paraId="540B1526">
      <w:pPr>
        <w:bidi w:val="0"/>
        <w:rPr>
          <w:rFonts w:hint="eastAsia"/>
          <w:color w:val="auto"/>
          <w:lang w:val="en-US" w:eastAsia="zh-CN"/>
        </w:rPr>
      </w:pPr>
      <w:r>
        <w:rPr>
          <w:rFonts w:hint="eastAsia"/>
          <w:color w:val="auto"/>
          <w:lang w:val="en-US" w:eastAsia="zh-CN"/>
        </w:rPr>
        <w:t>项目存在的主要危险、有害物质有：柴油、变压器油、机油、乙炔、氧气等。</w:t>
      </w:r>
    </w:p>
    <w:p w14:paraId="389AF968">
      <w:pPr>
        <w:bidi w:val="0"/>
        <w:rPr>
          <w:rFonts w:hint="eastAsia"/>
          <w:color w:val="auto"/>
          <w:lang w:val="en-US" w:eastAsia="zh-CN"/>
        </w:rPr>
      </w:pPr>
      <w:r>
        <w:rPr>
          <w:rFonts w:hint="eastAsia"/>
          <w:color w:val="auto"/>
          <w:lang w:val="en-US" w:eastAsia="zh-CN"/>
        </w:rPr>
        <w:t>1、根据《危险化学品目录》（2022调整版）判别：氧气、乙炔、柴油属于危险化学品；变压器油、机油不属于危险化学品，但也具有一定的火灾危险性。</w:t>
      </w:r>
    </w:p>
    <w:p w14:paraId="386E30F9">
      <w:pPr>
        <w:bidi w:val="0"/>
        <w:rPr>
          <w:rFonts w:hint="eastAsia"/>
          <w:color w:val="auto"/>
          <w:lang w:val="en-US" w:eastAsia="zh-CN"/>
        </w:rPr>
      </w:pPr>
      <w:r>
        <w:rPr>
          <w:rFonts w:hint="eastAsia"/>
          <w:color w:val="auto"/>
          <w:lang w:val="en-US" w:eastAsia="zh-CN"/>
        </w:rPr>
        <w:t>2、根据《国家安全监管总局关于公布首批重点监管的危险化学品名录的通知》（原安监总管三[2012]95号），该项目涉及的主要危险、有害物质中乙炔属于首批重点监管的危险化学品，其它不属于首批重点监管的危险化学品。</w:t>
      </w:r>
    </w:p>
    <w:p w14:paraId="5EBD15AC">
      <w:pPr>
        <w:pStyle w:val="6"/>
        <w:bidi w:val="0"/>
        <w:rPr>
          <w:rFonts w:hint="eastAsia"/>
          <w:color w:val="auto"/>
          <w:lang w:val="en-US" w:eastAsia="zh-CN"/>
        </w:rPr>
      </w:pPr>
      <w:r>
        <w:rPr>
          <w:rFonts w:hint="eastAsia"/>
          <w:color w:val="auto"/>
          <w:lang w:val="en-US" w:eastAsia="zh-CN"/>
        </w:rPr>
        <w:t>3.2.2危险、有害物质的主要危险特性</w:t>
      </w:r>
    </w:p>
    <w:p w14:paraId="441BD93E">
      <w:pPr>
        <w:bidi w:val="0"/>
        <w:rPr>
          <w:rFonts w:hint="eastAsia"/>
          <w:color w:val="auto"/>
          <w:lang w:val="en-US" w:eastAsia="zh-CN"/>
        </w:rPr>
      </w:pPr>
      <w:r>
        <w:rPr>
          <w:rFonts w:hint="eastAsia"/>
          <w:color w:val="auto"/>
          <w:lang w:val="en-US" w:eastAsia="zh-CN"/>
        </w:rPr>
        <w:t>1、柴油</w:t>
      </w:r>
    </w:p>
    <w:p w14:paraId="669F36D8">
      <w:pPr>
        <w:bidi w:val="0"/>
        <w:rPr>
          <w:rFonts w:hint="eastAsia"/>
          <w:color w:val="auto"/>
          <w:lang w:val="en-US" w:eastAsia="zh-CN"/>
        </w:rPr>
      </w:pPr>
      <w:r>
        <w:rPr>
          <w:rFonts w:hint="eastAsia"/>
          <w:color w:val="auto"/>
          <w:lang w:val="en-US" w:eastAsia="zh-CN"/>
        </w:rPr>
        <w:t>项目中所使用的柴油主要为供给装载机使用的桶装柴油（随用随拉，不储存），加油时油桶存在火灾爆炸的危险。</w:t>
      </w:r>
    </w:p>
    <w:p w14:paraId="348E0F1E">
      <w:pPr>
        <w:pStyle w:val="29"/>
        <w:bidi w:val="0"/>
        <w:rPr>
          <w:rFonts w:hint="default"/>
          <w:color w:val="auto"/>
          <w:lang w:val="en-US" w:eastAsia="zh-CN"/>
        </w:rPr>
      </w:pPr>
      <w:r>
        <w:rPr>
          <w:rFonts w:hint="eastAsia"/>
          <w:color w:val="auto"/>
          <w:lang w:val="en-US" w:eastAsia="zh-CN"/>
        </w:rPr>
        <w:t>表3.2-1  柴油理化特性表</w:t>
      </w:r>
    </w:p>
    <w:tbl>
      <w:tblPr>
        <w:tblStyle w:val="21"/>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6"/>
        <w:gridCol w:w="7457"/>
      </w:tblGrid>
      <w:tr w14:paraId="4F7A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3" w:type="dxa"/>
            <w:gridSpan w:val="2"/>
            <w:noWrap w:val="0"/>
            <w:vAlign w:val="center"/>
          </w:tcPr>
          <w:p w14:paraId="181F2EE2">
            <w:pPr>
              <w:pStyle w:val="30"/>
              <w:bidi w:val="0"/>
              <w:jc w:val="center"/>
              <w:rPr>
                <w:rFonts w:hint="default"/>
                <w:color w:val="auto"/>
              </w:rPr>
            </w:pPr>
            <w:r>
              <w:rPr>
                <w:rFonts w:hint="default"/>
                <w:color w:val="auto"/>
              </w:rPr>
              <w:t>1.标识</w:t>
            </w:r>
          </w:p>
        </w:tc>
      </w:tr>
      <w:tr w14:paraId="3042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14B2A40">
            <w:pPr>
              <w:pStyle w:val="30"/>
              <w:bidi w:val="0"/>
              <w:jc w:val="center"/>
              <w:rPr>
                <w:rFonts w:hint="default"/>
                <w:color w:val="auto"/>
              </w:rPr>
            </w:pPr>
            <w:r>
              <w:rPr>
                <w:rFonts w:hint="default"/>
                <w:color w:val="auto"/>
              </w:rPr>
              <w:t>中文名</w:t>
            </w:r>
          </w:p>
        </w:tc>
        <w:tc>
          <w:tcPr>
            <w:tcW w:w="7457" w:type="dxa"/>
            <w:noWrap w:val="0"/>
            <w:vAlign w:val="center"/>
          </w:tcPr>
          <w:p w14:paraId="072510E7">
            <w:pPr>
              <w:pStyle w:val="30"/>
              <w:bidi w:val="0"/>
              <w:jc w:val="left"/>
              <w:rPr>
                <w:rFonts w:hint="default"/>
                <w:color w:val="auto"/>
              </w:rPr>
            </w:pPr>
            <w:r>
              <w:rPr>
                <w:rFonts w:hint="default"/>
                <w:color w:val="auto"/>
              </w:rPr>
              <w:t>柴油</w:t>
            </w:r>
          </w:p>
        </w:tc>
      </w:tr>
      <w:tr w14:paraId="5CFD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FE22268">
            <w:pPr>
              <w:pStyle w:val="30"/>
              <w:bidi w:val="0"/>
              <w:jc w:val="center"/>
              <w:rPr>
                <w:rFonts w:hint="default"/>
                <w:color w:val="auto"/>
              </w:rPr>
            </w:pPr>
            <w:r>
              <w:rPr>
                <w:rFonts w:hint="default"/>
                <w:color w:val="auto"/>
              </w:rPr>
              <w:t>英文名</w:t>
            </w:r>
          </w:p>
        </w:tc>
        <w:tc>
          <w:tcPr>
            <w:tcW w:w="7457" w:type="dxa"/>
            <w:noWrap w:val="0"/>
            <w:vAlign w:val="center"/>
          </w:tcPr>
          <w:p w14:paraId="655A5D2A">
            <w:pPr>
              <w:pStyle w:val="30"/>
              <w:bidi w:val="0"/>
              <w:jc w:val="left"/>
              <w:rPr>
                <w:rFonts w:hint="default"/>
                <w:color w:val="auto"/>
              </w:rPr>
            </w:pPr>
            <w:r>
              <w:rPr>
                <w:rFonts w:hint="default"/>
                <w:color w:val="auto"/>
              </w:rPr>
              <w:t>Diesel Oil；diesel fuel；</w:t>
            </w:r>
          </w:p>
        </w:tc>
      </w:tr>
      <w:tr w14:paraId="3B19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1C36D4C">
            <w:pPr>
              <w:pStyle w:val="30"/>
              <w:bidi w:val="0"/>
              <w:jc w:val="center"/>
              <w:rPr>
                <w:rFonts w:hint="default"/>
                <w:color w:val="auto"/>
              </w:rPr>
            </w:pPr>
            <w:r>
              <w:rPr>
                <w:rFonts w:hint="default"/>
                <w:color w:val="auto"/>
              </w:rPr>
              <w:t>CAS号：</w:t>
            </w:r>
          </w:p>
        </w:tc>
        <w:tc>
          <w:tcPr>
            <w:tcW w:w="7457" w:type="dxa"/>
            <w:noWrap w:val="0"/>
            <w:vAlign w:val="center"/>
          </w:tcPr>
          <w:p w14:paraId="2F2F3AA4">
            <w:pPr>
              <w:pStyle w:val="30"/>
              <w:bidi w:val="0"/>
              <w:jc w:val="left"/>
              <w:rPr>
                <w:rFonts w:hint="default"/>
                <w:color w:val="auto"/>
              </w:rPr>
            </w:pPr>
            <w:r>
              <w:rPr>
                <w:rFonts w:hint="default"/>
                <w:color w:val="auto"/>
              </w:rPr>
              <w:t>68334-30-5</w:t>
            </w:r>
          </w:p>
        </w:tc>
      </w:tr>
      <w:tr w14:paraId="4EAE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3" w:type="dxa"/>
            <w:gridSpan w:val="2"/>
            <w:noWrap w:val="0"/>
            <w:vAlign w:val="center"/>
          </w:tcPr>
          <w:p w14:paraId="43C977C5">
            <w:pPr>
              <w:pStyle w:val="30"/>
              <w:bidi w:val="0"/>
              <w:jc w:val="center"/>
              <w:rPr>
                <w:rFonts w:hint="default"/>
                <w:color w:val="auto"/>
              </w:rPr>
            </w:pPr>
            <w:r>
              <w:rPr>
                <w:rFonts w:hint="default"/>
                <w:color w:val="auto"/>
              </w:rPr>
              <w:t>2.理化性质</w:t>
            </w:r>
          </w:p>
        </w:tc>
      </w:tr>
      <w:tr w14:paraId="2B7A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E4173E1">
            <w:pPr>
              <w:pStyle w:val="30"/>
              <w:bidi w:val="0"/>
              <w:jc w:val="center"/>
              <w:rPr>
                <w:rFonts w:hint="default"/>
                <w:color w:val="auto"/>
              </w:rPr>
            </w:pPr>
            <w:r>
              <w:rPr>
                <w:rFonts w:hint="default"/>
                <w:color w:val="auto"/>
              </w:rPr>
              <w:t>主要成分：</w:t>
            </w:r>
          </w:p>
        </w:tc>
        <w:tc>
          <w:tcPr>
            <w:tcW w:w="7457" w:type="dxa"/>
            <w:noWrap w:val="0"/>
            <w:vAlign w:val="center"/>
          </w:tcPr>
          <w:p w14:paraId="09B9802B">
            <w:pPr>
              <w:pStyle w:val="30"/>
              <w:bidi w:val="0"/>
              <w:jc w:val="left"/>
              <w:rPr>
                <w:rFonts w:hint="default"/>
                <w:color w:val="auto"/>
              </w:rPr>
            </w:pPr>
            <w:r>
              <w:rPr>
                <w:rFonts w:hint="default"/>
                <w:color w:val="auto"/>
              </w:rPr>
              <w:t>烷烃、烯烃、环烷烃、芳香烃、多环芳烃与少量硫</w:t>
            </w:r>
            <w:r>
              <w:rPr>
                <w:rFonts w:hint="default"/>
                <w:color w:val="auto"/>
                <w:lang w:eastAsia="zh-CN"/>
              </w:rPr>
              <w:t>（</w:t>
            </w:r>
            <w:r>
              <w:rPr>
                <w:rFonts w:hint="default"/>
                <w:color w:val="auto"/>
              </w:rPr>
              <w:t>2g/kg～60g/kg</w:t>
            </w:r>
            <w:r>
              <w:rPr>
                <w:rFonts w:hint="eastAsia"/>
                <w:color w:val="auto"/>
                <w:lang w:eastAsia="zh-CN"/>
              </w:rPr>
              <w:t>）</w:t>
            </w:r>
            <w:r>
              <w:rPr>
                <w:rFonts w:hint="default"/>
                <w:color w:val="auto"/>
              </w:rPr>
              <w:t>、氮</w:t>
            </w:r>
            <w:r>
              <w:rPr>
                <w:rFonts w:hint="default"/>
                <w:color w:val="auto"/>
                <w:lang w:eastAsia="zh-CN"/>
              </w:rPr>
              <w:t>（</w:t>
            </w:r>
            <w:r>
              <w:rPr>
                <w:rFonts w:hint="default"/>
                <w:color w:val="auto"/>
              </w:rPr>
              <w:t>&lt;lg/kg</w:t>
            </w:r>
            <w:r>
              <w:rPr>
                <w:rFonts w:hint="eastAsia"/>
                <w:color w:val="auto"/>
                <w:lang w:eastAsia="zh-CN"/>
              </w:rPr>
              <w:t>）</w:t>
            </w:r>
            <w:r>
              <w:rPr>
                <w:rFonts w:hint="default"/>
                <w:color w:val="auto"/>
              </w:rPr>
              <w:t>及添加剂组成的混合物</w:t>
            </w:r>
          </w:p>
        </w:tc>
      </w:tr>
      <w:tr w14:paraId="2320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422415A0">
            <w:pPr>
              <w:pStyle w:val="30"/>
              <w:bidi w:val="0"/>
              <w:jc w:val="center"/>
              <w:rPr>
                <w:rFonts w:hint="default"/>
                <w:color w:val="auto"/>
              </w:rPr>
            </w:pPr>
            <w:r>
              <w:rPr>
                <w:rFonts w:hint="default"/>
                <w:color w:val="auto"/>
              </w:rPr>
              <w:t>沸点：</w:t>
            </w:r>
          </w:p>
        </w:tc>
        <w:tc>
          <w:tcPr>
            <w:tcW w:w="7457" w:type="dxa"/>
            <w:noWrap w:val="0"/>
            <w:vAlign w:val="center"/>
          </w:tcPr>
          <w:p w14:paraId="44527C55">
            <w:pPr>
              <w:pStyle w:val="30"/>
              <w:bidi w:val="0"/>
              <w:jc w:val="left"/>
              <w:rPr>
                <w:rFonts w:hint="default"/>
                <w:color w:val="auto"/>
              </w:rPr>
            </w:pPr>
            <w:r>
              <w:rPr>
                <w:rFonts w:hint="default"/>
                <w:color w:val="auto"/>
              </w:rPr>
              <w:t>180℃～370℃</w:t>
            </w:r>
          </w:p>
        </w:tc>
      </w:tr>
      <w:tr w14:paraId="4425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2DED51E6">
            <w:pPr>
              <w:pStyle w:val="30"/>
              <w:bidi w:val="0"/>
              <w:jc w:val="center"/>
              <w:rPr>
                <w:rFonts w:hint="default"/>
                <w:color w:val="auto"/>
              </w:rPr>
            </w:pPr>
            <w:r>
              <w:rPr>
                <w:rFonts w:hint="default"/>
                <w:color w:val="auto"/>
              </w:rPr>
              <w:t>溶点</w:t>
            </w:r>
          </w:p>
        </w:tc>
        <w:tc>
          <w:tcPr>
            <w:tcW w:w="7457" w:type="dxa"/>
            <w:noWrap w:val="0"/>
            <w:vAlign w:val="center"/>
          </w:tcPr>
          <w:p w14:paraId="398DFBD7">
            <w:pPr>
              <w:pStyle w:val="30"/>
              <w:bidi w:val="0"/>
              <w:jc w:val="left"/>
              <w:rPr>
                <w:rFonts w:hint="default"/>
                <w:color w:val="auto"/>
              </w:rPr>
            </w:pPr>
            <w:r>
              <w:rPr>
                <w:rFonts w:hint="eastAsia"/>
                <w:color w:val="auto"/>
                <w:lang w:val="en-US" w:eastAsia="zh-CN"/>
              </w:rPr>
              <w:t>-</w:t>
            </w:r>
            <w:r>
              <w:rPr>
                <w:rFonts w:hint="default"/>
                <w:color w:val="auto"/>
              </w:rPr>
              <w:t>29.56℃</w:t>
            </w:r>
          </w:p>
        </w:tc>
      </w:tr>
      <w:tr w14:paraId="7017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46ACE6A6">
            <w:pPr>
              <w:pStyle w:val="30"/>
              <w:bidi w:val="0"/>
              <w:jc w:val="center"/>
              <w:rPr>
                <w:rFonts w:hint="default"/>
                <w:color w:val="auto"/>
              </w:rPr>
            </w:pPr>
            <w:r>
              <w:rPr>
                <w:rFonts w:hint="default"/>
                <w:color w:val="auto"/>
              </w:rPr>
              <w:t>相对密度</w:t>
            </w:r>
            <w:r>
              <w:rPr>
                <w:rFonts w:hint="default"/>
                <w:color w:val="auto"/>
                <w:lang w:eastAsia="zh-CN"/>
              </w:rPr>
              <w:t>（</w:t>
            </w:r>
            <w:r>
              <w:rPr>
                <w:rFonts w:hint="default"/>
                <w:color w:val="auto"/>
              </w:rPr>
              <w:t>水=1</w:t>
            </w:r>
            <w:r>
              <w:rPr>
                <w:rFonts w:hint="eastAsia"/>
                <w:color w:val="auto"/>
                <w:lang w:eastAsia="zh-CN"/>
              </w:rPr>
              <w:t>）</w:t>
            </w:r>
            <w:r>
              <w:rPr>
                <w:rFonts w:hint="default"/>
                <w:color w:val="auto"/>
              </w:rPr>
              <w:t>：</w:t>
            </w:r>
          </w:p>
        </w:tc>
        <w:tc>
          <w:tcPr>
            <w:tcW w:w="7457" w:type="dxa"/>
            <w:noWrap w:val="0"/>
            <w:vAlign w:val="center"/>
          </w:tcPr>
          <w:p w14:paraId="748D16C8">
            <w:pPr>
              <w:pStyle w:val="30"/>
              <w:bidi w:val="0"/>
              <w:jc w:val="left"/>
              <w:rPr>
                <w:rFonts w:hint="default"/>
                <w:color w:val="auto"/>
              </w:rPr>
            </w:pPr>
            <w:r>
              <w:rPr>
                <w:rFonts w:hint="default"/>
                <w:color w:val="auto"/>
              </w:rPr>
              <w:t>0.85～0.9</w:t>
            </w:r>
          </w:p>
        </w:tc>
      </w:tr>
      <w:tr w14:paraId="6E02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838CE40">
            <w:pPr>
              <w:pStyle w:val="30"/>
              <w:bidi w:val="0"/>
              <w:jc w:val="center"/>
              <w:rPr>
                <w:rFonts w:hint="default"/>
                <w:color w:val="auto"/>
              </w:rPr>
            </w:pPr>
            <w:r>
              <w:rPr>
                <w:rFonts w:hint="default"/>
                <w:color w:val="auto"/>
              </w:rPr>
              <w:t>蒸汽密度：</w:t>
            </w:r>
          </w:p>
        </w:tc>
        <w:tc>
          <w:tcPr>
            <w:tcW w:w="7457" w:type="dxa"/>
            <w:noWrap w:val="0"/>
            <w:vAlign w:val="center"/>
          </w:tcPr>
          <w:p w14:paraId="70144C3C">
            <w:pPr>
              <w:pStyle w:val="30"/>
              <w:bidi w:val="0"/>
              <w:jc w:val="left"/>
              <w:rPr>
                <w:rFonts w:hint="default"/>
                <w:color w:val="auto"/>
              </w:rPr>
            </w:pPr>
            <w:r>
              <w:rPr>
                <w:rFonts w:hint="default"/>
                <w:color w:val="auto"/>
              </w:rPr>
              <w:t>4</w:t>
            </w:r>
          </w:p>
        </w:tc>
      </w:tr>
      <w:tr w14:paraId="3EA9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34B677BD">
            <w:pPr>
              <w:pStyle w:val="30"/>
              <w:bidi w:val="0"/>
              <w:jc w:val="center"/>
              <w:rPr>
                <w:rFonts w:hint="default"/>
                <w:color w:val="auto"/>
              </w:rPr>
            </w:pPr>
            <w:r>
              <w:rPr>
                <w:rFonts w:hint="default"/>
                <w:color w:val="auto"/>
              </w:rPr>
              <w:t>蒸气压：</w:t>
            </w:r>
          </w:p>
        </w:tc>
        <w:tc>
          <w:tcPr>
            <w:tcW w:w="7457" w:type="dxa"/>
            <w:noWrap w:val="0"/>
            <w:vAlign w:val="center"/>
          </w:tcPr>
          <w:p w14:paraId="09B7CD98">
            <w:pPr>
              <w:pStyle w:val="30"/>
              <w:bidi w:val="0"/>
              <w:jc w:val="left"/>
              <w:rPr>
                <w:rFonts w:hint="default"/>
                <w:color w:val="auto"/>
              </w:rPr>
            </w:pPr>
            <w:r>
              <w:rPr>
                <w:rFonts w:hint="default"/>
                <w:color w:val="auto"/>
              </w:rPr>
              <w:t>4.0kPa</w:t>
            </w:r>
          </w:p>
        </w:tc>
      </w:tr>
      <w:tr w14:paraId="01E7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5181E7F">
            <w:pPr>
              <w:pStyle w:val="30"/>
              <w:bidi w:val="0"/>
              <w:jc w:val="center"/>
              <w:rPr>
                <w:rFonts w:hint="default"/>
                <w:color w:val="auto"/>
              </w:rPr>
            </w:pPr>
            <w:r>
              <w:rPr>
                <w:rFonts w:hint="default"/>
                <w:color w:val="auto"/>
              </w:rPr>
              <w:t>外观性状：</w:t>
            </w:r>
          </w:p>
        </w:tc>
        <w:tc>
          <w:tcPr>
            <w:tcW w:w="7457" w:type="dxa"/>
            <w:noWrap w:val="0"/>
            <w:vAlign w:val="center"/>
          </w:tcPr>
          <w:p w14:paraId="330F7771">
            <w:pPr>
              <w:pStyle w:val="30"/>
              <w:bidi w:val="0"/>
              <w:jc w:val="left"/>
              <w:rPr>
                <w:rFonts w:hint="default"/>
                <w:color w:val="auto"/>
              </w:rPr>
            </w:pPr>
            <w:r>
              <w:rPr>
                <w:rFonts w:hint="default"/>
                <w:color w:val="auto"/>
                <w:lang w:eastAsia="zh-CN"/>
              </w:rPr>
              <w:t>（</w:t>
            </w:r>
            <w:r>
              <w:rPr>
                <w:rFonts w:hint="default"/>
                <w:color w:val="auto"/>
              </w:rPr>
              <w:t>以燃料油为例</w:t>
            </w:r>
            <w:r>
              <w:rPr>
                <w:rFonts w:hint="eastAsia"/>
                <w:color w:val="auto"/>
                <w:lang w:eastAsia="zh-CN"/>
              </w:rPr>
              <w:t>）</w:t>
            </w:r>
            <w:r>
              <w:rPr>
                <w:rFonts w:hint="default"/>
                <w:color w:val="auto"/>
              </w:rPr>
              <w:t>稍有粘性的浅黄至棕色或淡黄色液体，不溶于水。</w:t>
            </w:r>
          </w:p>
        </w:tc>
      </w:tr>
      <w:tr w14:paraId="7BC7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9F506C5">
            <w:pPr>
              <w:pStyle w:val="30"/>
              <w:bidi w:val="0"/>
              <w:jc w:val="center"/>
              <w:rPr>
                <w:rFonts w:hint="default"/>
                <w:color w:val="auto"/>
              </w:rPr>
            </w:pPr>
            <w:r>
              <w:rPr>
                <w:rFonts w:hint="default"/>
                <w:color w:val="auto"/>
              </w:rPr>
              <w:t>主要用途</w:t>
            </w:r>
          </w:p>
        </w:tc>
        <w:tc>
          <w:tcPr>
            <w:tcW w:w="7457" w:type="dxa"/>
            <w:noWrap w:val="0"/>
            <w:vAlign w:val="center"/>
          </w:tcPr>
          <w:p w14:paraId="3DF7932C">
            <w:pPr>
              <w:pStyle w:val="30"/>
              <w:bidi w:val="0"/>
              <w:jc w:val="left"/>
              <w:rPr>
                <w:rFonts w:hint="default"/>
                <w:color w:val="auto"/>
              </w:rPr>
            </w:pPr>
            <w:r>
              <w:rPr>
                <w:rFonts w:hint="default"/>
                <w:color w:val="auto"/>
              </w:rPr>
              <w:t>主要用于做柴油汽车、拖拉机等柴油发动机的燃料。</w:t>
            </w:r>
          </w:p>
        </w:tc>
      </w:tr>
      <w:tr w14:paraId="0A86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2FA7C2BB">
            <w:pPr>
              <w:pStyle w:val="30"/>
              <w:bidi w:val="0"/>
              <w:jc w:val="center"/>
              <w:rPr>
                <w:rFonts w:hint="default"/>
                <w:color w:val="auto"/>
              </w:rPr>
            </w:pPr>
            <w:r>
              <w:rPr>
                <w:rFonts w:hint="default"/>
                <w:color w:val="auto"/>
              </w:rPr>
              <w:t>危险特性</w:t>
            </w:r>
          </w:p>
        </w:tc>
        <w:tc>
          <w:tcPr>
            <w:tcW w:w="7457" w:type="dxa"/>
            <w:noWrap w:val="0"/>
            <w:vAlign w:val="center"/>
          </w:tcPr>
          <w:p w14:paraId="4A09101C">
            <w:pPr>
              <w:pStyle w:val="30"/>
              <w:bidi w:val="0"/>
              <w:jc w:val="left"/>
              <w:rPr>
                <w:rFonts w:hint="default"/>
                <w:color w:val="auto"/>
              </w:rPr>
            </w:pPr>
            <w:r>
              <w:rPr>
                <w:rFonts w:hint="default"/>
                <w:color w:val="auto"/>
              </w:rPr>
              <w:t>闪点：40℃</w:t>
            </w:r>
          </w:p>
          <w:p w14:paraId="3AE3AD9E">
            <w:pPr>
              <w:pStyle w:val="30"/>
              <w:bidi w:val="0"/>
              <w:jc w:val="left"/>
              <w:rPr>
                <w:rFonts w:hint="default"/>
                <w:color w:val="auto"/>
              </w:rPr>
            </w:pPr>
            <w:r>
              <w:rPr>
                <w:rFonts w:hint="default"/>
                <w:color w:val="auto"/>
              </w:rPr>
              <w:t>爆炸极限：0.6％～6.5％</w:t>
            </w:r>
          </w:p>
          <w:p w14:paraId="7B039CC8">
            <w:pPr>
              <w:pStyle w:val="30"/>
              <w:bidi w:val="0"/>
              <w:jc w:val="left"/>
              <w:rPr>
                <w:rFonts w:hint="default"/>
                <w:color w:val="auto"/>
              </w:rPr>
            </w:pPr>
            <w:r>
              <w:rPr>
                <w:rFonts w:hint="default"/>
                <w:color w:val="auto"/>
              </w:rPr>
              <w:t>引燃温度：257℃</w:t>
            </w:r>
          </w:p>
          <w:p w14:paraId="1E4FD82D">
            <w:pPr>
              <w:pStyle w:val="30"/>
              <w:bidi w:val="0"/>
              <w:jc w:val="left"/>
              <w:rPr>
                <w:rFonts w:hint="default"/>
                <w:color w:val="auto"/>
              </w:rPr>
            </w:pPr>
            <w:r>
              <w:rPr>
                <w:rFonts w:hint="default"/>
                <w:color w:val="auto"/>
              </w:rPr>
              <w:t>自燃点：350℃~380℃</w:t>
            </w:r>
          </w:p>
          <w:p w14:paraId="3B098EC4">
            <w:pPr>
              <w:pStyle w:val="30"/>
              <w:bidi w:val="0"/>
              <w:jc w:val="left"/>
              <w:rPr>
                <w:rFonts w:hint="default"/>
                <w:color w:val="auto"/>
              </w:rPr>
            </w:pPr>
            <w:r>
              <w:rPr>
                <w:rFonts w:hint="default"/>
                <w:color w:val="auto"/>
              </w:rPr>
              <w:t>稳定性：稳定</w:t>
            </w:r>
          </w:p>
          <w:p w14:paraId="72376ACF">
            <w:pPr>
              <w:pStyle w:val="30"/>
              <w:bidi w:val="0"/>
              <w:jc w:val="left"/>
              <w:rPr>
                <w:rFonts w:hint="default"/>
                <w:color w:val="auto"/>
              </w:rPr>
            </w:pPr>
            <w:r>
              <w:rPr>
                <w:rFonts w:hint="default"/>
                <w:color w:val="auto"/>
              </w:rPr>
              <w:t>聚合危害：不能出现</w:t>
            </w:r>
          </w:p>
          <w:p w14:paraId="360933D6">
            <w:pPr>
              <w:pStyle w:val="30"/>
              <w:bidi w:val="0"/>
              <w:jc w:val="left"/>
              <w:rPr>
                <w:rFonts w:hint="default"/>
                <w:color w:val="auto"/>
              </w:rPr>
            </w:pPr>
            <w:r>
              <w:rPr>
                <w:rFonts w:hint="default"/>
                <w:color w:val="auto"/>
              </w:rPr>
              <w:t>禁忌物：强氧化剂、卤素</w:t>
            </w:r>
          </w:p>
          <w:p w14:paraId="5B7FAE2D">
            <w:pPr>
              <w:pStyle w:val="30"/>
              <w:bidi w:val="0"/>
              <w:jc w:val="left"/>
              <w:rPr>
                <w:rFonts w:hint="default"/>
                <w:color w:val="auto"/>
              </w:rPr>
            </w:pPr>
            <w:r>
              <w:rPr>
                <w:rFonts w:hint="default"/>
                <w:color w:val="auto"/>
              </w:rPr>
              <w:t>①蒸气与空气混合成为爆炸性混合物0.7％~5.0％；</w:t>
            </w:r>
          </w:p>
          <w:p w14:paraId="1FE7B0B4">
            <w:pPr>
              <w:pStyle w:val="30"/>
              <w:bidi w:val="0"/>
              <w:jc w:val="left"/>
              <w:rPr>
                <w:rFonts w:hint="default"/>
                <w:color w:val="auto"/>
              </w:rPr>
            </w:pPr>
            <w:r>
              <w:rPr>
                <w:rFonts w:hint="default"/>
                <w:color w:val="auto"/>
              </w:rPr>
              <w:t>②遇热、火花、明火，有引起燃烧爆炸的危险；</w:t>
            </w:r>
          </w:p>
          <w:p w14:paraId="228DD5FF">
            <w:pPr>
              <w:pStyle w:val="30"/>
              <w:bidi w:val="0"/>
              <w:jc w:val="left"/>
              <w:rPr>
                <w:rFonts w:hint="default"/>
                <w:color w:val="auto"/>
              </w:rPr>
            </w:pPr>
            <w:r>
              <w:rPr>
                <w:rFonts w:hint="default"/>
                <w:color w:val="auto"/>
              </w:rPr>
              <w:t>③遇高热，容器内压增大，有开裂和爆炸的危险；</w:t>
            </w:r>
          </w:p>
          <w:p w14:paraId="0262DDA8">
            <w:pPr>
              <w:pStyle w:val="30"/>
              <w:bidi w:val="0"/>
              <w:jc w:val="left"/>
              <w:rPr>
                <w:rFonts w:hint="default"/>
                <w:color w:val="auto"/>
              </w:rPr>
            </w:pPr>
            <w:r>
              <w:rPr>
                <w:rFonts w:hint="default"/>
                <w:color w:val="auto"/>
              </w:rPr>
              <w:t>④可蓄积静电，引起电火花；</w:t>
            </w:r>
          </w:p>
          <w:p w14:paraId="6C18C7E9">
            <w:pPr>
              <w:pStyle w:val="30"/>
              <w:bidi w:val="0"/>
              <w:jc w:val="left"/>
              <w:rPr>
                <w:rFonts w:hint="default"/>
                <w:color w:val="auto"/>
              </w:rPr>
            </w:pPr>
            <w:r>
              <w:rPr>
                <w:rFonts w:hint="default"/>
                <w:color w:val="auto"/>
              </w:rPr>
              <w:t>⑤分解和燃烧产物为一氧化碳、二氧化碳和硫氧化物；</w:t>
            </w:r>
          </w:p>
          <w:p w14:paraId="1C66FF51">
            <w:pPr>
              <w:pStyle w:val="30"/>
              <w:bidi w:val="0"/>
              <w:jc w:val="left"/>
              <w:rPr>
                <w:rFonts w:hint="default"/>
                <w:color w:val="auto"/>
              </w:rPr>
            </w:pPr>
            <w:r>
              <w:rPr>
                <w:rFonts w:hint="default"/>
                <w:color w:val="auto"/>
              </w:rPr>
              <w:t>⑥避免接触氧化剂。</w:t>
            </w:r>
          </w:p>
        </w:tc>
      </w:tr>
      <w:tr w14:paraId="3A71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7646F16">
            <w:pPr>
              <w:pStyle w:val="30"/>
              <w:bidi w:val="0"/>
              <w:jc w:val="center"/>
              <w:rPr>
                <w:rFonts w:hint="default"/>
                <w:color w:val="auto"/>
              </w:rPr>
            </w:pPr>
            <w:r>
              <w:rPr>
                <w:rFonts w:hint="default"/>
                <w:color w:val="auto"/>
              </w:rPr>
              <w:t>灭火方法</w:t>
            </w:r>
          </w:p>
        </w:tc>
        <w:tc>
          <w:tcPr>
            <w:tcW w:w="7457" w:type="dxa"/>
            <w:noWrap w:val="0"/>
            <w:vAlign w:val="center"/>
          </w:tcPr>
          <w:p w14:paraId="3314B111">
            <w:pPr>
              <w:pStyle w:val="30"/>
              <w:bidi w:val="0"/>
              <w:jc w:val="left"/>
              <w:rPr>
                <w:rFonts w:hint="default"/>
                <w:color w:val="auto"/>
              </w:rPr>
            </w:pPr>
            <w:r>
              <w:rPr>
                <w:rFonts w:hint="default"/>
                <w:color w:val="auto"/>
              </w:rPr>
              <w:t>泡沫、二氧化碳、干粉、1211灭火剂、砂土。</w:t>
            </w:r>
          </w:p>
        </w:tc>
      </w:tr>
      <w:tr w14:paraId="586C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3C3F25CE">
            <w:pPr>
              <w:pStyle w:val="30"/>
              <w:bidi w:val="0"/>
              <w:jc w:val="center"/>
              <w:rPr>
                <w:rFonts w:hint="default"/>
                <w:color w:val="auto"/>
              </w:rPr>
            </w:pPr>
            <w:r>
              <w:rPr>
                <w:rFonts w:hint="default"/>
                <w:color w:val="auto"/>
              </w:rPr>
              <w:t>泄漏处理</w:t>
            </w:r>
          </w:p>
        </w:tc>
        <w:tc>
          <w:tcPr>
            <w:tcW w:w="7457" w:type="dxa"/>
            <w:noWrap w:val="0"/>
            <w:vAlign w:val="center"/>
          </w:tcPr>
          <w:p w14:paraId="576A550D">
            <w:pPr>
              <w:pStyle w:val="30"/>
              <w:bidi w:val="0"/>
              <w:jc w:val="left"/>
              <w:rPr>
                <w:rFonts w:hint="default"/>
                <w:color w:val="auto"/>
              </w:rPr>
            </w:pPr>
            <w:r>
              <w:rPr>
                <w:rFonts w:hint="default"/>
                <w:color w:val="auto"/>
              </w:rPr>
              <w:t>疏散泄漏污染区人员至安全区，禁止无关人员进入污染区，切断电源。应急处理人员戴自给式呼吸器，穿一般消防防护服。在确保安全情况下堵漏。喷水雾可减少蒸发。用活性炭或其它惰性材料吸收，然后收集于干燥净洁有盖的容器中，运至废物处理场所。如大量泄漏，利用围堤收容，然后收集、转移、回收或无害处理后废弃。</w:t>
            </w:r>
          </w:p>
        </w:tc>
      </w:tr>
      <w:tr w14:paraId="260E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9B1B53B">
            <w:pPr>
              <w:pStyle w:val="30"/>
              <w:bidi w:val="0"/>
              <w:jc w:val="center"/>
              <w:rPr>
                <w:rFonts w:hint="default"/>
                <w:color w:val="auto"/>
              </w:rPr>
            </w:pPr>
            <w:r>
              <w:rPr>
                <w:rFonts w:hint="default"/>
                <w:color w:val="auto"/>
              </w:rPr>
              <w:t>储运注意事项</w:t>
            </w:r>
          </w:p>
        </w:tc>
        <w:tc>
          <w:tcPr>
            <w:tcW w:w="7457" w:type="dxa"/>
            <w:noWrap w:val="0"/>
            <w:vAlign w:val="center"/>
          </w:tcPr>
          <w:p w14:paraId="02825CCC">
            <w:pPr>
              <w:pStyle w:val="30"/>
              <w:bidi w:val="0"/>
              <w:jc w:val="left"/>
              <w:rPr>
                <w:rFonts w:hint="default"/>
                <w:color w:val="auto"/>
              </w:rPr>
            </w:pPr>
            <w:r>
              <w:rPr>
                <w:rFonts w:hint="default"/>
                <w:color w:val="auto"/>
              </w:rPr>
              <w:t>储存于阴凉、通风仓间内。远离火种、热源。防止阳光直射。保持容器密封。应与氧化剂分开存放。储存间内的照明、通风等设施应采用防爆型。配备相应品种和数量的消防器材。罐储时要有防爆技术措施。禁止使用易产生火花的机械设备和工具。充装时控制流速，注意防止静电积聚。搬运时要轻装轻卸，防止包装及容器损坏。</w:t>
            </w:r>
          </w:p>
        </w:tc>
      </w:tr>
      <w:tr w14:paraId="7C9F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693DE5FA">
            <w:pPr>
              <w:pStyle w:val="30"/>
              <w:bidi w:val="0"/>
              <w:jc w:val="center"/>
              <w:rPr>
                <w:rFonts w:hint="default"/>
                <w:color w:val="auto"/>
              </w:rPr>
            </w:pPr>
            <w:r>
              <w:rPr>
                <w:rFonts w:hint="default"/>
                <w:color w:val="auto"/>
              </w:rPr>
              <w:t>防护措施</w:t>
            </w:r>
          </w:p>
        </w:tc>
        <w:tc>
          <w:tcPr>
            <w:tcW w:w="7457" w:type="dxa"/>
            <w:noWrap w:val="0"/>
            <w:vAlign w:val="center"/>
          </w:tcPr>
          <w:p w14:paraId="7D6B1E51">
            <w:pPr>
              <w:pStyle w:val="30"/>
              <w:bidi w:val="0"/>
              <w:jc w:val="left"/>
              <w:rPr>
                <w:rFonts w:hint="default"/>
                <w:color w:val="auto"/>
              </w:rPr>
            </w:pPr>
            <w:r>
              <w:rPr>
                <w:rFonts w:hint="default"/>
                <w:color w:val="auto"/>
              </w:rPr>
              <w:t>工程控制：密闭操作，注意通风。</w:t>
            </w:r>
          </w:p>
          <w:p w14:paraId="7B5C6904">
            <w:pPr>
              <w:pStyle w:val="30"/>
              <w:bidi w:val="0"/>
              <w:jc w:val="left"/>
              <w:rPr>
                <w:rFonts w:hint="default"/>
                <w:color w:val="auto"/>
              </w:rPr>
            </w:pPr>
            <w:r>
              <w:rPr>
                <w:rFonts w:hint="default"/>
                <w:color w:val="auto"/>
              </w:rPr>
              <w:t>呼吸系统防护：一般不需要特殊防护，但建议特殊情况下，佩戴防毒面具。</w:t>
            </w:r>
          </w:p>
          <w:p w14:paraId="01DE3783">
            <w:pPr>
              <w:pStyle w:val="30"/>
              <w:bidi w:val="0"/>
              <w:jc w:val="left"/>
              <w:rPr>
                <w:rFonts w:hint="default"/>
                <w:color w:val="auto"/>
              </w:rPr>
            </w:pPr>
            <w:r>
              <w:rPr>
                <w:rFonts w:hint="default"/>
                <w:color w:val="auto"/>
              </w:rPr>
              <w:t>眼睛防护：必要时戴安</w:t>
            </w:r>
          </w:p>
          <w:p w14:paraId="4D59039A">
            <w:pPr>
              <w:pStyle w:val="30"/>
              <w:bidi w:val="0"/>
              <w:jc w:val="left"/>
              <w:rPr>
                <w:rFonts w:hint="default"/>
                <w:color w:val="auto"/>
              </w:rPr>
            </w:pPr>
            <w:r>
              <w:rPr>
                <w:rFonts w:hint="default"/>
                <w:color w:val="auto"/>
              </w:rPr>
              <w:t>全防护眼镜。</w:t>
            </w:r>
          </w:p>
          <w:p w14:paraId="03514E91">
            <w:pPr>
              <w:pStyle w:val="30"/>
              <w:bidi w:val="0"/>
              <w:jc w:val="left"/>
              <w:rPr>
                <w:rFonts w:hint="default"/>
                <w:color w:val="auto"/>
              </w:rPr>
            </w:pPr>
            <w:r>
              <w:rPr>
                <w:rFonts w:hint="default"/>
                <w:color w:val="auto"/>
              </w:rPr>
              <w:t>防护服：穿工作服</w:t>
            </w:r>
          </w:p>
          <w:p w14:paraId="7FA47E36">
            <w:pPr>
              <w:pStyle w:val="30"/>
              <w:bidi w:val="0"/>
              <w:jc w:val="left"/>
              <w:rPr>
                <w:rFonts w:hint="default"/>
                <w:color w:val="auto"/>
              </w:rPr>
            </w:pPr>
            <w:r>
              <w:rPr>
                <w:rFonts w:hint="default"/>
                <w:color w:val="auto"/>
              </w:rPr>
              <w:t>手防护：戴防护手套</w:t>
            </w:r>
          </w:p>
          <w:p w14:paraId="720A743A">
            <w:pPr>
              <w:pStyle w:val="30"/>
              <w:bidi w:val="0"/>
              <w:jc w:val="left"/>
              <w:rPr>
                <w:rFonts w:hint="default"/>
                <w:color w:val="auto"/>
              </w:rPr>
            </w:pPr>
            <w:r>
              <w:rPr>
                <w:rFonts w:hint="default"/>
                <w:color w:val="auto"/>
              </w:rPr>
              <w:t>其  它：工作后，淋浴更衣。保持良好的卫生习惯。</w:t>
            </w:r>
          </w:p>
        </w:tc>
      </w:tr>
      <w:tr w14:paraId="07B1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0434F8BD">
            <w:pPr>
              <w:pStyle w:val="30"/>
              <w:bidi w:val="0"/>
              <w:jc w:val="center"/>
              <w:rPr>
                <w:rFonts w:hint="default"/>
                <w:color w:val="auto"/>
              </w:rPr>
            </w:pPr>
            <w:r>
              <w:rPr>
                <w:rFonts w:hint="default"/>
                <w:color w:val="auto"/>
              </w:rPr>
              <w:t>毒理学资料</w:t>
            </w:r>
          </w:p>
        </w:tc>
        <w:tc>
          <w:tcPr>
            <w:tcW w:w="7457" w:type="dxa"/>
            <w:noWrap w:val="0"/>
            <w:vAlign w:val="center"/>
          </w:tcPr>
          <w:p w14:paraId="5FB40813">
            <w:pPr>
              <w:pStyle w:val="30"/>
              <w:bidi w:val="0"/>
              <w:jc w:val="left"/>
              <w:rPr>
                <w:rFonts w:hint="default"/>
                <w:color w:val="auto"/>
              </w:rPr>
            </w:pPr>
            <w:r>
              <w:rPr>
                <w:rFonts w:hint="default"/>
                <w:color w:val="auto"/>
              </w:rPr>
              <w:t>大鼠经口LD50：7500mg/kg。</w:t>
            </w:r>
          </w:p>
          <w:p w14:paraId="3D16FE73">
            <w:pPr>
              <w:pStyle w:val="30"/>
              <w:bidi w:val="0"/>
              <w:jc w:val="left"/>
              <w:rPr>
                <w:rFonts w:hint="default"/>
                <w:color w:val="auto"/>
              </w:rPr>
            </w:pPr>
            <w:r>
              <w:rPr>
                <w:rFonts w:hint="default"/>
                <w:color w:val="auto"/>
              </w:rPr>
              <w:t>兔经皮LD50：&gt;5ml/kg。因杂质及添加剂</w:t>
            </w:r>
            <w:r>
              <w:rPr>
                <w:rFonts w:hint="default"/>
                <w:color w:val="auto"/>
                <w:lang w:eastAsia="zh-CN"/>
              </w:rPr>
              <w:t>（</w:t>
            </w:r>
            <w:r>
              <w:rPr>
                <w:rFonts w:hint="default"/>
                <w:color w:val="auto"/>
              </w:rPr>
              <w:t>如硫化酯类等</w:t>
            </w:r>
            <w:r>
              <w:rPr>
                <w:rFonts w:hint="eastAsia"/>
                <w:color w:val="auto"/>
                <w:lang w:eastAsia="zh-CN"/>
              </w:rPr>
              <w:t>）</w:t>
            </w:r>
            <w:r>
              <w:rPr>
                <w:rFonts w:hint="default"/>
                <w:color w:val="auto"/>
              </w:rPr>
              <w:t>不同而毒性可有差异。</w:t>
            </w:r>
          </w:p>
          <w:p w14:paraId="1F16B759">
            <w:pPr>
              <w:pStyle w:val="30"/>
              <w:bidi w:val="0"/>
              <w:jc w:val="left"/>
              <w:rPr>
                <w:rFonts w:hint="default"/>
                <w:color w:val="auto"/>
              </w:rPr>
            </w:pPr>
            <w:r>
              <w:rPr>
                <w:rFonts w:hint="default"/>
                <w:color w:val="auto"/>
              </w:rPr>
              <w:t>对皮肤和粘膜有刺激作用。也可有轻度麻醉作用。用500mg涂兔皮肤引起中毒皮肤刺激。柴油为高沸点物质，吸入蒸气而毒害的机会较少。</w:t>
            </w:r>
          </w:p>
        </w:tc>
      </w:tr>
      <w:tr w14:paraId="45C1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25742FB">
            <w:pPr>
              <w:pStyle w:val="30"/>
              <w:bidi w:val="0"/>
              <w:jc w:val="center"/>
              <w:rPr>
                <w:rFonts w:hint="default"/>
                <w:color w:val="auto"/>
              </w:rPr>
            </w:pPr>
            <w:r>
              <w:rPr>
                <w:rFonts w:hint="default"/>
                <w:color w:val="auto"/>
              </w:rPr>
              <w:t>急救</w:t>
            </w:r>
          </w:p>
        </w:tc>
        <w:tc>
          <w:tcPr>
            <w:tcW w:w="7457" w:type="dxa"/>
            <w:noWrap w:val="0"/>
            <w:vAlign w:val="center"/>
          </w:tcPr>
          <w:p w14:paraId="7F4D6CC5">
            <w:pPr>
              <w:pStyle w:val="30"/>
              <w:bidi w:val="0"/>
              <w:jc w:val="left"/>
              <w:rPr>
                <w:rFonts w:hint="default"/>
                <w:color w:val="auto"/>
              </w:rPr>
            </w:pPr>
            <w:r>
              <w:rPr>
                <w:rFonts w:hint="default"/>
                <w:color w:val="auto"/>
              </w:rPr>
              <w:t>皮肤接触：脱去污染的衣着，用肥皂及清水彻底冲洗，就医。</w:t>
            </w:r>
          </w:p>
          <w:p w14:paraId="184738F0">
            <w:pPr>
              <w:pStyle w:val="30"/>
              <w:bidi w:val="0"/>
              <w:jc w:val="left"/>
              <w:rPr>
                <w:rFonts w:hint="default"/>
                <w:color w:val="auto"/>
              </w:rPr>
            </w:pPr>
            <w:r>
              <w:rPr>
                <w:rFonts w:hint="default"/>
                <w:color w:val="auto"/>
              </w:rPr>
              <w:t>眼睛接触：立即翻开上下眼睑，用流动清水或生理盐水冲洗至少1min，就医。</w:t>
            </w:r>
          </w:p>
          <w:p w14:paraId="347F3059">
            <w:pPr>
              <w:pStyle w:val="30"/>
              <w:bidi w:val="0"/>
              <w:jc w:val="left"/>
              <w:rPr>
                <w:rFonts w:hint="default"/>
                <w:color w:val="auto"/>
              </w:rPr>
            </w:pPr>
            <w:r>
              <w:rPr>
                <w:rFonts w:hint="default"/>
                <w:color w:val="auto"/>
              </w:rPr>
              <w:t>吸入：迅速脱离现场至空气新鲜处。保持呼吸道通畅。保暖并休息。呼吸困难时给输氧。呼吸停止时，立即进行人工呼吸。就医。</w:t>
            </w:r>
          </w:p>
          <w:p w14:paraId="68D71754">
            <w:pPr>
              <w:pStyle w:val="30"/>
              <w:bidi w:val="0"/>
              <w:jc w:val="left"/>
              <w:rPr>
                <w:rFonts w:hint="default"/>
                <w:color w:val="auto"/>
              </w:rPr>
            </w:pPr>
            <w:r>
              <w:rPr>
                <w:rFonts w:hint="default"/>
                <w:color w:val="auto"/>
              </w:rPr>
              <w:t>食入：误服者立即漱口，饮足量温水，尽快洗胃。就医。</w:t>
            </w:r>
          </w:p>
        </w:tc>
      </w:tr>
      <w:tr w14:paraId="4AE3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6" w:type="dxa"/>
            <w:noWrap w:val="0"/>
            <w:vAlign w:val="center"/>
          </w:tcPr>
          <w:p w14:paraId="1C566240">
            <w:pPr>
              <w:pStyle w:val="30"/>
              <w:bidi w:val="0"/>
              <w:jc w:val="center"/>
              <w:rPr>
                <w:rFonts w:hint="default"/>
                <w:color w:val="auto"/>
              </w:rPr>
            </w:pPr>
            <w:r>
              <w:rPr>
                <w:rFonts w:hint="default"/>
                <w:color w:val="auto"/>
              </w:rPr>
              <w:t>临床表现</w:t>
            </w:r>
          </w:p>
        </w:tc>
        <w:tc>
          <w:tcPr>
            <w:tcW w:w="7457" w:type="dxa"/>
            <w:noWrap w:val="0"/>
            <w:vAlign w:val="center"/>
          </w:tcPr>
          <w:p w14:paraId="695AF744">
            <w:pPr>
              <w:pStyle w:val="30"/>
              <w:bidi w:val="0"/>
              <w:jc w:val="left"/>
              <w:rPr>
                <w:rFonts w:hint="default"/>
                <w:color w:val="auto"/>
              </w:rPr>
            </w:pPr>
            <w:r>
              <w:rPr>
                <w:rFonts w:hint="default"/>
                <w:color w:val="auto"/>
              </w:rPr>
              <w:t>有报道拖拉机驾驶台四周空气污染细微雾滴，拖拉机手持续吸入15分钟而引起严重的吸入性肺炎。国外有病例报道，用柴油清洁两手和两臂数周而引发急性肾功能衰竭，肾活检验显示急性肾上管坏死。经治疗后恢复。故需考虑在皮肤大量接触后，个别人可能发生肾脏损害。皮肤接触后可能发生接触性皮炎，表现为红斑、水疱、丘疹。</w:t>
            </w:r>
          </w:p>
        </w:tc>
      </w:tr>
    </w:tbl>
    <w:p w14:paraId="7AB6D2CF">
      <w:pPr>
        <w:bidi w:val="0"/>
        <w:rPr>
          <w:rFonts w:hint="default"/>
          <w:color w:val="auto"/>
          <w:lang w:val="en-US" w:eastAsia="zh-CN"/>
        </w:rPr>
      </w:pPr>
      <w:r>
        <w:rPr>
          <w:rFonts w:hint="eastAsia"/>
          <w:color w:val="auto"/>
          <w:lang w:val="en-US" w:eastAsia="zh-CN"/>
        </w:rPr>
        <w:t>2</w:t>
      </w:r>
      <w:r>
        <w:rPr>
          <w:rFonts w:hint="default"/>
          <w:color w:val="auto"/>
          <w:lang w:val="en-US" w:eastAsia="zh-CN"/>
        </w:rPr>
        <w:t>、乙炔</w:t>
      </w:r>
    </w:p>
    <w:p w14:paraId="6E730006">
      <w:pPr>
        <w:pStyle w:val="29"/>
        <w:bidi w:val="0"/>
        <w:rPr>
          <w:rFonts w:hint="default"/>
          <w:color w:val="auto"/>
          <w:lang w:val="en-US" w:eastAsia="zh-CN"/>
        </w:rPr>
      </w:pPr>
      <w:r>
        <w:rPr>
          <w:rFonts w:hint="default"/>
          <w:color w:val="auto"/>
          <w:lang w:val="en-US" w:eastAsia="zh-CN"/>
        </w:rPr>
        <w:t>表3.</w:t>
      </w:r>
      <w:r>
        <w:rPr>
          <w:rFonts w:hint="eastAsia"/>
          <w:color w:val="auto"/>
          <w:lang w:val="en-US" w:eastAsia="zh-CN"/>
        </w:rPr>
        <w:t>2</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乙炔理化特性表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33"/>
        <w:gridCol w:w="7070"/>
      </w:tblGrid>
      <w:tr w14:paraId="38D74C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7735AFF">
            <w:pPr>
              <w:pStyle w:val="30"/>
              <w:bidi w:val="0"/>
              <w:rPr>
                <w:rFonts w:hint="default"/>
                <w:color w:val="auto"/>
              </w:rPr>
            </w:pPr>
            <w:r>
              <w:rPr>
                <w:rFonts w:hint="default"/>
                <w:color w:val="auto"/>
              </w:rPr>
              <w:t>中文名称：</w:t>
            </w:r>
          </w:p>
        </w:tc>
        <w:tc>
          <w:tcPr>
            <w:tcW w:w="7070" w:type="dxa"/>
            <w:noWrap w:val="0"/>
            <w:vAlign w:val="center"/>
          </w:tcPr>
          <w:p w14:paraId="4A3ABD05">
            <w:pPr>
              <w:pStyle w:val="30"/>
              <w:bidi w:val="0"/>
              <w:jc w:val="left"/>
              <w:rPr>
                <w:rFonts w:hint="default"/>
                <w:color w:val="auto"/>
              </w:rPr>
            </w:pPr>
            <w:r>
              <w:rPr>
                <w:rFonts w:hint="default"/>
                <w:color w:val="auto"/>
              </w:rPr>
              <w:t>乙炔；电石气</w:t>
            </w:r>
          </w:p>
        </w:tc>
      </w:tr>
      <w:tr w14:paraId="5390F6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D8F6946">
            <w:pPr>
              <w:pStyle w:val="30"/>
              <w:bidi w:val="0"/>
              <w:rPr>
                <w:rFonts w:hint="default"/>
                <w:color w:val="auto"/>
              </w:rPr>
            </w:pPr>
            <w:r>
              <w:rPr>
                <w:rFonts w:hint="default"/>
                <w:color w:val="auto"/>
              </w:rPr>
              <w:t>英文名称：</w:t>
            </w:r>
          </w:p>
        </w:tc>
        <w:tc>
          <w:tcPr>
            <w:tcW w:w="7070" w:type="dxa"/>
            <w:noWrap w:val="0"/>
            <w:vAlign w:val="center"/>
          </w:tcPr>
          <w:p w14:paraId="48D8807F">
            <w:pPr>
              <w:pStyle w:val="30"/>
              <w:bidi w:val="0"/>
              <w:jc w:val="left"/>
              <w:rPr>
                <w:rFonts w:hint="default"/>
                <w:color w:val="auto"/>
              </w:rPr>
            </w:pPr>
            <w:r>
              <w:rPr>
                <w:rFonts w:hint="default"/>
                <w:color w:val="auto"/>
              </w:rPr>
              <w:t>Acetylene</w:t>
            </w:r>
          </w:p>
        </w:tc>
      </w:tr>
      <w:tr w14:paraId="766E53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3ACF9B8E">
            <w:pPr>
              <w:pStyle w:val="30"/>
              <w:bidi w:val="0"/>
              <w:rPr>
                <w:rFonts w:hint="default"/>
                <w:color w:val="auto"/>
              </w:rPr>
            </w:pPr>
            <w:r>
              <w:rPr>
                <w:rFonts w:hint="default"/>
                <w:color w:val="auto"/>
              </w:rPr>
              <w:t>分子式：</w:t>
            </w:r>
          </w:p>
        </w:tc>
        <w:tc>
          <w:tcPr>
            <w:tcW w:w="7070" w:type="dxa"/>
            <w:noWrap w:val="0"/>
            <w:vAlign w:val="center"/>
          </w:tcPr>
          <w:p w14:paraId="65268619">
            <w:pPr>
              <w:pStyle w:val="30"/>
              <w:bidi w:val="0"/>
              <w:jc w:val="left"/>
              <w:rPr>
                <w:rFonts w:hint="default"/>
                <w:color w:val="auto"/>
              </w:rPr>
            </w:pPr>
            <w:r>
              <w:rPr>
                <w:rFonts w:hint="default"/>
                <w:color w:val="auto"/>
              </w:rPr>
              <w:t>C</w:t>
            </w:r>
            <w:r>
              <w:rPr>
                <w:rFonts w:hint="default"/>
                <w:color w:val="auto"/>
                <w:vertAlign w:val="subscript"/>
              </w:rPr>
              <w:t>2</w:t>
            </w:r>
            <w:r>
              <w:rPr>
                <w:rFonts w:hint="default"/>
                <w:color w:val="auto"/>
              </w:rPr>
              <w:t>H</w:t>
            </w:r>
            <w:r>
              <w:rPr>
                <w:rFonts w:hint="default"/>
                <w:color w:val="auto"/>
                <w:vertAlign w:val="subscript"/>
              </w:rPr>
              <w:t>2</w:t>
            </w:r>
          </w:p>
        </w:tc>
      </w:tr>
      <w:tr w14:paraId="0EBE89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4B925D3">
            <w:pPr>
              <w:pStyle w:val="30"/>
              <w:bidi w:val="0"/>
              <w:rPr>
                <w:rFonts w:hint="default"/>
                <w:color w:val="auto"/>
              </w:rPr>
            </w:pPr>
            <w:r>
              <w:rPr>
                <w:rFonts w:hint="default"/>
                <w:color w:val="auto"/>
              </w:rPr>
              <w:t>相对分子质量：</w:t>
            </w:r>
          </w:p>
        </w:tc>
        <w:tc>
          <w:tcPr>
            <w:tcW w:w="7070" w:type="dxa"/>
            <w:noWrap w:val="0"/>
            <w:vAlign w:val="center"/>
          </w:tcPr>
          <w:p w14:paraId="344793E9">
            <w:pPr>
              <w:pStyle w:val="30"/>
              <w:bidi w:val="0"/>
              <w:jc w:val="left"/>
              <w:rPr>
                <w:rFonts w:hint="default"/>
                <w:color w:val="auto"/>
              </w:rPr>
            </w:pPr>
            <w:r>
              <w:rPr>
                <w:rFonts w:hint="default"/>
                <w:color w:val="auto"/>
              </w:rPr>
              <w:t>26.04</w:t>
            </w:r>
          </w:p>
        </w:tc>
      </w:tr>
      <w:tr w14:paraId="474EA5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7D7487E">
            <w:pPr>
              <w:pStyle w:val="30"/>
              <w:bidi w:val="0"/>
              <w:rPr>
                <w:rFonts w:hint="default"/>
                <w:color w:val="auto"/>
              </w:rPr>
            </w:pPr>
            <w:r>
              <w:rPr>
                <w:rFonts w:hint="default"/>
                <w:color w:val="auto"/>
              </w:rPr>
              <w:t>CAS号：</w:t>
            </w:r>
          </w:p>
        </w:tc>
        <w:tc>
          <w:tcPr>
            <w:tcW w:w="7070" w:type="dxa"/>
            <w:noWrap w:val="0"/>
            <w:vAlign w:val="center"/>
          </w:tcPr>
          <w:p w14:paraId="32CB395B">
            <w:pPr>
              <w:pStyle w:val="30"/>
              <w:bidi w:val="0"/>
              <w:jc w:val="left"/>
              <w:rPr>
                <w:rFonts w:hint="default"/>
                <w:color w:val="auto"/>
              </w:rPr>
            </w:pPr>
            <w:r>
              <w:rPr>
                <w:rFonts w:hint="default"/>
                <w:color w:val="auto"/>
              </w:rPr>
              <w:t>74-86-2</w:t>
            </w:r>
          </w:p>
        </w:tc>
      </w:tr>
      <w:tr w14:paraId="260D67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5B57B48">
            <w:pPr>
              <w:pStyle w:val="30"/>
              <w:bidi w:val="0"/>
              <w:rPr>
                <w:rFonts w:hint="default"/>
                <w:color w:val="auto"/>
              </w:rPr>
            </w:pPr>
            <w:r>
              <w:rPr>
                <w:rFonts w:hint="default"/>
                <w:color w:val="auto"/>
              </w:rPr>
              <w:t>危规号：</w:t>
            </w:r>
          </w:p>
        </w:tc>
        <w:tc>
          <w:tcPr>
            <w:tcW w:w="7070" w:type="dxa"/>
            <w:noWrap w:val="0"/>
            <w:vAlign w:val="center"/>
          </w:tcPr>
          <w:p w14:paraId="6425584C">
            <w:pPr>
              <w:pStyle w:val="30"/>
              <w:bidi w:val="0"/>
              <w:jc w:val="left"/>
              <w:rPr>
                <w:rFonts w:hint="default"/>
                <w:color w:val="auto"/>
              </w:rPr>
            </w:pPr>
            <w:r>
              <w:rPr>
                <w:rFonts w:hint="default"/>
                <w:color w:val="auto"/>
              </w:rPr>
              <w:t>21024</w:t>
            </w:r>
          </w:p>
        </w:tc>
      </w:tr>
      <w:tr w14:paraId="5F3A75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5EB8D3F">
            <w:pPr>
              <w:pStyle w:val="30"/>
              <w:bidi w:val="0"/>
              <w:rPr>
                <w:rFonts w:hint="default"/>
                <w:color w:val="auto"/>
              </w:rPr>
            </w:pPr>
            <w:r>
              <w:rPr>
                <w:rFonts w:hint="default"/>
                <w:color w:val="auto"/>
              </w:rPr>
              <w:t>UN编号：</w:t>
            </w:r>
          </w:p>
        </w:tc>
        <w:tc>
          <w:tcPr>
            <w:tcW w:w="7070" w:type="dxa"/>
            <w:noWrap w:val="0"/>
            <w:vAlign w:val="center"/>
          </w:tcPr>
          <w:p w14:paraId="0B41C324">
            <w:pPr>
              <w:pStyle w:val="30"/>
              <w:bidi w:val="0"/>
              <w:jc w:val="left"/>
              <w:rPr>
                <w:rFonts w:hint="default"/>
                <w:color w:val="auto"/>
              </w:rPr>
            </w:pPr>
            <w:r>
              <w:rPr>
                <w:rFonts w:hint="default"/>
                <w:color w:val="auto"/>
              </w:rPr>
              <w:t>1001</w:t>
            </w:r>
          </w:p>
        </w:tc>
      </w:tr>
      <w:tr w14:paraId="76CCCA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8E4EC4B">
            <w:pPr>
              <w:pStyle w:val="30"/>
              <w:bidi w:val="0"/>
              <w:rPr>
                <w:rFonts w:hint="default"/>
                <w:color w:val="auto"/>
              </w:rPr>
            </w:pPr>
            <w:r>
              <w:rPr>
                <w:rFonts w:hint="default"/>
                <w:color w:val="auto"/>
              </w:rPr>
              <w:t>主要成分：</w:t>
            </w:r>
          </w:p>
        </w:tc>
        <w:tc>
          <w:tcPr>
            <w:tcW w:w="7070" w:type="dxa"/>
            <w:noWrap w:val="0"/>
            <w:vAlign w:val="center"/>
          </w:tcPr>
          <w:p w14:paraId="5D7441A2">
            <w:pPr>
              <w:pStyle w:val="30"/>
              <w:bidi w:val="0"/>
              <w:jc w:val="left"/>
              <w:rPr>
                <w:rFonts w:hint="default"/>
                <w:color w:val="auto"/>
              </w:rPr>
            </w:pPr>
            <w:r>
              <w:rPr>
                <w:rFonts w:hint="default"/>
                <w:color w:val="auto"/>
              </w:rPr>
              <w:t>含量</w:t>
            </w:r>
            <w:r>
              <w:rPr>
                <w:rFonts w:hint="eastAsia"/>
                <w:color w:val="auto"/>
                <w:lang w:eastAsia="zh-CN"/>
              </w:rPr>
              <w:t>：</w:t>
            </w:r>
            <w:r>
              <w:rPr>
                <w:rFonts w:hint="default"/>
                <w:color w:val="auto"/>
              </w:rPr>
              <w:t>工业级≥97.5％。</w:t>
            </w:r>
          </w:p>
        </w:tc>
      </w:tr>
      <w:tr w14:paraId="51B34A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6C7B9C94">
            <w:pPr>
              <w:pStyle w:val="30"/>
              <w:bidi w:val="0"/>
              <w:rPr>
                <w:rFonts w:hint="default"/>
                <w:color w:val="auto"/>
              </w:rPr>
            </w:pPr>
            <w:r>
              <w:rPr>
                <w:rFonts w:hint="default"/>
                <w:color w:val="auto"/>
              </w:rPr>
              <w:t>外观与性状：</w:t>
            </w:r>
          </w:p>
        </w:tc>
        <w:tc>
          <w:tcPr>
            <w:tcW w:w="7070" w:type="dxa"/>
            <w:noWrap w:val="0"/>
            <w:vAlign w:val="center"/>
          </w:tcPr>
          <w:p w14:paraId="03265825">
            <w:pPr>
              <w:pStyle w:val="30"/>
              <w:bidi w:val="0"/>
              <w:jc w:val="left"/>
              <w:rPr>
                <w:rFonts w:hint="default"/>
                <w:color w:val="auto"/>
              </w:rPr>
            </w:pPr>
            <w:r>
              <w:rPr>
                <w:rFonts w:hint="default"/>
                <w:color w:val="auto"/>
              </w:rPr>
              <w:t>无色无臭气体，工业品有使人不愉快的大蒜气味。</w:t>
            </w:r>
          </w:p>
        </w:tc>
      </w:tr>
      <w:tr w14:paraId="18E523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2F2E19E">
            <w:pPr>
              <w:pStyle w:val="30"/>
              <w:bidi w:val="0"/>
              <w:rPr>
                <w:rFonts w:hint="default"/>
                <w:color w:val="auto"/>
              </w:rPr>
            </w:pPr>
            <w:r>
              <w:rPr>
                <w:rFonts w:hint="default"/>
                <w:color w:val="auto"/>
              </w:rPr>
              <w:t>主要用途：</w:t>
            </w:r>
          </w:p>
        </w:tc>
        <w:tc>
          <w:tcPr>
            <w:tcW w:w="7070" w:type="dxa"/>
            <w:noWrap w:val="0"/>
            <w:vAlign w:val="center"/>
          </w:tcPr>
          <w:p w14:paraId="23521928">
            <w:pPr>
              <w:pStyle w:val="30"/>
              <w:bidi w:val="0"/>
              <w:jc w:val="left"/>
              <w:rPr>
                <w:rFonts w:hint="default"/>
                <w:color w:val="auto"/>
              </w:rPr>
            </w:pPr>
            <w:r>
              <w:rPr>
                <w:rFonts w:hint="default"/>
                <w:color w:val="auto"/>
              </w:rPr>
              <w:t>是有机合成的重要原料之一。亦是合成橡胶、合成纤维和塑料的单体，也用于氧炔焊割。</w:t>
            </w:r>
          </w:p>
        </w:tc>
      </w:tr>
      <w:tr w14:paraId="28C3A3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349E0620">
            <w:pPr>
              <w:pStyle w:val="30"/>
              <w:bidi w:val="0"/>
              <w:jc w:val="center"/>
              <w:rPr>
                <w:rFonts w:hint="default"/>
                <w:color w:val="auto"/>
              </w:rPr>
            </w:pPr>
            <w:r>
              <w:rPr>
                <w:rFonts w:hint="default"/>
                <w:color w:val="auto"/>
              </w:rPr>
              <w:t>健康危害</w:t>
            </w:r>
          </w:p>
        </w:tc>
      </w:tr>
      <w:tr w14:paraId="271678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54BD419">
            <w:pPr>
              <w:pStyle w:val="30"/>
              <w:bidi w:val="0"/>
              <w:rPr>
                <w:rFonts w:hint="default"/>
                <w:color w:val="auto"/>
              </w:rPr>
            </w:pPr>
            <w:r>
              <w:rPr>
                <w:rFonts w:hint="default"/>
                <w:color w:val="auto"/>
              </w:rPr>
              <w:t>侵入途径：</w:t>
            </w:r>
          </w:p>
        </w:tc>
        <w:tc>
          <w:tcPr>
            <w:tcW w:w="7070" w:type="dxa"/>
            <w:noWrap w:val="0"/>
            <w:vAlign w:val="center"/>
          </w:tcPr>
          <w:p w14:paraId="78724C5E">
            <w:pPr>
              <w:pStyle w:val="30"/>
              <w:bidi w:val="0"/>
              <w:jc w:val="left"/>
              <w:rPr>
                <w:rFonts w:hint="default"/>
                <w:color w:val="auto"/>
              </w:rPr>
            </w:pPr>
            <w:r>
              <w:rPr>
                <w:rFonts w:hint="default"/>
                <w:color w:val="auto"/>
              </w:rPr>
              <w:t>吸入。</w:t>
            </w:r>
          </w:p>
        </w:tc>
      </w:tr>
      <w:tr w14:paraId="1C84A1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611DA46B">
            <w:pPr>
              <w:pStyle w:val="30"/>
              <w:bidi w:val="0"/>
              <w:rPr>
                <w:rFonts w:hint="default"/>
                <w:color w:val="auto"/>
              </w:rPr>
            </w:pPr>
            <w:r>
              <w:rPr>
                <w:rFonts w:hint="default"/>
                <w:color w:val="auto"/>
              </w:rPr>
              <w:t>健康危害：</w:t>
            </w:r>
          </w:p>
        </w:tc>
        <w:tc>
          <w:tcPr>
            <w:tcW w:w="7070" w:type="dxa"/>
            <w:noWrap w:val="0"/>
            <w:vAlign w:val="center"/>
          </w:tcPr>
          <w:p w14:paraId="6513C102">
            <w:pPr>
              <w:pStyle w:val="30"/>
              <w:bidi w:val="0"/>
              <w:jc w:val="left"/>
              <w:rPr>
                <w:rFonts w:hint="default"/>
                <w:color w:val="auto"/>
              </w:rPr>
            </w:pPr>
            <w:r>
              <w:rPr>
                <w:rFonts w:hint="default"/>
                <w:color w:val="auto"/>
              </w:rPr>
              <w:t>具有弱麻醉作用。高浓度吸入可引起单纯窒息。急性中毒：暴露于20％浓度时，出现明显缺氧症状；吸入高浓度，初期兴奋、多语、哭笑不安，后出现眩晕、头痛、恶心、呕吐、共济失调、嗜睡；严重者昏迷、紫绀、瞳孔对光反应消失、脉弱而不齐。当混有磷化氢、硫化氢时，毒性增大，应予以注意。</w:t>
            </w:r>
          </w:p>
        </w:tc>
      </w:tr>
      <w:tr w14:paraId="0FA4B1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1BEA3E3E">
            <w:pPr>
              <w:pStyle w:val="30"/>
              <w:bidi w:val="0"/>
              <w:rPr>
                <w:rFonts w:hint="default"/>
                <w:color w:val="auto"/>
              </w:rPr>
            </w:pPr>
            <w:r>
              <w:rPr>
                <w:rFonts w:hint="default"/>
                <w:color w:val="auto"/>
              </w:rPr>
              <w:t>吸入：</w:t>
            </w:r>
          </w:p>
        </w:tc>
        <w:tc>
          <w:tcPr>
            <w:tcW w:w="7070" w:type="dxa"/>
            <w:noWrap w:val="0"/>
            <w:vAlign w:val="center"/>
          </w:tcPr>
          <w:p w14:paraId="02FA745F">
            <w:pPr>
              <w:pStyle w:val="30"/>
              <w:bidi w:val="0"/>
              <w:jc w:val="left"/>
              <w:rPr>
                <w:rFonts w:hint="default"/>
                <w:color w:val="auto"/>
              </w:rPr>
            </w:pPr>
            <w:r>
              <w:rPr>
                <w:rFonts w:hint="default"/>
                <w:color w:val="auto"/>
              </w:rPr>
              <w:t>迅速脱离现场至空气新鲜处。保持呼吸道通畅。如呼吸困难，给输氧。如呼吸停止，立即进行人工呼吸。就医。</w:t>
            </w:r>
          </w:p>
        </w:tc>
      </w:tr>
      <w:tr w14:paraId="3D7AE5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671F3DF5">
            <w:pPr>
              <w:pStyle w:val="30"/>
              <w:bidi w:val="0"/>
              <w:jc w:val="center"/>
              <w:rPr>
                <w:rFonts w:hint="default"/>
                <w:color w:val="auto"/>
              </w:rPr>
            </w:pPr>
            <w:r>
              <w:rPr>
                <w:rFonts w:hint="default"/>
                <w:color w:val="auto"/>
              </w:rPr>
              <w:t>理化特性</w:t>
            </w:r>
          </w:p>
        </w:tc>
      </w:tr>
      <w:tr w14:paraId="02B22E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2DCAA893">
            <w:pPr>
              <w:pStyle w:val="30"/>
              <w:bidi w:val="0"/>
              <w:rPr>
                <w:rFonts w:hint="default"/>
                <w:color w:val="auto"/>
              </w:rPr>
            </w:pPr>
            <w:r>
              <w:rPr>
                <w:rFonts w:hint="default"/>
                <w:color w:val="auto"/>
              </w:rPr>
              <w:t>燃烧性：</w:t>
            </w:r>
          </w:p>
        </w:tc>
        <w:tc>
          <w:tcPr>
            <w:tcW w:w="7070" w:type="dxa"/>
            <w:noWrap w:val="0"/>
            <w:vAlign w:val="center"/>
          </w:tcPr>
          <w:p w14:paraId="31293229">
            <w:pPr>
              <w:pStyle w:val="30"/>
              <w:bidi w:val="0"/>
              <w:jc w:val="left"/>
              <w:rPr>
                <w:rFonts w:hint="default"/>
                <w:color w:val="auto"/>
              </w:rPr>
            </w:pPr>
            <w:r>
              <w:rPr>
                <w:rFonts w:hint="default"/>
                <w:color w:val="auto"/>
              </w:rPr>
              <w:t>本品易燃，具窒息性。</w:t>
            </w:r>
          </w:p>
        </w:tc>
      </w:tr>
      <w:tr w14:paraId="1A0564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A1CB0AF">
            <w:pPr>
              <w:pStyle w:val="30"/>
              <w:bidi w:val="0"/>
              <w:rPr>
                <w:rFonts w:hint="default"/>
                <w:color w:val="auto"/>
              </w:rPr>
            </w:pPr>
            <w:r>
              <w:rPr>
                <w:rFonts w:hint="default"/>
                <w:color w:val="auto"/>
              </w:rPr>
              <w:t>闪点：</w:t>
            </w:r>
          </w:p>
        </w:tc>
        <w:tc>
          <w:tcPr>
            <w:tcW w:w="7070" w:type="dxa"/>
            <w:noWrap w:val="0"/>
            <w:vAlign w:val="center"/>
          </w:tcPr>
          <w:p w14:paraId="0B4DD601">
            <w:pPr>
              <w:pStyle w:val="30"/>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无意义</w:t>
            </w:r>
          </w:p>
        </w:tc>
      </w:tr>
      <w:tr w14:paraId="226289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1676886">
            <w:pPr>
              <w:pStyle w:val="30"/>
              <w:bidi w:val="0"/>
              <w:rPr>
                <w:rFonts w:hint="default"/>
                <w:color w:val="auto"/>
              </w:rPr>
            </w:pPr>
            <w:r>
              <w:rPr>
                <w:rFonts w:hint="default"/>
                <w:color w:val="auto"/>
              </w:rPr>
              <w:t>爆炸下限：</w:t>
            </w:r>
          </w:p>
        </w:tc>
        <w:tc>
          <w:tcPr>
            <w:tcW w:w="7070" w:type="dxa"/>
            <w:noWrap w:val="0"/>
            <w:vAlign w:val="center"/>
          </w:tcPr>
          <w:p w14:paraId="7C3121D3">
            <w:pPr>
              <w:pStyle w:val="30"/>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2.1</w:t>
            </w:r>
          </w:p>
        </w:tc>
      </w:tr>
      <w:tr w14:paraId="094602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458A2B8">
            <w:pPr>
              <w:pStyle w:val="30"/>
              <w:bidi w:val="0"/>
              <w:rPr>
                <w:rFonts w:hint="default"/>
                <w:color w:val="auto"/>
              </w:rPr>
            </w:pPr>
            <w:r>
              <w:rPr>
                <w:rFonts w:hint="default"/>
                <w:color w:val="auto"/>
              </w:rPr>
              <w:t>引燃温度：</w:t>
            </w:r>
          </w:p>
        </w:tc>
        <w:tc>
          <w:tcPr>
            <w:tcW w:w="7070" w:type="dxa"/>
            <w:noWrap w:val="0"/>
            <w:vAlign w:val="center"/>
          </w:tcPr>
          <w:p w14:paraId="33194942">
            <w:pPr>
              <w:pStyle w:val="30"/>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305</w:t>
            </w:r>
          </w:p>
        </w:tc>
      </w:tr>
      <w:tr w14:paraId="17D0F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7FFCF4C">
            <w:pPr>
              <w:pStyle w:val="30"/>
              <w:bidi w:val="0"/>
              <w:rPr>
                <w:rFonts w:hint="default"/>
                <w:color w:val="auto"/>
              </w:rPr>
            </w:pPr>
            <w:r>
              <w:rPr>
                <w:rFonts w:hint="default"/>
                <w:color w:val="auto"/>
              </w:rPr>
              <w:t>爆炸上限：</w:t>
            </w:r>
          </w:p>
        </w:tc>
        <w:tc>
          <w:tcPr>
            <w:tcW w:w="7070" w:type="dxa"/>
            <w:noWrap w:val="0"/>
            <w:vAlign w:val="center"/>
          </w:tcPr>
          <w:p w14:paraId="5C015D10">
            <w:pPr>
              <w:pStyle w:val="30"/>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 xml:space="preserve"> 80.0</w:t>
            </w:r>
          </w:p>
        </w:tc>
      </w:tr>
      <w:tr w14:paraId="4A0124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B304062">
            <w:pPr>
              <w:pStyle w:val="30"/>
              <w:bidi w:val="0"/>
              <w:rPr>
                <w:rFonts w:hint="default"/>
                <w:color w:val="auto"/>
              </w:rPr>
            </w:pPr>
            <w:r>
              <w:rPr>
                <w:rFonts w:hint="default"/>
                <w:color w:val="auto"/>
              </w:rPr>
              <w:t>危险特性：</w:t>
            </w:r>
          </w:p>
        </w:tc>
        <w:tc>
          <w:tcPr>
            <w:tcW w:w="7070" w:type="dxa"/>
            <w:noWrap w:val="0"/>
            <w:vAlign w:val="center"/>
          </w:tcPr>
          <w:p w14:paraId="3E601FEC">
            <w:pPr>
              <w:pStyle w:val="30"/>
              <w:bidi w:val="0"/>
              <w:jc w:val="left"/>
              <w:rPr>
                <w:rFonts w:hint="default"/>
                <w:color w:val="auto"/>
              </w:rPr>
            </w:pPr>
            <w:r>
              <w:rPr>
                <w:rFonts w:hint="default"/>
                <w:color w:val="auto"/>
              </w:rPr>
              <w:t>极易燃烧爆炸。与空气混合能形成爆炸性混合物，遇明火、高热能引起燃烧爆炸。与氧化剂接触猛烈反应。与氟、氯等接触会发生剧烈的化学反应。能与铜、银、汞等的化合物生成爆炸性物质。</w:t>
            </w:r>
          </w:p>
        </w:tc>
      </w:tr>
      <w:tr w14:paraId="28373F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7CE583C">
            <w:pPr>
              <w:pStyle w:val="30"/>
              <w:bidi w:val="0"/>
              <w:rPr>
                <w:rFonts w:hint="default"/>
                <w:color w:val="auto"/>
              </w:rPr>
            </w:pPr>
            <w:r>
              <w:rPr>
                <w:rFonts w:hint="default"/>
                <w:color w:val="auto"/>
              </w:rPr>
              <w:t>有害燃烧产物：</w:t>
            </w:r>
          </w:p>
        </w:tc>
        <w:tc>
          <w:tcPr>
            <w:tcW w:w="7070" w:type="dxa"/>
            <w:noWrap w:val="0"/>
            <w:vAlign w:val="center"/>
          </w:tcPr>
          <w:p w14:paraId="4B6A868A">
            <w:pPr>
              <w:pStyle w:val="30"/>
              <w:bidi w:val="0"/>
              <w:jc w:val="left"/>
              <w:rPr>
                <w:rFonts w:hint="default"/>
                <w:color w:val="auto"/>
              </w:rPr>
            </w:pPr>
            <w:r>
              <w:rPr>
                <w:rFonts w:hint="default"/>
                <w:color w:val="auto"/>
              </w:rPr>
              <w:t>一氧化碳、二氧化碳。</w:t>
            </w:r>
          </w:p>
        </w:tc>
      </w:tr>
      <w:tr w14:paraId="4677E3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1334E60">
            <w:pPr>
              <w:pStyle w:val="30"/>
              <w:bidi w:val="0"/>
              <w:rPr>
                <w:rFonts w:hint="default"/>
                <w:color w:val="auto"/>
              </w:rPr>
            </w:pPr>
            <w:r>
              <w:rPr>
                <w:rFonts w:hint="default"/>
                <w:color w:val="auto"/>
              </w:rPr>
              <w:t>灭火方法：</w:t>
            </w:r>
          </w:p>
        </w:tc>
        <w:tc>
          <w:tcPr>
            <w:tcW w:w="7070" w:type="dxa"/>
            <w:noWrap w:val="0"/>
            <w:vAlign w:val="center"/>
          </w:tcPr>
          <w:p w14:paraId="0D2A8ED9">
            <w:pPr>
              <w:pStyle w:val="30"/>
              <w:bidi w:val="0"/>
              <w:jc w:val="left"/>
              <w:rPr>
                <w:rFonts w:hint="default"/>
                <w:color w:val="auto"/>
              </w:rPr>
            </w:pPr>
            <w:r>
              <w:rPr>
                <w:rFonts w:hint="default"/>
                <w:color w:val="auto"/>
              </w:rPr>
              <w:t>切断气源。若不能切断气源，则不允许熄灭泄漏处的火焰。喷水冷却容器，可能的话将容器从火场移至空旷处。灭火剂：雾状水、泡沫、二氧化碳、干粉。</w:t>
            </w:r>
          </w:p>
        </w:tc>
      </w:tr>
      <w:tr w14:paraId="191887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8297FF4">
            <w:pPr>
              <w:pStyle w:val="30"/>
              <w:bidi w:val="0"/>
              <w:rPr>
                <w:rFonts w:hint="default"/>
                <w:color w:val="auto"/>
              </w:rPr>
            </w:pPr>
            <w:r>
              <w:rPr>
                <w:rFonts w:hint="default"/>
                <w:color w:val="auto"/>
              </w:rPr>
              <w:t>泄漏应急处理：</w:t>
            </w:r>
          </w:p>
        </w:tc>
        <w:tc>
          <w:tcPr>
            <w:tcW w:w="7070" w:type="dxa"/>
            <w:noWrap w:val="0"/>
            <w:vAlign w:val="center"/>
          </w:tcPr>
          <w:p w14:paraId="2954CEEE">
            <w:pPr>
              <w:pStyle w:val="30"/>
              <w:bidi w:val="0"/>
              <w:jc w:val="left"/>
              <w:rPr>
                <w:rFonts w:hint="default"/>
                <w:color w:val="auto"/>
              </w:rPr>
            </w:pPr>
            <w:r>
              <w:rPr>
                <w:rFonts w:hint="default"/>
                <w:color w:val="auto"/>
              </w:rPr>
              <w:t>迅速撤离泄漏污染区人员至上风处，并进行隔离，严格限制出入。切断火源。建议应急处理人员戴自给正压式呼吸器，穿防静电工作服。尽可能切断泄漏源。合理通风，加速扩散。喷雾状水稀释、溶解。构筑围堤或挖坑收容产生的大量废水。如有可能，将漏出气用排风机送至空旷地方或装设适当喷头烧掉。漏气容器要妥善处理，修复、检验后再用。</w:t>
            </w:r>
          </w:p>
        </w:tc>
      </w:tr>
      <w:tr w14:paraId="2CDAE5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6325D8A2">
            <w:pPr>
              <w:pStyle w:val="30"/>
              <w:bidi w:val="0"/>
              <w:rPr>
                <w:rFonts w:hint="default"/>
                <w:color w:val="auto"/>
              </w:rPr>
            </w:pPr>
            <w:r>
              <w:rPr>
                <w:rFonts w:hint="default"/>
                <w:color w:val="auto"/>
              </w:rPr>
              <w:t>操作注意事项：</w:t>
            </w:r>
          </w:p>
        </w:tc>
        <w:tc>
          <w:tcPr>
            <w:tcW w:w="7070" w:type="dxa"/>
            <w:noWrap w:val="0"/>
            <w:vAlign w:val="center"/>
          </w:tcPr>
          <w:p w14:paraId="36D18F1C">
            <w:pPr>
              <w:pStyle w:val="30"/>
              <w:bidi w:val="0"/>
              <w:jc w:val="left"/>
              <w:rPr>
                <w:rFonts w:hint="default"/>
                <w:color w:val="auto"/>
              </w:rPr>
            </w:pPr>
            <w:r>
              <w:rPr>
                <w:rFonts w:hint="default"/>
                <w:color w:val="auto"/>
              </w:rPr>
              <w:t>密闭操作，全面通风。操作人员必须经过专门培训，严格遵守操作规程。建议操作人员穿防静电工作服。远离火种、热源，工作场所严禁吸烟。使用防爆型的通风系统和设备。防止气体泄漏到工作场所空气中。避免与氧化剂、酸类、卤素接触。在传送过程中，钢瓶和容器必须接地和跨接，防止产生静电。搬运时轻装轻卸，防止钢瓶及附件破损。配备相应品种和数量的消防器材及泄漏应急处理设备。</w:t>
            </w:r>
          </w:p>
        </w:tc>
      </w:tr>
      <w:tr w14:paraId="2063E1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2E824C9E">
            <w:pPr>
              <w:pStyle w:val="30"/>
              <w:bidi w:val="0"/>
              <w:rPr>
                <w:rFonts w:hint="default"/>
                <w:color w:val="auto"/>
              </w:rPr>
            </w:pPr>
            <w:r>
              <w:rPr>
                <w:rFonts w:hint="default"/>
                <w:color w:val="auto"/>
              </w:rPr>
              <w:t>贮运注意事项：</w:t>
            </w:r>
          </w:p>
        </w:tc>
        <w:tc>
          <w:tcPr>
            <w:tcW w:w="7070" w:type="dxa"/>
            <w:noWrap w:val="0"/>
            <w:vAlign w:val="center"/>
          </w:tcPr>
          <w:p w14:paraId="16F4E014">
            <w:pPr>
              <w:pStyle w:val="30"/>
              <w:bidi w:val="0"/>
              <w:jc w:val="left"/>
              <w:rPr>
                <w:rFonts w:hint="default"/>
                <w:color w:val="auto"/>
              </w:rPr>
            </w:pPr>
            <w:r>
              <w:rPr>
                <w:rFonts w:hint="default"/>
                <w:color w:val="auto"/>
              </w:rPr>
              <w:t>乙炔的包装法通常是溶解在溶剂及多孔物中</w:t>
            </w:r>
            <w:r>
              <w:rPr>
                <w:rFonts w:hint="eastAsia"/>
                <w:color w:val="auto"/>
                <w:lang w:eastAsia="zh-CN"/>
              </w:rPr>
              <w:t>，</w:t>
            </w:r>
            <w:r>
              <w:rPr>
                <w:rFonts w:hint="default"/>
                <w:color w:val="auto"/>
              </w:rPr>
              <w:t xml:space="preserve"> 装入钢瓶内。储存于阴凉、通风的库房。远离火种、热源。库温不宜超过30℃。应与氧化剂、酸类、卤素分开存放，切忌混储。采用防爆型照明、通风设施。禁止使用易产生火花的机械设备和工具。储区应备有泄漏应急处理设备。采用刚瓶运输时必须戴好钢瓶上的安全帽。钢瓶一般平放，并应将瓶口朝同一方向，不可交叉；高度不得超过车辆的防护栏板，并用三角木垫卡牢，防止滚动。运输时运输车辆应配备相应品种和数量的消防器材。装运该物品的车辆排气管必须配备阻火装置，禁止使用易产生火花的机械设备和工具装卸。严禁与氧化剂、酸类、卤素等混装混运。夏季应早晚运输，防止日光曝晒。中途停留时应远离火种、热源。公路运输时要按规定路线行驶，勿在居民区和人口稠密区停留。铁路运输时要禁止溜放。</w:t>
            </w:r>
          </w:p>
        </w:tc>
      </w:tr>
      <w:tr w14:paraId="104E84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D3E8255">
            <w:pPr>
              <w:pStyle w:val="30"/>
              <w:bidi w:val="0"/>
              <w:rPr>
                <w:rFonts w:hint="default"/>
                <w:color w:val="auto"/>
              </w:rPr>
            </w:pPr>
            <w:r>
              <w:rPr>
                <w:rFonts w:hint="default"/>
                <w:color w:val="auto"/>
              </w:rPr>
              <w:t>防护措施：</w:t>
            </w:r>
          </w:p>
        </w:tc>
        <w:tc>
          <w:tcPr>
            <w:tcW w:w="7070" w:type="dxa"/>
            <w:noWrap w:val="0"/>
            <w:vAlign w:val="center"/>
          </w:tcPr>
          <w:p w14:paraId="5C93B112">
            <w:pPr>
              <w:pStyle w:val="30"/>
              <w:bidi w:val="0"/>
              <w:jc w:val="left"/>
              <w:rPr>
                <w:rFonts w:hint="default"/>
                <w:color w:val="auto"/>
              </w:rPr>
            </w:pPr>
            <w:r>
              <w:rPr>
                <w:rFonts w:hint="default"/>
                <w:color w:val="auto"/>
              </w:rPr>
              <w:t>职业接触限值</w:t>
            </w:r>
          </w:p>
          <w:p w14:paraId="66809F1B">
            <w:pPr>
              <w:pStyle w:val="30"/>
              <w:bidi w:val="0"/>
              <w:jc w:val="left"/>
              <w:rPr>
                <w:rFonts w:hint="default"/>
                <w:color w:val="auto"/>
              </w:rPr>
            </w:pPr>
            <w:r>
              <w:rPr>
                <w:rFonts w:hint="default"/>
                <w:color w:val="auto"/>
              </w:rPr>
              <w:t>中国MAC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7DE32734">
            <w:pPr>
              <w:pStyle w:val="30"/>
              <w:bidi w:val="0"/>
              <w:jc w:val="left"/>
              <w:rPr>
                <w:rFonts w:hint="default"/>
                <w:color w:val="auto"/>
              </w:rPr>
            </w:pPr>
            <w:r>
              <w:rPr>
                <w:rFonts w:hint="default"/>
                <w:color w:val="auto"/>
              </w:rPr>
              <w:t>前苏联MAC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10E56B0B">
            <w:pPr>
              <w:pStyle w:val="30"/>
              <w:bidi w:val="0"/>
              <w:jc w:val="left"/>
              <w:rPr>
                <w:rFonts w:hint="default"/>
                <w:color w:val="auto"/>
              </w:rPr>
            </w:pPr>
            <w:r>
              <w:rPr>
                <w:rFonts w:hint="default"/>
                <w:color w:val="auto"/>
              </w:rPr>
              <w:t>TLVTN：ACGIH 窒息性气体</w:t>
            </w:r>
          </w:p>
          <w:p w14:paraId="6055AF3A">
            <w:pPr>
              <w:pStyle w:val="30"/>
              <w:bidi w:val="0"/>
              <w:jc w:val="left"/>
              <w:rPr>
                <w:rFonts w:hint="default"/>
                <w:color w:val="auto"/>
              </w:rPr>
            </w:pPr>
            <w:r>
              <w:rPr>
                <w:rFonts w:hint="default"/>
                <w:color w:val="auto"/>
              </w:rPr>
              <w:t>TLVWN：未制定标准</w:t>
            </w:r>
          </w:p>
          <w:p w14:paraId="5409E01A">
            <w:pPr>
              <w:pStyle w:val="30"/>
              <w:bidi w:val="0"/>
              <w:jc w:val="left"/>
              <w:rPr>
                <w:rFonts w:hint="default"/>
                <w:color w:val="auto"/>
              </w:rPr>
            </w:pPr>
            <w:r>
              <w:rPr>
                <w:rFonts w:hint="default"/>
                <w:color w:val="auto"/>
              </w:rPr>
              <w:t>工程控制：生产过程密闭，全面通风。</w:t>
            </w:r>
          </w:p>
          <w:p w14:paraId="771D2448">
            <w:pPr>
              <w:pStyle w:val="30"/>
              <w:bidi w:val="0"/>
              <w:jc w:val="left"/>
              <w:rPr>
                <w:rFonts w:hint="default"/>
                <w:color w:val="auto"/>
              </w:rPr>
            </w:pPr>
            <w:r>
              <w:rPr>
                <w:rFonts w:hint="default"/>
                <w:color w:val="auto"/>
              </w:rPr>
              <w:t>呼吸系统防护：一般不需要特殊防护，但建议特殊情况下，佩戴自吸过滤式防毒面具</w:t>
            </w:r>
            <w:r>
              <w:rPr>
                <w:rFonts w:hint="default"/>
                <w:color w:val="auto"/>
                <w:lang w:eastAsia="zh-CN"/>
              </w:rPr>
              <w:t>（</w:t>
            </w:r>
            <w:r>
              <w:rPr>
                <w:rFonts w:hint="default"/>
                <w:color w:val="auto"/>
              </w:rPr>
              <w:t>半面罩</w:t>
            </w:r>
            <w:r>
              <w:rPr>
                <w:rFonts w:hint="eastAsia"/>
                <w:color w:val="auto"/>
                <w:lang w:eastAsia="zh-CN"/>
              </w:rPr>
              <w:t>）</w:t>
            </w:r>
            <w:r>
              <w:rPr>
                <w:rFonts w:hint="default"/>
                <w:color w:val="auto"/>
              </w:rPr>
              <w:t>。</w:t>
            </w:r>
          </w:p>
          <w:p w14:paraId="67B3DAD6">
            <w:pPr>
              <w:pStyle w:val="30"/>
              <w:bidi w:val="0"/>
              <w:jc w:val="left"/>
              <w:rPr>
                <w:rFonts w:hint="default"/>
                <w:color w:val="auto"/>
              </w:rPr>
            </w:pPr>
            <w:r>
              <w:rPr>
                <w:rFonts w:hint="default"/>
                <w:color w:val="auto"/>
              </w:rPr>
              <w:t>眼睛防护：一般不需特殊防护。</w:t>
            </w:r>
          </w:p>
          <w:p w14:paraId="6EF5DD6D">
            <w:pPr>
              <w:pStyle w:val="30"/>
              <w:bidi w:val="0"/>
              <w:jc w:val="left"/>
              <w:rPr>
                <w:rFonts w:hint="default"/>
                <w:color w:val="auto"/>
              </w:rPr>
            </w:pPr>
            <w:r>
              <w:rPr>
                <w:rFonts w:hint="default"/>
                <w:color w:val="auto"/>
              </w:rPr>
              <w:t>身体防护：穿防静电工作服。</w:t>
            </w:r>
          </w:p>
          <w:p w14:paraId="635DF87C">
            <w:pPr>
              <w:pStyle w:val="30"/>
              <w:bidi w:val="0"/>
              <w:jc w:val="left"/>
              <w:rPr>
                <w:rFonts w:hint="default"/>
                <w:color w:val="auto"/>
              </w:rPr>
            </w:pPr>
            <w:r>
              <w:rPr>
                <w:rFonts w:hint="default"/>
                <w:color w:val="auto"/>
              </w:rPr>
              <w:t>手防护：戴一般作业防护手套。</w:t>
            </w:r>
          </w:p>
          <w:p w14:paraId="576F3184">
            <w:pPr>
              <w:pStyle w:val="30"/>
              <w:bidi w:val="0"/>
              <w:jc w:val="left"/>
              <w:rPr>
                <w:rFonts w:hint="default"/>
                <w:color w:val="auto"/>
              </w:rPr>
            </w:pPr>
            <w:r>
              <w:rPr>
                <w:rFonts w:hint="default"/>
                <w:color w:val="auto"/>
              </w:rPr>
              <w:t>其他防护：工作现场严禁吸烟。避免长期反复接触。进入罐、限制性空间或其它高浓度区作业，须有人监护。 </w:t>
            </w:r>
          </w:p>
        </w:tc>
      </w:tr>
      <w:tr w14:paraId="3A0FBF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B9362CB">
            <w:pPr>
              <w:pStyle w:val="30"/>
              <w:bidi w:val="0"/>
              <w:rPr>
                <w:rFonts w:hint="default"/>
                <w:color w:val="auto"/>
              </w:rPr>
            </w:pPr>
            <w:r>
              <w:rPr>
                <w:rFonts w:hint="default"/>
                <w:color w:val="auto"/>
              </w:rPr>
              <w:t>理化性质：</w:t>
            </w:r>
          </w:p>
        </w:tc>
        <w:tc>
          <w:tcPr>
            <w:tcW w:w="7070" w:type="dxa"/>
            <w:noWrap w:val="0"/>
            <w:vAlign w:val="center"/>
          </w:tcPr>
          <w:p w14:paraId="769FCE7C">
            <w:pPr>
              <w:pStyle w:val="30"/>
              <w:bidi w:val="0"/>
              <w:jc w:val="left"/>
              <w:rPr>
                <w:rFonts w:hint="default"/>
                <w:color w:val="auto"/>
              </w:rPr>
            </w:pPr>
            <w:r>
              <w:rPr>
                <w:rFonts w:hint="default"/>
                <w:color w:val="auto"/>
              </w:rPr>
              <w:t>熔点</w:t>
            </w:r>
            <w:r>
              <w:rPr>
                <w:rFonts w:hint="eastAsia"/>
                <w:color w:val="auto"/>
                <w:lang w:eastAsia="zh-CN"/>
              </w:rPr>
              <w:t>（</w:t>
            </w:r>
            <w:r>
              <w:rPr>
                <w:rFonts w:hint="default"/>
                <w:color w:val="auto"/>
              </w:rPr>
              <w:t>℃</w:t>
            </w:r>
            <w:r>
              <w:rPr>
                <w:rFonts w:hint="eastAsia"/>
                <w:color w:val="auto"/>
                <w:lang w:eastAsia="zh-CN"/>
              </w:rPr>
              <w:t>）</w:t>
            </w:r>
            <w:r>
              <w:rPr>
                <w:rFonts w:hint="default"/>
                <w:color w:val="auto"/>
              </w:rPr>
              <w:t>：-81.8</w:t>
            </w:r>
            <w:r>
              <w:rPr>
                <w:rFonts w:hint="eastAsia"/>
                <w:color w:val="auto"/>
                <w:lang w:eastAsia="zh-CN"/>
              </w:rPr>
              <w:t>（</w:t>
            </w:r>
            <w:r>
              <w:rPr>
                <w:rFonts w:hint="default"/>
                <w:color w:val="auto"/>
              </w:rPr>
              <w:t>119kPa</w:t>
            </w:r>
            <w:r>
              <w:rPr>
                <w:rFonts w:hint="eastAsia"/>
                <w:color w:val="auto"/>
                <w:lang w:eastAsia="zh-CN"/>
              </w:rPr>
              <w:t>）</w:t>
            </w:r>
            <w:r>
              <w:rPr>
                <w:rFonts w:hint="default"/>
                <w:color w:val="auto"/>
              </w:rPr>
              <w:t>；沸点</w:t>
            </w:r>
            <w:r>
              <w:rPr>
                <w:rFonts w:hint="eastAsia"/>
                <w:color w:val="auto"/>
                <w:lang w:eastAsia="zh-CN"/>
              </w:rPr>
              <w:t>（</w:t>
            </w:r>
            <w:r>
              <w:rPr>
                <w:rFonts w:hint="default"/>
                <w:color w:val="auto"/>
              </w:rPr>
              <w:t>℃</w:t>
            </w:r>
            <w:r>
              <w:rPr>
                <w:rFonts w:hint="eastAsia"/>
                <w:color w:val="auto"/>
                <w:lang w:eastAsia="zh-CN"/>
              </w:rPr>
              <w:t>）</w:t>
            </w:r>
            <w:r>
              <w:rPr>
                <w:rFonts w:hint="default"/>
                <w:color w:val="auto"/>
              </w:rPr>
              <w:t>：-83.8；相对密度</w:t>
            </w:r>
            <w:r>
              <w:rPr>
                <w:rFonts w:hint="eastAsia"/>
                <w:color w:val="auto"/>
                <w:lang w:eastAsia="zh-CN"/>
              </w:rPr>
              <w:t>（</w:t>
            </w:r>
            <w:r>
              <w:rPr>
                <w:rFonts w:hint="default"/>
                <w:color w:val="auto"/>
              </w:rPr>
              <w:t>水=1</w:t>
            </w:r>
            <w:r>
              <w:rPr>
                <w:rFonts w:hint="eastAsia"/>
                <w:color w:val="auto"/>
                <w:lang w:eastAsia="zh-CN"/>
              </w:rPr>
              <w:t>）</w:t>
            </w:r>
            <w:r>
              <w:rPr>
                <w:rFonts w:hint="default"/>
                <w:color w:val="auto"/>
              </w:rPr>
              <w:t>：0.62；相对蒸气密度</w:t>
            </w:r>
            <w:r>
              <w:rPr>
                <w:rFonts w:hint="eastAsia"/>
                <w:color w:val="auto"/>
                <w:lang w:eastAsia="zh-CN"/>
              </w:rPr>
              <w:t>（</w:t>
            </w:r>
            <w:r>
              <w:rPr>
                <w:rFonts w:hint="default"/>
                <w:color w:val="auto"/>
              </w:rPr>
              <w:t>空气=1</w:t>
            </w:r>
            <w:r>
              <w:rPr>
                <w:rFonts w:hint="eastAsia"/>
                <w:color w:val="auto"/>
                <w:lang w:eastAsia="zh-CN"/>
              </w:rPr>
              <w:t>）</w:t>
            </w:r>
            <w:r>
              <w:rPr>
                <w:rFonts w:hint="default"/>
                <w:color w:val="auto"/>
              </w:rPr>
              <w:t>：0.91；饱和蒸气压</w:t>
            </w:r>
            <w:r>
              <w:rPr>
                <w:rFonts w:hint="eastAsia"/>
                <w:color w:val="auto"/>
                <w:lang w:eastAsia="zh-CN"/>
              </w:rPr>
              <w:t>（</w:t>
            </w:r>
            <w:r>
              <w:rPr>
                <w:rFonts w:hint="default"/>
                <w:color w:val="auto"/>
              </w:rPr>
              <w:t>kPa</w:t>
            </w:r>
            <w:r>
              <w:rPr>
                <w:rFonts w:hint="eastAsia"/>
                <w:color w:val="auto"/>
                <w:lang w:eastAsia="zh-CN"/>
              </w:rPr>
              <w:t>）</w:t>
            </w:r>
            <w:r>
              <w:rPr>
                <w:rFonts w:hint="default"/>
                <w:color w:val="auto"/>
              </w:rPr>
              <w:t>：4053</w:t>
            </w:r>
            <w:r>
              <w:rPr>
                <w:rFonts w:hint="eastAsia"/>
                <w:color w:val="auto"/>
                <w:lang w:eastAsia="zh-CN"/>
              </w:rPr>
              <w:t>（</w:t>
            </w:r>
            <w:r>
              <w:rPr>
                <w:rFonts w:hint="default"/>
                <w:color w:val="auto"/>
              </w:rPr>
              <w:t>16.8℃</w:t>
            </w:r>
            <w:r>
              <w:rPr>
                <w:rFonts w:hint="eastAsia"/>
                <w:color w:val="auto"/>
                <w:lang w:eastAsia="zh-CN"/>
              </w:rPr>
              <w:t>）</w:t>
            </w:r>
            <w:r>
              <w:rPr>
                <w:rFonts w:hint="default"/>
                <w:color w:val="auto"/>
              </w:rPr>
              <w:t>；燃烧热</w:t>
            </w:r>
            <w:r>
              <w:rPr>
                <w:rFonts w:hint="eastAsia"/>
                <w:color w:val="auto"/>
                <w:lang w:eastAsia="zh-CN"/>
              </w:rPr>
              <w:t>（</w:t>
            </w:r>
            <w:r>
              <w:rPr>
                <w:rFonts w:hint="default"/>
                <w:color w:val="auto"/>
              </w:rPr>
              <w:t>kJ/mol</w:t>
            </w:r>
            <w:r>
              <w:rPr>
                <w:rFonts w:hint="eastAsia"/>
                <w:color w:val="auto"/>
                <w:lang w:eastAsia="zh-CN"/>
              </w:rPr>
              <w:t>）</w:t>
            </w:r>
            <w:r>
              <w:rPr>
                <w:rFonts w:hint="default"/>
                <w:color w:val="auto"/>
              </w:rPr>
              <w:t>：1298.4；临界温度</w:t>
            </w:r>
            <w:r>
              <w:rPr>
                <w:rFonts w:hint="eastAsia"/>
                <w:color w:val="auto"/>
                <w:lang w:eastAsia="zh-CN"/>
              </w:rPr>
              <w:t>（</w:t>
            </w:r>
            <w:r>
              <w:rPr>
                <w:rFonts w:hint="default"/>
                <w:color w:val="auto"/>
              </w:rPr>
              <w:t>℃</w:t>
            </w:r>
            <w:r>
              <w:rPr>
                <w:rFonts w:hint="eastAsia"/>
                <w:color w:val="auto"/>
                <w:lang w:eastAsia="zh-CN"/>
              </w:rPr>
              <w:t>）</w:t>
            </w:r>
            <w:r>
              <w:rPr>
                <w:rFonts w:hint="default"/>
                <w:color w:val="auto"/>
              </w:rPr>
              <w:t>：35.2；临界压力</w:t>
            </w:r>
            <w:r>
              <w:rPr>
                <w:rFonts w:hint="eastAsia"/>
                <w:color w:val="auto"/>
                <w:lang w:eastAsia="zh-CN"/>
              </w:rPr>
              <w:t>（</w:t>
            </w:r>
            <w:r>
              <w:rPr>
                <w:rFonts w:hint="default"/>
                <w:color w:val="auto"/>
              </w:rPr>
              <w:t>MPa</w:t>
            </w:r>
            <w:r>
              <w:rPr>
                <w:rFonts w:hint="eastAsia"/>
                <w:color w:val="auto"/>
                <w:lang w:eastAsia="zh-CN"/>
              </w:rPr>
              <w:t>）</w:t>
            </w:r>
            <w:r>
              <w:rPr>
                <w:rFonts w:hint="default"/>
                <w:color w:val="auto"/>
              </w:rPr>
              <w:t>：6.14；辛醇/水分配系数的对数值：无资料；溶解性：微溶于水、乙醇，溶于丙酮、氯仿、苯。</w:t>
            </w:r>
          </w:p>
        </w:tc>
      </w:tr>
      <w:tr w14:paraId="254528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43E1EBEF">
            <w:pPr>
              <w:pStyle w:val="30"/>
              <w:bidi w:val="0"/>
              <w:rPr>
                <w:rFonts w:hint="default"/>
                <w:color w:val="auto"/>
              </w:rPr>
            </w:pPr>
            <w:r>
              <w:rPr>
                <w:rFonts w:hint="default"/>
                <w:color w:val="auto"/>
              </w:rPr>
              <w:t>稳定性和反应活性：</w:t>
            </w:r>
          </w:p>
        </w:tc>
        <w:tc>
          <w:tcPr>
            <w:tcW w:w="7070" w:type="dxa"/>
            <w:noWrap w:val="0"/>
            <w:vAlign w:val="center"/>
          </w:tcPr>
          <w:p w14:paraId="3F53BC90">
            <w:pPr>
              <w:pStyle w:val="30"/>
              <w:bidi w:val="0"/>
              <w:jc w:val="left"/>
              <w:rPr>
                <w:rFonts w:hint="default"/>
                <w:color w:val="auto"/>
              </w:rPr>
            </w:pPr>
            <w:r>
              <w:rPr>
                <w:rFonts w:hint="default"/>
                <w:color w:val="auto"/>
              </w:rPr>
              <w:t>禁忌物：强氧化剂、强酸、卤素。</w:t>
            </w:r>
          </w:p>
          <w:p w14:paraId="02B861B5">
            <w:pPr>
              <w:pStyle w:val="30"/>
              <w:bidi w:val="0"/>
              <w:jc w:val="left"/>
              <w:rPr>
                <w:rFonts w:hint="default"/>
                <w:color w:val="auto"/>
              </w:rPr>
            </w:pPr>
            <w:r>
              <w:rPr>
                <w:rFonts w:hint="default"/>
                <w:color w:val="auto"/>
              </w:rPr>
              <w:t>避免接触的条件：受热。</w:t>
            </w:r>
          </w:p>
        </w:tc>
      </w:tr>
      <w:tr w14:paraId="00B200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1CB88191">
            <w:pPr>
              <w:pStyle w:val="30"/>
              <w:bidi w:val="0"/>
              <w:rPr>
                <w:rFonts w:hint="default"/>
                <w:color w:val="auto"/>
              </w:rPr>
            </w:pPr>
            <w:r>
              <w:rPr>
                <w:rFonts w:hint="default"/>
                <w:color w:val="auto"/>
              </w:rPr>
              <w:t>毒理学资料：</w:t>
            </w:r>
          </w:p>
        </w:tc>
        <w:tc>
          <w:tcPr>
            <w:tcW w:w="7070" w:type="dxa"/>
            <w:noWrap w:val="0"/>
            <w:vAlign w:val="center"/>
          </w:tcPr>
          <w:p w14:paraId="70EDFB76">
            <w:pPr>
              <w:pStyle w:val="30"/>
              <w:bidi w:val="0"/>
              <w:jc w:val="left"/>
              <w:rPr>
                <w:rFonts w:hint="default"/>
                <w:color w:val="auto"/>
              </w:rPr>
            </w:pPr>
            <w:r>
              <w:rPr>
                <w:rFonts w:hint="default"/>
                <w:color w:val="auto"/>
              </w:rPr>
              <w:t>急性毒性：LD50：无资料</w:t>
            </w:r>
          </w:p>
          <w:p w14:paraId="317DF695">
            <w:pPr>
              <w:pStyle w:val="30"/>
              <w:bidi w:val="0"/>
              <w:jc w:val="left"/>
              <w:rPr>
                <w:rFonts w:hint="default"/>
                <w:color w:val="auto"/>
              </w:rPr>
            </w:pPr>
            <w:r>
              <w:rPr>
                <w:rFonts w:hint="default"/>
                <w:color w:val="auto"/>
              </w:rPr>
              <w:t>LC50：无资料</w:t>
            </w:r>
          </w:p>
        </w:tc>
      </w:tr>
      <w:tr w14:paraId="4EF855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7B801883">
            <w:pPr>
              <w:pStyle w:val="30"/>
              <w:bidi w:val="0"/>
              <w:rPr>
                <w:rFonts w:hint="default"/>
                <w:color w:val="auto"/>
              </w:rPr>
            </w:pPr>
            <w:r>
              <w:rPr>
                <w:rFonts w:hint="default"/>
                <w:color w:val="auto"/>
              </w:rPr>
              <w:t>环境影响：</w:t>
            </w:r>
          </w:p>
        </w:tc>
        <w:tc>
          <w:tcPr>
            <w:tcW w:w="7070" w:type="dxa"/>
            <w:noWrap w:val="0"/>
            <w:vAlign w:val="center"/>
          </w:tcPr>
          <w:p w14:paraId="1EB917AB">
            <w:pPr>
              <w:pStyle w:val="30"/>
              <w:bidi w:val="0"/>
              <w:jc w:val="left"/>
              <w:rPr>
                <w:rFonts w:hint="default"/>
                <w:color w:val="auto"/>
              </w:rPr>
            </w:pPr>
            <w:r>
              <w:rPr>
                <w:rFonts w:hint="default"/>
                <w:color w:val="auto"/>
              </w:rPr>
              <w:t>该物质对环境可能有危害，对水体应给予特别注意。</w:t>
            </w:r>
          </w:p>
        </w:tc>
      </w:tr>
      <w:tr w14:paraId="203957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23B3579">
            <w:pPr>
              <w:pStyle w:val="30"/>
              <w:bidi w:val="0"/>
              <w:rPr>
                <w:rFonts w:hint="default"/>
                <w:color w:val="auto"/>
              </w:rPr>
            </w:pPr>
            <w:r>
              <w:rPr>
                <w:rFonts w:hint="default"/>
                <w:color w:val="auto"/>
              </w:rPr>
              <w:t>废弃：</w:t>
            </w:r>
          </w:p>
        </w:tc>
        <w:tc>
          <w:tcPr>
            <w:tcW w:w="7070" w:type="dxa"/>
            <w:noWrap w:val="0"/>
            <w:vAlign w:val="center"/>
          </w:tcPr>
          <w:p w14:paraId="792519C9">
            <w:pPr>
              <w:pStyle w:val="30"/>
              <w:bidi w:val="0"/>
              <w:jc w:val="left"/>
              <w:rPr>
                <w:rFonts w:hint="default"/>
                <w:color w:val="auto"/>
              </w:rPr>
            </w:pPr>
            <w:r>
              <w:rPr>
                <w:rFonts w:hint="default"/>
                <w:color w:val="auto"/>
              </w:rPr>
              <w:t>处置前应参阅国家和地方有关法规。建议用焚烧法处置。</w:t>
            </w:r>
          </w:p>
        </w:tc>
      </w:tr>
      <w:tr w14:paraId="39D701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403" w:type="dxa"/>
            <w:gridSpan w:val="2"/>
            <w:noWrap w:val="0"/>
            <w:vAlign w:val="center"/>
          </w:tcPr>
          <w:p w14:paraId="7555F805">
            <w:pPr>
              <w:pStyle w:val="30"/>
              <w:bidi w:val="0"/>
              <w:jc w:val="center"/>
              <w:rPr>
                <w:rFonts w:hint="default"/>
                <w:color w:val="auto"/>
              </w:rPr>
            </w:pPr>
            <w:r>
              <w:rPr>
                <w:rFonts w:hint="default"/>
                <w:color w:val="auto"/>
              </w:rPr>
              <w:t>其他信息</w:t>
            </w:r>
          </w:p>
        </w:tc>
      </w:tr>
      <w:tr w14:paraId="4ADE50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0C6BCC50">
            <w:pPr>
              <w:pStyle w:val="30"/>
              <w:bidi w:val="0"/>
              <w:rPr>
                <w:rFonts w:hint="default"/>
                <w:color w:val="auto"/>
              </w:rPr>
            </w:pPr>
            <w:r>
              <w:rPr>
                <w:rFonts w:hint="default"/>
                <w:color w:val="auto"/>
              </w:rPr>
              <w:t>包装分类：</w:t>
            </w:r>
          </w:p>
        </w:tc>
        <w:tc>
          <w:tcPr>
            <w:tcW w:w="7070" w:type="dxa"/>
            <w:noWrap w:val="0"/>
            <w:vAlign w:val="center"/>
          </w:tcPr>
          <w:p w14:paraId="7D2DBD5C">
            <w:pPr>
              <w:pStyle w:val="30"/>
              <w:bidi w:val="0"/>
              <w:jc w:val="left"/>
              <w:rPr>
                <w:rFonts w:hint="default"/>
                <w:color w:val="auto"/>
              </w:rPr>
            </w:pPr>
            <w:r>
              <w:rPr>
                <w:rFonts w:hint="default"/>
                <w:color w:val="auto"/>
              </w:rPr>
              <w:t>052</w:t>
            </w:r>
          </w:p>
        </w:tc>
      </w:tr>
      <w:tr w14:paraId="311407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333" w:type="dxa"/>
            <w:noWrap w:val="0"/>
            <w:vAlign w:val="center"/>
          </w:tcPr>
          <w:p w14:paraId="54215E0D">
            <w:pPr>
              <w:pStyle w:val="30"/>
              <w:bidi w:val="0"/>
              <w:rPr>
                <w:rFonts w:hint="default"/>
                <w:color w:val="auto"/>
              </w:rPr>
            </w:pPr>
            <w:r>
              <w:rPr>
                <w:rFonts w:hint="default"/>
                <w:color w:val="auto"/>
              </w:rPr>
              <w:t>包装方法：</w:t>
            </w:r>
          </w:p>
        </w:tc>
        <w:tc>
          <w:tcPr>
            <w:tcW w:w="7070" w:type="dxa"/>
            <w:noWrap w:val="0"/>
            <w:vAlign w:val="center"/>
          </w:tcPr>
          <w:p w14:paraId="0E7F84C8">
            <w:pPr>
              <w:pStyle w:val="30"/>
              <w:bidi w:val="0"/>
              <w:jc w:val="left"/>
              <w:rPr>
                <w:rFonts w:hint="default"/>
                <w:color w:val="auto"/>
              </w:rPr>
            </w:pPr>
            <w:r>
              <w:rPr>
                <w:rFonts w:hint="default"/>
                <w:color w:val="auto"/>
              </w:rPr>
              <w:t>钢质气瓶。</w:t>
            </w:r>
          </w:p>
        </w:tc>
      </w:tr>
    </w:tbl>
    <w:p w14:paraId="284A9470">
      <w:pPr>
        <w:bidi w:val="0"/>
        <w:rPr>
          <w:rFonts w:hint="default"/>
          <w:color w:val="auto"/>
          <w:lang w:val="en-US" w:eastAsia="zh-CN"/>
        </w:rPr>
      </w:pPr>
      <w:r>
        <w:rPr>
          <w:rFonts w:hint="eastAsia"/>
          <w:color w:val="auto"/>
          <w:lang w:val="en-US" w:eastAsia="zh-CN"/>
        </w:rPr>
        <w:t>3</w:t>
      </w:r>
      <w:r>
        <w:rPr>
          <w:rFonts w:hint="default"/>
          <w:color w:val="auto"/>
          <w:lang w:val="en-US" w:eastAsia="zh-CN"/>
        </w:rPr>
        <w:t>、氧气</w:t>
      </w:r>
    </w:p>
    <w:p w14:paraId="245B2A3C">
      <w:pPr>
        <w:pStyle w:val="29"/>
        <w:bidi w:val="0"/>
        <w:rPr>
          <w:rFonts w:hint="default"/>
          <w:color w:val="auto"/>
          <w:lang w:val="en-US" w:eastAsia="zh-CN"/>
        </w:rPr>
      </w:pPr>
      <w:r>
        <w:rPr>
          <w:rFonts w:hint="default"/>
          <w:color w:val="auto"/>
          <w:lang w:val="en-US" w:eastAsia="zh-CN"/>
        </w:rPr>
        <w:t>表3.</w:t>
      </w:r>
      <w:r>
        <w:rPr>
          <w:rFonts w:hint="eastAsia"/>
          <w:color w:val="auto"/>
          <w:lang w:val="en-US" w:eastAsia="zh-CN"/>
        </w:rPr>
        <w:t>2</w:t>
      </w:r>
      <w:r>
        <w:rPr>
          <w:rFonts w:hint="default"/>
          <w:color w:val="auto"/>
          <w:lang w:val="en-US" w:eastAsia="zh-CN"/>
        </w:rPr>
        <w:t>-</w:t>
      </w:r>
      <w:r>
        <w:rPr>
          <w:rFonts w:hint="eastAsia"/>
          <w:color w:val="auto"/>
          <w:lang w:val="en-US" w:eastAsia="zh-CN"/>
        </w:rPr>
        <w:t>3</w:t>
      </w:r>
      <w:r>
        <w:rPr>
          <w:rFonts w:hint="default"/>
          <w:color w:val="auto"/>
          <w:lang w:val="en-US" w:eastAsia="zh-CN"/>
        </w:rPr>
        <w:t xml:space="preserve">  氧气理化特性表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5"/>
        <w:gridCol w:w="7468"/>
      </w:tblGrid>
      <w:tr w14:paraId="2F21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1B02E14">
            <w:pPr>
              <w:pStyle w:val="30"/>
              <w:bidi w:val="0"/>
              <w:rPr>
                <w:rFonts w:hint="default"/>
                <w:color w:val="auto"/>
              </w:rPr>
            </w:pPr>
            <w:r>
              <w:rPr>
                <w:rFonts w:hint="default"/>
                <w:color w:val="auto"/>
              </w:rPr>
              <w:t>中文名称：</w:t>
            </w:r>
          </w:p>
        </w:tc>
        <w:tc>
          <w:tcPr>
            <w:tcW w:w="7468" w:type="dxa"/>
            <w:noWrap w:val="0"/>
            <w:vAlign w:val="center"/>
          </w:tcPr>
          <w:p w14:paraId="4803ECCE">
            <w:pPr>
              <w:pStyle w:val="30"/>
              <w:bidi w:val="0"/>
              <w:jc w:val="left"/>
              <w:rPr>
                <w:rFonts w:hint="default"/>
                <w:color w:val="auto"/>
              </w:rPr>
            </w:pPr>
            <w:r>
              <w:rPr>
                <w:rFonts w:hint="default"/>
                <w:color w:val="auto"/>
              </w:rPr>
              <w:t>氧；氧气</w:t>
            </w:r>
          </w:p>
        </w:tc>
      </w:tr>
      <w:tr w14:paraId="6443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0971C81F">
            <w:pPr>
              <w:pStyle w:val="30"/>
              <w:bidi w:val="0"/>
              <w:rPr>
                <w:rFonts w:hint="default"/>
                <w:color w:val="auto"/>
              </w:rPr>
            </w:pPr>
            <w:r>
              <w:rPr>
                <w:rFonts w:hint="default"/>
                <w:color w:val="auto"/>
              </w:rPr>
              <w:t>英文名称：</w:t>
            </w:r>
          </w:p>
        </w:tc>
        <w:tc>
          <w:tcPr>
            <w:tcW w:w="7468" w:type="dxa"/>
            <w:noWrap w:val="0"/>
            <w:vAlign w:val="center"/>
          </w:tcPr>
          <w:p w14:paraId="782AFE90">
            <w:pPr>
              <w:pStyle w:val="30"/>
              <w:bidi w:val="0"/>
              <w:jc w:val="left"/>
              <w:rPr>
                <w:rFonts w:hint="default"/>
                <w:color w:val="auto"/>
              </w:rPr>
            </w:pPr>
            <w:r>
              <w:rPr>
                <w:rFonts w:hint="default"/>
                <w:color w:val="auto"/>
              </w:rPr>
              <w:t>oxygen</w:t>
            </w:r>
          </w:p>
        </w:tc>
      </w:tr>
      <w:tr w14:paraId="3AD7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7D9B90D">
            <w:pPr>
              <w:pStyle w:val="30"/>
              <w:bidi w:val="0"/>
              <w:rPr>
                <w:rFonts w:hint="default"/>
                <w:color w:val="auto"/>
              </w:rPr>
            </w:pPr>
            <w:r>
              <w:rPr>
                <w:rFonts w:hint="default"/>
                <w:color w:val="auto"/>
              </w:rPr>
              <w:t>分子式：</w:t>
            </w:r>
          </w:p>
        </w:tc>
        <w:tc>
          <w:tcPr>
            <w:tcW w:w="7468" w:type="dxa"/>
            <w:noWrap w:val="0"/>
            <w:vAlign w:val="center"/>
          </w:tcPr>
          <w:p w14:paraId="51D3E8CD">
            <w:pPr>
              <w:pStyle w:val="30"/>
              <w:bidi w:val="0"/>
              <w:jc w:val="left"/>
              <w:rPr>
                <w:rFonts w:hint="default"/>
                <w:color w:val="auto"/>
              </w:rPr>
            </w:pPr>
            <w:r>
              <w:rPr>
                <w:rFonts w:hint="default"/>
                <w:color w:val="auto"/>
              </w:rPr>
              <w:t>O</w:t>
            </w:r>
            <w:r>
              <w:rPr>
                <w:rFonts w:hint="default"/>
                <w:color w:val="auto"/>
                <w:vertAlign w:val="subscript"/>
              </w:rPr>
              <w:t>2</w:t>
            </w:r>
          </w:p>
        </w:tc>
      </w:tr>
      <w:tr w14:paraId="1445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3E76999F">
            <w:pPr>
              <w:pStyle w:val="30"/>
              <w:bidi w:val="0"/>
              <w:rPr>
                <w:rFonts w:hint="default"/>
                <w:color w:val="auto"/>
              </w:rPr>
            </w:pPr>
            <w:r>
              <w:rPr>
                <w:rFonts w:hint="default"/>
                <w:color w:val="auto"/>
              </w:rPr>
              <w:t>相对分子质量：</w:t>
            </w:r>
          </w:p>
        </w:tc>
        <w:tc>
          <w:tcPr>
            <w:tcW w:w="7468" w:type="dxa"/>
            <w:noWrap w:val="0"/>
            <w:vAlign w:val="center"/>
          </w:tcPr>
          <w:p w14:paraId="1CA3BE24">
            <w:pPr>
              <w:pStyle w:val="30"/>
              <w:bidi w:val="0"/>
              <w:jc w:val="left"/>
              <w:rPr>
                <w:rFonts w:hint="default"/>
                <w:color w:val="auto"/>
              </w:rPr>
            </w:pPr>
            <w:r>
              <w:rPr>
                <w:rFonts w:hint="default"/>
                <w:color w:val="auto"/>
              </w:rPr>
              <w:t>32.00</w:t>
            </w:r>
          </w:p>
        </w:tc>
      </w:tr>
      <w:tr w14:paraId="7991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935" w:type="dxa"/>
            <w:noWrap w:val="0"/>
            <w:vAlign w:val="center"/>
          </w:tcPr>
          <w:p w14:paraId="70DCE01E">
            <w:pPr>
              <w:pStyle w:val="30"/>
              <w:bidi w:val="0"/>
              <w:rPr>
                <w:rFonts w:hint="default"/>
                <w:color w:val="auto"/>
              </w:rPr>
            </w:pPr>
            <w:r>
              <w:rPr>
                <w:rFonts w:hint="default"/>
                <w:color w:val="auto"/>
              </w:rPr>
              <w:t>CAS号：</w:t>
            </w:r>
          </w:p>
        </w:tc>
        <w:tc>
          <w:tcPr>
            <w:tcW w:w="7468" w:type="dxa"/>
            <w:noWrap w:val="0"/>
            <w:vAlign w:val="center"/>
          </w:tcPr>
          <w:p w14:paraId="3E92B194">
            <w:pPr>
              <w:pStyle w:val="30"/>
              <w:bidi w:val="0"/>
              <w:jc w:val="left"/>
              <w:rPr>
                <w:rFonts w:hint="default"/>
                <w:color w:val="auto"/>
              </w:rPr>
            </w:pPr>
            <w:r>
              <w:rPr>
                <w:rFonts w:hint="default"/>
                <w:color w:val="auto"/>
              </w:rPr>
              <w:t>7782-44-7</w:t>
            </w:r>
          </w:p>
        </w:tc>
      </w:tr>
      <w:tr w14:paraId="265D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C2B302D">
            <w:pPr>
              <w:pStyle w:val="30"/>
              <w:bidi w:val="0"/>
              <w:rPr>
                <w:rFonts w:hint="default"/>
                <w:color w:val="auto"/>
              </w:rPr>
            </w:pPr>
            <w:r>
              <w:rPr>
                <w:rFonts w:hint="default"/>
                <w:color w:val="auto"/>
              </w:rPr>
              <w:t>危规号：</w:t>
            </w:r>
          </w:p>
        </w:tc>
        <w:tc>
          <w:tcPr>
            <w:tcW w:w="7468" w:type="dxa"/>
            <w:noWrap w:val="0"/>
            <w:vAlign w:val="center"/>
          </w:tcPr>
          <w:p w14:paraId="36C59157">
            <w:pPr>
              <w:pStyle w:val="30"/>
              <w:bidi w:val="0"/>
              <w:jc w:val="left"/>
              <w:rPr>
                <w:rFonts w:hint="default"/>
                <w:color w:val="auto"/>
              </w:rPr>
            </w:pPr>
            <w:r>
              <w:rPr>
                <w:rFonts w:hint="default"/>
                <w:color w:val="auto"/>
              </w:rPr>
              <w:t>22001</w:t>
            </w:r>
          </w:p>
        </w:tc>
      </w:tr>
      <w:tr w14:paraId="60C6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FD23F22">
            <w:pPr>
              <w:pStyle w:val="30"/>
              <w:bidi w:val="0"/>
              <w:rPr>
                <w:rFonts w:hint="default"/>
                <w:color w:val="auto"/>
              </w:rPr>
            </w:pPr>
            <w:r>
              <w:rPr>
                <w:rFonts w:hint="default"/>
                <w:color w:val="auto"/>
              </w:rPr>
              <w:t>UN编号：</w:t>
            </w:r>
          </w:p>
        </w:tc>
        <w:tc>
          <w:tcPr>
            <w:tcW w:w="7468" w:type="dxa"/>
            <w:noWrap w:val="0"/>
            <w:vAlign w:val="center"/>
          </w:tcPr>
          <w:p w14:paraId="3441DEA6">
            <w:pPr>
              <w:pStyle w:val="30"/>
              <w:bidi w:val="0"/>
              <w:jc w:val="left"/>
              <w:rPr>
                <w:rFonts w:hint="default"/>
                <w:color w:val="auto"/>
              </w:rPr>
            </w:pPr>
            <w:r>
              <w:rPr>
                <w:rFonts w:hint="default"/>
                <w:color w:val="auto"/>
              </w:rPr>
              <w:t>1072</w:t>
            </w:r>
          </w:p>
        </w:tc>
      </w:tr>
      <w:tr w14:paraId="6C4B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C2B540C">
            <w:pPr>
              <w:pStyle w:val="30"/>
              <w:bidi w:val="0"/>
              <w:rPr>
                <w:rFonts w:hint="default"/>
                <w:color w:val="auto"/>
              </w:rPr>
            </w:pPr>
            <w:r>
              <w:rPr>
                <w:rFonts w:hint="default"/>
                <w:color w:val="auto"/>
              </w:rPr>
              <w:t>主要成分：</w:t>
            </w:r>
          </w:p>
        </w:tc>
        <w:tc>
          <w:tcPr>
            <w:tcW w:w="7468" w:type="dxa"/>
            <w:noWrap w:val="0"/>
            <w:vAlign w:val="center"/>
          </w:tcPr>
          <w:p w14:paraId="29C0E9C8">
            <w:pPr>
              <w:pStyle w:val="30"/>
              <w:bidi w:val="0"/>
              <w:jc w:val="left"/>
              <w:rPr>
                <w:rFonts w:hint="default"/>
                <w:color w:val="auto"/>
              </w:rPr>
            </w:pPr>
            <w:r>
              <w:rPr>
                <w:rFonts w:hint="default"/>
                <w:color w:val="auto"/>
              </w:rPr>
              <w:t>含量：高纯氧</w:t>
            </w:r>
            <w:r>
              <w:rPr>
                <w:rFonts w:hint="eastAsia"/>
                <w:color w:val="auto"/>
                <w:lang w:eastAsia="zh-CN"/>
              </w:rPr>
              <w:t>（</w:t>
            </w:r>
            <w:r>
              <w:rPr>
                <w:rFonts w:hint="default"/>
                <w:color w:val="auto"/>
              </w:rPr>
              <w:t>体积</w:t>
            </w:r>
            <w:r>
              <w:rPr>
                <w:rFonts w:hint="eastAsia"/>
                <w:color w:val="auto"/>
                <w:lang w:eastAsia="zh-CN"/>
              </w:rPr>
              <w:t>）</w:t>
            </w:r>
            <w:r>
              <w:rPr>
                <w:rFonts w:hint="default"/>
                <w:color w:val="auto"/>
              </w:rPr>
              <w:t>≥99.99％。</w:t>
            </w:r>
          </w:p>
        </w:tc>
      </w:tr>
      <w:tr w14:paraId="098A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FC1BB4D">
            <w:pPr>
              <w:pStyle w:val="30"/>
              <w:bidi w:val="0"/>
              <w:rPr>
                <w:rFonts w:hint="default"/>
                <w:color w:val="auto"/>
              </w:rPr>
            </w:pPr>
            <w:r>
              <w:rPr>
                <w:rFonts w:hint="default"/>
                <w:color w:val="auto"/>
              </w:rPr>
              <w:t>外观与性状：</w:t>
            </w:r>
          </w:p>
        </w:tc>
        <w:tc>
          <w:tcPr>
            <w:tcW w:w="7468" w:type="dxa"/>
            <w:noWrap w:val="0"/>
            <w:vAlign w:val="center"/>
          </w:tcPr>
          <w:p w14:paraId="210F6BC5">
            <w:pPr>
              <w:pStyle w:val="30"/>
              <w:bidi w:val="0"/>
              <w:jc w:val="left"/>
              <w:rPr>
                <w:rFonts w:hint="default"/>
                <w:color w:val="auto"/>
              </w:rPr>
            </w:pPr>
            <w:r>
              <w:rPr>
                <w:rFonts w:hint="default"/>
                <w:color w:val="auto"/>
              </w:rPr>
              <w:t>无色无臭气体。</w:t>
            </w:r>
          </w:p>
        </w:tc>
      </w:tr>
      <w:tr w14:paraId="31E4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3854C6EC">
            <w:pPr>
              <w:pStyle w:val="30"/>
              <w:bidi w:val="0"/>
              <w:rPr>
                <w:rFonts w:hint="default"/>
                <w:color w:val="auto"/>
              </w:rPr>
            </w:pPr>
            <w:r>
              <w:rPr>
                <w:rFonts w:hint="default"/>
                <w:color w:val="auto"/>
              </w:rPr>
              <w:t>主要用途：</w:t>
            </w:r>
          </w:p>
        </w:tc>
        <w:tc>
          <w:tcPr>
            <w:tcW w:w="7468" w:type="dxa"/>
            <w:noWrap w:val="0"/>
            <w:vAlign w:val="center"/>
          </w:tcPr>
          <w:p w14:paraId="3840979C">
            <w:pPr>
              <w:pStyle w:val="30"/>
              <w:bidi w:val="0"/>
              <w:jc w:val="left"/>
              <w:rPr>
                <w:rFonts w:hint="default"/>
                <w:color w:val="auto"/>
              </w:rPr>
            </w:pPr>
            <w:r>
              <w:rPr>
                <w:rFonts w:hint="default"/>
                <w:color w:val="auto"/>
              </w:rPr>
              <w:t>用于切割、焊接金属，制造医药、染料、炸药等。</w:t>
            </w:r>
          </w:p>
        </w:tc>
      </w:tr>
      <w:tr w14:paraId="676A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403" w:type="dxa"/>
            <w:gridSpan w:val="2"/>
            <w:noWrap w:val="0"/>
            <w:vAlign w:val="center"/>
          </w:tcPr>
          <w:p w14:paraId="3E6CDA79">
            <w:pPr>
              <w:pStyle w:val="30"/>
              <w:bidi w:val="0"/>
              <w:jc w:val="center"/>
              <w:rPr>
                <w:rFonts w:hint="default"/>
                <w:color w:val="auto"/>
              </w:rPr>
            </w:pPr>
            <w:r>
              <w:rPr>
                <w:rFonts w:hint="default"/>
                <w:color w:val="auto"/>
              </w:rPr>
              <w:t>健康危害</w:t>
            </w:r>
          </w:p>
        </w:tc>
      </w:tr>
      <w:tr w14:paraId="64A4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9A0F5D7">
            <w:pPr>
              <w:pStyle w:val="30"/>
              <w:bidi w:val="0"/>
              <w:rPr>
                <w:rFonts w:hint="default"/>
                <w:color w:val="auto"/>
              </w:rPr>
            </w:pPr>
            <w:r>
              <w:rPr>
                <w:rFonts w:hint="default"/>
                <w:color w:val="auto"/>
              </w:rPr>
              <w:t>侵入途径：</w:t>
            </w:r>
          </w:p>
        </w:tc>
        <w:tc>
          <w:tcPr>
            <w:tcW w:w="7468" w:type="dxa"/>
            <w:noWrap w:val="0"/>
            <w:vAlign w:val="center"/>
          </w:tcPr>
          <w:p w14:paraId="4EFA9300">
            <w:pPr>
              <w:pStyle w:val="30"/>
              <w:bidi w:val="0"/>
              <w:jc w:val="left"/>
              <w:rPr>
                <w:rFonts w:hint="default"/>
                <w:color w:val="auto"/>
              </w:rPr>
            </w:pPr>
            <w:r>
              <w:rPr>
                <w:rFonts w:hint="default"/>
                <w:color w:val="auto"/>
              </w:rPr>
              <w:t>吸入。</w:t>
            </w:r>
          </w:p>
        </w:tc>
      </w:tr>
      <w:tr w14:paraId="4105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2E11AD9C">
            <w:pPr>
              <w:pStyle w:val="30"/>
              <w:bidi w:val="0"/>
              <w:rPr>
                <w:rFonts w:hint="default"/>
                <w:color w:val="auto"/>
              </w:rPr>
            </w:pPr>
            <w:r>
              <w:rPr>
                <w:rFonts w:hint="default"/>
                <w:color w:val="auto"/>
              </w:rPr>
              <w:t>健康危害：</w:t>
            </w:r>
          </w:p>
        </w:tc>
        <w:tc>
          <w:tcPr>
            <w:tcW w:w="7468" w:type="dxa"/>
            <w:noWrap w:val="0"/>
            <w:vAlign w:val="center"/>
          </w:tcPr>
          <w:p w14:paraId="511996D7">
            <w:pPr>
              <w:pStyle w:val="30"/>
              <w:bidi w:val="0"/>
              <w:jc w:val="left"/>
              <w:rPr>
                <w:rFonts w:hint="default"/>
                <w:color w:val="auto"/>
              </w:rPr>
            </w:pPr>
            <w:r>
              <w:rPr>
                <w:rFonts w:hint="default"/>
                <w:color w:val="auto"/>
              </w:rPr>
              <w:t>常压下，当氧的浓度超过40％时，有可能发生氧中毒。吸入40％～60％的氧时，出现胸骨后不适感、轻咳，进而胸闷、胸骨后烧灼感和呼吸困难，咳嗽加剧；严重时可发生肺水肿，甚至出现呼吸窘迫综合征。吸入氧浓度在80％以上时，出现面部肌肉抽动、面色苍白、眩晕、心动过速、虚脱，继而全身强直性抽搐、昏迷、呼吸衰竭而死亡。长期处于氧分压为60～100kPa</w:t>
            </w:r>
            <w:r>
              <w:rPr>
                <w:rFonts w:hint="eastAsia"/>
                <w:color w:val="auto"/>
                <w:lang w:eastAsia="zh-CN"/>
              </w:rPr>
              <w:t>（</w:t>
            </w:r>
            <w:r>
              <w:rPr>
                <w:rFonts w:hint="default"/>
                <w:color w:val="auto"/>
              </w:rPr>
              <w:t>相当于吸入氧浓度40％左右</w:t>
            </w:r>
            <w:r>
              <w:rPr>
                <w:rFonts w:hint="eastAsia"/>
                <w:color w:val="auto"/>
                <w:lang w:eastAsia="zh-CN"/>
              </w:rPr>
              <w:t>）</w:t>
            </w:r>
            <w:r>
              <w:rPr>
                <w:rFonts w:hint="default"/>
                <w:color w:val="auto"/>
              </w:rPr>
              <w:t>的条件下可发生眼损害，严重者可失明。</w:t>
            </w:r>
          </w:p>
        </w:tc>
      </w:tr>
      <w:tr w14:paraId="2BF1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BE929C3">
            <w:pPr>
              <w:pStyle w:val="30"/>
              <w:bidi w:val="0"/>
              <w:rPr>
                <w:rFonts w:hint="default"/>
                <w:color w:val="auto"/>
              </w:rPr>
            </w:pPr>
            <w:r>
              <w:rPr>
                <w:rFonts w:hint="default"/>
                <w:color w:val="auto"/>
              </w:rPr>
              <w:t>吸入：</w:t>
            </w:r>
          </w:p>
        </w:tc>
        <w:tc>
          <w:tcPr>
            <w:tcW w:w="7468" w:type="dxa"/>
            <w:noWrap w:val="0"/>
            <w:vAlign w:val="center"/>
          </w:tcPr>
          <w:p w14:paraId="6EEBAD04">
            <w:pPr>
              <w:pStyle w:val="30"/>
              <w:bidi w:val="0"/>
              <w:jc w:val="left"/>
              <w:rPr>
                <w:rFonts w:hint="default"/>
                <w:color w:val="auto"/>
              </w:rPr>
            </w:pPr>
            <w:r>
              <w:rPr>
                <w:rFonts w:hint="default"/>
                <w:color w:val="auto"/>
              </w:rPr>
              <w:t>迅速脱离现场至空气新鲜处。保持呼吸道通畅。如呼吸停止，立即进行人工呼吸。就医。</w:t>
            </w:r>
          </w:p>
        </w:tc>
      </w:tr>
      <w:tr w14:paraId="2DDAE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403" w:type="dxa"/>
            <w:gridSpan w:val="2"/>
            <w:noWrap w:val="0"/>
            <w:vAlign w:val="center"/>
          </w:tcPr>
          <w:p w14:paraId="4FCBED77">
            <w:pPr>
              <w:pStyle w:val="30"/>
              <w:bidi w:val="0"/>
              <w:jc w:val="center"/>
              <w:rPr>
                <w:rFonts w:hint="default"/>
                <w:color w:val="auto"/>
              </w:rPr>
            </w:pPr>
            <w:r>
              <w:rPr>
                <w:rFonts w:hint="default"/>
                <w:color w:val="auto"/>
              </w:rPr>
              <w:t>理化特性</w:t>
            </w:r>
          </w:p>
        </w:tc>
      </w:tr>
      <w:tr w14:paraId="36CC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DBCF07F">
            <w:pPr>
              <w:pStyle w:val="30"/>
              <w:bidi w:val="0"/>
              <w:rPr>
                <w:rFonts w:hint="default"/>
                <w:color w:val="auto"/>
              </w:rPr>
            </w:pPr>
            <w:r>
              <w:rPr>
                <w:rFonts w:hint="default"/>
                <w:color w:val="auto"/>
              </w:rPr>
              <w:t>燃烧性：</w:t>
            </w:r>
          </w:p>
        </w:tc>
        <w:tc>
          <w:tcPr>
            <w:tcW w:w="7468" w:type="dxa"/>
            <w:noWrap w:val="0"/>
            <w:vAlign w:val="center"/>
          </w:tcPr>
          <w:p w14:paraId="73563B6A">
            <w:pPr>
              <w:pStyle w:val="30"/>
              <w:bidi w:val="0"/>
              <w:jc w:val="left"/>
              <w:rPr>
                <w:rFonts w:hint="default"/>
                <w:color w:val="auto"/>
              </w:rPr>
            </w:pPr>
            <w:r>
              <w:rPr>
                <w:rFonts w:hint="default"/>
                <w:color w:val="auto"/>
              </w:rPr>
              <w:t>本品助燃。</w:t>
            </w:r>
          </w:p>
        </w:tc>
      </w:tr>
      <w:tr w14:paraId="2928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553D88A2">
            <w:pPr>
              <w:pStyle w:val="30"/>
              <w:bidi w:val="0"/>
              <w:rPr>
                <w:rFonts w:hint="default"/>
                <w:color w:val="auto"/>
              </w:rPr>
            </w:pPr>
            <w:r>
              <w:rPr>
                <w:rFonts w:hint="default"/>
                <w:color w:val="auto"/>
              </w:rPr>
              <w:t>闪点：</w:t>
            </w:r>
          </w:p>
        </w:tc>
        <w:tc>
          <w:tcPr>
            <w:tcW w:w="7468" w:type="dxa"/>
            <w:noWrap w:val="0"/>
            <w:vAlign w:val="center"/>
          </w:tcPr>
          <w:p w14:paraId="7EC3DB33">
            <w:pPr>
              <w:pStyle w:val="30"/>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6D6A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F0CCEEC">
            <w:pPr>
              <w:pStyle w:val="30"/>
              <w:bidi w:val="0"/>
              <w:rPr>
                <w:rFonts w:hint="default"/>
                <w:color w:val="auto"/>
              </w:rPr>
            </w:pPr>
            <w:r>
              <w:rPr>
                <w:rFonts w:hint="default"/>
                <w:color w:val="auto"/>
              </w:rPr>
              <w:t>爆炸下限：</w:t>
            </w:r>
          </w:p>
        </w:tc>
        <w:tc>
          <w:tcPr>
            <w:tcW w:w="7468" w:type="dxa"/>
            <w:noWrap w:val="0"/>
            <w:vAlign w:val="center"/>
          </w:tcPr>
          <w:p w14:paraId="4AD93C07">
            <w:pPr>
              <w:pStyle w:val="30"/>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30B8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3F479A9">
            <w:pPr>
              <w:pStyle w:val="30"/>
              <w:bidi w:val="0"/>
              <w:rPr>
                <w:rFonts w:hint="default"/>
                <w:color w:val="auto"/>
              </w:rPr>
            </w:pPr>
            <w:r>
              <w:rPr>
                <w:rFonts w:hint="default"/>
                <w:color w:val="auto"/>
              </w:rPr>
              <w:t>引燃温度：</w:t>
            </w:r>
          </w:p>
        </w:tc>
        <w:tc>
          <w:tcPr>
            <w:tcW w:w="7468" w:type="dxa"/>
            <w:noWrap w:val="0"/>
            <w:vAlign w:val="center"/>
          </w:tcPr>
          <w:p w14:paraId="6DE17EC9">
            <w:pPr>
              <w:pStyle w:val="30"/>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0542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26B0A2C">
            <w:pPr>
              <w:pStyle w:val="30"/>
              <w:bidi w:val="0"/>
              <w:rPr>
                <w:rFonts w:hint="default"/>
                <w:color w:val="auto"/>
              </w:rPr>
            </w:pPr>
            <w:r>
              <w:rPr>
                <w:rFonts w:hint="default"/>
                <w:color w:val="auto"/>
              </w:rPr>
              <w:t>爆炸上限：</w:t>
            </w:r>
          </w:p>
        </w:tc>
        <w:tc>
          <w:tcPr>
            <w:tcW w:w="7468" w:type="dxa"/>
            <w:noWrap w:val="0"/>
            <w:vAlign w:val="center"/>
          </w:tcPr>
          <w:p w14:paraId="27B3F9A9">
            <w:pPr>
              <w:pStyle w:val="30"/>
              <w:bidi w:val="0"/>
              <w:jc w:val="left"/>
              <w:rPr>
                <w:rFonts w:hint="default"/>
                <w:color w:val="auto"/>
              </w:rPr>
            </w:pPr>
            <w:r>
              <w:rPr>
                <w:rFonts w:hint="default"/>
                <w:color w:val="auto"/>
                <w:lang w:eastAsia="zh-CN"/>
              </w:rPr>
              <w:t>（</w:t>
            </w:r>
            <w:r>
              <w:rPr>
                <w:rFonts w:hint="default"/>
                <w:color w:val="auto"/>
              </w:rPr>
              <w:t>％</w:t>
            </w:r>
            <w:r>
              <w:rPr>
                <w:rFonts w:hint="eastAsia"/>
                <w:color w:val="auto"/>
                <w:lang w:eastAsia="zh-CN"/>
              </w:rPr>
              <w:t>）</w:t>
            </w:r>
            <w:r>
              <w:rPr>
                <w:rFonts w:hint="default"/>
                <w:color w:val="auto"/>
              </w:rPr>
              <w:t>无意义</w:t>
            </w:r>
          </w:p>
        </w:tc>
      </w:tr>
      <w:tr w14:paraId="0F46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1A0088B">
            <w:pPr>
              <w:pStyle w:val="30"/>
              <w:bidi w:val="0"/>
              <w:rPr>
                <w:rFonts w:hint="default"/>
                <w:color w:val="auto"/>
              </w:rPr>
            </w:pPr>
            <w:r>
              <w:rPr>
                <w:rFonts w:hint="default"/>
                <w:color w:val="auto"/>
              </w:rPr>
              <w:t>危险特性：</w:t>
            </w:r>
          </w:p>
        </w:tc>
        <w:tc>
          <w:tcPr>
            <w:tcW w:w="7468" w:type="dxa"/>
            <w:noWrap w:val="0"/>
            <w:vAlign w:val="center"/>
          </w:tcPr>
          <w:p w14:paraId="3DD1E4C5">
            <w:pPr>
              <w:pStyle w:val="30"/>
              <w:bidi w:val="0"/>
              <w:jc w:val="left"/>
              <w:rPr>
                <w:rFonts w:hint="default"/>
                <w:color w:val="auto"/>
              </w:rPr>
            </w:pPr>
            <w:r>
              <w:rPr>
                <w:rFonts w:hint="default"/>
                <w:color w:val="auto"/>
              </w:rPr>
              <w:t>是易燃物、可燃物燃烧爆炸的基本要素之一</w:t>
            </w:r>
            <w:r>
              <w:rPr>
                <w:rFonts w:hint="eastAsia"/>
                <w:color w:val="auto"/>
                <w:lang w:eastAsia="zh-CN"/>
              </w:rPr>
              <w:t>，</w:t>
            </w:r>
            <w:r>
              <w:rPr>
                <w:rFonts w:hint="default"/>
                <w:color w:val="auto"/>
              </w:rPr>
              <w:t>能氧化大多数活性物质。与易燃物</w:t>
            </w:r>
            <w:r>
              <w:rPr>
                <w:rFonts w:hint="default"/>
                <w:color w:val="auto"/>
                <w:lang w:eastAsia="zh-CN"/>
              </w:rPr>
              <w:t>（</w:t>
            </w:r>
            <w:r>
              <w:rPr>
                <w:rFonts w:hint="default"/>
                <w:color w:val="auto"/>
              </w:rPr>
              <w:t>如乙炔、甲烷等</w:t>
            </w:r>
            <w:r>
              <w:rPr>
                <w:rFonts w:hint="eastAsia"/>
                <w:color w:val="auto"/>
                <w:lang w:eastAsia="zh-CN"/>
              </w:rPr>
              <w:t>）</w:t>
            </w:r>
            <w:r>
              <w:rPr>
                <w:rFonts w:hint="default"/>
                <w:color w:val="auto"/>
              </w:rPr>
              <w:t>形成有爆炸性的混合物。</w:t>
            </w:r>
          </w:p>
        </w:tc>
      </w:tr>
      <w:tr w14:paraId="04FA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04D8B458">
            <w:pPr>
              <w:pStyle w:val="30"/>
              <w:bidi w:val="0"/>
              <w:rPr>
                <w:rFonts w:hint="default"/>
                <w:color w:val="auto"/>
              </w:rPr>
            </w:pPr>
            <w:r>
              <w:rPr>
                <w:rFonts w:hint="default"/>
                <w:color w:val="auto"/>
              </w:rPr>
              <w:t>灭火方法：</w:t>
            </w:r>
          </w:p>
        </w:tc>
        <w:tc>
          <w:tcPr>
            <w:tcW w:w="7468" w:type="dxa"/>
            <w:noWrap w:val="0"/>
            <w:vAlign w:val="center"/>
          </w:tcPr>
          <w:p w14:paraId="1E1FF944">
            <w:pPr>
              <w:pStyle w:val="30"/>
              <w:bidi w:val="0"/>
              <w:jc w:val="left"/>
              <w:rPr>
                <w:rFonts w:hint="default"/>
                <w:color w:val="auto"/>
              </w:rPr>
            </w:pPr>
            <w:r>
              <w:rPr>
                <w:rFonts w:hint="default"/>
                <w:color w:val="auto"/>
              </w:rPr>
              <w:t>用水保持容器冷却，以防受热爆炸，急剧助长火势。迅速切断气源，用水喷淋保护切断气源的人员，然后根据着火原因选择适当灭火剂灭火。</w:t>
            </w:r>
          </w:p>
        </w:tc>
      </w:tr>
      <w:tr w14:paraId="230C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6E02F6D0">
            <w:pPr>
              <w:pStyle w:val="30"/>
              <w:bidi w:val="0"/>
              <w:rPr>
                <w:rFonts w:hint="default"/>
                <w:color w:val="auto"/>
              </w:rPr>
            </w:pPr>
            <w:r>
              <w:rPr>
                <w:rFonts w:hint="default"/>
                <w:color w:val="auto"/>
              </w:rPr>
              <w:t>泄漏应急处理：</w:t>
            </w:r>
          </w:p>
        </w:tc>
        <w:tc>
          <w:tcPr>
            <w:tcW w:w="7468" w:type="dxa"/>
            <w:noWrap w:val="0"/>
            <w:vAlign w:val="center"/>
          </w:tcPr>
          <w:p w14:paraId="42E4E7C9">
            <w:pPr>
              <w:pStyle w:val="30"/>
              <w:bidi w:val="0"/>
              <w:jc w:val="left"/>
              <w:rPr>
                <w:rFonts w:hint="default"/>
                <w:color w:val="auto"/>
              </w:rPr>
            </w:pPr>
            <w:r>
              <w:rPr>
                <w:rFonts w:hint="default"/>
                <w:color w:val="auto"/>
              </w:rPr>
              <w:t>迅速撤离泄漏污染区人员至上风处，并进行隔离，严格限制出入。切断火源。建议应急处理人员戴自给正压式呼吸器，穿一般作业工作服。避免与可燃物或易燃物接触。尽可能切断泄漏源。合理通风，加速扩散。漏气容器要妥善处理，修复、检验后再用。</w:t>
            </w:r>
          </w:p>
        </w:tc>
      </w:tr>
      <w:tr w14:paraId="48E2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7C32A54F">
            <w:pPr>
              <w:pStyle w:val="30"/>
              <w:bidi w:val="0"/>
              <w:rPr>
                <w:rFonts w:hint="default"/>
                <w:color w:val="auto"/>
              </w:rPr>
            </w:pPr>
            <w:r>
              <w:rPr>
                <w:rFonts w:hint="default"/>
                <w:color w:val="auto"/>
              </w:rPr>
              <w:t>操作注意事项：</w:t>
            </w:r>
          </w:p>
        </w:tc>
        <w:tc>
          <w:tcPr>
            <w:tcW w:w="7468" w:type="dxa"/>
            <w:noWrap w:val="0"/>
            <w:vAlign w:val="center"/>
          </w:tcPr>
          <w:p w14:paraId="707110F1">
            <w:pPr>
              <w:pStyle w:val="30"/>
              <w:bidi w:val="0"/>
              <w:jc w:val="left"/>
              <w:rPr>
                <w:rFonts w:hint="default"/>
                <w:color w:val="auto"/>
              </w:rPr>
            </w:pPr>
            <w:r>
              <w:rPr>
                <w:rFonts w:hint="default"/>
                <w:color w:val="auto"/>
              </w:rPr>
              <w:t>密闭操作。密闭操作，提供良好的自然通风条件。操作人员必须经过专门培训，严格遵守操作规程。远离火种、热源，工作场所严禁吸烟。远离易燃、可燃物。防止气体泄漏到工作场所空气中。避免与活性金属粉末接触。搬运时轻装轻卸，防止钢瓶及附件破损。配备相应品种和数量的消防器材及泄漏应急处理设备。</w:t>
            </w:r>
          </w:p>
        </w:tc>
      </w:tr>
      <w:tr w14:paraId="28CB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35" w:type="dxa"/>
            <w:noWrap w:val="0"/>
            <w:vAlign w:val="center"/>
          </w:tcPr>
          <w:p w14:paraId="4B87790F">
            <w:pPr>
              <w:pStyle w:val="30"/>
              <w:bidi w:val="0"/>
              <w:rPr>
                <w:rFonts w:hint="default"/>
                <w:color w:val="auto"/>
              </w:rPr>
            </w:pPr>
            <w:r>
              <w:rPr>
                <w:rFonts w:hint="default"/>
                <w:color w:val="auto"/>
              </w:rPr>
              <w:t>贮运注意事项：</w:t>
            </w:r>
          </w:p>
        </w:tc>
        <w:tc>
          <w:tcPr>
            <w:tcW w:w="7468" w:type="dxa"/>
            <w:noWrap w:val="0"/>
            <w:vAlign w:val="center"/>
          </w:tcPr>
          <w:p w14:paraId="507823AA">
            <w:pPr>
              <w:pStyle w:val="30"/>
              <w:bidi w:val="0"/>
              <w:jc w:val="left"/>
              <w:rPr>
                <w:rFonts w:hint="default"/>
                <w:color w:val="auto"/>
              </w:rPr>
            </w:pPr>
            <w:r>
              <w:rPr>
                <w:rFonts w:hint="default"/>
                <w:color w:val="auto"/>
              </w:rPr>
              <w:t>储存于阴凉、通风的库房。远离火种、热源。库温不宜超过30℃。应与易</w:t>
            </w:r>
            <w:r>
              <w:rPr>
                <w:rFonts w:hint="default"/>
                <w:color w:val="auto"/>
                <w:lang w:eastAsia="zh-CN"/>
              </w:rPr>
              <w:t>（</w:t>
            </w:r>
            <w:r>
              <w:rPr>
                <w:rFonts w:hint="default"/>
                <w:color w:val="auto"/>
              </w:rPr>
              <w:t>可</w:t>
            </w:r>
            <w:r>
              <w:rPr>
                <w:rFonts w:hint="eastAsia"/>
                <w:color w:val="auto"/>
                <w:lang w:eastAsia="zh-CN"/>
              </w:rPr>
              <w:t>）</w:t>
            </w:r>
            <w:r>
              <w:rPr>
                <w:rFonts w:hint="default"/>
                <w:color w:val="auto"/>
              </w:rPr>
              <w:t>燃物、活性金属粉末等分开存放，切忌混储。储区应备有泄漏应急处理设备。氧气钢瓶不得沾污油脂。采用钢瓶运输时必须戴好钢瓶上的安全帽。钢瓶一般平放，并应将瓶口朝同一方向，不可交叉；高度不得超过车辆的防护栏板，并用三角木垫卡牢，防止滚动。严禁与易燃物或可燃物、活性金属粉末等混装混运。夏季应早晚运输，防止日光曝晒。铁路运输时要禁止溜放。</w:t>
            </w:r>
          </w:p>
        </w:tc>
      </w:tr>
      <w:tr w14:paraId="1254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1935" w:type="dxa"/>
            <w:noWrap w:val="0"/>
            <w:vAlign w:val="center"/>
          </w:tcPr>
          <w:p w14:paraId="6566630E">
            <w:pPr>
              <w:pStyle w:val="30"/>
              <w:bidi w:val="0"/>
              <w:rPr>
                <w:rFonts w:hint="default"/>
                <w:color w:val="auto"/>
              </w:rPr>
            </w:pPr>
            <w:r>
              <w:rPr>
                <w:rFonts w:hint="default"/>
                <w:color w:val="auto"/>
              </w:rPr>
              <w:t>防护措施：</w:t>
            </w:r>
          </w:p>
        </w:tc>
        <w:tc>
          <w:tcPr>
            <w:tcW w:w="7468" w:type="dxa"/>
            <w:noWrap w:val="0"/>
            <w:vAlign w:val="center"/>
          </w:tcPr>
          <w:p w14:paraId="48863F90">
            <w:pPr>
              <w:pStyle w:val="30"/>
              <w:bidi w:val="0"/>
              <w:jc w:val="left"/>
              <w:rPr>
                <w:rFonts w:hint="default"/>
                <w:color w:val="auto"/>
              </w:rPr>
            </w:pPr>
            <w:r>
              <w:rPr>
                <w:rFonts w:hint="default"/>
                <w:color w:val="auto"/>
              </w:rPr>
              <w:t>职业接触限值</w:t>
            </w:r>
          </w:p>
          <w:p w14:paraId="42D433EF">
            <w:pPr>
              <w:pStyle w:val="30"/>
              <w:bidi w:val="0"/>
              <w:jc w:val="left"/>
              <w:rPr>
                <w:rFonts w:hint="default"/>
                <w:color w:val="auto"/>
              </w:rPr>
            </w:pPr>
            <w:r>
              <w:rPr>
                <w:rFonts w:hint="default"/>
                <w:color w:val="auto"/>
              </w:rPr>
              <w:t>中国MAC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31062DC1">
            <w:pPr>
              <w:pStyle w:val="30"/>
              <w:bidi w:val="0"/>
              <w:jc w:val="left"/>
              <w:rPr>
                <w:rFonts w:hint="default"/>
                <w:color w:val="auto"/>
              </w:rPr>
            </w:pPr>
            <w:r>
              <w:rPr>
                <w:rFonts w:hint="default"/>
                <w:color w:val="auto"/>
              </w:rPr>
              <w:t>前苏联MAC</w:t>
            </w:r>
            <w:r>
              <w:rPr>
                <w:rFonts w:hint="eastAsia"/>
                <w:color w:val="auto"/>
                <w:lang w:eastAsia="zh-CN"/>
              </w:rPr>
              <w:t>（</w:t>
            </w:r>
            <w:r>
              <w:rPr>
                <w:rFonts w:hint="default"/>
                <w:color w:val="auto"/>
              </w:rPr>
              <w:t>mg/m</w:t>
            </w:r>
            <w:r>
              <w:rPr>
                <w:rFonts w:hint="default"/>
                <w:color w:val="auto"/>
                <w:vertAlign w:val="superscript"/>
              </w:rPr>
              <w:t>3</w:t>
            </w:r>
            <w:r>
              <w:rPr>
                <w:rFonts w:hint="eastAsia"/>
                <w:color w:val="auto"/>
                <w:lang w:eastAsia="zh-CN"/>
              </w:rPr>
              <w:t>）</w:t>
            </w:r>
            <w:r>
              <w:rPr>
                <w:rFonts w:hint="default"/>
                <w:color w:val="auto"/>
              </w:rPr>
              <w:t>：未制定标准</w:t>
            </w:r>
          </w:p>
          <w:p w14:paraId="74BD6381">
            <w:pPr>
              <w:pStyle w:val="30"/>
              <w:bidi w:val="0"/>
              <w:jc w:val="left"/>
              <w:rPr>
                <w:rFonts w:hint="default"/>
                <w:color w:val="auto"/>
              </w:rPr>
            </w:pPr>
            <w:r>
              <w:rPr>
                <w:rFonts w:hint="default"/>
                <w:color w:val="auto"/>
              </w:rPr>
              <w:t>TLVTN：未制定标准</w:t>
            </w:r>
          </w:p>
          <w:p w14:paraId="78B0EEED">
            <w:pPr>
              <w:pStyle w:val="30"/>
              <w:bidi w:val="0"/>
              <w:jc w:val="left"/>
              <w:rPr>
                <w:rFonts w:hint="default"/>
                <w:color w:val="auto"/>
              </w:rPr>
            </w:pPr>
            <w:r>
              <w:rPr>
                <w:rFonts w:hint="default"/>
                <w:color w:val="auto"/>
              </w:rPr>
              <w:t>TLVWN：未制定标准</w:t>
            </w:r>
          </w:p>
          <w:p w14:paraId="52858AC0">
            <w:pPr>
              <w:pStyle w:val="30"/>
              <w:bidi w:val="0"/>
              <w:jc w:val="left"/>
              <w:rPr>
                <w:rFonts w:hint="default"/>
                <w:color w:val="auto"/>
              </w:rPr>
            </w:pPr>
            <w:r>
              <w:rPr>
                <w:rFonts w:hint="default"/>
                <w:color w:val="auto"/>
              </w:rPr>
              <w:t>工程控制：密闭操作。提供良好的自然通风条件。</w:t>
            </w:r>
          </w:p>
          <w:p w14:paraId="15AE78D1">
            <w:pPr>
              <w:pStyle w:val="30"/>
              <w:bidi w:val="0"/>
              <w:jc w:val="left"/>
              <w:rPr>
                <w:rFonts w:hint="default"/>
                <w:color w:val="auto"/>
              </w:rPr>
            </w:pPr>
            <w:r>
              <w:rPr>
                <w:rFonts w:hint="default"/>
                <w:color w:val="auto"/>
              </w:rPr>
              <w:t>呼吸系统防护：一般不需特殊防护。</w:t>
            </w:r>
          </w:p>
          <w:p w14:paraId="0555D837">
            <w:pPr>
              <w:pStyle w:val="30"/>
              <w:bidi w:val="0"/>
              <w:jc w:val="left"/>
              <w:rPr>
                <w:rFonts w:hint="default"/>
                <w:color w:val="auto"/>
              </w:rPr>
            </w:pPr>
            <w:r>
              <w:rPr>
                <w:rFonts w:hint="default"/>
                <w:color w:val="auto"/>
              </w:rPr>
              <w:t>眼睛防护：一般不需特殊防护。</w:t>
            </w:r>
          </w:p>
          <w:p w14:paraId="6B46BFE6">
            <w:pPr>
              <w:pStyle w:val="30"/>
              <w:bidi w:val="0"/>
              <w:jc w:val="left"/>
              <w:rPr>
                <w:rFonts w:hint="default"/>
                <w:color w:val="auto"/>
              </w:rPr>
            </w:pPr>
            <w:r>
              <w:rPr>
                <w:rFonts w:hint="default"/>
                <w:color w:val="auto"/>
              </w:rPr>
              <w:t>身体防护：穿一般作业工作服。</w:t>
            </w:r>
          </w:p>
          <w:p w14:paraId="5C2334AC">
            <w:pPr>
              <w:pStyle w:val="30"/>
              <w:bidi w:val="0"/>
              <w:jc w:val="left"/>
              <w:rPr>
                <w:rFonts w:hint="default"/>
                <w:color w:val="auto"/>
              </w:rPr>
            </w:pPr>
            <w:r>
              <w:rPr>
                <w:rFonts w:hint="default"/>
                <w:color w:val="auto"/>
              </w:rPr>
              <w:t>手防护：戴一般作业防护手套。</w:t>
            </w:r>
          </w:p>
          <w:p w14:paraId="4C487E3D">
            <w:pPr>
              <w:pStyle w:val="30"/>
              <w:bidi w:val="0"/>
              <w:jc w:val="left"/>
              <w:rPr>
                <w:rFonts w:hint="default"/>
                <w:color w:val="auto"/>
              </w:rPr>
            </w:pPr>
            <w:r>
              <w:rPr>
                <w:rFonts w:hint="default"/>
                <w:color w:val="auto"/>
              </w:rPr>
              <w:t>其他防护：避免高浓度吸入。</w:t>
            </w:r>
          </w:p>
        </w:tc>
      </w:tr>
      <w:tr w14:paraId="4B8F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jc w:val="center"/>
        </w:trPr>
        <w:tc>
          <w:tcPr>
            <w:tcW w:w="1935" w:type="dxa"/>
            <w:noWrap w:val="0"/>
            <w:vAlign w:val="center"/>
          </w:tcPr>
          <w:p w14:paraId="17D8251E">
            <w:pPr>
              <w:pStyle w:val="30"/>
              <w:bidi w:val="0"/>
              <w:rPr>
                <w:rFonts w:hint="default"/>
                <w:color w:val="auto"/>
              </w:rPr>
            </w:pPr>
            <w:r>
              <w:rPr>
                <w:rFonts w:hint="default"/>
                <w:color w:val="auto"/>
              </w:rPr>
              <w:t>理化性质：</w:t>
            </w:r>
          </w:p>
        </w:tc>
        <w:tc>
          <w:tcPr>
            <w:tcW w:w="7468" w:type="dxa"/>
            <w:noWrap w:val="0"/>
            <w:vAlign w:val="center"/>
          </w:tcPr>
          <w:p w14:paraId="3E18D4CB">
            <w:pPr>
              <w:pStyle w:val="30"/>
              <w:bidi w:val="0"/>
              <w:jc w:val="left"/>
              <w:rPr>
                <w:rFonts w:hint="default"/>
                <w:color w:val="auto"/>
              </w:rPr>
            </w:pPr>
            <w:r>
              <w:rPr>
                <w:rFonts w:hint="default"/>
                <w:color w:val="auto"/>
              </w:rPr>
              <w:t>熔点</w:t>
            </w:r>
            <w:r>
              <w:rPr>
                <w:rFonts w:hint="eastAsia"/>
                <w:color w:val="auto"/>
                <w:lang w:eastAsia="zh-CN"/>
              </w:rPr>
              <w:t>（</w:t>
            </w:r>
            <w:r>
              <w:rPr>
                <w:rFonts w:hint="default"/>
                <w:color w:val="auto"/>
              </w:rPr>
              <w:t>℃</w:t>
            </w:r>
            <w:r>
              <w:rPr>
                <w:rFonts w:hint="eastAsia"/>
                <w:color w:val="auto"/>
                <w:lang w:eastAsia="zh-CN"/>
              </w:rPr>
              <w:t>）</w:t>
            </w:r>
            <w:r>
              <w:rPr>
                <w:rFonts w:hint="default"/>
                <w:color w:val="auto"/>
              </w:rPr>
              <w:t>：-218.8</w:t>
            </w:r>
          </w:p>
          <w:p w14:paraId="36185997">
            <w:pPr>
              <w:pStyle w:val="30"/>
              <w:bidi w:val="0"/>
              <w:jc w:val="left"/>
              <w:rPr>
                <w:rFonts w:hint="default"/>
                <w:color w:val="auto"/>
              </w:rPr>
            </w:pPr>
            <w:r>
              <w:rPr>
                <w:rFonts w:hint="default"/>
                <w:color w:val="auto"/>
              </w:rPr>
              <w:t>沸点</w:t>
            </w:r>
            <w:r>
              <w:rPr>
                <w:rFonts w:hint="eastAsia"/>
                <w:color w:val="auto"/>
                <w:lang w:eastAsia="zh-CN"/>
              </w:rPr>
              <w:t>（</w:t>
            </w:r>
            <w:r>
              <w:rPr>
                <w:rFonts w:hint="default"/>
                <w:color w:val="auto"/>
              </w:rPr>
              <w:t>℃</w:t>
            </w:r>
            <w:r>
              <w:rPr>
                <w:rFonts w:hint="eastAsia"/>
                <w:color w:val="auto"/>
                <w:lang w:eastAsia="zh-CN"/>
              </w:rPr>
              <w:t>）</w:t>
            </w:r>
            <w:r>
              <w:rPr>
                <w:rFonts w:hint="default"/>
                <w:color w:val="auto"/>
              </w:rPr>
              <w:t>：-183.1</w:t>
            </w:r>
          </w:p>
          <w:p w14:paraId="65AD9F88">
            <w:pPr>
              <w:pStyle w:val="30"/>
              <w:bidi w:val="0"/>
              <w:jc w:val="left"/>
              <w:rPr>
                <w:rFonts w:hint="default"/>
                <w:color w:val="auto"/>
                <w:lang w:eastAsia="zh-CN"/>
              </w:rPr>
            </w:pPr>
            <w:r>
              <w:rPr>
                <w:rFonts w:hint="default"/>
                <w:color w:val="auto"/>
              </w:rPr>
              <w:t>相对密度</w:t>
            </w:r>
            <w:r>
              <w:rPr>
                <w:rFonts w:hint="eastAsia"/>
                <w:color w:val="auto"/>
                <w:lang w:eastAsia="zh-CN"/>
              </w:rPr>
              <w:t>（</w:t>
            </w:r>
            <w:r>
              <w:rPr>
                <w:rFonts w:hint="default"/>
                <w:color w:val="auto"/>
              </w:rPr>
              <w:t>水=1</w:t>
            </w:r>
            <w:r>
              <w:rPr>
                <w:rFonts w:hint="eastAsia"/>
                <w:color w:val="auto"/>
                <w:lang w:eastAsia="zh-CN"/>
              </w:rPr>
              <w:t>）</w:t>
            </w:r>
            <w:r>
              <w:rPr>
                <w:rFonts w:hint="default"/>
                <w:color w:val="auto"/>
              </w:rPr>
              <w:t>：1.14</w:t>
            </w:r>
            <w:r>
              <w:rPr>
                <w:rFonts w:hint="eastAsia"/>
                <w:color w:val="auto"/>
                <w:lang w:eastAsia="zh-CN"/>
              </w:rPr>
              <w:t>（</w:t>
            </w:r>
            <w:r>
              <w:rPr>
                <w:rFonts w:hint="default"/>
                <w:color w:val="auto"/>
              </w:rPr>
              <w:t>-183℃</w:t>
            </w:r>
            <w:r>
              <w:rPr>
                <w:rFonts w:hint="eastAsia"/>
                <w:color w:val="auto"/>
                <w:lang w:eastAsia="zh-CN"/>
              </w:rPr>
              <w:t>）</w:t>
            </w:r>
          </w:p>
          <w:p w14:paraId="7DA4D2FA">
            <w:pPr>
              <w:pStyle w:val="30"/>
              <w:bidi w:val="0"/>
              <w:jc w:val="left"/>
              <w:rPr>
                <w:rFonts w:hint="default"/>
                <w:color w:val="auto"/>
              </w:rPr>
            </w:pPr>
            <w:r>
              <w:rPr>
                <w:rFonts w:hint="default"/>
                <w:color w:val="auto"/>
              </w:rPr>
              <w:t>相对蒸气密度</w:t>
            </w:r>
            <w:r>
              <w:rPr>
                <w:rFonts w:hint="eastAsia"/>
                <w:color w:val="auto"/>
                <w:lang w:eastAsia="zh-CN"/>
              </w:rPr>
              <w:t>（</w:t>
            </w:r>
            <w:r>
              <w:rPr>
                <w:rFonts w:hint="default"/>
                <w:color w:val="auto"/>
              </w:rPr>
              <w:t>空气=1</w:t>
            </w:r>
            <w:r>
              <w:rPr>
                <w:rFonts w:hint="eastAsia"/>
                <w:color w:val="auto"/>
                <w:lang w:eastAsia="zh-CN"/>
              </w:rPr>
              <w:t>）</w:t>
            </w:r>
            <w:r>
              <w:rPr>
                <w:rFonts w:hint="default"/>
                <w:color w:val="auto"/>
              </w:rPr>
              <w:t>：1.43</w:t>
            </w:r>
          </w:p>
          <w:p w14:paraId="7567E72D">
            <w:pPr>
              <w:pStyle w:val="30"/>
              <w:bidi w:val="0"/>
              <w:jc w:val="left"/>
              <w:rPr>
                <w:rFonts w:hint="default"/>
                <w:color w:val="auto"/>
                <w:lang w:eastAsia="zh-CN"/>
              </w:rPr>
            </w:pPr>
            <w:r>
              <w:rPr>
                <w:rFonts w:hint="default"/>
                <w:color w:val="auto"/>
              </w:rPr>
              <w:t>饱和蒸气压</w:t>
            </w:r>
            <w:r>
              <w:rPr>
                <w:rFonts w:hint="eastAsia"/>
                <w:color w:val="auto"/>
                <w:lang w:eastAsia="zh-CN"/>
              </w:rPr>
              <w:t>（</w:t>
            </w:r>
            <w:r>
              <w:rPr>
                <w:rFonts w:hint="default"/>
                <w:color w:val="auto"/>
              </w:rPr>
              <w:t>kPa</w:t>
            </w:r>
            <w:r>
              <w:rPr>
                <w:rFonts w:hint="eastAsia"/>
                <w:color w:val="auto"/>
                <w:lang w:eastAsia="zh-CN"/>
              </w:rPr>
              <w:t>）</w:t>
            </w:r>
            <w:r>
              <w:rPr>
                <w:rFonts w:hint="default"/>
                <w:color w:val="auto"/>
              </w:rPr>
              <w:t>：506.62</w:t>
            </w:r>
            <w:r>
              <w:rPr>
                <w:rFonts w:hint="eastAsia"/>
                <w:color w:val="auto"/>
                <w:lang w:eastAsia="zh-CN"/>
              </w:rPr>
              <w:t>（</w:t>
            </w:r>
            <w:r>
              <w:rPr>
                <w:rFonts w:hint="default"/>
                <w:color w:val="auto"/>
              </w:rPr>
              <w:t>-164℃</w:t>
            </w:r>
            <w:r>
              <w:rPr>
                <w:rFonts w:hint="eastAsia"/>
                <w:color w:val="auto"/>
                <w:lang w:eastAsia="zh-CN"/>
              </w:rPr>
              <w:t>）</w:t>
            </w:r>
          </w:p>
          <w:p w14:paraId="0CB70545">
            <w:pPr>
              <w:pStyle w:val="30"/>
              <w:bidi w:val="0"/>
              <w:jc w:val="left"/>
              <w:rPr>
                <w:rFonts w:hint="default"/>
                <w:color w:val="auto"/>
              </w:rPr>
            </w:pPr>
            <w:r>
              <w:rPr>
                <w:rFonts w:hint="default"/>
                <w:color w:val="auto"/>
              </w:rPr>
              <w:t>燃烧热</w:t>
            </w:r>
            <w:r>
              <w:rPr>
                <w:rFonts w:hint="eastAsia"/>
                <w:color w:val="auto"/>
                <w:lang w:eastAsia="zh-CN"/>
              </w:rPr>
              <w:t>（</w:t>
            </w:r>
            <w:r>
              <w:rPr>
                <w:rFonts w:hint="default"/>
                <w:color w:val="auto"/>
              </w:rPr>
              <w:t>kJ/mol</w:t>
            </w:r>
            <w:r>
              <w:rPr>
                <w:rFonts w:hint="eastAsia"/>
                <w:color w:val="auto"/>
                <w:lang w:eastAsia="zh-CN"/>
              </w:rPr>
              <w:t>）</w:t>
            </w:r>
            <w:r>
              <w:rPr>
                <w:rFonts w:hint="default"/>
                <w:color w:val="auto"/>
              </w:rPr>
              <w:t>：无意义</w:t>
            </w:r>
          </w:p>
          <w:p w14:paraId="73888C3D">
            <w:pPr>
              <w:pStyle w:val="30"/>
              <w:bidi w:val="0"/>
              <w:jc w:val="left"/>
              <w:rPr>
                <w:rFonts w:hint="default"/>
                <w:color w:val="auto"/>
              </w:rPr>
            </w:pPr>
            <w:r>
              <w:rPr>
                <w:rFonts w:hint="default"/>
                <w:color w:val="auto"/>
              </w:rPr>
              <w:t>临界温度</w:t>
            </w:r>
            <w:r>
              <w:rPr>
                <w:rFonts w:hint="eastAsia"/>
                <w:color w:val="auto"/>
                <w:lang w:eastAsia="zh-CN"/>
              </w:rPr>
              <w:t>（</w:t>
            </w:r>
            <w:r>
              <w:rPr>
                <w:rFonts w:hint="default"/>
                <w:color w:val="auto"/>
              </w:rPr>
              <w:t>℃</w:t>
            </w:r>
            <w:r>
              <w:rPr>
                <w:rFonts w:hint="eastAsia"/>
                <w:color w:val="auto"/>
                <w:lang w:eastAsia="zh-CN"/>
              </w:rPr>
              <w:t>）</w:t>
            </w:r>
            <w:r>
              <w:rPr>
                <w:rFonts w:hint="default"/>
                <w:color w:val="auto"/>
              </w:rPr>
              <w:t>：-118.4</w:t>
            </w:r>
          </w:p>
          <w:p w14:paraId="3ED9EAB4">
            <w:pPr>
              <w:pStyle w:val="30"/>
              <w:bidi w:val="0"/>
              <w:jc w:val="left"/>
              <w:rPr>
                <w:rFonts w:hint="default"/>
                <w:color w:val="auto"/>
              </w:rPr>
            </w:pPr>
            <w:r>
              <w:rPr>
                <w:rFonts w:hint="default"/>
                <w:color w:val="auto"/>
              </w:rPr>
              <w:t>临界压力</w:t>
            </w:r>
            <w:r>
              <w:rPr>
                <w:rFonts w:hint="eastAsia"/>
                <w:color w:val="auto"/>
                <w:lang w:eastAsia="zh-CN"/>
              </w:rPr>
              <w:t>（</w:t>
            </w:r>
            <w:r>
              <w:rPr>
                <w:rFonts w:hint="default"/>
                <w:color w:val="auto"/>
              </w:rPr>
              <w:t>MPa</w:t>
            </w:r>
            <w:r>
              <w:rPr>
                <w:rFonts w:hint="eastAsia"/>
                <w:color w:val="auto"/>
                <w:lang w:eastAsia="zh-CN"/>
              </w:rPr>
              <w:t>）</w:t>
            </w:r>
            <w:r>
              <w:rPr>
                <w:rFonts w:hint="default"/>
                <w:color w:val="auto"/>
              </w:rPr>
              <w:t>：5.08</w:t>
            </w:r>
          </w:p>
          <w:p w14:paraId="670A99B0">
            <w:pPr>
              <w:pStyle w:val="30"/>
              <w:bidi w:val="0"/>
              <w:jc w:val="left"/>
              <w:rPr>
                <w:rFonts w:hint="default"/>
                <w:color w:val="auto"/>
              </w:rPr>
            </w:pPr>
            <w:r>
              <w:rPr>
                <w:rFonts w:hint="default"/>
                <w:color w:val="auto"/>
              </w:rPr>
              <w:t>辛醇/水分配系数的对数值：无资料</w:t>
            </w:r>
          </w:p>
          <w:p w14:paraId="7A318A53">
            <w:pPr>
              <w:pStyle w:val="30"/>
              <w:bidi w:val="0"/>
              <w:jc w:val="left"/>
              <w:rPr>
                <w:rFonts w:hint="default"/>
                <w:color w:val="auto"/>
              </w:rPr>
            </w:pPr>
            <w:r>
              <w:rPr>
                <w:rFonts w:hint="default"/>
                <w:color w:val="auto"/>
              </w:rPr>
              <w:t>溶解性：溶于水、乙醇。</w:t>
            </w:r>
          </w:p>
        </w:tc>
      </w:tr>
      <w:tr w14:paraId="1195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935" w:type="dxa"/>
            <w:noWrap w:val="0"/>
            <w:vAlign w:val="center"/>
          </w:tcPr>
          <w:p w14:paraId="56D9CE6F">
            <w:pPr>
              <w:pStyle w:val="30"/>
              <w:bidi w:val="0"/>
              <w:rPr>
                <w:rFonts w:hint="default"/>
                <w:color w:val="auto"/>
              </w:rPr>
            </w:pPr>
            <w:r>
              <w:rPr>
                <w:rFonts w:hint="default"/>
                <w:color w:val="auto"/>
              </w:rPr>
              <w:t>稳定性和反应活性：</w:t>
            </w:r>
          </w:p>
        </w:tc>
        <w:tc>
          <w:tcPr>
            <w:tcW w:w="7468" w:type="dxa"/>
            <w:noWrap w:val="0"/>
            <w:vAlign w:val="center"/>
          </w:tcPr>
          <w:p w14:paraId="5B8A4008">
            <w:pPr>
              <w:pStyle w:val="30"/>
              <w:bidi w:val="0"/>
              <w:jc w:val="left"/>
              <w:rPr>
                <w:rFonts w:hint="default"/>
                <w:color w:val="auto"/>
              </w:rPr>
            </w:pPr>
            <w:r>
              <w:rPr>
                <w:rFonts w:hint="default"/>
                <w:color w:val="auto"/>
              </w:rPr>
              <w:t>禁忌物：易燃或可燃物、活性金属粉末、乙炔。</w:t>
            </w:r>
          </w:p>
        </w:tc>
      </w:tr>
      <w:tr w14:paraId="4C27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935" w:type="dxa"/>
            <w:noWrap w:val="0"/>
            <w:vAlign w:val="center"/>
          </w:tcPr>
          <w:p w14:paraId="48316236">
            <w:pPr>
              <w:pStyle w:val="30"/>
              <w:bidi w:val="0"/>
              <w:rPr>
                <w:rFonts w:hint="default"/>
                <w:color w:val="auto"/>
              </w:rPr>
            </w:pPr>
            <w:r>
              <w:rPr>
                <w:rFonts w:hint="default"/>
                <w:color w:val="auto"/>
              </w:rPr>
              <w:t>毒理学资料：</w:t>
            </w:r>
          </w:p>
        </w:tc>
        <w:tc>
          <w:tcPr>
            <w:tcW w:w="7468" w:type="dxa"/>
            <w:noWrap w:val="0"/>
            <w:vAlign w:val="center"/>
          </w:tcPr>
          <w:p w14:paraId="442340A3">
            <w:pPr>
              <w:pStyle w:val="30"/>
              <w:bidi w:val="0"/>
              <w:jc w:val="left"/>
              <w:rPr>
                <w:rFonts w:hint="default"/>
                <w:color w:val="auto"/>
              </w:rPr>
            </w:pPr>
            <w:r>
              <w:rPr>
                <w:rFonts w:hint="default"/>
                <w:color w:val="auto"/>
              </w:rPr>
              <w:t>急性毒性</w:t>
            </w:r>
          </w:p>
          <w:p w14:paraId="2452A48D">
            <w:pPr>
              <w:pStyle w:val="30"/>
              <w:bidi w:val="0"/>
              <w:jc w:val="left"/>
              <w:rPr>
                <w:rFonts w:hint="default"/>
                <w:color w:val="auto"/>
              </w:rPr>
            </w:pPr>
            <w:r>
              <w:rPr>
                <w:rFonts w:hint="default"/>
                <w:color w:val="auto"/>
              </w:rPr>
              <w:t>LD50：无资料</w:t>
            </w:r>
          </w:p>
          <w:p w14:paraId="3293475C">
            <w:pPr>
              <w:pStyle w:val="30"/>
              <w:bidi w:val="0"/>
              <w:jc w:val="left"/>
              <w:rPr>
                <w:rFonts w:hint="default"/>
                <w:color w:val="auto"/>
              </w:rPr>
            </w:pPr>
            <w:r>
              <w:rPr>
                <w:rFonts w:hint="default"/>
                <w:color w:val="auto"/>
              </w:rPr>
              <w:t>LC50：无资料</w:t>
            </w:r>
          </w:p>
        </w:tc>
      </w:tr>
      <w:tr w14:paraId="4378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5" w:type="dxa"/>
            <w:noWrap w:val="0"/>
            <w:vAlign w:val="center"/>
          </w:tcPr>
          <w:p w14:paraId="3F7A20C3">
            <w:pPr>
              <w:pStyle w:val="30"/>
              <w:bidi w:val="0"/>
              <w:rPr>
                <w:rFonts w:hint="default"/>
                <w:color w:val="auto"/>
              </w:rPr>
            </w:pPr>
            <w:r>
              <w:rPr>
                <w:rFonts w:hint="default"/>
                <w:color w:val="auto"/>
              </w:rPr>
              <w:t>环境影响：</w:t>
            </w:r>
          </w:p>
        </w:tc>
        <w:tc>
          <w:tcPr>
            <w:tcW w:w="7468" w:type="dxa"/>
            <w:noWrap w:val="0"/>
            <w:vAlign w:val="center"/>
          </w:tcPr>
          <w:p w14:paraId="6575BDAF">
            <w:pPr>
              <w:pStyle w:val="30"/>
              <w:bidi w:val="0"/>
              <w:jc w:val="left"/>
              <w:rPr>
                <w:rFonts w:hint="default"/>
                <w:color w:val="auto"/>
              </w:rPr>
            </w:pPr>
            <w:r>
              <w:rPr>
                <w:rFonts w:hint="default"/>
                <w:color w:val="auto"/>
              </w:rPr>
              <w:t>对环境无害。</w:t>
            </w:r>
          </w:p>
        </w:tc>
      </w:tr>
      <w:tr w14:paraId="62A0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2F858429">
            <w:pPr>
              <w:pStyle w:val="30"/>
              <w:bidi w:val="0"/>
              <w:rPr>
                <w:rFonts w:hint="default"/>
                <w:color w:val="auto"/>
              </w:rPr>
            </w:pPr>
            <w:r>
              <w:rPr>
                <w:rFonts w:hint="default"/>
                <w:color w:val="auto"/>
              </w:rPr>
              <w:t>废弃：</w:t>
            </w:r>
          </w:p>
        </w:tc>
        <w:tc>
          <w:tcPr>
            <w:tcW w:w="7468" w:type="dxa"/>
            <w:noWrap w:val="0"/>
            <w:vAlign w:val="center"/>
          </w:tcPr>
          <w:p w14:paraId="3046A727">
            <w:pPr>
              <w:pStyle w:val="30"/>
              <w:bidi w:val="0"/>
              <w:jc w:val="left"/>
              <w:rPr>
                <w:rFonts w:hint="default"/>
                <w:color w:val="auto"/>
              </w:rPr>
            </w:pPr>
            <w:r>
              <w:rPr>
                <w:rFonts w:hint="default"/>
                <w:color w:val="auto"/>
              </w:rPr>
              <w:t>处置前应参阅国家和地方有关法规。废气直接排入大气。</w:t>
            </w:r>
          </w:p>
        </w:tc>
      </w:tr>
      <w:tr w14:paraId="2CF8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403" w:type="dxa"/>
            <w:gridSpan w:val="2"/>
            <w:noWrap w:val="0"/>
            <w:vAlign w:val="center"/>
          </w:tcPr>
          <w:p w14:paraId="49015DB5">
            <w:pPr>
              <w:pStyle w:val="30"/>
              <w:bidi w:val="0"/>
              <w:jc w:val="center"/>
              <w:rPr>
                <w:rFonts w:hint="default"/>
                <w:color w:val="auto"/>
              </w:rPr>
            </w:pPr>
            <w:r>
              <w:rPr>
                <w:rFonts w:hint="default"/>
                <w:color w:val="auto"/>
              </w:rPr>
              <w:t>其他信息</w:t>
            </w:r>
          </w:p>
        </w:tc>
      </w:tr>
      <w:tr w14:paraId="01EC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1D9BB17C">
            <w:pPr>
              <w:pStyle w:val="30"/>
              <w:bidi w:val="0"/>
              <w:rPr>
                <w:rFonts w:hint="default"/>
                <w:color w:val="auto"/>
              </w:rPr>
            </w:pPr>
            <w:r>
              <w:rPr>
                <w:rFonts w:hint="default"/>
                <w:color w:val="auto"/>
              </w:rPr>
              <w:t>包装分类：</w:t>
            </w:r>
          </w:p>
        </w:tc>
        <w:tc>
          <w:tcPr>
            <w:tcW w:w="7468" w:type="dxa"/>
            <w:noWrap w:val="0"/>
            <w:vAlign w:val="center"/>
          </w:tcPr>
          <w:p w14:paraId="5B09BC2D">
            <w:pPr>
              <w:pStyle w:val="30"/>
              <w:bidi w:val="0"/>
              <w:jc w:val="left"/>
              <w:rPr>
                <w:rFonts w:hint="default"/>
                <w:color w:val="auto"/>
              </w:rPr>
            </w:pPr>
            <w:r>
              <w:rPr>
                <w:rFonts w:hint="default"/>
                <w:color w:val="auto"/>
              </w:rPr>
              <w:t>053</w:t>
            </w:r>
          </w:p>
        </w:tc>
      </w:tr>
      <w:tr w14:paraId="50B4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935" w:type="dxa"/>
            <w:noWrap w:val="0"/>
            <w:vAlign w:val="center"/>
          </w:tcPr>
          <w:p w14:paraId="711B6FFB">
            <w:pPr>
              <w:pStyle w:val="30"/>
              <w:bidi w:val="0"/>
              <w:rPr>
                <w:rFonts w:hint="default"/>
                <w:color w:val="auto"/>
              </w:rPr>
            </w:pPr>
            <w:r>
              <w:rPr>
                <w:rFonts w:hint="default"/>
                <w:color w:val="auto"/>
              </w:rPr>
              <w:t>包装方法：</w:t>
            </w:r>
          </w:p>
        </w:tc>
        <w:tc>
          <w:tcPr>
            <w:tcW w:w="7468" w:type="dxa"/>
            <w:noWrap w:val="0"/>
            <w:vAlign w:val="center"/>
          </w:tcPr>
          <w:p w14:paraId="6865F72E">
            <w:pPr>
              <w:pStyle w:val="30"/>
              <w:bidi w:val="0"/>
              <w:jc w:val="left"/>
              <w:rPr>
                <w:rFonts w:hint="default"/>
                <w:color w:val="auto"/>
              </w:rPr>
            </w:pPr>
            <w:r>
              <w:rPr>
                <w:rFonts w:hint="default"/>
                <w:color w:val="auto"/>
              </w:rPr>
              <w:t>钢质气瓶。</w:t>
            </w:r>
          </w:p>
        </w:tc>
      </w:tr>
    </w:tbl>
    <w:p w14:paraId="136DCD2E">
      <w:pPr>
        <w:pStyle w:val="5"/>
        <w:bidi w:val="0"/>
        <w:rPr>
          <w:rFonts w:hint="default"/>
          <w:color w:val="auto"/>
          <w:lang w:val="en-US" w:eastAsia="zh-CN"/>
        </w:rPr>
      </w:pPr>
      <w:bookmarkStart w:id="19" w:name="_Toc184"/>
      <w:r>
        <w:rPr>
          <w:rFonts w:hint="default"/>
          <w:color w:val="auto"/>
          <w:lang w:val="en-US" w:eastAsia="zh-CN"/>
        </w:rPr>
        <w:t>3.3 厂址选择及总平面布置危险和有害因素辨识与分析</w:t>
      </w:r>
      <w:bookmarkEnd w:id="19"/>
    </w:p>
    <w:p w14:paraId="30DEBAC3">
      <w:pPr>
        <w:bidi w:val="0"/>
        <w:rPr>
          <w:rFonts w:hint="default"/>
          <w:color w:val="auto"/>
          <w:lang w:val="en-US" w:eastAsia="zh-CN"/>
        </w:rPr>
      </w:pPr>
      <w:r>
        <w:rPr>
          <w:rFonts w:hint="default"/>
          <w:color w:val="auto"/>
          <w:lang w:val="en-US" w:eastAsia="zh-CN"/>
        </w:rPr>
        <w:t>厂址选择及总平面布置是</w:t>
      </w:r>
      <w:r>
        <w:rPr>
          <w:rFonts w:hint="eastAsia"/>
          <w:color w:val="auto"/>
          <w:lang w:val="en-US" w:eastAsia="zh-CN"/>
        </w:rPr>
        <w:t>项目</w:t>
      </w:r>
      <w:r>
        <w:rPr>
          <w:rFonts w:hint="default"/>
          <w:color w:val="auto"/>
          <w:lang w:val="en-US" w:eastAsia="zh-CN"/>
        </w:rPr>
        <w:t>建设的重要步骤，对于</w:t>
      </w:r>
      <w:r>
        <w:rPr>
          <w:rFonts w:hint="eastAsia"/>
          <w:color w:val="auto"/>
          <w:lang w:val="en-US" w:eastAsia="zh-CN"/>
        </w:rPr>
        <w:t>项目</w:t>
      </w:r>
      <w:r>
        <w:rPr>
          <w:rFonts w:hint="default"/>
          <w:color w:val="auto"/>
          <w:lang w:val="en-US" w:eastAsia="zh-CN"/>
        </w:rPr>
        <w:t>的长久、安全、可靠运行起着非常重要的作用。厂址选择前的各项准备工作和条件、方案的比选工作应特别认真、仔细、慎重，反复推敲比选，择优选用，只要稍微疏忽，将造成难以纠正的失误。</w:t>
      </w:r>
    </w:p>
    <w:p w14:paraId="3DAB47DB">
      <w:pPr>
        <w:bidi w:val="0"/>
        <w:rPr>
          <w:rFonts w:hint="default"/>
          <w:color w:val="auto"/>
          <w:lang w:val="en-US" w:eastAsia="zh-CN"/>
        </w:rPr>
      </w:pPr>
      <w:r>
        <w:rPr>
          <w:rFonts w:hint="default"/>
          <w:color w:val="auto"/>
          <w:lang w:val="en-US" w:eastAsia="zh-CN"/>
        </w:rPr>
        <w:t>该项目选址可能存在的危险有害因素主要是由于工程地质、地形地貌、水文、气象条件、周围环境、交通运输条件、自然灾害等引起。</w:t>
      </w:r>
    </w:p>
    <w:p w14:paraId="5E52F2D3">
      <w:pPr>
        <w:bidi w:val="0"/>
        <w:rPr>
          <w:rFonts w:hint="default"/>
          <w:color w:val="auto"/>
          <w:lang w:val="en-US" w:eastAsia="zh-CN"/>
        </w:rPr>
      </w:pPr>
      <w:r>
        <w:rPr>
          <w:rFonts w:hint="default"/>
          <w:color w:val="auto"/>
          <w:lang w:val="en-US" w:eastAsia="zh-CN"/>
        </w:rPr>
        <w:t>在总平面布置方面，由于功能区划分、防火间距、危险物质设施、场内道路等方面设计不合理，也可能对项目带来不利影响。</w:t>
      </w:r>
    </w:p>
    <w:p w14:paraId="3B8D37A4">
      <w:pPr>
        <w:bidi w:val="0"/>
        <w:rPr>
          <w:rFonts w:hint="default"/>
          <w:color w:val="auto"/>
          <w:lang w:val="en-US" w:eastAsia="zh-CN"/>
        </w:rPr>
      </w:pPr>
      <w:r>
        <w:rPr>
          <w:rFonts w:hint="default"/>
          <w:color w:val="auto"/>
          <w:lang w:val="en-US" w:eastAsia="zh-CN"/>
        </w:rPr>
        <w:t>经分析，项目选址和总平面布置方面可能发生火灾、坍塌、车辆伤害、中毒</w:t>
      </w:r>
      <w:r>
        <w:rPr>
          <w:rFonts w:hint="eastAsia"/>
          <w:color w:val="auto"/>
          <w:lang w:val="en-US" w:eastAsia="zh-CN"/>
        </w:rPr>
        <w:t>和</w:t>
      </w:r>
      <w:r>
        <w:rPr>
          <w:rFonts w:hint="default"/>
          <w:color w:val="auto"/>
          <w:lang w:val="en-US" w:eastAsia="zh-CN"/>
        </w:rPr>
        <w:t>窒息、淹溺、滑坡等生产安全事故。</w:t>
      </w:r>
    </w:p>
    <w:p w14:paraId="6930F353">
      <w:pPr>
        <w:pStyle w:val="6"/>
        <w:bidi w:val="0"/>
        <w:rPr>
          <w:rFonts w:hint="default"/>
          <w:color w:val="auto"/>
          <w:lang w:val="en-US" w:eastAsia="zh-CN"/>
        </w:rPr>
      </w:pPr>
      <w:r>
        <w:rPr>
          <w:rFonts w:hint="default"/>
          <w:color w:val="auto"/>
          <w:lang w:val="en-US" w:eastAsia="zh-CN"/>
        </w:rPr>
        <w:t>3.3.1 车辆伤害</w:t>
      </w:r>
    </w:p>
    <w:p w14:paraId="5959D175">
      <w:pPr>
        <w:bidi w:val="0"/>
        <w:rPr>
          <w:rFonts w:hint="default"/>
          <w:color w:val="auto"/>
          <w:lang w:val="en-US" w:eastAsia="zh-CN"/>
        </w:rPr>
      </w:pPr>
      <w:r>
        <w:rPr>
          <w:rFonts w:hint="default"/>
          <w:color w:val="auto"/>
          <w:lang w:val="en-US" w:eastAsia="zh-CN"/>
        </w:rPr>
        <w:t>由于项目生产过程中</w:t>
      </w:r>
      <w:r>
        <w:rPr>
          <w:rFonts w:hint="eastAsia"/>
          <w:color w:val="auto"/>
          <w:lang w:val="en-US" w:eastAsia="zh-CN"/>
        </w:rPr>
        <w:t>尾矿</w:t>
      </w:r>
      <w:r>
        <w:rPr>
          <w:rFonts w:hint="default"/>
          <w:color w:val="auto"/>
          <w:lang w:val="en-US" w:eastAsia="zh-CN"/>
        </w:rPr>
        <w:t>运输量较大，车辆在厂区出入频繁，如果道路施工不规范、无交通标志、车辆驾驶人违规驾驶车辆、违章指挥等均可能发生车辆伤害事故。</w:t>
      </w:r>
    </w:p>
    <w:p w14:paraId="2B5BB046">
      <w:pPr>
        <w:pStyle w:val="6"/>
        <w:bidi w:val="0"/>
        <w:rPr>
          <w:rFonts w:hint="default"/>
          <w:color w:val="auto"/>
          <w:lang w:val="en-US" w:eastAsia="zh-CN"/>
        </w:rPr>
      </w:pPr>
      <w:r>
        <w:rPr>
          <w:rFonts w:hint="default"/>
          <w:color w:val="auto"/>
          <w:lang w:val="en-US" w:eastAsia="zh-CN"/>
        </w:rPr>
        <w:t>3.3.2 坍塌</w:t>
      </w:r>
    </w:p>
    <w:p w14:paraId="57D38235">
      <w:pPr>
        <w:bidi w:val="0"/>
        <w:rPr>
          <w:rFonts w:hint="default"/>
          <w:color w:val="auto"/>
          <w:lang w:val="en-US" w:eastAsia="zh-CN"/>
        </w:rPr>
      </w:pPr>
      <w:r>
        <w:rPr>
          <w:rFonts w:hint="default"/>
          <w:color w:val="auto"/>
          <w:lang w:val="en-US" w:eastAsia="zh-CN"/>
        </w:rPr>
        <w:t>1、根据《建筑抗震设计规范》（GB50011-2010，2016年版）寻甸回族彝族自治县柯渡镇抗震设防烈度为</w:t>
      </w:r>
      <w:r>
        <w:rPr>
          <w:rFonts w:hint="eastAsia"/>
          <w:color w:val="auto"/>
          <w:lang w:val="en-US" w:eastAsia="zh-CN"/>
        </w:rPr>
        <w:t>8</w:t>
      </w:r>
      <w:r>
        <w:rPr>
          <w:rFonts w:hint="default"/>
          <w:color w:val="auto"/>
          <w:lang w:val="en-US" w:eastAsia="zh-CN"/>
        </w:rPr>
        <w:t>度，设计基本地震加速度值为0.</w:t>
      </w:r>
      <w:r>
        <w:rPr>
          <w:rFonts w:hint="eastAsia"/>
          <w:color w:val="auto"/>
          <w:lang w:val="en-US" w:eastAsia="zh-CN"/>
        </w:rPr>
        <w:t>20</w:t>
      </w:r>
      <w:r>
        <w:rPr>
          <w:rFonts w:hint="default"/>
          <w:color w:val="auto"/>
          <w:lang w:val="en-US" w:eastAsia="zh-CN"/>
        </w:rPr>
        <w:t>g，第三组。如果建设项目建构筑物的设计、施工不符合防震要求，在地震时可能造成建构筑物坍塌、人员伤亡。</w:t>
      </w:r>
    </w:p>
    <w:p w14:paraId="5DBDCF91">
      <w:pPr>
        <w:bidi w:val="0"/>
        <w:rPr>
          <w:rFonts w:hint="default"/>
          <w:color w:val="auto"/>
          <w:lang w:val="en-US" w:eastAsia="zh-CN"/>
        </w:rPr>
      </w:pPr>
      <w:r>
        <w:rPr>
          <w:rFonts w:hint="eastAsia"/>
          <w:color w:val="auto"/>
          <w:lang w:val="en-US" w:eastAsia="zh-CN"/>
        </w:rPr>
        <w:t>2</w:t>
      </w:r>
      <w:r>
        <w:rPr>
          <w:rFonts w:hint="default"/>
          <w:color w:val="auto"/>
          <w:lang w:val="en-US" w:eastAsia="zh-CN"/>
        </w:rPr>
        <w:t>、根据试验，拟建场地土对砼结构中钢结构具微腐蚀性，如基础未采取相应的防腐措施，可能导致坍塌。</w:t>
      </w:r>
    </w:p>
    <w:p w14:paraId="2DA4F0C8">
      <w:pPr>
        <w:pStyle w:val="6"/>
        <w:bidi w:val="0"/>
        <w:rPr>
          <w:rFonts w:hint="default"/>
          <w:color w:val="auto"/>
          <w:lang w:val="en-US" w:eastAsia="zh-CN"/>
        </w:rPr>
      </w:pPr>
      <w:r>
        <w:rPr>
          <w:rFonts w:hint="default"/>
          <w:color w:val="auto"/>
          <w:lang w:val="en-US" w:eastAsia="zh-CN"/>
        </w:rPr>
        <w:t>3.3.3 火灾、爆炸</w:t>
      </w:r>
    </w:p>
    <w:p w14:paraId="72FFCA0D">
      <w:pPr>
        <w:bidi w:val="0"/>
        <w:rPr>
          <w:color w:val="auto"/>
        </w:rPr>
      </w:pPr>
      <w:r>
        <w:rPr>
          <w:rFonts w:hint="default"/>
          <w:color w:val="auto"/>
          <w:lang w:val="en-US" w:eastAsia="zh-CN"/>
        </w:rPr>
        <w:t>项目部分建筑物为钢结构建筑，钢结构耐火等级较低，若发生火灾，危害较大。生产过程中可能因为电路故障发生火灾事故，如果建构筑物防火间距、耐火等级不足，消防通道及消防设施不完善，安全出口等设置不合理，在发生事故后，逃生通道不畅通，容易导致事故后果扩大。</w:t>
      </w:r>
    </w:p>
    <w:p w14:paraId="5A72C26D">
      <w:pPr>
        <w:pStyle w:val="6"/>
        <w:bidi w:val="0"/>
        <w:rPr>
          <w:rFonts w:hint="default"/>
          <w:color w:val="auto"/>
          <w:lang w:val="en-US" w:eastAsia="zh-CN"/>
        </w:rPr>
      </w:pPr>
      <w:r>
        <w:rPr>
          <w:rFonts w:hint="eastAsia"/>
          <w:color w:val="auto"/>
          <w:lang w:val="en-US" w:eastAsia="zh-CN"/>
        </w:rPr>
        <w:t xml:space="preserve">3.3.4 </w:t>
      </w:r>
      <w:r>
        <w:rPr>
          <w:rFonts w:hint="default"/>
          <w:color w:val="auto"/>
          <w:lang w:val="en-US" w:eastAsia="zh-CN"/>
        </w:rPr>
        <w:t>容器爆炸</w:t>
      </w:r>
    </w:p>
    <w:p w14:paraId="53BEB63D">
      <w:pPr>
        <w:bidi w:val="0"/>
        <w:rPr>
          <w:rFonts w:hint="default"/>
          <w:color w:val="auto"/>
          <w:lang w:val="en-US" w:eastAsia="zh-CN"/>
        </w:rPr>
      </w:pPr>
      <w:r>
        <w:rPr>
          <w:rFonts w:hint="default"/>
          <w:color w:val="auto"/>
          <w:lang w:val="en-US" w:eastAsia="zh-CN"/>
        </w:rPr>
        <w:t>在检维修过程中进行氧气、乙炔切割或焊接等动火作业时，若使用的氧气瓶、乙炔气瓶发生泄漏；超装、超压、超温使用；未进行通风置换；未清理作业点附近区域的润滑油等易燃物，作业场所氧气、乙炔瓶的防火距离不符合规范要求，未采取有效的安全措施；或者在作业时违反安全操作规程，存在引发容器爆炸的可能。</w:t>
      </w:r>
    </w:p>
    <w:p w14:paraId="2D513FAF">
      <w:pPr>
        <w:pStyle w:val="6"/>
        <w:bidi w:val="0"/>
        <w:rPr>
          <w:rFonts w:hint="default"/>
          <w:color w:val="auto"/>
          <w:lang w:val="en-US" w:eastAsia="zh-CN"/>
        </w:rPr>
      </w:pPr>
      <w:r>
        <w:rPr>
          <w:rFonts w:hint="default"/>
          <w:color w:val="auto"/>
          <w:lang w:val="en-US" w:eastAsia="zh-CN"/>
        </w:rPr>
        <w:t>3.3.</w:t>
      </w:r>
      <w:r>
        <w:rPr>
          <w:rFonts w:hint="eastAsia"/>
          <w:color w:val="auto"/>
          <w:lang w:val="en-US" w:eastAsia="zh-CN"/>
        </w:rPr>
        <w:t>5</w:t>
      </w:r>
      <w:r>
        <w:rPr>
          <w:rFonts w:hint="default"/>
          <w:color w:val="auto"/>
          <w:lang w:val="en-US" w:eastAsia="zh-CN"/>
        </w:rPr>
        <w:t xml:space="preserve"> 中毒</w:t>
      </w:r>
      <w:r>
        <w:rPr>
          <w:rFonts w:hint="eastAsia"/>
          <w:color w:val="auto"/>
          <w:lang w:val="en-US" w:eastAsia="zh-CN"/>
        </w:rPr>
        <w:t>和</w:t>
      </w:r>
      <w:r>
        <w:rPr>
          <w:rFonts w:hint="default"/>
          <w:color w:val="auto"/>
          <w:lang w:val="en-US" w:eastAsia="zh-CN"/>
        </w:rPr>
        <w:t>窒息</w:t>
      </w:r>
    </w:p>
    <w:p w14:paraId="2DDA2B2A">
      <w:pPr>
        <w:bidi w:val="0"/>
        <w:rPr>
          <w:rFonts w:hint="default"/>
          <w:color w:val="auto"/>
          <w:lang w:val="en-US" w:eastAsia="zh-CN"/>
        </w:rPr>
      </w:pPr>
      <w:r>
        <w:rPr>
          <w:rFonts w:hint="default"/>
          <w:color w:val="auto"/>
          <w:lang w:val="en-US" w:eastAsia="zh-CN"/>
        </w:rPr>
        <w:t>厂区内涉及新水池、回水池、事故池、浓缩机等有限空间，在检维修作业时若未严格按照有限空间制度操作，会造成作业人员中毒</w:t>
      </w:r>
      <w:r>
        <w:rPr>
          <w:rFonts w:hint="eastAsia"/>
          <w:color w:val="auto"/>
          <w:lang w:val="en-US" w:eastAsia="zh-CN"/>
        </w:rPr>
        <w:t>和</w:t>
      </w:r>
      <w:r>
        <w:rPr>
          <w:rFonts w:hint="default"/>
          <w:color w:val="auto"/>
          <w:lang w:val="en-US" w:eastAsia="zh-CN"/>
        </w:rPr>
        <w:t>窒息。</w:t>
      </w:r>
    </w:p>
    <w:p w14:paraId="5861EE8A">
      <w:pPr>
        <w:pStyle w:val="6"/>
        <w:bidi w:val="0"/>
        <w:rPr>
          <w:rFonts w:hint="default"/>
          <w:color w:val="auto"/>
          <w:lang w:val="en-US" w:eastAsia="zh-CN"/>
        </w:rPr>
      </w:pPr>
      <w:r>
        <w:rPr>
          <w:rFonts w:hint="default"/>
          <w:color w:val="auto"/>
          <w:lang w:val="en-US" w:eastAsia="zh-CN"/>
        </w:rPr>
        <w:t>3.3.</w:t>
      </w:r>
      <w:r>
        <w:rPr>
          <w:rFonts w:hint="eastAsia"/>
          <w:color w:val="auto"/>
          <w:lang w:val="en-US" w:eastAsia="zh-CN"/>
        </w:rPr>
        <w:t>6</w:t>
      </w:r>
      <w:r>
        <w:rPr>
          <w:rFonts w:hint="default"/>
          <w:color w:val="auto"/>
          <w:lang w:val="en-US" w:eastAsia="zh-CN"/>
        </w:rPr>
        <w:t xml:space="preserve"> 淹溺</w:t>
      </w:r>
    </w:p>
    <w:p w14:paraId="118D89D5">
      <w:pPr>
        <w:bidi w:val="0"/>
        <w:rPr>
          <w:rFonts w:hint="default"/>
          <w:color w:val="auto"/>
          <w:lang w:val="en-US" w:eastAsia="zh-CN"/>
        </w:rPr>
      </w:pPr>
      <w:r>
        <w:rPr>
          <w:rFonts w:hint="eastAsia"/>
          <w:color w:val="auto"/>
          <w:lang w:val="en-US" w:eastAsia="zh-CN"/>
        </w:rPr>
        <w:t>本项目</w:t>
      </w:r>
      <w:r>
        <w:rPr>
          <w:rFonts w:hint="default"/>
          <w:color w:val="auto"/>
          <w:lang w:val="en-US" w:eastAsia="zh-CN"/>
        </w:rPr>
        <w:t>设有</w:t>
      </w:r>
      <w:r>
        <w:rPr>
          <w:rFonts w:hint="eastAsia"/>
          <w:color w:val="auto"/>
        </w:rPr>
        <w:t>新水池、回水池、事故池、浓缩机等</w:t>
      </w:r>
      <w:r>
        <w:rPr>
          <w:rFonts w:hint="default"/>
          <w:color w:val="auto"/>
          <w:lang w:val="en-US" w:eastAsia="zh-CN"/>
        </w:rPr>
        <w:t>，由于常有蓄水，蓄水能力较大，其四周缺少安全警示标志、护栏或照明不足，人员可能不慎坠入，可能造成淹溺事故。</w:t>
      </w:r>
    </w:p>
    <w:p w14:paraId="5A5329C3">
      <w:pPr>
        <w:pStyle w:val="6"/>
        <w:bidi w:val="0"/>
        <w:rPr>
          <w:rFonts w:hint="default"/>
          <w:color w:val="auto"/>
          <w:lang w:val="en-US" w:eastAsia="zh-CN"/>
        </w:rPr>
      </w:pPr>
      <w:r>
        <w:rPr>
          <w:rFonts w:hint="default"/>
          <w:color w:val="auto"/>
          <w:lang w:val="en-US" w:eastAsia="zh-CN"/>
        </w:rPr>
        <w:t>3.3.</w:t>
      </w:r>
      <w:r>
        <w:rPr>
          <w:rFonts w:hint="eastAsia"/>
          <w:color w:val="auto"/>
          <w:lang w:val="en-US" w:eastAsia="zh-CN"/>
        </w:rPr>
        <w:t>7</w:t>
      </w:r>
      <w:r>
        <w:rPr>
          <w:rFonts w:hint="default"/>
          <w:color w:val="auto"/>
          <w:lang w:val="en-US" w:eastAsia="zh-CN"/>
        </w:rPr>
        <w:t xml:space="preserve"> 滑坡</w:t>
      </w:r>
    </w:p>
    <w:p w14:paraId="0F1D931F">
      <w:pPr>
        <w:bidi w:val="0"/>
        <w:rPr>
          <w:rFonts w:hint="default"/>
          <w:color w:val="auto"/>
          <w:lang w:val="en-US" w:eastAsia="zh-CN"/>
        </w:rPr>
      </w:pPr>
      <w:r>
        <w:rPr>
          <w:rFonts w:hint="default"/>
          <w:color w:val="auto"/>
          <w:lang w:val="en-US" w:eastAsia="zh-CN"/>
        </w:rPr>
        <w:t>厂址存在相对高差，雨季可能发生滑坡事故。</w:t>
      </w:r>
    </w:p>
    <w:p w14:paraId="4A377BB1">
      <w:pPr>
        <w:pStyle w:val="6"/>
        <w:bidi w:val="0"/>
        <w:rPr>
          <w:rFonts w:hint="default"/>
          <w:color w:val="auto"/>
          <w:lang w:val="en-US" w:eastAsia="zh-CN"/>
        </w:rPr>
      </w:pPr>
      <w:r>
        <w:rPr>
          <w:rFonts w:hint="default"/>
          <w:color w:val="auto"/>
          <w:lang w:val="en-US" w:eastAsia="zh-CN"/>
        </w:rPr>
        <w:t>3.3.</w:t>
      </w:r>
      <w:r>
        <w:rPr>
          <w:rFonts w:hint="eastAsia"/>
          <w:color w:val="auto"/>
          <w:lang w:val="en-US" w:eastAsia="zh-CN"/>
        </w:rPr>
        <w:t>8</w:t>
      </w:r>
      <w:r>
        <w:rPr>
          <w:rFonts w:hint="default"/>
          <w:color w:val="auto"/>
          <w:lang w:val="en-US" w:eastAsia="zh-CN"/>
        </w:rPr>
        <w:t xml:space="preserve"> 周边环境与该项目的相互影响分析</w:t>
      </w:r>
    </w:p>
    <w:p w14:paraId="3D3D7F84">
      <w:pPr>
        <w:bidi w:val="0"/>
        <w:rPr>
          <w:rFonts w:hint="default"/>
          <w:color w:val="auto"/>
          <w:lang w:val="en-US" w:eastAsia="zh-CN"/>
        </w:rPr>
      </w:pPr>
      <w:r>
        <w:rPr>
          <w:rFonts w:hint="default"/>
          <w:color w:val="auto"/>
          <w:lang w:val="en-US" w:eastAsia="zh-CN"/>
        </w:rPr>
        <w:t>项目位于乐朗村与猴街村之间属于寻甸县柯渡镇，项目浓缩车间位于寻甸金林钛矿有限公司选厂内，浓缩车间距离西侧24m和南侧31m为选厂建筑，东南侧189m为其纳海村，东侧距离13m为尾矿库，北侧为山地。压滤车间北侧距离725m为乐朗村，西侧距离249m为旧村，南侧和东侧为山地。</w:t>
      </w:r>
    </w:p>
    <w:p w14:paraId="21DD7B96">
      <w:pPr>
        <w:bidi w:val="0"/>
        <w:rPr>
          <w:rFonts w:hint="default"/>
          <w:color w:val="auto"/>
          <w:lang w:val="en-US" w:eastAsia="zh-CN"/>
        </w:rPr>
      </w:pPr>
      <w:r>
        <w:rPr>
          <w:rFonts w:hint="default"/>
          <w:color w:val="auto"/>
          <w:lang w:val="en-US" w:eastAsia="zh-CN"/>
        </w:rPr>
        <w:t>项目在生产过程中可能会因为周边环境引发火灾、车辆伤害、坍塌、滑坡等危险。其主要引发原因有：</w:t>
      </w:r>
    </w:p>
    <w:p w14:paraId="58F1EC80">
      <w:pPr>
        <w:bidi w:val="0"/>
        <w:rPr>
          <w:rFonts w:hint="default"/>
          <w:color w:val="auto"/>
          <w:lang w:val="en-US" w:eastAsia="zh-CN"/>
        </w:rPr>
      </w:pPr>
      <w:r>
        <w:rPr>
          <w:rFonts w:hint="default"/>
          <w:color w:val="auto"/>
          <w:lang w:val="en-US" w:eastAsia="zh-CN"/>
        </w:rPr>
        <w:t>（1）若周边树林发生火灾、坍塌、滑坡等事故，可能会由于飞火、高温、热辐射等因素导致引燃本项目内可燃物，进而引起本火灾爆炸、坍塌、滑坡等危险。</w:t>
      </w:r>
    </w:p>
    <w:p w14:paraId="08114BC1">
      <w:pPr>
        <w:bidi w:val="0"/>
        <w:rPr>
          <w:rFonts w:hint="default"/>
          <w:color w:val="auto"/>
          <w:lang w:val="en-US" w:eastAsia="zh-CN"/>
        </w:rPr>
      </w:pPr>
      <w:r>
        <w:rPr>
          <w:rFonts w:hint="default"/>
          <w:color w:val="auto"/>
          <w:lang w:val="en-US" w:eastAsia="zh-CN"/>
        </w:rPr>
        <w:t>（2）员工上下班途中</w:t>
      </w:r>
      <w:r>
        <w:rPr>
          <w:rFonts w:hint="eastAsia"/>
          <w:color w:val="auto"/>
          <w:lang w:val="en-US" w:eastAsia="zh-CN"/>
        </w:rPr>
        <w:t>经过乡村道路，若</w:t>
      </w:r>
      <w:r>
        <w:rPr>
          <w:rFonts w:hint="default"/>
          <w:color w:val="auto"/>
          <w:lang w:val="en-US" w:eastAsia="zh-CN"/>
        </w:rPr>
        <w:t>未按道路交通要求横跨马路或过往车辆未按要求行驶，对员工可能会造成车辆伤害，同时厂内车辆驾驶员违章驾驶，可能会对过往行人及车辆造成车辆伤害事故，同时整个项目区可能会引发交通堵塞等。</w:t>
      </w:r>
    </w:p>
    <w:p w14:paraId="7271ADE2">
      <w:pPr>
        <w:bidi w:val="0"/>
        <w:rPr>
          <w:rFonts w:hint="default"/>
          <w:color w:val="auto"/>
          <w:lang w:val="en-US" w:eastAsia="zh-CN"/>
        </w:rPr>
      </w:pPr>
      <w:r>
        <w:rPr>
          <w:rFonts w:hint="default"/>
          <w:color w:val="auto"/>
          <w:lang w:val="en-US" w:eastAsia="zh-CN"/>
        </w:rPr>
        <w:t>（3）若本企业发生火灾爆炸、其他爆炸等事故，可能会由于本项目事故过程中飞火、热辐射等因素导致本项目周边树林发生次生火灾等危险。</w:t>
      </w:r>
    </w:p>
    <w:p w14:paraId="3485CFD8">
      <w:pPr>
        <w:pStyle w:val="5"/>
        <w:bidi w:val="0"/>
        <w:rPr>
          <w:rFonts w:hint="default"/>
          <w:color w:val="auto"/>
          <w:lang w:val="en-US" w:eastAsia="zh-CN"/>
        </w:rPr>
      </w:pPr>
      <w:bookmarkStart w:id="20" w:name="_Toc16214"/>
      <w:r>
        <w:rPr>
          <w:rFonts w:hint="default"/>
          <w:color w:val="auto"/>
          <w:lang w:val="en-US" w:eastAsia="zh-CN"/>
        </w:rPr>
        <w:t>3.</w:t>
      </w:r>
      <w:r>
        <w:rPr>
          <w:rFonts w:hint="eastAsia"/>
          <w:color w:val="auto"/>
          <w:lang w:val="en-US" w:eastAsia="zh-CN"/>
        </w:rPr>
        <w:t>4</w:t>
      </w:r>
      <w:r>
        <w:rPr>
          <w:rFonts w:hint="default"/>
          <w:color w:val="auto"/>
          <w:lang w:val="en-US" w:eastAsia="zh-CN"/>
        </w:rPr>
        <w:t xml:space="preserve"> 生产过程中的主要危险和有害因素辨识与分析</w:t>
      </w:r>
      <w:bookmarkEnd w:id="20"/>
    </w:p>
    <w:p w14:paraId="249F4DDA">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.1 坍塌、滑坡</w:t>
      </w:r>
    </w:p>
    <w:p w14:paraId="08136D67">
      <w:pPr>
        <w:bidi w:val="0"/>
        <w:rPr>
          <w:rFonts w:hint="default"/>
          <w:color w:val="auto"/>
          <w:lang w:val="en-US" w:eastAsia="zh-CN"/>
        </w:rPr>
      </w:pPr>
      <w:r>
        <w:rPr>
          <w:rFonts w:hint="default"/>
          <w:color w:val="auto"/>
          <w:lang w:val="en-US" w:eastAsia="zh-CN"/>
        </w:rPr>
        <w:t>坍塌是指物体在外力或重力作用下，超过自身的强度极限或因结构稳定性破坏而造成的事故。滑坡是指斜坡上的土体或者岩体，受河流冲刷、地下水活动、雨水浸泡、地震及人工切坡等因素影响，在重力作用下，沿着一定的软弱面或者软弱带，整体地或者分散地顺坡向下滑动的自然现象。拟建场地位于次不稳定区，为不均匀地基，建筑物易产生不均匀沉降变形，建、构筑物基础型式的选用不当或建构筑物强度不满足要求，会导致建构筑物变形甚至发生坍塌事故。拟建场地土对砼结构具微腐蚀性，对砼结构中钢结构具微腐蚀性，对钢结构具微腐蚀性，如基础未采取相应的防腐措施，可能导致坍塌。</w:t>
      </w:r>
      <w:r>
        <w:rPr>
          <w:rFonts w:hint="eastAsia"/>
          <w:color w:val="auto"/>
          <w:lang w:val="en-US" w:eastAsia="zh-CN"/>
        </w:rPr>
        <w:t>泵</w:t>
      </w:r>
      <w:r>
        <w:rPr>
          <w:rFonts w:hint="default"/>
          <w:color w:val="auto"/>
          <w:lang w:val="en-US" w:eastAsia="zh-CN"/>
        </w:rPr>
        <w:t>振动较大，若不采取适当措施，亦会引起坍塌。</w:t>
      </w:r>
    </w:p>
    <w:p w14:paraId="292D59BB">
      <w:pPr>
        <w:bidi w:val="0"/>
        <w:rPr>
          <w:rFonts w:hint="default"/>
          <w:color w:val="auto"/>
          <w:lang w:val="en-US" w:eastAsia="zh-CN"/>
        </w:rPr>
      </w:pPr>
      <w:r>
        <w:rPr>
          <w:rFonts w:hint="default"/>
          <w:color w:val="auto"/>
          <w:lang w:val="en-US" w:eastAsia="zh-CN"/>
        </w:rPr>
        <w:t>可能存在的部位：</w:t>
      </w:r>
      <w:r>
        <w:rPr>
          <w:rFonts w:hint="eastAsia"/>
          <w:color w:val="auto"/>
          <w:lang w:val="en-US" w:eastAsia="zh-CN"/>
        </w:rPr>
        <w:t>压滤车间、浓缩车间</w:t>
      </w:r>
      <w:r>
        <w:rPr>
          <w:rFonts w:hint="default"/>
          <w:color w:val="auto"/>
          <w:lang w:val="en-US" w:eastAsia="zh-CN"/>
        </w:rPr>
        <w:t>、厂区周边。</w:t>
      </w:r>
    </w:p>
    <w:p w14:paraId="2C3E148A">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.2 机械伤害</w:t>
      </w:r>
    </w:p>
    <w:p w14:paraId="2A4B4B82">
      <w:pPr>
        <w:bidi w:val="0"/>
        <w:rPr>
          <w:rFonts w:hint="default"/>
          <w:color w:val="auto"/>
          <w:lang w:val="en-US" w:eastAsia="zh-CN"/>
        </w:rPr>
      </w:pPr>
      <w:r>
        <w:rPr>
          <w:rFonts w:hint="default"/>
          <w:color w:val="auto"/>
          <w:lang w:val="en-US" w:eastAsia="zh-CN"/>
        </w:rPr>
        <w:t>机械伤害的伤害实质是机械能（动能和势能）的非正常做功、流动或转化，导致对人员的接触性伤害，易造成作业人员夹挤、碾压、剪切、切割、缠绕或卷入、戳扎或刺伤、摩擦等。造成机械伤害的主要因素有：</w:t>
      </w:r>
    </w:p>
    <w:p w14:paraId="04A349EA">
      <w:pPr>
        <w:bidi w:val="0"/>
        <w:rPr>
          <w:rFonts w:hint="default"/>
          <w:color w:val="auto"/>
          <w:lang w:val="en-US" w:eastAsia="zh-CN"/>
        </w:rPr>
      </w:pPr>
      <w:r>
        <w:rPr>
          <w:rFonts w:hint="default"/>
          <w:color w:val="auto"/>
          <w:lang w:val="en-US" w:eastAsia="zh-CN"/>
        </w:rPr>
        <w:t>1、违章作业或操作不当，不停电对机械设备进行检维修；</w:t>
      </w:r>
    </w:p>
    <w:p w14:paraId="5D046761">
      <w:pPr>
        <w:bidi w:val="0"/>
        <w:rPr>
          <w:rFonts w:hint="default"/>
          <w:color w:val="auto"/>
          <w:lang w:val="en-US" w:eastAsia="zh-CN"/>
        </w:rPr>
      </w:pPr>
      <w:r>
        <w:rPr>
          <w:rFonts w:hint="default"/>
          <w:color w:val="auto"/>
          <w:lang w:val="en-US" w:eastAsia="zh-CN"/>
        </w:rPr>
        <w:t>2、选用的设备在设计上存在先天不足（如强度不够、刚度不够、稳定性差、操纵器缺陷、制动器缺陷等）；</w:t>
      </w:r>
    </w:p>
    <w:p w14:paraId="558BFB49">
      <w:pPr>
        <w:bidi w:val="0"/>
        <w:rPr>
          <w:rFonts w:hint="default"/>
          <w:color w:val="auto"/>
          <w:lang w:val="en-US" w:eastAsia="zh-CN"/>
        </w:rPr>
      </w:pPr>
      <w:r>
        <w:rPr>
          <w:rFonts w:hint="default"/>
          <w:color w:val="auto"/>
          <w:lang w:val="en-US" w:eastAsia="zh-CN"/>
        </w:rPr>
        <w:t>3、各车间设备平面布置安全间距不足；</w:t>
      </w:r>
    </w:p>
    <w:p w14:paraId="138B348E">
      <w:pPr>
        <w:bidi w:val="0"/>
        <w:rPr>
          <w:rFonts w:hint="default"/>
          <w:color w:val="auto"/>
          <w:lang w:val="en-US" w:eastAsia="zh-CN"/>
        </w:rPr>
      </w:pPr>
      <w:r>
        <w:rPr>
          <w:rFonts w:hint="default"/>
          <w:color w:val="auto"/>
          <w:lang w:val="en-US" w:eastAsia="zh-CN"/>
        </w:rPr>
        <w:t>4、机械设备安全防护缺陷（无防护、防护装置和设施缺陷、防护不当等）或损坏或被拆除等，导致事故发生；</w:t>
      </w:r>
    </w:p>
    <w:p w14:paraId="42C616AC">
      <w:pPr>
        <w:bidi w:val="0"/>
        <w:rPr>
          <w:rFonts w:hint="default"/>
          <w:color w:val="auto"/>
          <w:lang w:val="en-US" w:eastAsia="zh-CN"/>
        </w:rPr>
      </w:pPr>
      <w:r>
        <w:rPr>
          <w:rFonts w:hint="default"/>
          <w:color w:val="auto"/>
          <w:lang w:val="en-US" w:eastAsia="zh-CN"/>
        </w:rPr>
        <w:t>5、在设备的检修时，机器突然意外启动，导致事故发生；</w:t>
      </w:r>
    </w:p>
    <w:p w14:paraId="10E6EB3E">
      <w:pPr>
        <w:bidi w:val="0"/>
        <w:rPr>
          <w:rFonts w:hint="default"/>
          <w:color w:val="auto"/>
          <w:lang w:val="en-US" w:eastAsia="zh-CN"/>
        </w:rPr>
      </w:pPr>
      <w:r>
        <w:rPr>
          <w:rFonts w:hint="default"/>
          <w:color w:val="auto"/>
          <w:lang w:val="en-US" w:eastAsia="zh-CN"/>
        </w:rPr>
        <w:t>6、联锁局部操作的</w:t>
      </w:r>
      <w:r>
        <w:rPr>
          <w:rFonts w:hint="eastAsia"/>
          <w:color w:val="auto"/>
          <w:lang w:val="en-US" w:eastAsia="zh-CN"/>
        </w:rPr>
        <w:t>皮带输送机</w:t>
      </w:r>
      <w:r>
        <w:rPr>
          <w:rFonts w:hint="default"/>
          <w:color w:val="auto"/>
          <w:lang w:val="en-US" w:eastAsia="zh-CN"/>
        </w:rPr>
        <w:t>长度超过40m时，未设置启动预示信号（信号灯或电铃）；</w:t>
      </w:r>
    </w:p>
    <w:p w14:paraId="0A1FB6B1">
      <w:pPr>
        <w:bidi w:val="0"/>
        <w:rPr>
          <w:rFonts w:hint="default"/>
          <w:color w:val="auto"/>
          <w:lang w:val="en-US" w:eastAsia="zh-CN"/>
        </w:rPr>
      </w:pPr>
      <w:r>
        <w:rPr>
          <w:rFonts w:hint="default"/>
          <w:color w:val="auto"/>
          <w:lang w:val="en-US" w:eastAsia="zh-CN"/>
        </w:rPr>
        <w:t>7、操作人员疏忽大意，身体进入机械危险部位；</w:t>
      </w:r>
    </w:p>
    <w:p w14:paraId="50140A52">
      <w:pPr>
        <w:bidi w:val="0"/>
        <w:rPr>
          <w:rFonts w:hint="default"/>
          <w:color w:val="auto"/>
          <w:lang w:val="en-US" w:eastAsia="zh-CN"/>
        </w:rPr>
      </w:pPr>
      <w:r>
        <w:rPr>
          <w:rFonts w:hint="default"/>
          <w:color w:val="auto"/>
          <w:lang w:val="en-US" w:eastAsia="zh-CN"/>
        </w:rPr>
        <w:t>8、在不安全的机械上停留、休息，导致事故发生；</w:t>
      </w:r>
    </w:p>
    <w:p w14:paraId="3E27F176">
      <w:pPr>
        <w:bidi w:val="0"/>
        <w:rPr>
          <w:rFonts w:hint="default"/>
          <w:color w:val="auto"/>
          <w:lang w:val="en-US" w:eastAsia="zh-CN"/>
        </w:rPr>
      </w:pPr>
      <w:r>
        <w:rPr>
          <w:rFonts w:hint="default"/>
          <w:color w:val="auto"/>
          <w:lang w:val="en-US" w:eastAsia="zh-CN"/>
        </w:rPr>
        <w:t>9、作业人员违章操作，穿戴不符合安全规定的劳动防护用品进行操作；</w:t>
      </w:r>
    </w:p>
    <w:p w14:paraId="7DC74C3C">
      <w:pPr>
        <w:bidi w:val="0"/>
        <w:rPr>
          <w:rFonts w:hint="default"/>
          <w:color w:val="auto"/>
          <w:lang w:val="en-US" w:eastAsia="zh-CN"/>
        </w:rPr>
      </w:pPr>
      <w:r>
        <w:rPr>
          <w:rFonts w:hint="default"/>
          <w:color w:val="auto"/>
          <w:lang w:val="en-US" w:eastAsia="zh-CN"/>
        </w:rPr>
        <w:t>10、安全管理存在疏漏（如：信号缺陷、标志缺陷、安全操作规程不规范等）。</w:t>
      </w:r>
    </w:p>
    <w:p w14:paraId="70044E59">
      <w:pPr>
        <w:bidi w:val="0"/>
        <w:rPr>
          <w:rFonts w:hint="default"/>
          <w:color w:val="auto"/>
          <w:lang w:val="en-US" w:eastAsia="zh-CN"/>
        </w:rPr>
      </w:pPr>
      <w:r>
        <w:rPr>
          <w:rFonts w:hint="default"/>
          <w:color w:val="auto"/>
          <w:lang w:val="en-US" w:eastAsia="zh-CN"/>
        </w:rPr>
        <w:t>可能存在的部位：该项目在生产及检维修过程中，设备电动机的连轴器、传动部位和皮带轮等旋转运动等处。</w:t>
      </w:r>
    </w:p>
    <w:p w14:paraId="215DB1B7">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.3 车辆伤害</w:t>
      </w:r>
    </w:p>
    <w:p w14:paraId="1297C786">
      <w:pPr>
        <w:bidi w:val="0"/>
        <w:rPr>
          <w:rFonts w:hint="default"/>
          <w:color w:val="auto"/>
          <w:lang w:val="en-US" w:eastAsia="zh-CN"/>
        </w:rPr>
      </w:pPr>
      <w:r>
        <w:rPr>
          <w:rFonts w:hint="eastAsia"/>
          <w:color w:val="auto"/>
          <w:lang w:val="en-US" w:eastAsia="zh-CN"/>
        </w:rPr>
        <w:t>本项目需</w:t>
      </w:r>
      <w:r>
        <w:rPr>
          <w:rFonts w:hint="default"/>
          <w:color w:val="auto"/>
          <w:lang w:val="en-US" w:eastAsia="zh-CN"/>
        </w:rPr>
        <w:t>将尾渣运出外售，可能发生撞车、翻车、碾压等车辆伤害事故。引发车辆伤害事故的原因有以下几方面：</w:t>
      </w:r>
    </w:p>
    <w:p w14:paraId="576C7BDC">
      <w:pPr>
        <w:bidi w:val="0"/>
        <w:rPr>
          <w:rFonts w:hint="default"/>
          <w:color w:val="auto"/>
          <w:lang w:val="en-US" w:eastAsia="zh-CN"/>
        </w:rPr>
      </w:pPr>
      <w:r>
        <w:rPr>
          <w:rFonts w:hint="default"/>
          <w:color w:val="auto"/>
          <w:lang w:val="en-US" w:eastAsia="zh-CN"/>
        </w:rPr>
        <w:t>1、违章驾车：车辆驾驶人不按有关规定行驶，违章驾车，如酒后驾车、疲劳驾车、无证驾车、超速行驶、争道抢行、违章超车、违章装载等；</w:t>
      </w:r>
    </w:p>
    <w:p w14:paraId="0D790000">
      <w:pPr>
        <w:bidi w:val="0"/>
        <w:rPr>
          <w:rFonts w:hint="default"/>
          <w:color w:val="auto"/>
          <w:lang w:val="en-US" w:eastAsia="zh-CN"/>
        </w:rPr>
      </w:pPr>
      <w:r>
        <w:rPr>
          <w:rFonts w:hint="default"/>
          <w:color w:val="auto"/>
          <w:lang w:val="en-US" w:eastAsia="zh-CN"/>
        </w:rPr>
        <w:t>2、疏忽大意：指当事人由于心理或生理方面的原因，情绪急躁、精神分散、心理烦乱、身体不适等造成注意力下降，反应迟钝，没有及时、正确的观察和判断道路情况，遇到情况采取措施不及时或不当，过高估计自己的经验技术，引起操作失误导致事故；</w:t>
      </w:r>
    </w:p>
    <w:p w14:paraId="53193D73">
      <w:pPr>
        <w:bidi w:val="0"/>
        <w:rPr>
          <w:rFonts w:hint="default"/>
          <w:color w:val="auto"/>
          <w:lang w:val="en-US" w:eastAsia="zh-CN"/>
        </w:rPr>
      </w:pPr>
      <w:r>
        <w:rPr>
          <w:rFonts w:hint="default"/>
          <w:color w:val="auto"/>
          <w:lang w:val="en-US" w:eastAsia="zh-CN"/>
        </w:rPr>
        <w:t>3、车况不良：安全装置不齐全、工作装置不可靠、安全防护装置不可靠、车辆维护修理不及时，带</w:t>
      </w:r>
      <w:r>
        <w:rPr>
          <w:rFonts w:hint="eastAsia"/>
          <w:color w:val="auto"/>
          <w:lang w:val="en-US" w:eastAsia="zh-CN"/>
        </w:rPr>
        <w:t>“</w:t>
      </w:r>
      <w:r>
        <w:rPr>
          <w:rFonts w:hint="default"/>
          <w:color w:val="auto"/>
          <w:lang w:val="en-US" w:eastAsia="zh-CN"/>
        </w:rPr>
        <w:t>病</w:t>
      </w:r>
      <w:r>
        <w:rPr>
          <w:rFonts w:hint="eastAsia"/>
          <w:color w:val="auto"/>
          <w:lang w:val="en-US" w:eastAsia="zh-CN"/>
        </w:rPr>
        <w:t>”</w:t>
      </w:r>
      <w:r>
        <w:rPr>
          <w:rFonts w:hint="default"/>
          <w:color w:val="auto"/>
          <w:lang w:val="en-US" w:eastAsia="zh-CN"/>
        </w:rPr>
        <w:t>行驶；</w:t>
      </w:r>
    </w:p>
    <w:p w14:paraId="646DBB1F">
      <w:pPr>
        <w:bidi w:val="0"/>
        <w:rPr>
          <w:rFonts w:hint="default"/>
          <w:color w:val="auto"/>
          <w:lang w:val="en-US" w:eastAsia="zh-CN"/>
        </w:rPr>
      </w:pPr>
      <w:r>
        <w:rPr>
          <w:rFonts w:hint="default"/>
          <w:color w:val="auto"/>
          <w:lang w:val="en-US" w:eastAsia="zh-CN"/>
        </w:rPr>
        <w:t>4、道路环境：气候条件恶劣，厂区道路狭窄，交叉和弯道较多，坡度大，驾驶员视距、视野受限，盲区较多，不便及时观察掌握来车动态，易发生车辆伤害；</w:t>
      </w:r>
    </w:p>
    <w:p w14:paraId="47AB1C37">
      <w:pPr>
        <w:bidi w:val="0"/>
        <w:rPr>
          <w:rFonts w:hint="default"/>
          <w:color w:val="auto"/>
          <w:lang w:val="en-US" w:eastAsia="zh-CN"/>
        </w:rPr>
      </w:pPr>
      <w:r>
        <w:rPr>
          <w:rFonts w:hint="default"/>
          <w:color w:val="auto"/>
          <w:lang w:val="en-US" w:eastAsia="zh-CN"/>
        </w:rPr>
        <w:t>5、管理因素：车辆全驾驶制度不落实，管理规章制度或操作规程不健全等。</w:t>
      </w:r>
    </w:p>
    <w:p w14:paraId="2D0A0BEF">
      <w:pPr>
        <w:bidi w:val="0"/>
        <w:rPr>
          <w:rFonts w:hint="default"/>
          <w:color w:val="auto"/>
          <w:lang w:val="en-US" w:eastAsia="zh-CN"/>
        </w:rPr>
      </w:pPr>
      <w:r>
        <w:rPr>
          <w:rFonts w:hint="default"/>
          <w:color w:val="auto"/>
          <w:lang w:val="en-US" w:eastAsia="zh-CN"/>
        </w:rPr>
        <w:t>可能存在的部位：本项目可能发生车辆伤害的设施、环节（区域）主要是：原矿堆场、产品堆场、厂区道路、物料运输过程等。</w:t>
      </w:r>
    </w:p>
    <w:p w14:paraId="04DCD7B5">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.4 触电</w:t>
      </w:r>
    </w:p>
    <w:p w14:paraId="1E6ADE05">
      <w:pPr>
        <w:bidi w:val="0"/>
        <w:rPr>
          <w:rFonts w:hint="default"/>
          <w:color w:val="auto"/>
          <w:lang w:val="en-US" w:eastAsia="zh-CN"/>
        </w:rPr>
      </w:pPr>
      <w:r>
        <w:rPr>
          <w:rFonts w:hint="default"/>
          <w:color w:val="auto"/>
          <w:lang w:val="en-US" w:eastAsia="zh-CN"/>
        </w:rPr>
        <w:t>触电伤害是电能作用于人体造成的伤害，电气伤害事故以触电伤害最为常见。本项目的生产装置配套的配电柜、电气设备、电器开关、电缆及其敷设，可能因接零、接地及屏护措施不完善、耐腐蚀性能差、耐压强度低等原因造成漏电而发生触电事故。</w:t>
      </w:r>
    </w:p>
    <w:p w14:paraId="68D8DCF5">
      <w:pPr>
        <w:bidi w:val="0"/>
        <w:rPr>
          <w:rFonts w:hint="default"/>
          <w:color w:val="auto"/>
          <w:lang w:val="en-US" w:eastAsia="zh-CN"/>
        </w:rPr>
      </w:pPr>
      <w:r>
        <w:rPr>
          <w:rFonts w:hint="default"/>
          <w:color w:val="auto"/>
          <w:lang w:val="en-US" w:eastAsia="zh-CN"/>
        </w:rPr>
        <w:t>造成人员触电原因有：</w:t>
      </w:r>
    </w:p>
    <w:p w14:paraId="54022974">
      <w:pPr>
        <w:bidi w:val="0"/>
        <w:rPr>
          <w:rFonts w:hint="default"/>
          <w:color w:val="auto"/>
          <w:lang w:val="en-US" w:eastAsia="zh-CN"/>
        </w:rPr>
      </w:pPr>
      <w:r>
        <w:rPr>
          <w:rFonts w:hint="default"/>
          <w:color w:val="auto"/>
          <w:lang w:val="en-US" w:eastAsia="zh-CN"/>
        </w:rPr>
        <w:t>1、未填写操作票或未执行监护制度，线路或电气设备工作完毕，未办理工作票终结手续，就对停电设备恢复送电，工作人员擅自扩大工作范围；</w:t>
      </w:r>
    </w:p>
    <w:p w14:paraId="683BFCE2">
      <w:pPr>
        <w:bidi w:val="0"/>
        <w:rPr>
          <w:rFonts w:hint="default"/>
          <w:color w:val="auto"/>
          <w:lang w:val="en-US" w:eastAsia="zh-CN"/>
        </w:rPr>
      </w:pPr>
      <w:r>
        <w:rPr>
          <w:rFonts w:hint="default"/>
          <w:color w:val="auto"/>
          <w:lang w:val="en-US" w:eastAsia="zh-CN"/>
        </w:rPr>
        <w:t>2、违章带电作业，直接触及带电体，导致触电；</w:t>
      </w:r>
    </w:p>
    <w:p w14:paraId="046D9231">
      <w:pPr>
        <w:bidi w:val="0"/>
        <w:rPr>
          <w:rFonts w:hint="default"/>
          <w:color w:val="auto"/>
          <w:lang w:val="en-US" w:eastAsia="zh-CN"/>
        </w:rPr>
      </w:pPr>
      <w:r>
        <w:rPr>
          <w:rFonts w:hint="default"/>
          <w:color w:val="auto"/>
          <w:lang w:val="en-US" w:eastAsia="zh-CN"/>
        </w:rPr>
        <w:t>3、未使用安全防护用品或使用的绝缘工具和电气工具不合格；</w:t>
      </w:r>
    </w:p>
    <w:p w14:paraId="69FE5E4F">
      <w:pPr>
        <w:bidi w:val="0"/>
        <w:rPr>
          <w:rFonts w:hint="default"/>
          <w:color w:val="auto"/>
          <w:lang w:val="en-US" w:eastAsia="zh-CN"/>
        </w:rPr>
      </w:pPr>
      <w:r>
        <w:rPr>
          <w:rFonts w:hint="default"/>
          <w:color w:val="auto"/>
          <w:lang w:val="en-US" w:eastAsia="zh-CN"/>
        </w:rPr>
        <w:t>4、因管理不当、设备老化、绝缘降低而漏电，致使触电；</w:t>
      </w:r>
    </w:p>
    <w:p w14:paraId="0278EECF">
      <w:pPr>
        <w:bidi w:val="0"/>
        <w:rPr>
          <w:rFonts w:hint="default"/>
          <w:color w:val="auto"/>
          <w:lang w:val="en-US" w:eastAsia="zh-CN"/>
        </w:rPr>
      </w:pPr>
      <w:r>
        <w:rPr>
          <w:rFonts w:hint="default"/>
          <w:color w:val="auto"/>
          <w:lang w:val="en-US" w:eastAsia="zh-CN"/>
        </w:rPr>
        <w:t>5、人员不按电气安全工作规定对停电后可能产生感应电压的设备不挂临时地线，对高压电缆、电力变压器、电容开关柜及大电动机等电气设备停电检修前未进行充分放电而造成感电压、剩余电压触电；</w:t>
      </w:r>
    </w:p>
    <w:p w14:paraId="65FCA5BC">
      <w:pPr>
        <w:bidi w:val="0"/>
        <w:rPr>
          <w:rFonts w:hint="default"/>
          <w:color w:val="auto"/>
          <w:lang w:val="en-US" w:eastAsia="zh-CN"/>
        </w:rPr>
      </w:pPr>
      <w:r>
        <w:rPr>
          <w:rFonts w:hint="default"/>
          <w:color w:val="auto"/>
          <w:lang w:val="en-US" w:eastAsia="zh-CN"/>
        </w:rPr>
        <w:t>6、临时用电管理不规范，乱搭乱接，造成触电；</w:t>
      </w:r>
    </w:p>
    <w:p w14:paraId="55DB0693">
      <w:pPr>
        <w:bidi w:val="0"/>
        <w:rPr>
          <w:rFonts w:hint="default"/>
          <w:color w:val="auto"/>
          <w:lang w:val="en-US" w:eastAsia="zh-CN"/>
        </w:rPr>
      </w:pPr>
      <w:r>
        <w:rPr>
          <w:rFonts w:hint="default"/>
          <w:color w:val="auto"/>
          <w:lang w:val="en-US" w:eastAsia="zh-CN"/>
        </w:rPr>
        <w:t>7、在带电设备附近进行作业，安全距离不符合要求或无监护；</w:t>
      </w:r>
    </w:p>
    <w:p w14:paraId="7D572D21">
      <w:pPr>
        <w:bidi w:val="0"/>
        <w:rPr>
          <w:rFonts w:hint="default"/>
          <w:color w:val="auto"/>
          <w:lang w:val="en-US" w:eastAsia="zh-CN"/>
        </w:rPr>
      </w:pPr>
      <w:r>
        <w:rPr>
          <w:rFonts w:hint="default"/>
          <w:color w:val="auto"/>
          <w:lang w:val="en-US" w:eastAsia="zh-CN"/>
        </w:rPr>
        <w:t>8、跨越安全围栏或超越安全警戒线，工作人员走错间隔误碰带电设备，以及在带电设备附近使用钢卷尺等进行测量或携带金属在带电设备下行走；</w:t>
      </w:r>
    </w:p>
    <w:p w14:paraId="2BC875C0">
      <w:pPr>
        <w:bidi w:val="0"/>
        <w:rPr>
          <w:rFonts w:hint="default"/>
          <w:color w:val="auto"/>
          <w:lang w:val="en-US" w:eastAsia="zh-CN"/>
        </w:rPr>
      </w:pPr>
      <w:r>
        <w:rPr>
          <w:rFonts w:hint="default"/>
          <w:color w:val="auto"/>
          <w:lang w:val="en-US" w:eastAsia="zh-CN"/>
        </w:rPr>
        <w:t>9、线路磨损、绝缘层损坏使外壳带电，设备缺少漏电保护等防护装置；</w:t>
      </w:r>
    </w:p>
    <w:p w14:paraId="3E3548B3">
      <w:pPr>
        <w:bidi w:val="0"/>
        <w:rPr>
          <w:rFonts w:hint="default"/>
          <w:color w:val="auto"/>
          <w:lang w:val="en-US" w:eastAsia="zh-CN"/>
        </w:rPr>
      </w:pPr>
      <w:r>
        <w:rPr>
          <w:rFonts w:hint="default"/>
          <w:color w:val="auto"/>
          <w:lang w:val="en-US" w:eastAsia="zh-CN"/>
        </w:rPr>
        <w:t>10、作业人员无证上岗；</w:t>
      </w:r>
    </w:p>
    <w:p w14:paraId="68EA24B1">
      <w:pPr>
        <w:bidi w:val="0"/>
        <w:rPr>
          <w:rFonts w:hint="default"/>
          <w:color w:val="auto"/>
          <w:lang w:val="en-US" w:eastAsia="zh-CN"/>
        </w:rPr>
      </w:pPr>
      <w:r>
        <w:rPr>
          <w:rFonts w:hint="default"/>
          <w:color w:val="auto"/>
          <w:lang w:val="en-US" w:eastAsia="zh-CN"/>
        </w:rPr>
        <w:t>11、缺少标志或标志不明显；</w:t>
      </w:r>
    </w:p>
    <w:p w14:paraId="2A6A7733">
      <w:pPr>
        <w:bidi w:val="0"/>
        <w:rPr>
          <w:rFonts w:hint="default"/>
          <w:color w:val="auto"/>
          <w:lang w:val="en-US" w:eastAsia="zh-CN"/>
        </w:rPr>
      </w:pPr>
      <w:r>
        <w:rPr>
          <w:rFonts w:hint="default"/>
          <w:color w:val="auto"/>
          <w:lang w:val="en-US" w:eastAsia="zh-CN"/>
        </w:rPr>
        <w:t>12、使用电动工具金属外壳不接地，不戴绝缘手套；</w:t>
      </w:r>
    </w:p>
    <w:p w14:paraId="01D5E3B9">
      <w:pPr>
        <w:bidi w:val="0"/>
        <w:rPr>
          <w:rFonts w:hint="default"/>
          <w:color w:val="auto"/>
          <w:lang w:val="en-US" w:eastAsia="zh-CN"/>
        </w:rPr>
      </w:pPr>
      <w:r>
        <w:rPr>
          <w:rFonts w:hint="default"/>
          <w:color w:val="auto"/>
          <w:lang w:val="en-US" w:eastAsia="zh-CN"/>
        </w:rPr>
        <w:t>13、在潮湿地区、金属容器内工作不穿绝缘鞋、无绝缘垫、无监护人；</w:t>
      </w:r>
    </w:p>
    <w:p w14:paraId="12B0DD06">
      <w:pPr>
        <w:bidi w:val="0"/>
        <w:rPr>
          <w:rFonts w:hint="default"/>
          <w:color w:val="auto"/>
          <w:lang w:val="en-US" w:eastAsia="zh-CN"/>
        </w:rPr>
      </w:pPr>
      <w:r>
        <w:rPr>
          <w:rFonts w:hint="default"/>
          <w:color w:val="auto"/>
          <w:lang w:val="en-US" w:eastAsia="zh-CN"/>
        </w:rPr>
        <w:t>14、电气作业的安全管理工作存在漏洞；</w:t>
      </w:r>
    </w:p>
    <w:p w14:paraId="4194BD68">
      <w:pPr>
        <w:bidi w:val="0"/>
        <w:rPr>
          <w:rFonts w:hint="default"/>
          <w:color w:val="auto"/>
          <w:lang w:val="en-US" w:eastAsia="zh-CN"/>
        </w:rPr>
      </w:pPr>
      <w:r>
        <w:rPr>
          <w:rFonts w:hint="default"/>
          <w:color w:val="auto"/>
          <w:lang w:val="en-US" w:eastAsia="zh-CN"/>
        </w:rPr>
        <w:t>15、未按规范装设接地线或地线失效。</w:t>
      </w:r>
    </w:p>
    <w:p w14:paraId="2CBDA06E">
      <w:pPr>
        <w:bidi w:val="0"/>
        <w:rPr>
          <w:rFonts w:hint="default"/>
          <w:color w:val="auto"/>
          <w:lang w:val="en-US" w:eastAsia="zh-CN"/>
        </w:rPr>
      </w:pPr>
      <w:r>
        <w:rPr>
          <w:rFonts w:hint="default"/>
          <w:color w:val="auto"/>
          <w:lang w:val="en-US" w:eastAsia="zh-CN"/>
        </w:rPr>
        <w:t>可能存在的部位：工艺过程中的各用电设备、配电室、控制柜。</w:t>
      </w:r>
    </w:p>
    <w:p w14:paraId="402CDB26">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.5 物体打击</w:t>
      </w:r>
    </w:p>
    <w:p w14:paraId="58260610">
      <w:pPr>
        <w:bidi w:val="0"/>
        <w:rPr>
          <w:rFonts w:hint="default"/>
          <w:color w:val="auto"/>
          <w:lang w:val="en-US" w:eastAsia="zh-CN"/>
        </w:rPr>
      </w:pPr>
      <w:r>
        <w:rPr>
          <w:rFonts w:hint="default"/>
          <w:color w:val="auto"/>
          <w:lang w:val="en-US" w:eastAsia="zh-CN"/>
        </w:rPr>
        <w:t>物体打击是指物体在重力或其他外力的作用下产生运动，打击人体造成人身伤亡事故。造成物体打击的可能原因有：</w:t>
      </w:r>
    </w:p>
    <w:p w14:paraId="5C3E0C91">
      <w:pPr>
        <w:bidi w:val="0"/>
        <w:rPr>
          <w:rFonts w:hint="default"/>
          <w:color w:val="auto"/>
          <w:lang w:val="en-US" w:eastAsia="zh-CN"/>
        </w:rPr>
      </w:pPr>
      <w:r>
        <w:rPr>
          <w:rFonts w:hint="default"/>
          <w:color w:val="auto"/>
          <w:lang w:val="en-US" w:eastAsia="zh-CN"/>
        </w:rPr>
        <w:t>1、检维修设备时工器具、物件无防坠措施或摆放不稳；</w:t>
      </w:r>
    </w:p>
    <w:p w14:paraId="2994687D">
      <w:pPr>
        <w:bidi w:val="0"/>
        <w:rPr>
          <w:rFonts w:hint="default"/>
          <w:color w:val="auto"/>
          <w:lang w:val="en-US" w:eastAsia="zh-CN"/>
        </w:rPr>
      </w:pPr>
      <w:r>
        <w:rPr>
          <w:rFonts w:hint="default"/>
          <w:color w:val="auto"/>
          <w:lang w:val="en-US" w:eastAsia="zh-CN"/>
        </w:rPr>
        <w:t>2、平台、临边安全防护设施不完善；</w:t>
      </w:r>
    </w:p>
    <w:p w14:paraId="7D878037">
      <w:pPr>
        <w:bidi w:val="0"/>
        <w:rPr>
          <w:rFonts w:hint="default"/>
          <w:color w:val="auto"/>
          <w:lang w:val="en-US" w:eastAsia="zh-CN"/>
        </w:rPr>
      </w:pPr>
      <w:r>
        <w:rPr>
          <w:rFonts w:hint="default"/>
          <w:color w:val="auto"/>
          <w:lang w:val="en-US" w:eastAsia="zh-CN"/>
        </w:rPr>
        <w:t>3、进入作业现场没有按要求安全帽；</w:t>
      </w:r>
    </w:p>
    <w:p w14:paraId="1D19CD84">
      <w:pPr>
        <w:bidi w:val="0"/>
        <w:rPr>
          <w:rFonts w:hint="default"/>
          <w:color w:val="auto"/>
          <w:lang w:val="en-US" w:eastAsia="zh-CN"/>
        </w:rPr>
      </w:pPr>
      <w:r>
        <w:rPr>
          <w:rFonts w:hint="default"/>
          <w:color w:val="auto"/>
          <w:lang w:val="en-US" w:eastAsia="zh-CN"/>
        </w:rPr>
        <w:t>可能存在的部位：</w:t>
      </w:r>
      <w:r>
        <w:rPr>
          <w:rFonts w:hint="eastAsia"/>
          <w:color w:val="auto"/>
          <w:lang w:val="en-US" w:eastAsia="zh-CN"/>
        </w:rPr>
        <w:t>压滤</w:t>
      </w:r>
      <w:r>
        <w:rPr>
          <w:rFonts w:hint="default"/>
          <w:color w:val="auto"/>
          <w:lang w:val="en-US" w:eastAsia="zh-CN"/>
        </w:rPr>
        <w:t>车间平台、</w:t>
      </w:r>
      <w:r>
        <w:rPr>
          <w:rFonts w:hint="eastAsia"/>
          <w:color w:val="auto"/>
          <w:lang w:val="en-US" w:eastAsia="zh-CN"/>
        </w:rPr>
        <w:t>浓缩</w:t>
      </w:r>
      <w:r>
        <w:rPr>
          <w:rFonts w:hint="default"/>
          <w:color w:val="auto"/>
          <w:lang w:val="en-US" w:eastAsia="zh-CN"/>
        </w:rPr>
        <w:t>车间平台及检修现场等。</w:t>
      </w:r>
    </w:p>
    <w:p w14:paraId="4EA0C420">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.6 高处坠落</w:t>
      </w:r>
    </w:p>
    <w:p w14:paraId="5B7D4866">
      <w:pPr>
        <w:bidi w:val="0"/>
        <w:rPr>
          <w:rFonts w:hint="default"/>
          <w:color w:val="auto"/>
          <w:lang w:val="en-US" w:eastAsia="zh-CN"/>
        </w:rPr>
      </w:pPr>
      <w:r>
        <w:rPr>
          <w:rFonts w:hint="default"/>
          <w:color w:val="auto"/>
          <w:lang w:val="en-US" w:eastAsia="zh-CN"/>
        </w:rPr>
        <w:t>根据坠落高度基准面，最低坠落的着落点水平面高度在2m以上的高度时，就需要有防止人员坠落的措施。该项目在生产过程中对生产车间内的设备、设施的维护和检修及其它临时性作业过程中存在高处作业，因此可能发生高处坠落事故。造成高处坠落事故的主要原因有：</w:t>
      </w:r>
    </w:p>
    <w:p w14:paraId="26CAEA08">
      <w:pPr>
        <w:bidi w:val="0"/>
        <w:rPr>
          <w:rFonts w:hint="default"/>
          <w:color w:val="auto"/>
          <w:lang w:val="en-US" w:eastAsia="zh-CN"/>
        </w:rPr>
      </w:pPr>
      <w:r>
        <w:rPr>
          <w:rFonts w:hint="default"/>
          <w:color w:val="auto"/>
          <w:lang w:val="en-US" w:eastAsia="zh-CN"/>
        </w:rPr>
        <w:t>1、高处作业的平台、梯子等不符合规定或有缺陷造成高处坠落；</w:t>
      </w:r>
    </w:p>
    <w:p w14:paraId="2307C640">
      <w:pPr>
        <w:bidi w:val="0"/>
        <w:rPr>
          <w:rFonts w:hint="default"/>
          <w:color w:val="auto"/>
          <w:lang w:val="en-US" w:eastAsia="zh-CN"/>
        </w:rPr>
      </w:pPr>
      <w:r>
        <w:rPr>
          <w:rFonts w:hint="default"/>
          <w:color w:val="auto"/>
          <w:lang w:val="en-US" w:eastAsia="zh-CN"/>
        </w:rPr>
        <w:t>2、孔洞未封闭，导致高处跌落；</w:t>
      </w:r>
    </w:p>
    <w:p w14:paraId="7B880ACC">
      <w:pPr>
        <w:bidi w:val="0"/>
        <w:rPr>
          <w:rFonts w:hint="default"/>
          <w:color w:val="auto"/>
          <w:lang w:val="en-US" w:eastAsia="zh-CN"/>
        </w:rPr>
      </w:pPr>
      <w:r>
        <w:rPr>
          <w:rFonts w:hint="default"/>
          <w:color w:val="auto"/>
          <w:lang w:val="en-US" w:eastAsia="zh-CN"/>
        </w:rPr>
        <w:t>3、未设防护装置（安全网、栏杆）或防护装置不符合安全要求，未佩戴个人防护用品（安全带）；</w:t>
      </w:r>
    </w:p>
    <w:p w14:paraId="27C12C1C">
      <w:pPr>
        <w:bidi w:val="0"/>
        <w:rPr>
          <w:rFonts w:hint="default"/>
          <w:color w:val="auto"/>
          <w:lang w:val="en-US" w:eastAsia="zh-CN"/>
        </w:rPr>
      </w:pPr>
      <w:r>
        <w:rPr>
          <w:rFonts w:hint="default"/>
          <w:color w:val="auto"/>
          <w:lang w:val="en-US" w:eastAsia="zh-CN"/>
        </w:rPr>
        <w:t>4、作业人员疲劳、心理异常、健康状况异常等；</w:t>
      </w:r>
    </w:p>
    <w:p w14:paraId="3FBD80A5">
      <w:pPr>
        <w:bidi w:val="0"/>
        <w:rPr>
          <w:rFonts w:hint="default"/>
          <w:color w:val="auto"/>
          <w:lang w:val="en-US" w:eastAsia="zh-CN"/>
        </w:rPr>
      </w:pPr>
      <w:r>
        <w:rPr>
          <w:rFonts w:hint="default"/>
          <w:color w:val="auto"/>
          <w:lang w:val="en-US" w:eastAsia="zh-CN"/>
        </w:rPr>
        <w:t>5、未办理高处作业手续；</w:t>
      </w:r>
    </w:p>
    <w:p w14:paraId="2336BAB7">
      <w:pPr>
        <w:bidi w:val="0"/>
        <w:rPr>
          <w:rFonts w:hint="default"/>
          <w:color w:val="auto"/>
          <w:lang w:val="en-US" w:eastAsia="zh-CN"/>
        </w:rPr>
      </w:pPr>
      <w:r>
        <w:rPr>
          <w:rFonts w:hint="default"/>
          <w:color w:val="auto"/>
          <w:lang w:val="en-US" w:eastAsia="zh-CN"/>
        </w:rPr>
        <w:t>6、在恶劣的天气（在6级以上的大风、暴雨、大雾等恶劣天气）进行露天高处作业等；</w:t>
      </w:r>
    </w:p>
    <w:p w14:paraId="0AAE7E86">
      <w:pPr>
        <w:bidi w:val="0"/>
        <w:rPr>
          <w:rFonts w:hint="default"/>
          <w:color w:val="auto"/>
          <w:lang w:val="en-US" w:eastAsia="zh-CN"/>
        </w:rPr>
      </w:pPr>
      <w:r>
        <w:rPr>
          <w:rFonts w:hint="default"/>
          <w:color w:val="auto"/>
          <w:lang w:val="en-US" w:eastAsia="zh-CN"/>
        </w:rPr>
        <w:t>7、生产工艺有缺陷，高处作业安全管理不到位。</w:t>
      </w:r>
    </w:p>
    <w:p w14:paraId="1F5D69BA">
      <w:pPr>
        <w:bidi w:val="0"/>
        <w:rPr>
          <w:rFonts w:hint="default"/>
          <w:color w:val="auto"/>
          <w:lang w:val="en-US" w:eastAsia="zh-CN"/>
        </w:rPr>
      </w:pPr>
      <w:r>
        <w:rPr>
          <w:rFonts w:hint="default"/>
          <w:color w:val="auto"/>
          <w:lang w:val="en-US" w:eastAsia="zh-CN"/>
        </w:rPr>
        <w:t>可能存在的部位：压滤车间平台、浓缩车间平台及检修现场等高于2m的作业平台。</w:t>
      </w:r>
    </w:p>
    <w:p w14:paraId="629ADE7D">
      <w:pPr>
        <w:pStyle w:val="6"/>
        <w:bidi w:val="0"/>
        <w:rPr>
          <w:rFonts w:hint="default"/>
          <w:color w:val="auto"/>
          <w:lang w:val="en-US" w:eastAsia="zh-CN"/>
        </w:rPr>
      </w:pPr>
      <w:r>
        <w:rPr>
          <w:rFonts w:hint="eastAsia"/>
          <w:color w:val="auto"/>
          <w:lang w:val="en-US" w:eastAsia="zh-CN"/>
        </w:rPr>
        <w:t>3.4.7 起重伤害</w:t>
      </w:r>
    </w:p>
    <w:p w14:paraId="1CC7A0EB">
      <w:pPr>
        <w:bidi w:val="0"/>
        <w:rPr>
          <w:rFonts w:hint="default"/>
          <w:color w:val="auto"/>
          <w:lang w:val="en-US" w:eastAsia="zh-CN"/>
        </w:rPr>
      </w:pPr>
      <w:r>
        <w:rPr>
          <w:rFonts w:hint="default"/>
          <w:color w:val="auto"/>
          <w:lang w:val="en-US" w:eastAsia="zh-CN"/>
        </w:rPr>
        <w:t>起重事故是指各种起重作业（吊运、安装、检修）中发生的挤压、坠落、（吊具、吊物）物体打击和触电，以及因此引发的其他事故。</w:t>
      </w:r>
    </w:p>
    <w:p w14:paraId="546CFD4B">
      <w:pPr>
        <w:bidi w:val="0"/>
        <w:rPr>
          <w:rFonts w:hint="default"/>
          <w:color w:val="auto"/>
          <w:lang w:val="en-US" w:eastAsia="zh-CN"/>
        </w:rPr>
      </w:pPr>
      <w:r>
        <w:rPr>
          <w:rFonts w:hint="default"/>
          <w:color w:val="auto"/>
          <w:lang w:val="en-US" w:eastAsia="zh-CN"/>
        </w:rPr>
        <w:t>起重伤害原因分析：</w:t>
      </w:r>
    </w:p>
    <w:p w14:paraId="16F2A276">
      <w:pPr>
        <w:bidi w:val="0"/>
        <w:rPr>
          <w:rFonts w:hint="default"/>
          <w:color w:val="auto"/>
          <w:lang w:val="en-US" w:eastAsia="zh-CN"/>
        </w:rPr>
      </w:pPr>
      <w:r>
        <w:rPr>
          <w:rFonts w:hint="default"/>
          <w:color w:val="auto"/>
          <w:lang w:val="en-US" w:eastAsia="zh-CN"/>
        </w:rPr>
        <w:t>一般来说，导致起重伤害的危险因素如下：</w:t>
      </w:r>
    </w:p>
    <w:p w14:paraId="72BB87CF">
      <w:pPr>
        <w:bidi w:val="0"/>
        <w:rPr>
          <w:rFonts w:hint="default"/>
          <w:color w:val="auto"/>
          <w:lang w:val="en-US" w:eastAsia="zh-CN"/>
        </w:rPr>
      </w:pPr>
      <w:r>
        <w:rPr>
          <w:rFonts w:hint="default"/>
          <w:color w:val="auto"/>
          <w:lang w:val="en-US" w:eastAsia="zh-CN"/>
        </w:rPr>
        <w:t>1、长期起吊作业会使吊钩出现裂纹或断裂，如果对吊钩没有及时更换，很容易产生起吊伤害；</w:t>
      </w:r>
    </w:p>
    <w:p w14:paraId="547BC39A">
      <w:pPr>
        <w:bidi w:val="0"/>
        <w:rPr>
          <w:rFonts w:hint="default"/>
          <w:color w:val="auto"/>
          <w:lang w:val="en-US" w:eastAsia="zh-CN"/>
        </w:rPr>
      </w:pPr>
      <w:r>
        <w:rPr>
          <w:rFonts w:hint="default"/>
          <w:color w:val="auto"/>
          <w:lang w:val="en-US" w:eastAsia="zh-CN"/>
        </w:rPr>
        <w:t>2、起吊作业使用的钢丝绳因疲劳，断股，挤压变形，插头钢丝绳松动等，日常检查检测不到位，存在事故隐患，在起吊过程中容易造成重物坠落伤害；</w:t>
      </w:r>
    </w:p>
    <w:p w14:paraId="38960F33">
      <w:pPr>
        <w:bidi w:val="0"/>
        <w:rPr>
          <w:rFonts w:hint="default"/>
          <w:color w:val="auto"/>
          <w:lang w:val="en-US" w:eastAsia="zh-CN"/>
        </w:rPr>
      </w:pPr>
      <w:r>
        <w:rPr>
          <w:rFonts w:hint="default"/>
          <w:color w:val="auto"/>
          <w:lang w:val="en-US" w:eastAsia="zh-CN"/>
        </w:rPr>
        <w:t>3、在起吊过程中由于吊装物脱落也会对地面作业人员造成伤害；</w:t>
      </w:r>
    </w:p>
    <w:p w14:paraId="0301BB1C">
      <w:pPr>
        <w:bidi w:val="0"/>
        <w:rPr>
          <w:rFonts w:hint="default"/>
          <w:color w:val="auto"/>
          <w:lang w:val="en-US" w:eastAsia="zh-CN"/>
        </w:rPr>
      </w:pPr>
      <w:r>
        <w:rPr>
          <w:rFonts w:hint="default"/>
          <w:color w:val="auto"/>
          <w:lang w:val="en-US" w:eastAsia="zh-CN"/>
        </w:rPr>
        <w:t>4、吊具卸件时与工件不垂直，容易产生压伤或擦伤等机械伤害；</w:t>
      </w:r>
    </w:p>
    <w:p w14:paraId="645AF246">
      <w:pPr>
        <w:bidi w:val="0"/>
        <w:rPr>
          <w:rFonts w:hint="default"/>
          <w:color w:val="auto"/>
          <w:lang w:val="en-US" w:eastAsia="zh-CN"/>
        </w:rPr>
      </w:pPr>
      <w:r>
        <w:rPr>
          <w:rFonts w:hint="default"/>
          <w:color w:val="auto"/>
          <w:lang w:val="en-US" w:eastAsia="zh-CN"/>
        </w:rPr>
        <w:t>5、起吊过程中由于重物重心偏心也会发生重物坠落伤人事件；</w:t>
      </w:r>
    </w:p>
    <w:p w14:paraId="16A0B861">
      <w:pPr>
        <w:bidi w:val="0"/>
        <w:rPr>
          <w:rFonts w:hint="default"/>
          <w:color w:val="auto"/>
          <w:lang w:val="en-US" w:eastAsia="zh-CN"/>
        </w:rPr>
      </w:pPr>
      <w:r>
        <w:rPr>
          <w:rFonts w:hint="default"/>
          <w:color w:val="auto"/>
          <w:lang w:val="en-US" w:eastAsia="zh-CN"/>
        </w:rPr>
        <w:t>6、使用长度和固定状态不符合要求，连接方法不正确；钢丝绳末端固定失当；</w:t>
      </w:r>
    </w:p>
    <w:p w14:paraId="6A1A4E59">
      <w:pPr>
        <w:bidi w:val="0"/>
        <w:rPr>
          <w:rFonts w:hint="default"/>
          <w:color w:val="auto"/>
          <w:lang w:val="en-US" w:eastAsia="zh-CN"/>
        </w:rPr>
      </w:pPr>
      <w:r>
        <w:rPr>
          <w:rFonts w:hint="default"/>
          <w:color w:val="auto"/>
          <w:lang w:val="en-US" w:eastAsia="zh-CN"/>
        </w:rPr>
        <w:t>7、吊钩等取物装置处于最低位置时，钢丝绳在卷筒上的缠绕圈数过少；钢丝绳润滑状况不好；滑轮与护罩缺陷或转动不灵；滑轮直径与钢丝绳直径不匹配；</w:t>
      </w:r>
    </w:p>
    <w:p w14:paraId="1F97A40A">
      <w:pPr>
        <w:bidi w:val="0"/>
        <w:rPr>
          <w:rFonts w:hint="default"/>
          <w:color w:val="auto"/>
          <w:lang w:val="en-US" w:eastAsia="zh-CN"/>
        </w:rPr>
      </w:pPr>
      <w:r>
        <w:rPr>
          <w:rFonts w:hint="default"/>
          <w:color w:val="auto"/>
          <w:lang w:val="en-US" w:eastAsia="zh-CN"/>
        </w:rPr>
        <w:t>8、制动器工作不可靠，磨损件超标使用，制动力矩达不到要求；制动闸瓦与制动轮各处间隙不等；制动器各活动销轴转动不灵，存在退位、卡位、锈死等现象；</w:t>
      </w:r>
    </w:p>
    <w:p w14:paraId="6421ED14">
      <w:pPr>
        <w:bidi w:val="0"/>
        <w:rPr>
          <w:rFonts w:hint="default"/>
          <w:color w:val="auto"/>
          <w:lang w:val="en-US" w:eastAsia="zh-CN"/>
        </w:rPr>
      </w:pPr>
      <w:r>
        <w:rPr>
          <w:rFonts w:hint="default"/>
          <w:color w:val="auto"/>
          <w:lang w:val="en-US" w:eastAsia="zh-CN"/>
        </w:rPr>
        <w:t>9、各类行程限位、限量开关与联锁保护装置存在缺陷；紧停开关、缓冲器、终端止档器等停车保护装置及超负荷限制器、防冲撞装置等使用无效；</w:t>
      </w:r>
    </w:p>
    <w:p w14:paraId="192B1BE9">
      <w:pPr>
        <w:bidi w:val="0"/>
        <w:rPr>
          <w:rFonts w:hint="default"/>
          <w:color w:val="auto"/>
          <w:lang w:val="en-US" w:eastAsia="zh-CN"/>
        </w:rPr>
      </w:pPr>
      <w:r>
        <w:rPr>
          <w:rFonts w:hint="default"/>
          <w:color w:val="auto"/>
          <w:lang w:val="en-US" w:eastAsia="zh-CN"/>
        </w:rPr>
        <w:t>10、各类防护罩、盖、栏、护板等不符合要求；</w:t>
      </w:r>
    </w:p>
    <w:p w14:paraId="137E5A64">
      <w:pPr>
        <w:bidi w:val="0"/>
        <w:rPr>
          <w:rFonts w:hint="default"/>
          <w:color w:val="auto"/>
          <w:lang w:val="en-US" w:eastAsia="zh-CN"/>
        </w:rPr>
      </w:pPr>
      <w:r>
        <w:rPr>
          <w:rFonts w:hint="default"/>
          <w:color w:val="auto"/>
          <w:lang w:val="en-US" w:eastAsia="zh-CN"/>
        </w:rPr>
        <w:t>11、电气故障，如短路、过压、过流、失压及闭锁等保护装置失效；电气设备与线路的安装不符合规范要求，存在临时线或老化的线路与设备；</w:t>
      </w:r>
    </w:p>
    <w:p w14:paraId="7FF07006">
      <w:pPr>
        <w:bidi w:val="0"/>
        <w:rPr>
          <w:rFonts w:hint="default"/>
          <w:color w:val="auto"/>
          <w:lang w:val="en-US" w:eastAsia="zh-CN"/>
        </w:rPr>
      </w:pPr>
      <w:r>
        <w:rPr>
          <w:rFonts w:hint="default"/>
          <w:color w:val="auto"/>
          <w:lang w:val="en-US" w:eastAsia="zh-CN"/>
        </w:rPr>
        <w:t>12、各类吊索管理无序；</w:t>
      </w:r>
    </w:p>
    <w:p w14:paraId="7F7A9006">
      <w:pPr>
        <w:bidi w:val="0"/>
        <w:rPr>
          <w:rFonts w:hint="default"/>
          <w:color w:val="auto"/>
          <w:lang w:val="en-US" w:eastAsia="zh-CN"/>
        </w:rPr>
      </w:pPr>
      <w:r>
        <w:rPr>
          <w:rFonts w:hint="default"/>
          <w:color w:val="auto"/>
          <w:lang w:val="en-US" w:eastAsia="zh-CN"/>
        </w:rPr>
        <w:t>13、司机、操作人员违反操作规程或操作失误；</w:t>
      </w:r>
    </w:p>
    <w:p w14:paraId="76F66D17">
      <w:pPr>
        <w:bidi w:val="0"/>
        <w:rPr>
          <w:rFonts w:hint="default"/>
          <w:color w:val="auto"/>
          <w:lang w:val="en-US" w:eastAsia="zh-CN"/>
        </w:rPr>
      </w:pPr>
      <w:r>
        <w:rPr>
          <w:rFonts w:hint="default"/>
          <w:color w:val="auto"/>
          <w:lang w:val="en-US" w:eastAsia="zh-CN"/>
        </w:rPr>
        <w:t>14、起重机械行走路线无标示或道路不符合要求；</w:t>
      </w:r>
    </w:p>
    <w:p w14:paraId="25BB5206">
      <w:pPr>
        <w:bidi w:val="0"/>
        <w:rPr>
          <w:rFonts w:hint="default"/>
          <w:color w:val="auto"/>
          <w:lang w:val="en-US" w:eastAsia="zh-CN"/>
        </w:rPr>
      </w:pPr>
      <w:r>
        <w:rPr>
          <w:rFonts w:hint="default"/>
          <w:color w:val="auto"/>
          <w:lang w:val="en-US" w:eastAsia="zh-CN"/>
        </w:rPr>
        <w:t>15、安全管理制度不健全，不落实。</w:t>
      </w:r>
    </w:p>
    <w:p w14:paraId="20BFCE5A">
      <w:pPr>
        <w:bidi w:val="0"/>
        <w:rPr>
          <w:rFonts w:hint="default"/>
          <w:color w:val="auto"/>
          <w:lang w:val="en-US" w:eastAsia="zh-CN"/>
        </w:rPr>
      </w:pPr>
      <w:r>
        <w:rPr>
          <w:rFonts w:hint="default"/>
          <w:color w:val="auto"/>
          <w:lang w:val="en-US" w:eastAsia="zh-CN"/>
        </w:rPr>
        <w:t>可能存在的部位：</w:t>
      </w:r>
      <w:r>
        <w:rPr>
          <w:rFonts w:hint="eastAsia"/>
          <w:color w:val="auto"/>
          <w:lang w:val="en-US" w:eastAsia="zh-CN"/>
        </w:rPr>
        <w:t>使用电动单梁吊和电葫芦的区域。</w:t>
      </w:r>
    </w:p>
    <w:p w14:paraId="0161F70D">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w:t>
      </w:r>
      <w:r>
        <w:rPr>
          <w:rFonts w:hint="eastAsia"/>
          <w:color w:val="auto"/>
          <w:lang w:val="en-US" w:eastAsia="zh-CN"/>
        </w:rPr>
        <w:t>8</w:t>
      </w:r>
      <w:r>
        <w:rPr>
          <w:rFonts w:hint="default"/>
          <w:color w:val="auto"/>
          <w:lang w:val="en-US" w:eastAsia="zh-CN"/>
        </w:rPr>
        <w:t xml:space="preserve"> 火灾、爆炸</w:t>
      </w:r>
    </w:p>
    <w:p w14:paraId="1CF5DB16">
      <w:pPr>
        <w:bidi w:val="0"/>
        <w:rPr>
          <w:rFonts w:hint="default"/>
          <w:color w:val="auto"/>
          <w:lang w:val="en-US" w:eastAsia="zh-CN"/>
        </w:rPr>
      </w:pPr>
      <w:r>
        <w:rPr>
          <w:rFonts w:hint="eastAsia"/>
          <w:color w:val="auto"/>
          <w:lang w:val="en-US" w:eastAsia="zh-CN"/>
        </w:rPr>
        <w:t>1</w:t>
      </w:r>
      <w:r>
        <w:rPr>
          <w:rFonts w:hint="default"/>
          <w:color w:val="auto"/>
          <w:lang w:val="en-US" w:eastAsia="zh-CN"/>
        </w:rPr>
        <w:t>、电缆火灾</w:t>
      </w:r>
    </w:p>
    <w:p w14:paraId="36F036C5">
      <w:pPr>
        <w:bidi w:val="0"/>
        <w:rPr>
          <w:rFonts w:hint="default"/>
          <w:color w:val="auto"/>
          <w:lang w:val="en-US" w:eastAsia="zh-CN"/>
        </w:rPr>
      </w:pPr>
      <w:r>
        <w:rPr>
          <w:rFonts w:hint="default"/>
          <w:color w:val="auto"/>
          <w:lang w:val="en-US" w:eastAsia="zh-CN"/>
        </w:rPr>
        <w:t>电缆的绝缘材料、填充物和保护层如浸渍纸、漆布、橡胶、塑料等均属可燃物质，具有火灾危险性。</w:t>
      </w:r>
    </w:p>
    <w:p w14:paraId="6860DF28">
      <w:pPr>
        <w:bidi w:val="0"/>
        <w:rPr>
          <w:rFonts w:hint="default"/>
          <w:color w:val="auto"/>
          <w:lang w:val="en-US" w:eastAsia="zh-CN"/>
        </w:rPr>
      </w:pPr>
      <w:r>
        <w:rPr>
          <w:rFonts w:hint="default"/>
          <w:color w:val="auto"/>
          <w:lang w:val="en-US" w:eastAsia="zh-CN"/>
        </w:rPr>
        <w:t>引起电缆火灾的原因有外部起火引起的着火和有电缆本身缺陷引起的着火。</w:t>
      </w:r>
    </w:p>
    <w:p w14:paraId="261A9183">
      <w:pPr>
        <w:bidi w:val="0"/>
        <w:rPr>
          <w:rFonts w:hint="default"/>
          <w:color w:val="auto"/>
          <w:lang w:val="en-US" w:eastAsia="zh-CN"/>
        </w:rPr>
      </w:pPr>
      <w:r>
        <w:rPr>
          <w:rFonts w:hint="default"/>
          <w:color w:val="auto"/>
          <w:lang w:val="en-US" w:eastAsia="zh-CN"/>
        </w:rPr>
        <w:t>（1）外部起火引起电缆着火的原因主要有：</w:t>
      </w:r>
    </w:p>
    <w:p w14:paraId="793C76F9">
      <w:pPr>
        <w:bidi w:val="0"/>
        <w:rPr>
          <w:rFonts w:hint="default"/>
          <w:color w:val="auto"/>
          <w:lang w:val="en-US" w:eastAsia="zh-CN"/>
        </w:rPr>
      </w:pPr>
      <w:r>
        <w:rPr>
          <w:rFonts w:hint="default"/>
          <w:color w:val="auto"/>
          <w:lang w:val="en-US" w:eastAsia="zh-CN"/>
        </w:rPr>
        <w:t>1）变压器、互感器等充油电器设备故障，漏油滴在在电缆上，遇明火引燃电缆。</w:t>
      </w:r>
    </w:p>
    <w:p w14:paraId="3298A81E">
      <w:pPr>
        <w:bidi w:val="0"/>
        <w:rPr>
          <w:rFonts w:hint="default"/>
          <w:color w:val="auto"/>
          <w:lang w:val="en-US" w:eastAsia="zh-CN"/>
        </w:rPr>
      </w:pPr>
      <w:r>
        <w:rPr>
          <w:rFonts w:hint="default"/>
          <w:color w:val="auto"/>
          <w:lang w:val="en-US" w:eastAsia="zh-CN"/>
        </w:rPr>
        <w:t>2）开关、其他电气设备短路或接触电阻过大，产生高温起火将附近电缆引燃。</w:t>
      </w:r>
    </w:p>
    <w:p w14:paraId="50BB9813">
      <w:pPr>
        <w:bidi w:val="0"/>
        <w:rPr>
          <w:rFonts w:hint="default"/>
          <w:color w:val="auto"/>
          <w:lang w:val="en-US" w:eastAsia="zh-CN"/>
        </w:rPr>
      </w:pPr>
      <w:r>
        <w:rPr>
          <w:rFonts w:hint="default"/>
          <w:color w:val="auto"/>
          <w:lang w:val="en-US" w:eastAsia="zh-CN"/>
        </w:rPr>
        <w:t>3）安装施工和检修时高温焊渣掉到电缆上引起着火。</w:t>
      </w:r>
    </w:p>
    <w:p w14:paraId="067CF45E">
      <w:pPr>
        <w:bidi w:val="0"/>
        <w:rPr>
          <w:rFonts w:hint="default"/>
          <w:color w:val="auto"/>
          <w:lang w:val="en-US" w:eastAsia="zh-CN"/>
        </w:rPr>
      </w:pPr>
      <w:r>
        <w:rPr>
          <w:rFonts w:hint="default"/>
          <w:color w:val="auto"/>
          <w:lang w:val="en-US" w:eastAsia="zh-CN"/>
        </w:rPr>
        <w:t>4）其他可燃、易燃物质着火后将附近电缆引燃。</w:t>
      </w:r>
    </w:p>
    <w:p w14:paraId="361DE62E">
      <w:pPr>
        <w:bidi w:val="0"/>
        <w:rPr>
          <w:rFonts w:hint="default"/>
          <w:color w:val="auto"/>
          <w:lang w:val="en-US" w:eastAsia="zh-CN"/>
        </w:rPr>
      </w:pPr>
      <w:r>
        <w:rPr>
          <w:rFonts w:hint="default"/>
          <w:color w:val="auto"/>
          <w:lang w:val="en-US" w:eastAsia="zh-CN"/>
        </w:rPr>
        <w:t>（2）电缆本身缺陷引起电缆着火的原因：</w:t>
      </w:r>
    </w:p>
    <w:p w14:paraId="565596A2">
      <w:pPr>
        <w:bidi w:val="0"/>
        <w:rPr>
          <w:rFonts w:hint="default"/>
          <w:color w:val="auto"/>
          <w:lang w:val="en-US" w:eastAsia="zh-CN"/>
        </w:rPr>
      </w:pPr>
      <w:r>
        <w:rPr>
          <w:rFonts w:hint="default"/>
          <w:color w:val="auto"/>
          <w:lang w:val="en-US" w:eastAsia="zh-CN"/>
        </w:rPr>
        <w:t>1）电缆本身在制造时有缺陷，在敷设时保护铅皮损坏或在运行中电缆绝缘受到机械损伤，引起电缆相间或相与铅皮之间的绝缘击穿而发生电弧。电弧高温能引燃电缆内的绝缘材料和电缆外层的麻布等。</w:t>
      </w:r>
    </w:p>
    <w:p w14:paraId="61A517B1">
      <w:pPr>
        <w:bidi w:val="0"/>
        <w:rPr>
          <w:rFonts w:hint="default"/>
          <w:color w:val="auto"/>
          <w:lang w:val="en-US" w:eastAsia="zh-CN"/>
        </w:rPr>
      </w:pPr>
      <w:r>
        <w:rPr>
          <w:rFonts w:hint="default"/>
          <w:color w:val="auto"/>
          <w:lang w:val="en-US" w:eastAsia="zh-CN"/>
        </w:rPr>
        <w:t>2）电缆长期受水、酸、碱和其他腐蚀性气体或液体腐蚀，使保护层破坏，绝缘强度降低，引起电缆短路起火。</w:t>
      </w:r>
    </w:p>
    <w:p w14:paraId="5B081DD2">
      <w:pPr>
        <w:bidi w:val="0"/>
        <w:rPr>
          <w:rFonts w:hint="default"/>
          <w:color w:val="auto"/>
          <w:lang w:val="en-US" w:eastAsia="zh-CN"/>
        </w:rPr>
      </w:pPr>
      <w:r>
        <w:rPr>
          <w:rFonts w:hint="default"/>
          <w:color w:val="auto"/>
          <w:lang w:val="en-US" w:eastAsia="zh-CN"/>
        </w:rPr>
        <w:t>3）在长时间运行中，由于过负荷、过热等原因使电缆绝缘加速老化、干枯，绝缘强度降低，引起电缆相间或对地击穿短路起火。</w:t>
      </w:r>
    </w:p>
    <w:p w14:paraId="1E1AC8BA">
      <w:pPr>
        <w:bidi w:val="0"/>
        <w:rPr>
          <w:rFonts w:hint="default"/>
          <w:color w:val="auto"/>
          <w:lang w:val="en-US" w:eastAsia="zh-CN"/>
        </w:rPr>
      </w:pPr>
      <w:r>
        <w:rPr>
          <w:rFonts w:hint="default"/>
          <w:color w:val="auto"/>
          <w:lang w:val="en-US" w:eastAsia="zh-CN"/>
        </w:rPr>
        <w:t>4）电缆外护套破损或密封不良，电缆发生水渗浸受潮，导致绝缘击穿短路。</w:t>
      </w:r>
    </w:p>
    <w:p w14:paraId="40A5E781">
      <w:pPr>
        <w:bidi w:val="0"/>
        <w:rPr>
          <w:rFonts w:hint="default"/>
          <w:color w:val="auto"/>
          <w:lang w:val="en-US" w:eastAsia="zh-CN"/>
        </w:rPr>
      </w:pPr>
      <w:r>
        <w:rPr>
          <w:rFonts w:hint="default"/>
          <w:color w:val="auto"/>
          <w:lang w:val="en-US" w:eastAsia="zh-CN"/>
        </w:rPr>
        <w:t>5）过电压使电缆绝缘击穿发生短路起火。</w:t>
      </w:r>
    </w:p>
    <w:p w14:paraId="7FD57592">
      <w:pPr>
        <w:bidi w:val="0"/>
        <w:rPr>
          <w:rFonts w:hint="default"/>
          <w:color w:val="auto"/>
          <w:lang w:val="en-US" w:eastAsia="zh-CN"/>
        </w:rPr>
      </w:pPr>
      <w:r>
        <w:rPr>
          <w:rFonts w:hint="default"/>
          <w:color w:val="auto"/>
          <w:lang w:val="en-US" w:eastAsia="zh-CN"/>
        </w:rPr>
        <w:t>6）安装时电缆的曲率半径过小，致使绝缘折断、受损发生短路。</w:t>
      </w:r>
    </w:p>
    <w:p w14:paraId="325F01BB">
      <w:pPr>
        <w:bidi w:val="0"/>
        <w:rPr>
          <w:rFonts w:hint="default"/>
          <w:color w:val="auto"/>
          <w:lang w:val="en-US" w:eastAsia="zh-CN"/>
        </w:rPr>
      </w:pPr>
      <w:r>
        <w:rPr>
          <w:rFonts w:hint="default"/>
          <w:color w:val="auto"/>
          <w:lang w:val="en-US" w:eastAsia="zh-CN"/>
        </w:rPr>
        <w:t>7）电缆终端接头和中间接头接触不良发生爆炸短路事故，引起电缆着火。</w:t>
      </w:r>
    </w:p>
    <w:p w14:paraId="0F409BB4">
      <w:pPr>
        <w:bidi w:val="0"/>
        <w:rPr>
          <w:rFonts w:hint="default"/>
          <w:color w:val="auto"/>
          <w:lang w:val="en-US" w:eastAsia="zh-CN"/>
        </w:rPr>
      </w:pPr>
      <w:r>
        <w:rPr>
          <w:rFonts w:hint="eastAsia"/>
          <w:color w:val="auto"/>
          <w:lang w:val="en-US" w:eastAsia="zh-CN"/>
        </w:rPr>
        <w:t>2</w:t>
      </w:r>
      <w:r>
        <w:rPr>
          <w:rFonts w:hint="default"/>
          <w:color w:val="auto"/>
          <w:lang w:val="en-US" w:eastAsia="zh-CN"/>
        </w:rPr>
        <w:t>、其它火灾</w:t>
      </w:r>
    </w:p>
    <w:p w14:paraId="1DC90DEF">
      <w:pPr>
        <w:bidi w:val="0"/>
        <w:rPr>
          <w:rFonts w:hint="default"/>
          <w:color w:val="auto"/>
          <w:lang w:val="en-US" w:eastAsia="zh-CN"/>
        </w:rPr>
      </w:pPr>
      <w:r>
        <w:rPr>
          <w:rFonts w:hint="default"/>
          <w:color w:val="auto"/>
          <w:lang w:val="en-US" w:eastAsia="zh-CN"/>
        </w:rPr>
        <w:t>运输车辆、装载机使用的柴油属于可燃液体，可燃液体泄露遇火源会导致火灾发生。</w:t>
      </w:r>
    </w:p>
    <w:p w14:paraId="78655D04">
      <w:pPr>
        <w:bidi w:val="0"/>
        <w:rPr>
          <w:rFonts w:hint="default"/>
          <w:color w:val="auto"/>
          <w:lang w:val="en-US" w:eastAsia="zh-CN"/>
        </w:rPr>
      </w:pPr>
      <w:r>
        <w:rPr>
          <w:rFonts w:hint="default"/>
          <w:color w:val="auto"/>
          <w:lang w:val="en-US" w:eastAsia="zh-CN"/>
        </w:rPr>
        <w:t>机械设备的传动系统要使用润滑油。润滑油的火灾危险性为丙类。</w:t>
      </w:r>
    </w:p>
    <w:p w14:paraId="64CD323B">
      <w:pPr>
        <w:bidi w:val="0"/>
        <w:rPr>
          <w:rFonts w:hint="default"/>
          <w:color w:val="auto"/>
          <w:lang w:val="en-US" w:eastAsia="zh-CN"/>
        </w:rPr>
      </w:pPr>
      <w:r>
        <w:rPr>
          <w:rFonts w:hint="default"/>
          <w:color w:val="auto"/>
          <w:lang w:val="en-US" w:eastAsia="zh-CN"/>
        </w:rPr>
        <w:t>电、气焊（割）作业过程中高温焊渣或熔融的金属火星飞溅到可燃物质上，会引起火灾。乙炔属于甲类易燃气体，极易发生燃烧爆炸，与空气混合能形成爆炸性混合物，遇明火、高热能引起燃烧爆炸，能与铜、银、汞等的化合物生成爆炸性物质。设备使用的润滑油具有可燃性，如遇明火或强氧化剂，也有发生火灾、爆炸的可能。</w:t>
      </w:r>
    </w:p>
    <w:p w14:paraId="13463D47">
      <w:pPr>
        <w:bidi w:val="0"/>
        <w:rPr>
          <w:rFonts w:hint="default"/>
          <w:color w:val="auto"/>
          <w:lang w:val="en-US" w:eastAsia="zh-CN"/>
        </w:rPr>
      </w:pPr>
      <w:r>
        <w:rPr>
          <w:rFonts w:hint="default"/>
          <w:color w:val="auto"/>
          <w:lang w:val="en-US" w:eastAsia="zh-CN"/>
        </w:rPr>
        <w:t>可能存在的部位：配电室等。</w:t>
      </w:r>
    </w:p>
    <w:p w14:paraId="60F05FA6">
      <w:pPr>
        <w:pStyle w:val="6"/>
        <w:bidi w:val="0"/>
        <w:rPr>
          <w:rFonts w:hint="default"/>
          <w:color w:val="auto"/>
          <w:lang w:val="en-US" w:eastAsia="zh-CN"/>
        </w:rPr>
      </w:pPr>
      <w:r>
        <w:rPr>
          <w:rFonts w:hint="eastAsia"/>
          <w:color w:val="auto"/>
          <w:lang w:val="en-US" w:eastAsia="zh-CN"/>
        </w:rPr>
        <w:t xml:space="preserve">3.4.9 </w:t>
      </w:r>
      <w:r>
        <w:rPr>
          <w:rFonts w:hint="default"/>
          <w:color w:val="auto"/>
          <w:lang w:val="en-US" w:eastAsia="zh-CN"/>
        </w:rPr>
        <w:t>容器爆炸</w:t>
      </w:r>
    </w:p>
    <w:p w14:paraId="31D37D83">
      <w:pPr>
        <w:bidi w:val="0"/>
        <w:rPr>
          <w:rFonts w:hint="default"/>
          <w:color w:val="auto"/>
          <w:lang w:val="en-US" w:eastAsia="zh-CN"/>
        </w:rPr>
      </w:pPr>
      <w:r>
        <w:rPr>
          <w:rFonts w:hint="default"/>
          <w:color w:val="auto"/>
          <w:lang w:val="en-US" w:eastAsia="zh-CN"/>
        </w:rPr>
        <w:t>在检维修过程中进行氧气、乙炔切割或焊接等动火作业时，若使用的氧气瓶、乙炔气瓶发生泄漏；超装、超压、超温使用；未进行通风置换；未清理作业点附近区域的润滑油等易燃物，作业场所氧气、乙炔瓶的防火距离不符合规范要求，未采取有效的安全措施；或者在作业时违反安全操作规程，存在引发容器爆炸的可能。</w:t>
      </w:r>
    </w:p>
    <w:p w14:paraId="3119D036">
      <w:pPr>
        <w:bidi w:val="0"/>
        <w:rPr>
          <w:rFonts w:hint="default"/>
          <w:color w:val="auto"/>
          <w:lang w:val="en-US" w:eastAsia="zh-CN"/>
        </w:rPr>
      </w:pPr>
      <w:r>
        <w:rPr>
          <w:rFonts w:hint="default"/>
          <w:color w:val="auto"/>
          <w:lang w:val="en-US" w:eastAsia="zh-CN"/>
        </w:rPr>
        <w:t>可能存在的部位：</w:t>
      </w:r>
      <w:r>
        <w:rPr>
          <w:rFonts w:hint="eastAsia"/>
          <w:color w:val="auto"/>
          <w:lang w:val="en-US" w:eastAsia="zh-CN"/>
        </w:rPr>
        <w:t>气瓶储存和使用区域。</w:t>
      </w:r>
    </w:p>
    <w:p w14:paraId="4D404751">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w:t>
      </w:r>
      <w:r>
        <w:rPr>
          <w:rFonts w:hint="eastAsia"/>
          <w:color w:val="auto"/>
          <w:lang w:val="en-US" w:eastAsia="zh-CN"/>
        </w:rPr>
        <w:t>9</w:t>
      </w:r>
      <w:r>
        <w:rPr>
          <w:rFonts w:hint="default"/>
          <w:color w:val="auto"/>
          <w:lang w:val="en-US" w:eastAsia="zh-CN"/>
        </w:rPr>
        <w:t xml:space="preserve"> 中毒和窒息</w:t>
      </w:r>
    </w:p>
    <w:p w14:paraId="3B650BCA">
      <w:pPr>
        <w:bidi w:val="0"/>
        <w:rPr>
          <w:rFonts w:hint="default"/>
          <w:color w:val="auto"/>
          <w:lang w:val="en-US" w:eastAsia="zh-CN"/>
        </w:rPr>
      </w:pPr>
      <w:r>
        <w:rPr>
          <w:rFonts w:hint="default"/>
          <w:color w:val="auto"/>
          <w:lang w:val="en-US" w:eastAsia="zh-CN"/>
        </w:rPr>
        <w:t>作业人员进入</w:t>
      </w:r>
      <w:r>
        <w:rPr>
          <w:rFonts w:hint="eastAsia"/>
          <w:color w:val="auto"/>
          <w:lang w:val="en-US" w:eastAsia="zh-CN"/>
        </w:rPr>
        <w:t>水池</w:t>
      </w:r>
      <w:r>
        <w:rPr>
          <w:rFonts w:hint="default"/>
          <w:color w:val="auto"/>
          <w:lang w:val="en-US" w:eastAsia="zh-CN"/>
        </w:rPr>
        <w:t>等有限空间进行检查、维修作业时，如未严格实行作业审批制度，擅自进入有限空间作业；未严格按照</w:t>
      </w:r>
      <w:r>
        <w:rPr>
          <w:rFonts w:hint="eastAsia"/>
          <w:color w:val="auto"/>
          <w:lang w:val="en-US" w:eastAsia="zh-CN"/>
        </w:rPr>
        <w:t>“</w:t>
      </w:r>
      <w:r>
        <w:rPr>
          <w:rFonts w:hint="default"/>
          <w:color w:val="auto"/>
          <w:lang w:val="en-US" w:eastAsia="zh-CN"/>
        </w:rPr>
        <w:t>先通风、再检测、后作业</w:t>
      </w:r>
      <w:r>
        <w:rPr>
          <w:rFonts w:hint="eastAsia"/>
          <w:color w:val="auto"/>
          <w:lang w:val="en-US" w:eastAsia="zh-CN"/>
        </w:rPr>
        <w:t>”</w:t>
      </w:r>
      <w:r>
        <w:rPr>
          <w:rFonts w:hint="default"/>
          <w:color w:val="auto"/>
          <w:lang w:val="en-US" w:eastAsia="zh-CN"/>
        </w:rPr>
        <w:t>的原则，或通风不良；未为作业人员配备个人防中毒窒息等防护装备，设置安全警示标识，无防护监护措施作业；未对作业人员进行安全培训，或教育培训不合格上岗作业；未制定应急措施，现场配备应急装备，盲目施救等可能会导致中毒和窒息事故的发生。</w:t>
      </w:r>
    </w:p>
    <w:p w14:paraId="334D72DE">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w:t>
      </w:r>
      <w:r>
        <w:rPr>
          <w:rFonts w:hint="eastAsia"/>
          <w:color w:val="auto"/>
          <w:lang w:val="en-US" w:eastAsia="zh-CN"/>
        </w:rPr>
        <w:t>10</w:t>
      </w:r>
      <w:r>
        <w:rPr>
          <w:rFonts w:hint="default"/>
          <w:color w:val="auto"/>
          <w:lang w:val="en-US" w:eastAsia="zh-CN"/>
        </w:rPr>
        <w:t xml:space="preserve"> 淹溺</w:t>
      </w:r>
    </w:p>
    <w:p w14:paraId="34C19EED">
      <w:pPr>
        <w:bidi w:val="0"/>
        <w:rPr>
          <w:rFonts w:hint="default"/>
          <w:color w:val="auto"/>
          <w:lang w:val="en-US" w:eastAsia="zh-CN"/>
        </w:rPr>
      </w:pPr>
      <w:r>
        <w:rPr>
          <w:rFonts w:hint="default"/>
          <w:color w:val="auto"/>
          <w:lang w:val="en-US" w:eastAsia="zh-CN"/>
        </w:rPr>
        <w:t>淹溺主要是由于人跌入</w:t>
      </w:r>
      <w:r>
        <w:rPr>
          <w:rFonts w:hint="eastAsia"/>
          <w:color w:val="auto"/>
          <w:lang w:val="en-US" w:eastAsia="zh-CN"/>
        </w:rPr>
        <w:t>新水池、回水池、事故池、浓缩机等水池</w:t>
      </w:r>
      <w:r>
        <w:rPr>
          <w:rFonts w:hint="default"/>
          <w:color w:val="auto"/>
          <w:lang w:val="en-US" w:eastAsia="zh-CN"/>
        </w:rPr>
        <w:t>中，水进入气道后，由于窒息缺氧昏迷，救治不及时会死亡。该</w:t>
      </w:r>
      <w:r>
        <w:rPr>
          <w:rFonts w:hint="eastAsia"/>
          <w:color w:val="auto"/>
          <w:lang w:val="en-US" w:eastAsia="zh-CN"/>
        </w:rPr>
        <w:t>项目</w:t>
      </w:r>
      <w:r>
        <w:rPr>
          <w:rFonts w:hint="default"/>
          <w:color w:val="auto"/>
          <w:lang w:val="en-US" w:eastAsia="zh-CN"/>
        </w:rPr>
        <w:t>设有</w:t>
      </w:r>
      <w:r>
        <w:rPr>
          <w:rFonts w:hint="eastAsia"/>
          <w:color w:val="auto"/>
          <w:lang w:val="en-US" w:eastAsia="zh-CN"/>
        </w:rPr>
        <w:t>新水池、回水池、事故池、浓缩机等</w:t>
      </w:r>
      <w:r>
        <w:rPr>
          <w:rFonts w:hint="default"/>
          <w:color w:val="auto"/>
          <w:lang w:val="en-US" w:eastAsia="zh-CN"/>
        </w:rPr>
        <w:t>，由于常有蓄水，蓄水能力较大，其四周缺少安全警示标志、护栏或照明不足，人员可能不慎坠入，可能造成淹溺事故。</w:t>
      </w:r>
    </w:p>
    <w:p w14:paraId="5C7D5A42">
      <w:pPr>
        <w:bidi w:val="0"/>
        <w:rPr>
          <w:rFonts w:hint="default"/>
          <w:color w:val="auto"/>
          <w:lang w:val="en-US" w:eastAsia="zh-CN"/>
        </w:rPr>
      </w:pPr>
      <w:r>
        <w:rPr>
          <w:rFonts w:hint="default"/>
          <w:color w:val="auto"/>
          <w:lang w:val="en-US" w:eastAsia="zh-CN"/>
        </w:rPr>
        <w:t>可能存在的部位：</w:t>
      </w:r>
      <w:r>
        <w:rPr>
          <w:rFonts w:hint="eastAsia"/>
          <w:color w:val="auto"/>
          <w:lang w:val="en-US" w:eastAsia="zh-CN"/>
        </w:rPr>
        <w:t>新水池、回水池、事故池、浓缩机等</w:t>
      </w:r>
      <w:r>
        <w:rPr>
          <w:rFonts w:hint="default"/>
          <w:color w:val="auto"/>
          <w:lang w:val="en-US" w:eastAsia="zh-CN"/>
        </w:rPr>
        <w:t>。</w:t>
      </w:r>
    </w:p>
    <w:p w14:paraId="738888B3">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w:t>
      </w:r>
      <w:r>
        <w:rPr>
          <w:rFonts w:hint="eastAsia"/>
          <w:color w:val="auto"/>
          <w:lang w:val="en-US" w:eastAsia="zh-CN"/>
        </w:rPr>
        <w:t>11</w:t>
      </w:r>
      <w:r>
        <w:rPr>
          <w:rFonts w:hint="default"/>
          <w:color w:val="auto"/>
          <w:lang w:val="en-US" w:eastAsia="zh-CN"/>
        </w:rPr>
        <w:t xml:space="preserve"> 噪声</w:t>
      </w:r>
    </w:p>
    <w:p w14:paraId="4A82F646">
      <w:pPr>
        <w:bidi w:val="0"/>
        <w:rPr>
          <w:rFonts w:hint="default"/>
          <w:color w:val="auto"/>
          <w:lang w:val="en-US" w:eastAsia="zh-CN"/>
        </w:rPr>
      </w:pPr>
      <w:r>
        <w:rPr>
          <w:rFonts w:hint="default"/>
          <w:color w:val="auto"/>
          <w:lang w:val="en-US" w:eastAsia="zh-CN"/>
        </w:rPr>
        <w:t>噪声主要来源于各种</w:t>
      </w:r>
      <w:r>
        <w:rPr>
          <w:rFonts w:hint="eastAsia"/>
          <w:color w:val="auto"/>
          <w:lang w:val="en-US" w:eastAsia="zh-CN"/>
        </w:rPr>
        <w:t>振动筛、水泵</w:t>
      </w:r>
      <w:r>
        <w:rPr>
          <w:rFonts w:hint="default"/>
          <w:color w:val="auto"/>
          <w:lang w:val="en-US" w:eastAsia="zh-CN"/>
        </w:rPr>
        <w:t>、</w:t>
      </w:r>
      <w:r>
        <w:rPr>
          <w:rFonts w:hint="eastAsia"/>
          <w:color w:val="auto"/>
          <w:lang w:val="en-US" w:eastAsia="zh-CN"/>
        </w:rPr>
        <w:t>带式输送机、</w:t>
      </w:r>
      <w:r>
        <w:rPr>
          <w:rFonts w:hint="default"/>
          <w:color w:val="auto"/>
          <w:lang w:val="en-US" w:eastAsia="zh-CN"/>
        </w:rPr>
        <w:t>起重机械及运输车辆等设备在运转过程中振动、摩擦、碰撞产生的机械动力噪声。</w:t>
      </w:r>
    </w:p>
    <w:p w14:paraId="1DDD5F76">
      <w:pPr>
        <w:bidi w:val="0"/>
        <w:rPr>
          <w:rFonts w:hint="default"/>
          <w:color w:val="auto"/>
          <w:lang w:val="en-US" w:eastAsia="zh-CN"/>
        </w:rPr>
      </w:pPr>
      <w:r>
        <w:rPr>
          <w:rFonts w:hint="default"/>
          <w:color w:val="auto"/>
          <w:lang w:val="en-US" w:eastAsia="zh-CN"/>
        </w:rPr>
        <w:t>当噪音超过85分贝时，对人的听觉、神经系统、心血管系统、消化系统、内分泌系统、视觉、感知觉水平、反应时间、情绪等都有很大的影响。它可损伤人的听力，使人患心脏病，同时对人的情绪影响也特别大，如使人烦躁不安、注意力分散等。噪声越大，引起烦恼的可能性越大，进而使作业人员产生侵犯性、多疑性、易怒性和厌倦。</w:t>
      </w:r>
    </w:p>
    <w:p w14:paraId="2E7BCBD9">
      <w:pPr>
        <w:bidi w:val="0"/>
        <w:rPr>
          <w:rFonts w:hint="default"/>
          <w:color w:val="auto"/>
          <w:lang w:val="en-US" w:eastAsia="zh-CN"/>
        </w:rPr>
      </w:pPr>
      <w:r>
        <w:rPr>
          <w:rFonts w:hint="default"/>
          <w:color w:val="auto"/>
          <w:lang w:val="en-US" w:eastAsia="zh-CN"/>
        </w:rPr>
        <w:t>长期接触工业噪声会对操作工人身体造成多方面健康损害及职业病，能引起内耳听觉神经细胞的功能异常、器质性损伤而出现暂时性听阈位移、永久性听阈位移、高频听力损失、语频听力损伤直至噪声性耳聋，引起神经系统、心血管系统、消化系统、内分泌系统出现非特异不良改变，引起工人操作时注意力下降，身体灵敏性和协调性下降、工作效率和质量降低，误操作发生率上升，将导致事故的可能性增加。</w:t>
      </w:r>
    </w:p>
    <w:p w14:paraId="3494DE47">
      <w:pPr>
        <w:bidi w:val="0"/>
        <w:rPr>
          <w:rFonts w:hint="default"/>
          <w:color w:val="auto"/>
          <w:lang w:val="en-US" w:eastAsia="zh-CN"/>
        </w:rPr>
      </w:pPr>
      <w:r>
        <w:rPr>
          <w:rFonts w:hint="default"/>
          <w:color w:val="auto"/>
          <w:lang w:val="en-US" w:eastAsia="zh-CN"/>
        </w:rPr>
        <w:t>产生噪声的主要原因有：</w:t>
      </w:r>
    </w:p>
    <w:p w14:paraId="0153FB90">
      <w:pPr>
        <w:bidi w:val="0"/>
        <w:rPr>
          <w:rFonts w:hint="default"/>
          <w:color w:val="auto"/>
          <w:lang w:val="en-US" w:eastAsia="zh-CN"/>
        </w:rPr>
      </w:pPr>
      <w:r>
        <w:rPr>
          <w:rFonts w:hint="default"/>
          <w:color w:val="auto"/>
          <w:lang w:val="en-US" w:eastAsia="zh-CN"/>
        </w:rPr>
        <w:t>1、设备设计选型不合理；</w:t>
      </w:r>
    </w:p>
    <w:p w14:paraId="2C0BB14E">
      <w:pPr>
        <w:bidi w:val="0"/>
        <w:rPr>
          <w:rFonts w:hint="default"/>
          <w:color w:val="auto"/>
          <w:lang w:val="en-US" w:eastAsia="zh-CN"/>
        </w:rPr>
      </w:pPr>
      <w:r>
        <w:rPr>
          <w:rFonts w:hint="default"/>
          <w:color w:val="auto"/>
          <w:lang w:val="en-US" w:eastAsia="zh-CN"/>
        </w:rPr>
        <w:t>2、设备安装未达到质量标准要求；</w:t>
      </w:r>
    </w:p>
    <w:p w14:paraId="6D05981D">
      <w:pPr>
        <w:bidi w:val="0"/>
        <w:rPr>
          <w:rFonts w:hint="default"/>
          <w:color w:val="auto"/>
          <w:lang w:val="en-US" w:eastAsia="zh-CN"/>
        </w:rPr>
      </w:pPr>
      <w:r>
        <w:rPr>
          <w:rFonts w:hint="default"/>
          <w:color w:val="auto"/>
          <w:lang w:val="en-US" w:eastAsia="zh-CN"/>
        </w:rPr>
        <w:t>3、运行中未及时检查维修，连接松动，设备的精度降低；</w:t>
      </w:r>
    </w:p>
    <w:p w14:paraId="77BF3163">
      <w:pPr>
        <w:bidi w:val="0"/>
        <w:rPr>
          <w:rFonts w:hint="default"/>
          <w:color w:val="auto"/>
          <w:lang w:val="en-US" w:eastAsia="zh-CN"/>
        </w:rPr>
      </w:pPr>
      <w:r>
        <w:rPr>
          <w:rFonts w:hint="default"/>
          <w:color w:val="auto"/>
          <w:lang w:val="en-US" w:eastAsia="zh-CN"/>
        </w:rPr>
        <w:t>4、防噪声设备设施未能正常使用或失效；</w:t>
      </w:r>
    </w:p>
    <w:p w14:paraId="21D36A39">
      <w:pPr>
        <w:bidi w:val="0"/>
        <w:rPr>
          <w:rFonts w:hint="default"/>
          <w:color w:val="auto"/>
          <w:lang w:val="en-US" w:eastAsia="zh-CN"/>
        </w:rPr>
      </w:pPr>
      <w:r>
        <w:rPr>
          <w:rFonts w:hint="default"/>
          <w:color w:val="auto"/>
          <w:lang w:val="en-US" w:eastAsia="zh-CN"/>
        </w:rPr>
        <w:t>5、作业人员违章操作等。</w:t>
      </w:r>
    </w:p>
    <w:p w14:paraId="38EF7A20">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w:t>
      </w:r>
      <w:r>
        <w:rPr>
          <w:rFonts w:hint="eastAsia"/>
          <w:color w:val="auto"/>
          <w:lang w:val="en-US" w:eastAsia="zh-CN"/>
        </w:rPr>
        <w:t>12</w:t>
      </w:r>
      <w:r>
        <w:rPr>
          <w:rFonts w:hint="default"/>
          <w:color w:val="auto"/>
          <w:lang w:val="en-US" w:eastAsia="zh-CN"/>
        </w:rPr>
        <w:t xml:space="preserve"> 振动</w:t>
      </w:r>
    </w:p>
    <w:p w14:paraId="701FBBD4">
      <w:pPr>
        <w:bidi w:val="0"/>
        <w:rPr>
          <w:rFonts w:hint="default"/>
          <w:color w:val="auto"/>
          <w:lang w:val="en-US" w:eastAsia="zh-CN"/>
        </w:rPr>
      </w:pPr>
      <w:r>
        <w:rPr>
          <w:rFonts w:hint="default"/>
          <w:color w:val="auto"/>
          <w:lang w:val="en-US" w:eastAsia="zh-CN"/>
        </w:rPr>
        <w:t>项目使用的振动筛、水泵等能造成设备或地基的振动，对人体造成危害。振动产生的原因有：</w:t>
      </w:r>
    </w:p>
    <w:p w14:paraId="2534E2E1">
      <w:pPr>
        <w:bidi w:val="0"/>
        <w:rPr>
          <w:rFonts w:hint="default"/>
          <w:color w:val="auto"/>
          <w:lang w:val="en-US" w:eastAsia="zh-CN"/>
        </w:rPr>
      </w:pPr>
      <w:r>
        <w:rPr>
          <w:rFonts w:hint="default"/>
          <w:color w:val="auto"/>
          <w:lang w:val="en-US" w:eastAsia="zh-CN"/>
        </w:rPr>
        <w:t>1、设备本身设计的原因；</w:t>
      </w:r>
    </w:p>
    <w:p w14:paraId="63281934">
      <w:pPr>
        <w:bidi w:val="0"/>
        <w:rPr>
          <w:rFonts w:hint="default"/>
          <w:color w:val="auto"/>
          <w:lang w:val="en-US" w:eastAsia="zh-CN"/>
        </w:rPr>
      </w:pPr>
      <w:r>
        <w:rPr>
          <w:rFonts w:hint="default"/>
          <w:color w:val="auto"/>
          <w:lang w:val="en-US" w:eastAsia="zh-CN"/>
        </w:rPr>
        <w:t>2、设备安装未达到质量标准要求；</w:t>
      </w:r>
    </w:p>
    <w:p w14:paraId="40BC6BC7">
      <w:pPr>
        <w:bidi w:val="0"/>
        <w:rPr>
          <w:rFonts w:hint="default"/>
          <w:color w:val="auto"/>
          <w:lang w:val="en-US" w:eastAsia="zh-CN"/>
        </w:rPr>
      </w:pPr>
      <w:r>
        <w:rPr>
          <w:rFonts w:hint="default"/>
          <w:color w:val="auto"/>
          <w:lang w:val="en-US" w:eastAsia="zh-CN"/>
        </w:rPr>
        <w:t>3、运行中未及时检查维修、连接松动、设备的精度降低；</w:t>
      </w:r>
    </w:p>
    <w:p w14:paraId="11A296BB">
      <w:pPr>
        <w:bidi w:val="0"/>
        <w:rPr>
          <w:rFonts w:hint="default"/>
          <w:color w:val="auto"/>
          <w:lang w:val="en-US" w:eastAsia="zh-CN"/>
        </w:rPr>
      </w:pPr>
      <w:r>
        <w:rPr>
          <w:rFonts w:hint="default"/>
          <w:color w:val="auto"/>
          <w:lang w:val="en-US" w:eastAsia="zh-CN"/>
        </w:rPr>
        <w:t>4、防噪声、防震动装置未能正常使用或失效；</w:t>
      </w:r>
    </w:p>
    <w:p w14:paraId="6D33B839">
      <w:pPr>
        <w:bidi w:val="0"/>
        <w:rPr>
          <w:rFonts w:hint="default"/>
          <w:color w:val="auto"/>
          <w:lang w:val="en-US" w:eastAsia="zh-CN"/>
        </w:rPr>
      </w:pPr>
      <w:r>
        <w:rPr>
          <w:rFonts w:hint="default"/>
          <w:color w:val="auto"/>
          <w:lang w:val="en-US" w:eastAsia="zh-CN"/>
        </w:rPr>
        <w:t>5、作业人员违章操作等。</w:t>
      </w:r>
    </w:p>
    <w:p w14:paraId="656DB143">
      <w:pPr>
        <w:pStyle w:val="6"/>
        <w:bidi w:val="0"/>
        <w:rPr>
          <w:rFonts w:hint="default"/>
          <w:color w:val="auto"/>
          <w:lang w:val="en-US" w:eastAsia="zh-CN"/>
        </w:rPr>
      </w:pPr>
      <w:r>
        <w:rPr>
          <w:rFonts w:hint="eastAsia"/>
          <w:color w:val="auto"/>
          <w:lang w:val="en-US" w:eastAsia="zh-CN"/>
        </w:rPr>
        <w:t>3.4.13 粉尘</w:t>
      </w:r>
    </w:p>
    <w:p w14:paraId="28041B3B">
      <w:pPr>
        <w:bidi w:val="0"/>
        <w:rPr>
          <w:rFonts w:hint="default"/>
          <w:color w:val="auto"/>
          <w:lang w:val="en-US" w:eastAsia="zh-CN"/>
        </w:rPr>
      </w:pPr>
      <w:r>
        <w:rPr>
          <w:rFonts w:hint="eastAsia"/>
          <w:color w:val="auto"/>
          <w:lang w:val="en-US" w:eastAsia="zh-CN"/>
        </w:rPr>
        <w:t>本项目</w:t>
      </w:r>
      <w:r>
        <w:rPr>
          <w:rFonts w:hint="default"/>
          <w:color w:val="auto"/>
          <w:lang w:val="en-US" w:eastAsia="zh-CN"/>
        </w:rPr>
        <w:t>气体污染源为在物料运输过程中的卸料环节产生的粉尘</w:t>
      </w:r>
    </w:p>
    <w:p w14:paraId="79616731">
      <w:pPr>
        <w:bidi w:val="0"/>
        <w:rPr>
          <w:rFonts w:hint="default"/>
          <w:color w:val="auto"/>
          <w:lang w:val="en-US" w:eastAsia="zh-CN"/>
        </w:rPr>
      </w:pPr>
      <w:r>
        <w:rPr>
          <w:rFonts w:hint="default"/>
          <w:color w:val="auto"/>
          <w:lang w:val="en-US" w:eastAsia="zh-CN"/>
        </w:rPr>
        <w:t>粉尘是指能悬浮于空气中的固体微粒。</w:t>
      </w:r>
      <w:r>
        <w:rPr>
          <w:rFonts w:hint="eastAsia"/>
          <w:color w:val="auto"/>
          <w:lang w:val="en-US" w:eastAsia="zh-CN"/>
        </w:rPr>
        <w:t>本项目</w:t>
      </w:r>
      <w:r>
        <w:rPr>
          <w:rFonts w:hint="default"/>
          <w:color w:val="auto"/>
          <w:lang w:val="en-US" w:eastAsia="zh-CN"/>
        </w:rPr>
        <w:t>生产过程中会产生大量的生产性粉尘。粉尘对员工的身体健康危害较大，粉尘侵入人体的途径主要有呼吸系统、眼睛、皮肤等，其中以呼吸系统为主要途径。</w:t>
      </w:r>
    </w:p>
    <w:p w14:paraId="494BA92B">
      <w:pPr>
        <w:bidi w:val="0"/>
        <w:rPr>
          <w:rFonts w:hint="default"/>
          <w:color w:val="auto"/>
          <w:lang w:val="en-US" w:eastAsia="zh-CN"/>
        </w:rPr>
      </w:pPr>
      <w:r>
        <w:rPr>
          <w:rFonts w:hint="default"/>
          <w:color w:val="auto"/>
          <w:lang w:val="en-US" w:eastAsia="zh-CN"/>
        </w:rPr>
        <w:t>粉尘对人体各系统的危害表现如下：粉尘侵入呼吸系统后，会引发尘肺、肺粉尘沉着症、有机粉尘所致的肺部病变、呼吸系统肿瘤和局部刺激作用等病症；如果粉尘侵入眼睛，可引起结膜炎、角膜混浊、眼睑水肿和急性角膜炎等症状；粉尘侵入皮肤后，可堵塞皮脂腺、汗腺，造成皮肤干燥，易受感染，引起毛囊炎、粉刺、皮炎等。</w:t>
      </w:r>
    </w:p>
    <w:p w14:paraId="5192517C">
      <w:pPr>
        <w:bidi w:val="0"/>
        <w:rPr>
          <w:rFonts w:hint="default"/>
          <w:color w:val="auto"/>
          <w:lang w:val="en-US" w:eastAsia="zh-CN"/>
        </w:rPr>
      </w:pPr>
      <w:r>
        <w:rPr>
          <w:rFonts w:hint="default"/>
          <w:color w:val="auto"/>
          <w:lang w:val="en-US" w:eastAsia="zh-CN"/>
        </w:rPr>
        <w:t>本</w:t>
      </w:r>
      <w:r>
        <w:rPr>
          <w:rFonts w:hint="eastAsia"/>
          <w:color w:val="auto"/>
          <w:lang w:val="en-US" w:eastAsia="zh-CN"/>
        </w:rPr>
        <w:t>项目</w:t>
      </w:r>
      <w:r>
        <w:rPr>
          <w:rFonts w:hint="default"/>
          <w:color w:val="auto"/>
          <w:lang w:val="en-US" w:eastAsia="zh-CN"/>
        </w:rPr>
        <w:t>在物料运输过程中</w:t>
      </w:r>
      <w:r>
        <w:rPr>
          <w:rFonts w:hint="eastAsia"/>
          <w:color w:val="auto"/>
          <w:lang w:val="en-US" w:eastAsia="zh-CN"/>
        </w:rPr>
        <w:t>和</w:t>
      </w:r>
      <w:r>
        <w:rPr>
          <w:rFonts w:hint="default"/>
          <w:color w:val="auto"/>
          <w:lang w:val="en-US" w:eastAsia="zh-CN"/>
        </w:rPr>
        <w:t>卸料环节产生粉尘。若降尘措施不够完善或工作人员没有配备劳动防护用品，工作人员可能受到粉尘危害。造成粉尘危害的主要原因分析如下：</w:t>
      </w:r>
    </w:p>
    <w:p w14:paraId="4A0B0214">
      <w:pPr>
        <w:bidi w:val="0"/>
        <w:rPr>
          <w:rFonts w:hint="default"/>
          <w:color w:val="auto"/>
          <w:lang w:val="en-US" w:eastAsia="zh-CN"/>
        </w:rPr>
      </w:pPr>
      <w:r>
        <w:rPr>
          <w:rFonts w:hint="default"/>
          <w:color w:val="auto"/>
          <w:lang w:val="en-US" w:eastAsia="zh-CN"/>
        </w:rPr>
        <w:t>1、未配置除尘设备或除尘设备失效；</w:t>
      </w:r>
    </w:p>
    <w:p w14:paraId="6F0CE845">
      <w:pPr>
        <w:bidi w:val="0"/>
        <w:rPr>
          <w:rFonts w:hint="default"/>
          <w:color w:val="auto"/>
          <w:lang w:val="en-US" w:eastAsia="zh-CN"/>
        </w:rPr>
      </w:pPr>
      <w:r>
        <w:rPr>
          <w:rFonts w:hint="default"/>
          <w:color w:val="auto"/>
          <w:lang w:val="en-US" w:eastAsia="zh-CN"/>
        </w:rPr>
        <w:t>2、作业场地粉尘量超标；</w:t>
      </w:r>
    </w:p>
    <w:p w14:paraId="2416FB1B">
      <w:pPr>
        <w:bidi w:val="0"/>
        <w:rPr>
          <w:rFonts w:hint="default"/>
          <w:color w:val="auto"/>
          <w:lang w:val="en-US" w:eastAsia="zh-CN"/>
        </w:rPr>
      </w:pPr>
      <w:r>
        <w:rPr>
          <w:rFonts w:hint="default"/>
          <w:color w:val="auto"/>
          <w:lang w:val="en-US" w:eastAsia="zh-CN"/>
        </w:rPr>
        <w:t>3、作业场地通风不良；</w:t>
      </w:r>
    </w:p>
    <w:p w14:paraId="7BE5C9CA">
      <w:pPr>
        <w:bidi w:val="0"/>
        <w:rPr>
          <w:rFonts w:hint="default"/>
          <w:color w:val="auto"/>
          <w:lang w:val="en-US" w:eastAsia="zh-CN"/>
        </w:rPr>
      </w:pPr>
      <w:r>
        <w:rPr>
          <w:rFonts w:hint="default"/>
          <w:color w:val="auto"/>
          <w:lang w:val="en-US" w:eastAsia="zh-CN"/>
        </w:rPr>
        <w:t>4、人员未配备劳动保护用品等。</w:t>
      </w:r>
    </w:p>
    <w:p w14:paraId="00F8769D">
      <w:pPr>
        <w:pStyle w:val="6"/>
        <w:bidi w:val="0"/>
        <w:rPr>
          <w:rFonts w:hint="default"/>
          <w:color w:val="auto"/>
          <w:lang w:val="en-US" w:eastAsia="zh-CN"/>
        </w:rPr>
      </w:pPr>
      <w:r>
        <w:rPr>
          <w:rFonts w:hint="default"/>
          <w:color w:val="auto"/>
          <w:lang w:val="en-US" w:eastAsia="zh-CN"/>
        </w:rPr>
        <w:t>3.</w:t>
      </w:r>
      <w:r>
        <w:rPr>
          <w:rFonts w:hint="eastAsia"/>
          <w:color w:val="auto"/>
          <w:lang w:val="en-US" w:eastAsia="zh-CN"/>
        </w:rPr>
        <w:t>4</w:t>
      </w:r>
      <w:r>
        <w:rPr>
          <w:rFonts w:hint="default"/>
          <w:color w:val="auto"/>
          <w:lang w:val="en-US" w:eastAsia="zh-CN"/>
        </w:rPr>
        <w:t>.1</w:t>
      </w:r>
      <w:r>
        <w:rPr>
          <w:rFonts w:hint="eastAsia"/>
          <w:color w:val="auto"/>
          <w:lang w:val="en-US" w:eastAsia="zh-CN"/>
        </w:rPr>
        <w:t>4</w:t>
      </w:r>
      <w:r>
        <w:rPr>
          <w:rFonts w:hint="default"/>
          <w:color w:val="auto"/>
          <w:lang w:val="en-US" w:eastAsia="zh-CN"/>
        </w:rPr>
        <w:t xml:space="preserve"> 其它伤害</w:t>
      </w:r>
    </w:p>
    <w:p w14:paraId="2457323A">
      <w:pPr>
        <w:bidi w:val="0"/>
        <w:rPr>
          <w:rFonts w:hint="default"/>
          <w:color w:val="auto"/>
          <w:lang w:val="en-US" w:eastAsia="zh-CN"/>
        </w:rPr>
      </w:pPr>
      <w:r>
        <w:rPr>
          <w:rFonts w:hint="default"/>
          <w:color w:val="auto"/>
          <w:lang w:val="en-US" w:eastAsia="zh-CN"/>
        </w:rPr>
        <w:t>一、雷电危害</w:t>
      </w:r>
    </w:p>
    <w:p w14:paraId="111EB5FE">
      <w:pPr>
        <w:bidi w:val="0"/>
        <w:rPr>
          <w:rFonts w:hint="default"/>
          <w:color w:val="auto"/>
          <w:lang w:val="en-US" w:eastAsia="zh-CN"/>
        </w:rPr>
      </w:pPr>
      <w:r>
        <w:rPr>
          <w:rFonts w:hint="eastAsia"/>
          <w:color w:val="auto"/>
          <w:lang w:val="en-US" w:eastAsia="zh-CN"/>
        </w:rPr>
        <w:t>本项目</w:t>
      </w:r>
      <w:r>
        <w:rPr>
          <w:rFonts w:hint="default"/>
          <w:color w:val="auto"/>
          <w:lang w:val="en-US" w:eastAsia="zh-CN"/>
        </w:rPr>
        <w:t>建筑物有可能遭受雷击，应采取合理措施避免雷电伤害。</w:t>
      </w:r>
    </w:p>
    <w:p w14:paraId="19C4508D">
      <w:pPr>
        <w:bidi w:val="0"/>
        <w:rPr>
          <w:rFonts w:hint="default"/>
          <w:color w:val="auto"/>
          <w:lang w:val="en-US" w:eastAsia="zh-CN"/>
        </w:rPr>
      </w:pPr>
      <w:r>
        <w:rPr>
          <w:rFonts w:hint="default"/>
          <w:color w:val="auto"/>
          <w:lang w:val="en-US" w:eastAsia="zh-CN"/>
        </w:rPr>
        <w:t>1、雷电伤害方式和途径分析</w:t>
      </w:r>
    </w:p>
    <w:p w14:paraId="0C779632">
      <w:pPr>
        <w:bidi w:val="0"/>
        <w:rPr>
          <w:rFonts w:hint="default"/>
          <w:color w:val="auto"/>
          <w:lang w:val="en-US" w:eastAsia="zh-CN"/>
        </w:rPr>
      </w:pPr>
      <w:r>
        <w:rPr>
          <w:rFonts w:hint="default"/>
          <w:color w:val="auto"/>
          <w:lang w:val="en-US" w:eastAsia="zh-CN"/>
        </w:rPr>
        <w:t>（1）伤害方式：爆炸、火灾、电击、毁坏设备、设施、事故停电等。</w:t>
      </w:r>
    </w:p>
    <w:p w14:paraId="4247D005">
      <w:pPr>
        <w:bidi w:val="0"/>
        <w:rPr>
          <w:rFonts w:hint="default"/>
          <w:color w:val="auto"/>
          <w:lang w:val="en-US" w:eastAsia="zh-CN"/>
        </w:rPr>
      </w:pPr>
      <w:r>
        <w:rPr>
          <w:rFonts w:hint="default"/>
          <w:color w:val="auto"/>
          <w:lang w:val="en-US" w:eastAsia="zh-CN"/>
        </w:rPr>
        <w:t>（2）伤害途径：直接雷击、雷电感应、雷电波的电性质、热性质、机械性质的破坏作用引起。</w:t>
      </w:r>
    </w:p>
    <w:p w14:paraId="76D0A425">
      <w:pPr>
        <w:bidi w:val="0"/>
        <w:rPr>
          <w:rFonts w:hint="default"/>
          <w:color w:val="auto"/>
          <w:lang w:val="en-US" w:eastAsia="zh-CN"/>
        </w:rPr>
      </w:pPr>
      <w:r>
        <w:rPr>
          <w:rFonts w:hint="default"/>
          <w:color w:val="auto"/>
          <w:lang w:val="en-US" w:eastAsia="zh-CN"/>
        </w:rPr>
        <w:t>2、产生雷电伤害的原因分析</w:t>
      </w:r>
    </w:p>
    <w:p w14:paraId="38E7CE92">
      <w:pPr>
        <w:bidi w:val="0"/>
        <w:rPr>
          <w:rFonts w:hint="default"/>
          <w:color w:val="auto"/>
          <w:lang w:val="en-US" w:eastAsia="zh-CN"/>
        </w:rPr>
      </w:pPr>
      <w:r>
        <w:rPr>
          <w:rFonts w:hint="default"/>
          <w:color w:val="auto"/>
          <w:lang w:val="en-US" w:eastAsia="zh-CN"/>
        </w:rPr>
        <w:t>（1）防雷接地装置设计不合理；</w:t>
      </w:r>
    </w:p>
    <w:p w14:paraId="0EB05F81">
      <w:pPr>
        <w:bidi w:val="0"/>
        <w:rPr>
          <w:rFonts w:hint="default"/>
          <w:color w:val="auto"/>
          <w:lang w:val="en-US" w:eastAsia="zh-CN"/>
        </w:rPr>
      </w:pPr>
      <w:r>
        <w:rPr>
          <w:rFonts w:hint="default"/>
          <w:color w:val="auto"/>
          <w:lang w:val="en-US" w:eastAsia="zh-CN"/>
        </w:rPr>
        <w:t>（2）防雷接地装置使用不当，存在缺陷；</w:t>
      </w:r>
    </w:p>
    <w:p w14:paraId="38688FF5">
      <w:pPr>
        <w:bidi w:val="0"/>
        <w:rPr>
          <w:rFonts w:hint="default"/>
          <w:color w:val="auto"/>
          <w:lang w:val="en-US" w:eastAsia="zh-CN"/>
        </w:rPr>
      </w:pPr>
      <w:r>
        <w:rPr>
          <w:rFonts w:hint="default"/>
          <w:color w:val="auto"/>
          <w:lang w:val="en-US" w:eastAsia="zh-CN"/>
        </w:rPr>
        <w:t>（3）防雷接地装置失效，接地电阻不符合要求；</w:t>
      </w:r>
    </w:p>
    <w:p w14:paraId="1DC1B7CF">
      <w:pPr>
        <w:bidi w:val="0"/>
        <w:rPr>
          <w:rFonts w:hint="default"/>
          <w:color w:val="auto"/>
          <w:lang w:val="en-US" w:eastAsia="zh-CN"/>
        </w:rPr>
      </w:pPr>
      <w:r>
        <w:rPr>
          <w:rFonts w:hint="default"/>
          <w:color w:val="auto"/>
          <w:lang w:val="en-US" w:eastAsia="zh-CN"/>
        </w:rPr>
        <w:t>（4）缺乏必要的人身防雷安全知识；</w:t>
      </w:r>
    </w:p>
    <w:p w14:paraId="2B672EF3">
      <w:pPr>
        <w:bidi w:val="0"/>
        <w:rPr>
          <w:rFonts w:hint="default"/>
          <w:color w:val="auto"/>
          <w:lang w:val="en-US" w:eastAsia="zh-CN"/>
        </w:rPr>
      </w:pPr>
      <w:r>
        <w:rPr>
          <w:rFonts w:hint="default"/>
          <w:color w:val="auto"/>
          <w:lang w:val="en-US" w:eastAsia="zh-CN"/>
        </w:rPr>
        <w:t>（5）雷雨天气进行露天作业。</w:t>
      </w:r>
    </w:p>
    <w:p w14:paraId="13783D8D">
      <w:pPr>
        <w:bidi w:val="0"/>
        <w:rPr>
          <w:rFonts w:hint="default"/>
          <w:color w:val="auto"/>
          <w:lang w:val="en-US" w:eastAsia="zh-CN"/>
        </w:rPr>
      </w:pPr>
      <w:r>
        <w:rPr>
          <w:rFonts w:hint="eastAsia"/>
          <w:color w:val="auto"/>
          <w:lang w:val="en-US" w:eastAsia="zh-CN"/>
        </w:rPr>
        <w:t>二</w:t>
      </w:r>
      <w:r>
        <w:rPr>
          <w:rFonts w:hint="default"/>
          <w:color w:val="auto"/>
          <w:lang w:val="en-US" w:eastAsia="zh-CN"/>
        </w:rPr>
        <w:t>、作业环境不良</w:t>
      </w:r>
    </w:p>
    <w:p w14:paraId="680B5AA1">
      <w:pPr>
        <w:bidi w:val="0"/>
        <w:rPr>
          <w:rFonts w:hint="default"/>
          <w:color w:val="auto"/>
          <w:lang w:val="en-US" w:eastAsia="zh-CN"/>
        </w:rPr>
      </w:pPr>
      <w:r>
        <w:rPr>
          <w:rFonts w:hint="default"/>
          <w:color w:val="auto"/>
          <w:lang w:val="en-US" w:eastAsia="zh-CN"/>
        </w:rPr>
        <w:t>过大的湿度会引起运行检修人员易患风湿性关节炎、神经衰弱等病症，应注意厂房内的通风，保持干燥。</w:t>
      </w:r>
    </w:p>
    <w:p w14:paraId="455C6BC2">
      <w:pPr>
        <w:bidi w:val="0"/>
        <w:rPr>
          <w:rFonts w:hint="default"/>
          <w:color w:val="auto"/>
          <w:lang w:val="en-US" w:eastAsia="zh-CN"/>
        </w:rPr>
      </w:pPr>
      <w:r>
        <w:rPr>
          <w:rFonts w:hint="default"/>
          <w:color w:val="auto"/>
          <w:lang w:val="en-US" w:eastAsia="zh-CN"/>
        </w:rPr>
        <w:t>光照的亮度和照度不足，会使操作人员作业困难，视觉分辨力下降，危险的地段会因照明不足引起意外事故。</w:t>
      </w:r>
    </w:p>
    <w:p w14:paraId="66F9A244">
      <w:pPr>
        <w:bidi w:val="0"/>
        <w:rPr>
          <w:rFonts w:hint="default"/>
          <w:color w:val="auto"/>
          <w:lang w:val="en-US" w:eastAsia="zh-CN"/>
        </w:rPr>
      </w:pPr>
      <w:r>
        <w:rPr>
          <w:rFonts w:hint="default"/>
          <w:color w:val="auto"/>
          <w:lang w:val="en-US" w:eastAsia="zh-CN"/>
        </w:rPr>
        <w:t>作业场地因设备漏油或加油的过程中将油洒落在地上，作业人员踩地面油污上会跌倒。</w:t>
      </w:r>
    </w:p>
    <w:p w14:paraId="69DEC83A">
      <w:pPr>
        <w:bidi w:val="0"/>
        <w:rPr>
          <w:rFonts w:hint="default"/>
          <w:color w:val="auto"/>
          <w:lang w:val="en-US" w:eastAsia="zh-CN"/>
        </w:rPr>
      </w:pPr>
      <w:r>
        <w:rPr>
          <w:rFonts w:hint="eastAsia"/>
          <w:color w:val="auto"/>
          <w:lang w:val="en-US" w:eastAsia="zh-CN"/>
        </w:rPr>
        <w:t>三</w:t>
      </w:r>
      <w:r>
        <w:rPr>
          <w:rFonts w:hint="default"/>
          <w:color w:val="auto"/>
          <w:lang w:val="en-US" w:eastAsia="zh-CN"/>
        </w:rPr>
        <w:t>、雨天作业道路潮湿、冬季作业路面结冰等可能引起人员滑倒、摔伤、扭伤、坠落与滚落等。</w:t>
      </w:r>
    </w:p>
    <w:p w14:paraId="2E705839">
      <w:pPr>
        <w:bidi w:val="0"/>
        <w:rPr>
          <w:rFonts w:hint="default"/>
          <w:color w:val="auto"/>
          <w:lang w:val="en-US" w:eastAsia="zh-CN"/>
        </w:rPr>
      </w:pPr>
      <w:r>
        <w:rPr>
          <w:rFonts w:hint="eastAsia"/>
          <w:color w:val="auto"/>
          <w:lang w:val="en-US" w:eastAsia="zh-CN"/>
        </w:rPr>
        <w:t>四</w:t>
      </w:r>
      <w:r>
        <w:rPr>
          <w:rFonts w:hint="default"/>
          <w:color w:val="auto"/>
          <w:lang w:val="en-US" w:eastAsia="zh-CN"/>
        </w:rPr>
        <w:t>、盛夏季炎热季节，由于天气炎热，作业环境温度较高，加上劳动强度大，作业人员易发生眩晕、中暑等病症。</w:t>
      </w:r>
    </w:p>
    <w:p w14:paraId="482AA9C0">
      <w:pPr>
        <w:pStyle w:val="5"/>
        <w:bidi w:val="0"/>
        <w:rPr>
          <w:rFonts w:hint="default"/>
          <w:color w:val="auto"/>
          <w:lang w:val="en-US" w:eastAsia="zh-CN"/>
        </w:rPr>
      </w:pPr>
      <w:bookmarkStart w:id="21" w:name="_Toc1845"/>
      <w:r>
        <w:rPr>
          <w:rFonts w:hint="default"/>
          <w:color w:val="auto"/>
          <w:lang w:val="en-US" w:eastAsia="zh-CN"/>
        </w:rPr>
        <w:t>3.</w:t>
      </w:r>
      <w:r>
        <w:rPr>
          <w:rFonts w:hint="eastAsia"/>
          <w:color w:val="auto"/>
          <w:lang w:val="en-US" w:eastAsia="zh-CN"/>
        </w:rPr>
        <w:t>5</w:t>
      </w:r>
      <w:r>
        <w:rPr>
          <w:rFonts w:hint="default"/>
          <w:color w:val="auto"/>
          <w:lang w:val="en-US" w:eastAsia="zh-CN"/>
        </w:rPr>
        <w:t xml:space="preserve"> 有限空间作业危险有害因素辨识与分析</w:t>
      </w:r>
      <w:bookmarkEnd w:id="21"/>
    </w:p>
    <w:p w14:paraId="79E8C501">
      <w:pPr>
        <w:bidi w:val="0"/>
        <w:rPr>
          <w:rFonts w:hint="default"/>
          <w:color w:val="auto"/>
          <w:lang w:val="en-US" w:eastAsia="zh-CN"/>
        </w:rPr>
      </w:pPr>
      <w:r>
        <w:rPr>
          <w:rFonts w:hint="default"/>
          <w:color w:val="auto"/>
          <w:lang w:val="en-US" w:eastAsia="zh-CN"/>
        </w:rPr>
        <w:t>进入有限空间内进行检修、清理和从事其他工作，称为有限空间作业。人在氧含量为19</w:t>
      </w:r>
      <w:r>
        <w:rPr>
          <w:rFonts w:hint="eastAsia"/>
          <w:color w:val="auto"/>
          <w:lang w:val="en-US" w:eastAsia="zh-CN"/>
        </w:rPr>
        <w:t>.5</w:t>
      </w:r>
      <w:r>
        <w:rPr>
          <w:rFonts w:hint="default"/>
          <w:color w:val="auto"/>
          <w:lang w:val="en-US" w:eastAsia="zh-CN"/>
        </w:rPr>
        <w:t>％～21％的空气中，表现正常；假如氧含量降到13％～16％，人会突然晕倒；降到13％以下，会死亡。有限空间不能用纯氧换气，因为氧是助燃物质，作业时有火星，会着火，引发事故伤人，有限空间内作业，与电气设施接触频繁，如果照明灯具、电动工具漏电，有可能导致人员触电事故。</w:t>
      </w:r>
    </w:p>
    <w:p w14:paraId="55540A6E">
      <w:pPr>
        <w:bidi w:val="0"/>
        <w:rPr>
          <w:rFonts w:hint="default"/>
          <w:color w:val="auto"/>
          <w:lang w:val="en-US" w:eastAsia="zh-CN"/>
        </w:rPr>
      </w:pPr>
      <w:r>
        <w:rPr>
          <w:rFonts w:hint="default"/>
          <w:color w:val="auto"/>
          <w:lang w:val="en-US" w:eastAsia="zh-CN"/>
        </w:rPr>
        <w:t>另外，由于在有限空间内部作业，人员活动不便，在作业时遇到安全隐患，身体移动受到一定的限制，不能及时脱离现场，大大增加了人员伤亡的比率。</w:t>
      </w:r>
    </w:p>
    <w:p w14:paraId="0A09E499">
      <w:pPr>
        <w:bidi w:val="0"/>
        <w:rPr>
          <w:rFonts w:hint="default"/>
          <w:color w:val="auto"/>
          <w:lang w:val="en-US" w:eastAsia="zh-CN"/>
        </w:rPr>
      </w:pPr>
      <w:r>
        <w:rPr>
          <w:rFonts w:hint="default"/>
          <w:color w:val="auto"/>
          <w:lang w:val="en-US" w:eastAsia="zh-CN"/>
        </w:rPr>
        <w:t>本项目涉及的有限空间作业包括：新水池、回水池、事故池、浓缩机等。作业人员进入有限空间内作业可能发生中毒、窒息、触电、高处坠落等事故。</w:t>
      </w:r>
    </w:p>
    <w:p w14:paraId="7C3D7243">
      <w:pPr>
        <w:bidi w:val="0"/>
        <w:rPr>
          <w:rFonts w:hint="default"/>
          <w:color w:val="auto"/>
          <w:lang w:val="en-US" w:eastAsia="zh-CN"/>
        </w:rPr>
      </w:pPr>
      <w:r>
        <w:rPr>
          <w:rFonts w:hint="default"/>
          <w:color w:val="auto"/>
          <w:lang w:val="en-US" w:eastAsia="zh-CN"/>
        </w:rPr>
        <w:t>进入有限空间作业，可能由以下原因导致有限空间内人员发生中毒、窒息、触电、高处坠落等事故：</w:t>
      </w:r>
    </w:p>
    <w:p w14:paraId="1508156A">
      <w:pPr>
        <w:bidi w:val="0"/>
        <w:rPr>
          <w:rFonts w:hint="default"/>
          <w:color w:val="auto"/>
          <w:lang w:val="en-US" w:eastAsia="zh-CN"/>
        </w:rPr>
      </w:pPr>
      <w:r>
        <w:rPr>
          <w:rFonts w:hint="default"/>
          <w:color w:val="auto"/>
          <w:lang w:val="en-US" w:eastAsia="zh-CN"/>
        </w:rPr>
        <w:t>1、企业未制定有限空间作业的管理制度、建立有限空间作业责任制、明确有限空间作业操作规程、应急预案等；</w:t>
      </w:r>
    </w:p>
    <w:p w14:paraId="138D6C90">
      <w:pPr>
        <w:bidi w:val="0"/>
        <w:rPr>
          <w:rFonts w:hint="default"/>
          <w:color w:val="auto"/>
          <w:lang w:val="en-US" w:eastAsia="zh-CN"/>
        </w:rPr>
      </w:pPr>
      <w:r>
        <w:rPr>
          <w:rFonts w:hint="default"/>
          <w:color w:val="auto"/>
          <w:lang w:val="en-US" w:eastAsia="zh-CN"/>
        </w:rPr>
        <w:t>2、作业人员未办理相关作业许可，未落实相关的安全防护措施；</w:t>
      </w:r>
    </w:p>
    <w:p w14:paraId="7D49F175">
      <w:pPr>
        <w:bidi w:val="0"/>
        <w:rPr>
          <w:rFonts w:hint="default"/>
          <w:color w:val="auto"/>
          <w:lang w:val="en-US" w:eastAsia="zh-CN"/>
        </w:rPr>
      </w:pPr>
      <w:r>
        <w:rPr>
          <w:rFonts w:hint="default"/>
          <w:color w:val="auto"/>
          <w:lang w:val="en-US" w:eastAsia="zh-CN"/>
        </w:rPr>
        <w:t>3、进入有限空间前未进行通风，或通风时间不足；</w:t>
      </w:r>
    </w:p>
    <w:p w14:paraId="5B3870C4">
      <w:pPr>
        <w:bidi w:val="0"/>
        <w:rPr>
          <w:rFonts w:hint="default"/>
          <w:color w:val="auto"/>
          <w:lang w:val="en-US" w:eastAsia="zh-CN"/>
        </w:rPr>
      </w:pPr>
      <w:r>
        <w:rPr>
          <w:rFonts w:hint="default"/>
          <w:color w:val="auto"/>
          <w:lang w:val="en-US" w:eastAsia="zh-CN"/>
        </w:rPr>
        <w:t>4、未对有限空间内气体采样分析、分析时间超过规定分析间隔时间或采样位置不合理；</w:t>
      </w:r>
    </w:p>
    <w:p w14:paraId="6CE1E615">
      <w:pPr>
        <w:bidi w:val="0"/>
        <w:rPr>
          <w:rFonts w:hint="default"/>
          <w:color w:val="auto"/>
          <w:lang w:val="en-US" w:eastAsia="zh-CN"/>
        </w:rPr>
      </w:pPr>
      <w:r>
        <w:rPr>
          <w:rFonts w:hint="default"/>
          <w:color w:val="auto"/>
          <w:lang w:val="en-US" w:eastAsia="zh-CN"/>
        </w:rPr>
        <w:t>5、有限空间照明电压过高，未使用安全电压，引起人员触电；</w:t>
      </w:r>
    </w:p>
    <w:p w14:paraId="6AC8A84E">
      <w:pPr>
        <w:bidi w:val="0"/>
        <w:rPr>
          <w:rFonts w:hint="default"/>
          <w:color w:val="auto"/>
          <w:lang w:val="en-US" w:eastAsia="zh-CN"/>
        </w:rPr>
      </w:pPr>
      <w:r>
        <w:rPr>
          <w:rFonts w:hint="default"/>
          <w:color w:val="auto"/>
          <w:lang w:val="en-US" w:eastAsia="zh-CN"/>
        </w:rPr>
        <w:t>6、使用手持电动工具或进行电焊作业时，未设漏电保护装置；</w:t>
      </w:r>
    </w:p>
    <w:p w14:paraId="27DEC0C7">
      <w:pPr>
        <w:bidi w:val="0"/>
        <w:rPr>
          <w:rFonts w:hint="default"/>
          <w:color w:val="auto"/>
          <w:lang w:val="en-US" w:eastAsia="zh-CN"/>
        </w:rPr>
      </w:pPr>
      <w:r>
        <w:rPr>
          <w:rFonts w:hint="default"/>
          <w:color w:val="auto"/>
          <w:lang w:val="en-US" w:eastAsia="zh-CN"/>
        </w:rPr>
        <w:t>7、作业人员未佩戴劳动防护用品（防毒面具），人员进入受到有害物质危害；</w:t>
      </w:r>
    </w:p>
    <w:p w14:paraId="090EF2A6">
      <w:pPr>
        <w:bidi w:val="0"/>
        <w:rPr>
          <w:rFonts w:hint="default"/>
          <w:color w:val="auto"/>
          <w:lang w:val="en-US" w:eastAsia="zh-CN"/>
        </w:rPr>
      </w:pPr>
      <w:r>
        <w:rPr>
          <w:rFonts w:hint="default"/>
          <w:color w:val="auto"/>
          <w:lang w:val="en-US" w:eastAsia="zh-CN"/>
        </w:rPr>
        <w:t>8、有限空间作业时，未设置作业监护人，作业人与监护人未保持联系，发生意外，作业人员未及时得到救护；</w:t>
      </w:r>
    </w:p>
    <w:p w14:paraId="5A60F4C1">
      <w:pPr>
        <w:bidi w:val="0"/>
        <w:rPr>
          <w:rFonts w:hint="default"/>
          <w:color w:val="auto"/>
          <w:lang w:val="en-US" w:eastAsia="zh-CN"/>
        </w:rPr>
      </w:pPr>
      <w:r>
        <w:rPr>
          <w:rFonts w:hint="default"/>
          <w:color w:val="auto"/>
          <w:lang w:val="en-US" w:eastAsia="zh-CN"/>
        </w:rPr>
        <w:t>9、有限空间内部物料未清理干净，人员进入后发生淹没人员发生窒息；</w:t>
      </w:r>
    </w:p>
    <w:p w14:paraId="078EF1A6">
      <w:pPr>
        <w:bidi w:val="0"/>
        <w:rPr>
          <w:rFonts w:hint="default"/>
          <w:color w:val="auto"/>
          <w:lang w:val="en-US" w:eastAsia="zh-CN"/>
        </w:rPr>
      </w:pPr>
      <w:r>
        <w:rPr>
          <w:rFonts w:hint="default"/>
          <w:color w:val="auto"/>
          <w:lang w:val="en-US" w:eastAsia="zh-CN"/>
        </w:rPr>
        <w:t>10、人员违章作业。</w:t>
      </w:r>
    </w:p>
    <w:p w14:paraId="51814701">
      <w:pPr>
        <w:pStyle w:val="5"/>
        <w:bidi w:val="0"/>
        <w:rPr>
          <w:rFonts w:hint="default"/>
          <w:color w:val="auto"/>
          <w:lang w:val="en-US" w:eastAsia="zh-CN"/>
        </w:rPr>
      </w:pPr>
      <w:bookmarkStart w:id="22" w:name="_Toc9181"/>
      <w:r>
        <w:rPr>
          <w:rFonts w:hint="default"/>
          <w:color w:val="auto"/>
          <w:lang w:val="en-US" w:eastAsia="zh-CN"/>
        </w:rPr>
        <w:t>3.</w:t>
      </w:r>
      <w:r>
        <w:rPr>
          <w:rFonts w:hint="eastAsia"/>
          <w:color w:val="auto"/>
          <w:lang w:val="en-US" w:eastAsia="zh-CN"/>
        </w:rPr>
        <w:t>6</w:t>
      </w:r>
      <w:r>
        <w:rPr>
          <w:rFonts w:hint="default"/>
          <w:color w:val="auto"/>
          <w:lang w:val="en-US" w:eastAsia="zh-CN"/>
        </w:rPr>
        <w:t xml:space="preserve"> 安全管理危险和有害因素辨识与分析</w:t>
      </w:r>
      <w:bookmarkEnd w:id="22"/>
    </w:p>
    <w:p w14:paraId="12BEBBD2">
      <w:pPr>
        <w:bidi w:val="0"/>
        <w:rPr>
          <w:rFonts w:hint="default"/>
          <w:color w:val="auto"/>
          <w:lang w:val="en-US" w:eastAsia="zh-CN"/>
        </w:rPr>
      </w:pPr>
      <w:r>
        <w:rPr>
          <w:rFonts w:hint="default"/>
          <w:color w:val="auto"/>
          <w:lang w:val="en-US" w:eastAsia="zh-CN"/>
        </w:rPr>
        <w:t>安全管理危险有害因素主要围绕</w:t>
      </w:r>
      <w:r>
        <w:rPr>
          <w:rFonts w:hint="eastAsia"/>
          <w:color w:val="auto"/>
          <w:lang w:val="en-US" w:eastAsia="zh-CN"/>
        </w:rPr>
        <w:t>本项目</w:t>
      </w:r>
      <w:r>
        <w:rPr>
          <w:rFonts w:hint="default"/>
          <w:color w:val="auto"/>
          <w:lang w:val="en-US" w:eastAsia="zh-CN"/>
        </w:rPr>
        <w:t>生产过程中建立各级安全生产责任制、规章制度的贯彻和落实情况和设备、工艺、岗位（工种）、安全操作规程展开辨识和分析，主要辨识与分析结果如下：</w:t>
      </w:r>
    </w:p>
    <w:p w14:paraId="0F85C270">
      <w:pPr>
        <w:bidi w:val="0"/>
        <w:rPr>
          <w:rFonts w:hint="default"/>
          <w:color w:val="auto"/>
          <w:lang w:val="en-US" w:eastAsia="zh-CN"/>
        </w:rPr>
      </w:pPr>
      <w:r>
        <w:rPr>
          <w:rFonts w:hint="default"/>
          <w:color w:val="auto"/>
          <w:lang w:val="en-US" w:eastAsia="zh-CN"/>
        </w:rPr>
        <w:t>1、未按法律要求设置安全生产管理机构，或结构、人员组成不当，造成安全管理工作中存在衔接不当、管理空白、专业不全等，从而造成安全管理上的漏洞。</w:t>
      </w:r>
    </w:p>
    <w:p w14:paraId="4C6B3CCB">
      <w:pPr>
        <w:bidi w:val="0"/>
        <w:rPr>
          <w:rFonts w:hint="default"/>
          <w:color w:val="auto"/>
          <w:lang w:val="en-US" w:eastAsia="zh-CN"/>
        </w:rPr>
      </w:pPr>
      <w:r>
        <w:rPr>
          <w:rFonts w:hint="default"/>
          <w:color w:val="auto"/>
          <w:lang w:val="en-US" w:eastAsia="zh-CN"/>
        </w:rPr>
        <w:t>2、未建立、健全本单位安全生产责任制，未健全和落实安全生产责任制、安全生产管理制度，容易造成生产过程中责任落实、任务不明确，造成生产次序混乱，诱发各类安全生产事故。</w:t>
      </w:r>
    </w:p>
    <w:p w14:paraId="4298FED5">
      <w:pPr>
        <w:bidi w:val="0"/>
        <w:rPr>
          <w:rFonts w:hint="default"/>
          <w:color w:val="auto"/>
          <w:lang w:val="en-US" w:eastAsia="zh-CN"/>
        </w:rPr>
      </w:pPr>
      <w:r>
        <w:rPr>
          <w:rFonts w:hint="default"/>
          <w:color w:val="auto"/>
          <w:lang w:val="en-US" w:eastAsia="zh-CN"/>
        </w:rPr>
        <w:t>3、未建立安全生产记录档案，不利于及时、全面系统的掌握企业安全生产情况，及时反应安全生产动态；不利于分析安全生产中的危险因素和作出安全管理决策。</w:t>
      </w:r>
    </w:p>
    <w:p w14:paraId="0A753F89">
      <w:pPr>
        <w:bidi w:val="0"/>
        <w:rPr>
          <w:rFonts w:hint="default"/>
          <w:color w:val="auto"/>
          <w:lang w:val="en-US" w:eastAsia="zh-CN"/>
        </w:rPr>
      </w:pPr>
      <w:r>
        <w:rPr>
          <w:rFonts w:hint="default"/>
          <w:color w:val="auto"/>
          <w:lang w:val="en-US" w:eastAsia="zh-CN"/>
        </w:rPr>
        <w:t>4、未制定企业安全生产教育和培训计划，从业人员基本安全生产常识、操作技术知识、事故隐患识别能力缺乏。</w:t>
      </w:r>
    </w:p>
    <w:p w14:paraId="24B4042F">
      <w:pPr>
        <w:bidi w:val="0"/>
        <w:rPr>
          <w:rFonts w:hint="default"/>
          <w:color w:val="auto"/>
          <w:lang w:val="en-US" w:eastAsia="zh-CN"/>
        </w:rPr>
      </w:pPr>
      <w:r>
        <w:rPr>
          <w:rFonts w:hint="default"/>
          <w:color w:val="auto"/>
          <w:lang w:val="en-US" w:eastAsia="zh-CN"/>
        </w:rPr>
        <w:t>5、未建立安全生产隐患排查制度，安全隐患整改不力。</w:t>
      </w:r>
    </w:p>
    <w:p w14:paraId="5EF4A1DC">
      <w:pPr>
        <w:bidi w:val="0"/>
        <w:rPr>
          <w:rFonts w:hint="default"/>
          <w:color w:val="auto"/>
          <w:lang w:val="en-US" w:eastAsia="zh-CN"/>
        </w:rPr>
      </w:pPr>
      <w:r>
        <w:rPr>
          <w:rFonts w:hint="default"/>
          <w:color w:val="auto"/>
          <w:lang w:val="en-US" w:eastAsia="zh-CN"/>
        </w:rPr>
        <w:t>6、未编制应急救援预案或者应急救援预案不满求需求，未对应急救援预案进行演练。</w:t>
      </w:r>
    </w:p>
    <w:p w14:paraId="51177C64">
      <w:pPr>
        <w:bidi w:val="0"/>
        <w:rPr>
          <w:rFonts w:hint="default"/>
          <w:color w:val="auto"/>
          <w:lang w:val="en-US" w:eastAsia="zh-CN"/>
        </w:rPr>
      </w:pPr>
      <w:r>
        <w:rPr>
          <w:rFonts w:hint="default"/>
          <w:color w:val="auto"/>
          <w:lang w:val="en-US" w:eastAsia="zh-CN"/>
        </w:rPr>
        <w:t>7、未制定本单位安全生产规章制度和操作规程，从业人员工作中无章可循，安全生产技术知识缺乏。</w:t>
      </w:r>
    </w:p>
    <w:p w14:paraId="335C35D5">
      <w:pPr>
        <w:pStyle w:val="5"/>
        <w:bidi w:val="0"/>
        <w:rPr>
          <w:rFonts w:hint="default"/>
          <w:color w:val="auto"/>
          <w:lang w:val="en-US" w:eastAsia="zh-CN"/>
        </w:rPr>
      </w:pPr>
      <w:bookmarkStart w:id="23" w:name="_Toc13001"/>
      <w:r>
        <w:rPr>
          <w:rFonts w:hint="default"/>
          <w:color w:val="auto"/>
          <w:lang w:val="en-US" w:eastAsia="zh-CN"/>
        </w:rPr>
        <w:t>3.</w:t>
      </w:r>
      <w:r>
        <w:rPr>
          <w:rFonts w:hint="eastAsia"/>
          <w:color w:val="auto"/>
          <w:lang w:val="en-US" w:eastAsia="zh-CN"/>
        </w:rPr>
        <w:t>7</w:t>
      </w:r>
      <w:r>
        <w:rPr>
          <w:rFonts w:hint="default"/>
          <w:color w:val="auto"/>
          <w:lang w:val="en-US" w:eastAsia="zh-CN"/>
        </w:rPr>
        <w:t xml:space="preserve"> 危险化学品重大危险源辨识</w:t>
      </w:r>
      <w:bookmarkEnd w:id="23"/>
    </w:p>
    <w:p w14:paraId="11597436">
      <w:pPr>
        <w:bidi w:val="0"/>
        <w:rPr>
          <w:rFonts w:hint="default"/>
          <w:color w:val="auto"/>
          <w:lang w:val="en-US" w:eastAsia="zh-CN"/>
        </w:rPr>
      </w:pPr>
      <w:r>
        <w:rPr>
          <w:rFonts w:hint="default"/>
          <w:color w:val="auto"/>
          <w:lang w:val="en-US" w:eastAsia="zh-CN"/>
        </w:rPr>
        <w:t>长期或临时生产、储存或使用和经营危险化学品，且危险化学品的数量等于或超过临界量的单元。危险化学品应依据其危险特性及其数量进行重大危险源辨识。危险化学品重大危险源可分为生产单元危险化学品重大危险源和储存单元危险化学品重大危险源。</w:t>
      </w:r>
    </w:p>
    <w:p w14:paraId="321D8491">
      <w:pPr>
        <w:bidi w:val="0"/>
        <w:rPr>
          <w:rFonts w:hint="default"/>
          <w:color w:val="auto"/>
          <w:lang w:val="en-US" w:eastAsia="zh-CN"/>
        </w:rPr>
      </w:pPr>
      <w:r>
        <w:rPr>
          <w:rFonts w:hint="default"/>
          <w:color w:val="auto"/>
          <w:lang w:val="en-US" w:eastAsia="zh-CN"/>
        </w:rPr>
        <w:t>单元内存在的危险化学品的数量根据危险化学品种类的多少区分为以下两种情况：</w:t>
      </w:r>
    </w:p>
    <w:p w14:paraId="602A8D27">
      <w:pPr>
        <w:bidi w:val="0"/>
        <w:rPr>
          <w:rFonts w:hint="default"/>
          <w:color w:val="auto"/>
          <w:lang w:val="en-US" w:eastAsia="zh-CN"/>
        </w:rPr>
      </w:pPr>
      <w:r>
        <w:rPr>
          <w:rFonts w:hint="default"/>
          <w:color w:val="auto"/>
          <w:lang w:val="en-US" w:eastAsia="zh-CN"/>
        </w:rPr>
        <w:t>①生产单元、储存单元内存在的危险化学品为单一品种，该危险化学品的数量即为单元内危险化学品的总量，若等于或超过相应的临界量，则定为重大危险源。</w:t>
      </w:r>
    </w:p>
    <w:p w14:paraId="00B311AD">
      <w:pPr>
        <w:bidi w:val="0"/>
        <w:rPr>
          <w:rFonts w:hint="default"/>
          <w:color w:val="auto"/>
          <w:lang w:val="en-US" w:eastAsia="zh-CN"/>
        </w:rPr>
      </w:pPr>
      <w:r>
        <w:rPr>
          <w:rFonts w:hint="default"/>
          <w:color w:val="auto"/>
          <w:lang w:val="en-US" w:eastAsia="zh-CN"/>
        </w:rPr>
        <w:t>②生产单元、储存单元存在的危险化学品为多品种时，则按下式计算，若满足下面公式，则定为重大危险源：</w:t>
      </w:r>
    </w:p>
    <w:p w14:paraId="553B97A1">
      <w:pPr>
        <w:bidi w:val="0"/>
        <w:rPr>
          <w:rFonts w:hint="default"/>
          <w:color w:val="auto"/>
          <w:lang w:val="en-US" w:eastAsia="zh-CN"/>
        </w:rPr>
      </w:pPr>
      <w:r>
        <w:rPr>
          <w:rFonts w:hint="default"/>
          <w:color w:val="auto"/>
          <w:lang w:val="en-US" w:eastAsia="zh-CN"/>
        </w:rPr>
        <w:t>q</w:t>
      </w:r>
      <w:r>
        <w:rPr>
          <w:rFonts w:hint="default"/>
          <w:color w:val="auto"/>
          <w:vertAlign w:val="subscript"/>
          <w:lang w:val="en-US" w:eastAsia="zh-CN"/>
        </w:rPr>
        <w:t>1</w:t>
      </w:r>
      <w:r>
        <w:rPr>
          <w:rFonts w:hint="default"/>
          <w:color w:val="auto"/>
          <w:lang w:val="en-US" w:eastAsia="zh-CN"/>
        </w:rPr>
        <w:t>/Q</w:t>
      </w:r>
      <w:r>
        <w:rPr>
          <w:rFonts w:hint="default"/>
          <w:color w:val="auto"/>
          <w:vertAlign w:val="subscript"/>
          <w:lang w:val="en-US" w:eastAsia="zh-CN"/>
        </w:rPr>
        <w:t>1</w:t>
      </w:r>
      <w:r>
        <w:rPr>
          <w:rFonts w:hint="default"/>
          <w:color w:val="auto"/>
          <w:lang w:val="en-US" w:eastAsia="zh-CN"/>
        </w:rPr>
        <w:t>+q</w:t>
      </w:r>
      <w:r>
        <w:rPr>
          <w:rFonts w:hint="default"/>
          <w:color w:val="auto"/>
          <w:vertAlign w:val="subscript"/>
          <w:lang w:val="en-US" w:eastAsia="zh-CN"/>
        </w:rPr>
        <w:t>2</w:t>
      </w:r>
      <w:r>
        <w:rPr>
          <w:rFonts w:hint="default"/>
          <w:color w:val="auto"/>
          <w:lang w:val="en-US" w:eastAsia="zh-CN"/>
        </w:rPr>
        <w:t>/Q</w:t>
      </w:r>
      <w:r>
        <w:rPr>
          <w:rFonts w:hint="default"/>
          <w:color w:val="auto"/>
          <w:vertAlign w:val="subscript"/>
          <w:lang w:val="en-US" w:eastAsia="zh-CN"/>
        </w:rPr>
        <w:t>2</w:t>
      </w:r>
      <w:r>
        <w:rPr>
          <w:rFonts w:hint="default"/>
          <w:color w:val="auto"/>
          <w:lang w:val="en-US" w:eastAsia="zh-CN"/>
        </w:rPr>
        <w:t>+……+q</w:t>
      </w:r>
      <w:r>
        <w:rPr>
          <w:rFonts w:hint="default"/>
          <w:color w:val="auto"/>
          <w:vertAlign w:val="subscript"/>
          <w:lang w:val="en-US" w:eastAsia="zh-CN"/>
        </w:rPr>
        <w:t>n</w:t>
      </w:r>
      <w:r>
        <w:rPr>
          <w:rFonts w:hint="default"/>
          <w:color w:val="auto"/>
          <w:lang w:val="en-US" w:eastAsia="zh-CN"/>
        </w:rPr>
        <w:t>/Q</w:t>
      </w:r>
      <w:r>
        <w:rPr>
          <w:rFonts w:hint="default"/>
          <w:color w:val="auto"/>
          <w:vertAlign w:val="subscript"/>
          <w:lang w:val="en-US" w:eastAsia="zh-CN"/>
        </w:rPr>
        <w:t>n</w:t>
      </w:r>
      <w:r>
        <w:rPr>
          <w:rFonts w:hint="default"/>
          <w:color w:val="auto"/>
          <w:lang w:val="en-US" w:eastAsia="zh-CN"/>
        </w:rPr>
        <w:t>≥1</w:t>
      </w:r>
    </w:p>
    <w:p w14:paraId="6713C6C6">
      <w:pPr>
        <w:bidi w:val="0"/>
        <w:rPr>
          <w:rFonts w:hint="default"/>
          <w:color w:val="auto"/>
          <w:lang w:val="en-US" w:eastAsia="zh-CN"/>
        </w:rPr>
      </w:pPr>
      <w:r>
        <w:rPr>
          <w:rFonts w:hint="default"/>
          <w:color w:val="auto"/>
          <w:lang w:val="en-US" w:eastAsia="zh-CN"/>
        </w:rPr>
        <w:t>式中：q</w:t>
      </w:r>
      <w:r>
        <w:rPr>
          <w:rFonts w:hint="default"/>
          <w:color w:val="auto"/>
          <w:vertAlign w:val="subscript"/>
          <w:lang w:val="en-US" w:eastAsia="zh-CN"/>
        </w:rPr>
        <w:t>1</w:t>
      </w:r>
      <w:r>
        <w:rPr>
          <w:rFonts w:hint="default"/>
          <w:color w:val="auto"/>
          <w:lang w:val="en-US" w:eastAsia="zh-CN"/>
        </w:rPr>
        <w:t>，q</w:t>
      </w:r>
      <w:r>
        <w:rPr>
          <w:rFonts w:hint="default"/>
          <w:color w:val="auto"/>
          <w:vertAlign w:val="subscript"/>
          <w:lang w:val="en-US" w:eastAsia="zh-CN"/>
        </w:rPr>
        <w:t>2</w:t>
      </w:r>
      <w:r>
        <w:rPr>
          <w:rFonts w:hint="default"/>
          <w:color w:val="auto"/>
          <w:lang w:val="en-US" w:eastAsia="zh-CN"/>
        </w:rPr>
        <w:t>，…，q</w:t>
      </w:r>
      <w:r>
        <w:rPr>
          <w:rFonts w:hint="default"/>
          <w:color w:val="auto"/>
          <w:vertAlign w:val="subscript"/>
          <w:lang w:val="en-US" w:eastAsia="zh-CN"/>
        </w:rPr>
        <w:t>n</w:t>
      </w:r>
      <w:r>
        <w:rPr>
          <w:rFonts w:hint="default"/>
          <w:color w:val="auto"/>
          <w:lang w:val="en-US" w:eastAsia="zh-CN"/>
        </w:rPr>
        <w:t>——每种危险化学品实际存在量，t。</w:t>
      </w:r>
    </w:p>
    <w:p w14:paraId="64DDE6C6">
      <w:pPr>
        <w:bidi w:val="0"/>
        <w:rPr>
          <w:rFonts w:hint="default"/>
          <w:color w:val="auto"/>
          <w:lang w:val="en-US" w:eastAsia="zh-CN"/>
        </w:rPr>
      </w:pPr>
      <w:r>
        <w:rPr>
          <w:rFonts w:hint="default"/>
          <w:color w:val="auto"/>
          <w:lang w:val="en-US" w:eastAsia="zh-CN"/>
        </w:rPr>
        <w:t>Q</w:t>
      </w:r>
      <w:r>
        <w:rPr>
          <w:rFonts w:hint="default"/>
          <w:color w:val="auto"/>
          <w:vertAlign w:val="subscript"/>
          <w:lang w:val="en-US" w:eastAsia="zh-CN"/>
        </w:rPr>
        <w:t>1</w:t>
      </w:r>
      <w:r>
        <w:rPr>
          <w:rFonts w:hint="default"/>
          <w:color w:val="auto"/>
          <w:lang w:val="en-US" w:eastAsia="zh-CN"/>
        </w:rPr>
        <w:t>，Q</w:t>
      </w:r>
      <w:r>
        <w:rPr>
          <w:rFonts w:hint="default"/>
          <w:color w:val="auto"/>
          <w:vertAlign w:val="subscript"/>
          <w:lang w:val="en-US" w:eastAsia="zh-CN"/>
        </w:rPr>
        <w:t>2</w:t>
      </w:r>
      <w:r>
        <w:rPr>
          <w:rFonts w:hint="default"/>
          <w:color w:val="auto"/>
          <w:lang w:val="en-US" w:eastAsia="zh-CN"/>
        </w:rPr>
        <w:t>，…，Q</w:t>
      </w:r>
      <w:r>
        <w:rPr>
          <w:rFonts w:hint="default"/>
          <w:color w:val="auto"/>
          <w:vertAlign w:val="subscript"/>
          <w:lang w:val="en-US" w:eastAsia="zh-CN"/>
        </w:rPr>
        <w:t>n</w:t>
      </w:r>
      <w:r>
        <w:rPr>
          <w:rFonts w:hint="default"/>
          <w:color w:val="auto"/>
          <w:lang w:val="en-US" w:eastAsia="zh-CN"/>
        </w:rPr>
        <w:t>——各危险化学品相对应的临界量，t。</w:t>
      </w:r>
    </w:p>
    <w:p w14:paraId="799C40EF">
      <w:pPr>
        <w:bidi w:val="0"/>
        <w:rPr>
          <w:rFonts w:hint="default"/>
          <w:color w:val="auto"/>
          <w:lang w:val="en-US" w:eastAsia="zh-CN"/>
        </w:rPr>
      </w:pPr>
      <w:r>
        <w:rPr>
          <w:rFonts w:hint="default"/>
          <w:color w:val="auto"/>
          <w:lang w:val="en-US" w:eastAsia="zh-CN"/>
        </w:rPr>
        <w:t>根据《危险化学品重大危险源辨识》（GB18218-2018）辨识，该项目</w:t>
      </w:r>
      <w:r>
        <w:rPr>
          <w:rFonts w:hint="eastAsia"/>
          <w:color w:val="auto"/>
          <w:lang w:val="en-US" w:eastAsia="zh-CN"/>
        </w:rPr>
        <w:t>不</w:t>
      </w:r>
      <w:r>
        <w:rPr>
          <w:rFonts w:hint="default"/>
          <w:color w:val="auto"/>
          <w:lang w:val="en-US" w:eastAsia="zh-CN"/>
        </w:rPr>
        <w:t>涉及的危险化学品</w:t>
      </w:r>
      <w:r>
        <w:rPr>
          <w:rFonts w:hint="eastAsia"/>
          <w:color w:val="auto"/>
          <w:lang w:val="en-US" w:eastAsia="zh-CN"/>
        </w:rPr>
        <w:t>，故柴油（油箱中），乙炔，氧气（检维修过程使用场所）未构成重大危险源</w:t>
      </w:r>
      <w:r>
        <w:rPr>
          <w:rFonts w:hint="default"/>
          <w:color w:val="auto"/>
          <w:lang w:val="en-US" w:eastAsia="zh-CN"/>
        </w:rPr>
        <w:t>。</w:t>
      </w:r>
    </w:p>
    <w:p w14:paraId="05FC359D">
      <w:pPr>
        <w:pStyle w:val="5"/>
        <w:bidi w:val="0"/>
        <w:rPr>
          <w:rFonts w:hint="default"/>
          <w:color w:val="auto"/>
          <w:lang w:val="en-US" w:eastAsia="zh-CN"/>
        </w:rPr>
      </w:pPr>
      <w:bookmarkStart w:id="24" w:name="_Toc21072"/>
      <w:r>
        <w:rPr>
          <w:rFonts w:hint="default"/>
          <w:color w:val="auto"/>
          <w:lang w:val="en-US" w:eastAsia="zh-CN"/>
        </w:rPr>
        <w:t>3.</w:t>
      </w:r>
      <w:r>
        <w:rPr>
          <w:rFonts w:hint="eastAsia"/>
          <w:color w:val="auto"/>
          <w:lang w:val="en-US" w:eastAsia="zh-CN"/>
        </w:rPr>
        <w:t>8</w:t>
      </w:r>
      <w:r>
        <w:rPr>
          <w:rFonts w:hint="default"/>
          <w:color w:val="auto"/>
          <w:lang w:val="en-US" w:eastAsia="zh-CN"/>
        </w:rPr>
        <w:t xml:space="preserve"> 评价项目主要危险及有害因素总结</w:t>
      </w:r>
      <w:bookmarkEnd w:id="24"/>
    </w:p>
    <w:p w14:paraId="25C9F293">
      <w:pPr>
        <w:bidi w:val="0"/>
        <w:rPr>
          <w:rFonts w:hint="default"/>
          <w:color w:val="auto"/>
          <w:lang w:val="en-US" w:eastAsia="zh-CN"/>
        </w:rPr>
      </w:pPr>
      <w:r>
        <w:rPr>
          <w:rFonts w:hint="default"/>
          <w:color w:val="auto"/>
          <w:lang w:val="en-US" w:eastAsia="zh-CN"/>
        </w:rPr>
        <w:t>针对该项目地质条件、自然条件、生产工艺系统及公用辅助设施等方面的具体特点，综合考虑自然因素、设备因素和人的因素（包括管理因素和设计因素），可辨识出该</w:t>
      </w:r>
      <w:r>
        <w:rPr>
          <w:rFonts w:hint="eastAsia"/>
          <w:color w:val="auto"/>
          <w:lang w:val="en-US" w:eastAsia="zh-CN"/>
        </w:rPr>
        <w:t>项目</w:t>
      </w:r>
      <w:r>
        <w:rPr>
          <w:rFonts w:hint="default"/>
          <w:color w:val="auto"/>
          <w:lang w:val="en-US" w:eastAsia="zh-CN"/>
        </w:rPr>
        <w:t>在今后生产经营活动中主要危险、有害因素，详见危险有害因素小结表3</w:t>
      </w:r>
      <w:r>
        <w:rPr>
          <w:rFonts w:hint="eastAsia"/>
          <w:color w:val="auto"/>
          <w:lang w:val="en-US" w:eastAsia="zh-CN"/>
        </w:rPr>
        <w:t>.8</w:t>
      </w:r>
      <w:r>
        <w:rPr>
          <w:rFonts w:hint="default"/>
          <w:color w:val="auto"/>
          <w:lang w:val="en-US" w:eastAsia="zh-CN"/>
        </w:rPr>
        <w:t>-</w:t>
      </w:r>
      <w:r>
        <w:rPr>
          <w:rFonts w:hint="eastAsia"/>
          <w:color w:val="auto"/>
          <w:lang w:val="en-US" w:eastAsia="zh-CN"/>
        </w:rPr>
        <w:t>1</w:t>
      </w:r>
      <w:r>
        <w:rPr>
          <w:rFonts w:hint="default"/>
          <w:color w:val="auto"/>
          <w:lang w:val="en-US" w:eastAsia="zh-CN"/>
        </w:rPr>
        <w:t>。</w:t>
      </w:r>
    </w:p>
    <w:p w14:paraId="1EB979AC">
      <w:pPr>
        <w:pStyle w:val="29"/>
        <w:bidi w:val="0"/>
        <w:rPr>
          <w:rFonts w:hint="default"/>
          <w:color w:val="auto"/>
          <w:lang w:val="en-US" w:eastAsia="zh-CN"/>
        </w:rPr>
      </w:pPr>
      <w:r>
        <w:rPr>
          <w:rFonts w:hint="default"/>
          <w:color w:val="auto"/>
          <w:lang w:val="en-US" w:eastAsia="zh-CN"/>
        </w:rPr>
        <w:t>表3</w:t>
      </w:r>
      <w:r>
        <w:rPr>
          <w:rFonts w:hint="eastAsia"/>
          <w:color w:val="auto"/>
          <w:lang w:val="en-US" w:eastAsia="zh-CN"/>
        </w:rPr>
        <w:t>.8</w:t>
      </w:r>
      <w:r>
        <w:rPr>
          <w:rFonts w:hint="default"/>
          <w:color w:val="auto"/>
          <w:lang w:val="en-US" w:eastAsia="zh-CN"/>
        </w:rPr>
        <w:t>-</w:t>
      </w:r>
      <w:r>
        <w:rPr>
          <w:rFonts w:hint="eastAsia"/>
          <w:color w:val="auto"/>
          <w:lang w:val="en-US" w:eastAsia="zh-CN"/>
        </w:rPr>
        <w:t>1</w:t>
      </w:r>
      <w:r>
        <w:rPr>
          <w:rFonts w:hint="default"/>
          <w:color w:val="auto"/>
          <w:lang w:val="en-US" w:eastAsia="zh-CN"/>
        </w:rPr>
        <w:t xml:space="preserve"> </w:t>
      </w:r>
      <w:r>
        <w:rPr>
          <w:rFonts w:hint="eastAsia"/>
          <w:color w:val="auto"/>
          <w:lang w:val="en-US" w:eastAsia="zh-CN"/>
        </w:rPr>
        <w:t xml:space="preserve"> </w:t>
      </w:r>
      <w:r>
        <w:rPr>
          <w:rFonts w:hint="default"/>
          <w:color w:val="auto"/>
          <w:lang w:val="en-US" w:eastAsia="zh-CN"/>
        </w:rPr>
        <w:t>主要危险有害因素汇总表</w:t>
      </w:r>
    </w:p>
    <w:tbl>
      <w:tblPr>
        <w:tblStyle w:val="2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487"/>
        <w:gridCol w:w="1411"/>
        <w:gridCol w:w="4812"/>
        <w:gridCol w:w="2129"/>
      </w:tblGrid>
      <w:tr w14:paraId="6758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7" w:hRule="atLeast"/>
          <w:tblHeader/>
          <w:jc w:val="center"/>
        </w:trPr>
        <w:tc>
          <w:tcPr>
            <w:tcW w:w="294" w:type="pct"/>
            <w:noWrap w:val="0"/>
            <w:vAlign w:val="center"/>
          </w:tcPr>
          <w:p w14:paraId="3A4433E8">
            <w:pPr>
              <w:pStyle w:val="30"/>
              <w:bidi w:val="0"/>
              <w:rPr>
                <w:b/>
                <w:bCs/>
                <w:color w:val="auto"/>
                <w:lang w:val="sq-AL"/>
              </w:rPr>
            </w:pPr>
            <w:r>
              <w:rPr>
                <w:b/>
                <w:bCs/>
                <w:color w:val="auto"/>
                <w:lang w:val="sq-AL"/>
              </w:rPr>
              <w:t>项目</w:t>
            </w:r>
          </w:p>
        </w:tc>
        <w:tc>
          <w:tcPr>
            <w:tcW w:w="259" w:type="pct"/>
            <w:noWrap w:val="0"/>
            <w:vAlign w:val="center"/>
          </w:tcPr>
          <w:p w14:paraId="7371BDF1">
            <w:pPr>
              <w:pStyle w:val="30"/>
              <w:bidi w:val="0"/>
              <w:rPr>
                <w:b/>
                <w:bCs/>
                <w:color w:val="auto"/>
                <w:lang w:val="sq-AL"/>
              </w:rPr>
            </w:pPr>
            <w:r>
              <w:rPr>
                <w:b/>
                <w:bCs/>
                <w:color w:val="auto"/>
                <w:lang w:val="sq-AL"/>
              </w:rPr>
              <w:t>序号</w:t>
            </w:r>
          </w:p>
        </w:tc>
        <w:tc>
          <w:tcPr>
            <w:tcW w:w="751" w:type="pct"/>
            <w:noWrap w:val="0"/>
            <w:vAlign w:val="center"/>
          </w:tcPr>
          <w:p w14:paraId="0C927E9B">
            <w:pPr>
              <w:pStyle w:val="30"/>
              <w:bidi w:val="0"/>
              <w:rPr>
                <w:b/>
                <w:bCs/>
                <w:color w:val="auto"/>
                <w:lang w:val="sq-AL"/>
              </w:rPr>
            </w:pPr>
            <w:r>
              <w:rPr>
                <w:b/>
                <w:bCs/>
                <w:color w:val="auto"/>
                <w:lang w:val="sq-AL"/>
              </w:rPr>
              <w:t>危险因</w:t>
            </w:r>
          </w:p>
          <w:p w14:paraId="4A7BBB2D">
            <w:pPr>
              <w:pStyle w:val="30"/>
              <w:bidi w:val="0"/>
              <w:rPr>
                <w:b/>
                <w:bCs/>
                <w:color w:val="auto"/>
                <w:lang w:val="sq-AL"/>
              </w:rPr>
            </w:pPr>
            <w:r>
              <w:rPr>
                <w:b/>
                <w:bCs/>
                <w:color w:val="auto"/>
                <w:lang w:val="sq-AL"/>
              </w:rPr>
              <w:t>素分类</w:t>
            </w:r>
          </w:p>
        </w:tc>
        <w:tc>
          <w:tcPr>
            <w:tcW w:w="2561" w:type="pct"/>
            <w:noWrap w:val="0"/>
            <w:vAlign w:val="center"/>
          </w:tcPr>
          <w:p w14:paraId="5C9CBBAC">
            <w:pPr>
              <w:pStyle w:val="30"/>
              <w:bidi w:val="0"/>
              <w:rPr>
                <w:b/>
                <w:bCs/>
                <w:color w:val="auto"/>
                <w:lang w:val="sq-AL"/>
              </w:rPr>
            </w:pPr>
            <w:r>
              <w:rPr>
                <w:b/>
                <w:bCs/>
                <w:color w:val="auto"/>
                <w:lang w:val="sq-AL"/>
              </w:rPr>
              <w:t>可能存在部位</w:t>
            </w:r>
          </w:p>
        </w:tc>
        <w:tc>
          <w:tcPr>
            <w:tcW w:w="1133" w:type="pct"/>
            <w:noWrap w:val="0"/>
            <w:vAlign w:val="center"/>
          </w:tcPr>
          <w:p w14:paraId="18DDA2EE">
            <w:pPr>
              <w:pStyle w:val="30"/>
              <w:bidi w:val="0"/>
              <w:rPr>
                <w:b/>
                <w:bCs/>
                <w:color w:val="auto"/>
                <w:lang w:val="sq-AL"/>
              </w:rPr>
            </w:pPr>
            <w:r>
              <w:rPr>
                <w:b/>
                <w:bCs/>
                <w:color w:val="auto"/>
                <w:lang w:val="sq-AL"/>
              </w:rPr>
              <w:t>可能造成的后果</w:t>
            </w:r>
          </w:p>
        </w:tc>
      </w:tr>
      <w:tr w14:paraId="49D0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4" w:type="pct"/>
            <w:vMerge w:val="restart"/>
            <w:noWrap w:val="0"/>
            <w:vAlign w:val="center"/>
          </w:tcPr>
          <w:p w14:paraId="7FCE5128">
            <w:pPr>
              <w:pStyle w:val="30"/>
              <w:bidi w:val="0"/>
              <w:rPr>
                <w:color w:val="auto"/>
                <w:lang w:val="sq-AL"/>
              </w:rPr>
            </w:pPr>
            <w:r>
              <w:rPr>
                <w:color w:val="auto"/>
                <w:lang w:val="sq-AL"/>
              </w:rPr>
              <w:t>危</w:t>
            </w:r>
          </w:p>
          <w:p w14:paraId="6B2ED385">
            <w:pPr>
              <w:pStyle w:val="30"/>
              <w:bidi w:val="0"/>
              <w:rPr>
                <w:color w:val="auto"/>
                <w:lang w:val="sq-AL"/>
              </w:rPr>
            </w:pPr>
            <w:r>
              <w:rPr>
                <w:color w:val="auto"/>
                <w:lang w:val="sq-AL"/>
              </w:rPr>
              <w:t>险</w:t>
            </w:r>
          </w:p>
          <w:p w14:paraId="2CF40818">
            <w:pPr>
              <w:pStyle w:val="30"/>
              <w:bidi w:val="0"/>
              <w:rPr>
                <w:color w:val="auto"/>
                <w:lang w:val="sq-AL"/>
              </w:rPr>
            </w:pPr>
            <w:r>
              <w:rPr>
                <w:color w:val="auto"/>
                <w:lang w:val="sq-AL"/>
              </w:rPr>
              <w:t>因</w:t>
            </w:r>
          </w:p>
          <w:p w14:paraId="26A627FE">
            <w:pPr>
              <w:pStyle w:val="30"/>
              <w:bidi w:val="0"/>
              <w:rPr>
                <w:color w:val="auto"/>
                <w:lang w:val="sq-AL"/>
              </w:rPr>
            </w:pPr>
            <w:r>
              <w:rPr>
                <w:color w:val="auto"/>
                <w:lang w:val="sq-AL"/>
              </w:rPr>
              <w:t>素</w:t>
            </w:r>
          </w:p>
        </w:tc>
        <w:tc>
          <w:tcPr>
            <w:tcW w:w="259" w:type="pct"/>
            <w:noWrap w:val="0"/>
            <w:vAlign w:val="center"/>
          </w:tcPr>
          <w:p w14:paraId="7038062A">
            <w:pPr>
              <w:pStyle w:val="30"/>
              <w:bidi w:val="0"/>
              <w:rPr>
                <w:color w:val="auto"/>
                <w:lang w:val="sq-AL"/>
              </w:rPr>
            </w:pPr>
            <w:r>
              <w:rPr>
                <w:color w:val="auto"/>
                <w:lang w:val="sq-AL"/>
              </w:rPr>
              <w:t>1</w:t>
            </w:r>
          </w:p>
        </w:tc>
        <w:tc>
          <w:tcPr>
            <w:tcW w:w="751" w:type="pct"/>
            <w:noWrap w:val="0"/>
            <w:vAlign w:val="center"/>
          </w:tcPr>
          <w:p w14:paraId="0AF4F579">
            <w:pPr>
              <w:pStyle w:val="30"/>
              <w:bidi w:val="0"/>
              <w:rPr>
                <w:rFonts w:hint="default"/>
                <w:color w:val="auto"/>
                <w:lang w:val="en-US" w:eastAsia="zh-CN"/>
              </w:rPr>
            </w:pPr>
            <w:r>
              <w:rPr>
                <w:color w:val="auto"/>
                <w:lang w:val="sq-AL"/>
              </w:rPr>
              <w:t>坍塌</w:t>
            </w:r>
          </w:p>
        </w:tc>
        <w:tc>
          <w:tcPr>
            <w:tcW w:w="2561" w:type="pct"/>
            <w:noWrap w:val="0"/>
            <w:vAlign w:val="center"/>
          </w:tcPr>
          <w:p w14:paraId="72902CBE">
            <w:pPr>
              <w:pStyle w:val="30"/>
              <w:bidi w:val="0"/>
              <w:rPr>
                <w:color w:val="auto"/>
                <w:lang w:val="sq-AL"/>
              </w:rPr>
            </w:pPr>
            <w:r>
              <w:rPr>
                <w:color w:val="auto"/>
              </w:rPr>
              <w:t>拟建项目施工过程中台阶开挖、支护、建构筑物施工及项目建成运行过程中均可能发生。</w:t>
            </w:r>
          </w:p>
        </w:tc>
        <w:tc>
          <w:tcPr>
            <w:tcW w:w="1133" w:type="pct"/>
            <w:noWrap w:val="0"/>
            <w:vAlign w:val="center"/>
          </w:tcPr>
          <w:p w14:paraId="7D42D15E">
            <w:pPr>
              <w:pStyle w:val="30"/>
              <w:bidi w:val="0"/>
              <w:rPr>
                <w:color w:val="auto"/>
                <w:lang w:val="sq-AL"/>
              </w:rPr>
            </w:pPr>
            <w:r>
              <w:rPr>
                <w:color w:val="auto"/>
                <w:lang w:val="sq-AL"/>
              </w:rPr>
              <w:t>人员伤亡、财产损失</w:t>
            </w:r>
          </w:p>
        </w:tc>
      </w:tr>
      <w:tr w14:paraId="436B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4" w:type="pct"/>
            <w:vMerge w:val="continue"/>
            <w:noWrap w:val="0"/>
            <w:vAlign w:val="center"/>
          </w:tcPr>
          <w:p w14:paraId="5284C0E2">
            <w:pPr>
              <w:pStyle w:val="30"/>
              <w:bidi w:val="0"/>
              <w:rPr>
                <w:color w:val="auto"/>
                <w:lang w:val="sq-AL"/>
              </w:rPr>
            </w:pPr>
          </w:p>
        </w:tc>
        <w:tc>
          <w:tcPr>
            <w:tcW w:w="259" w:type="pct"/>
            <w:noWrap w:val="0"/>
            <w:vAlign w:val="center"/>
          </w:tcPr>
          <w:p w14:paraId="01AF32F4">
            <w:pPr>
              <w:pStyle w:val="30"/>
              <w:bidi w:val="0"/>
              <w:rPr>
                <w:rFonts w:hint="eastAsia"/>
                <w:color w:val="auto"/>
                <w:lang w:val="en-US" w:eastAsia="zh-CN"/>
              </w:rPr>
            </w:pPr>
            <w:r>
              <w:rPr>
                <w:rFonts w:hint="eastAsia"/>
                <w:color w:val="auto"/>
                <w:lang w:val="en-US" w:eastAsia="zh-CN"/>
              </w:rPr>
              <w:t>2</w:t>
            </w:r>
          </w:p>
        </w:tc>
        <w:tc>
          <w:tcPr>
            <w:tcW w:w="751" w:type="pct"/>
            <w:noWrap w:val="0"/>
            <w:vAlign w:val="center"/>
          </w:tcPr>
          <w:p w14:paraId="2130B963">
            <w:pPr>
              <w:pStyle w:val="30"/>
              <w:bidi w:val="0"/>
              <w:rPr>
                <w:rFonts w:hint="eastAsia"/>
                <w:color w:val="auto"/>
                <w:lang w:val="en-US" w:eastAsia="zh-CN"/>
              </w:rPr>
            </w:pPr>
            <w:r>
              <w:rPr>
                <w:rFonts w:hint="eastAsia"/>
                <w:color w:val="auto"/>
                <w:lang w:val="en-US" w:eastAsia="zh-CN"/>
              </w:rPr>
              <w:t>滑坡</w:t>
            </w:r>
          </w:p>
        </w:tc>
        <w:tc>
          <w:tcPr>
            <w:tcW w:w="2561" w:type="pct"/>
            <w:noWrap w:val="0"/>
            <w:vAlign w:val="center"/>
          </w:tcPr>
          <w:p w14:paraId="61E62588">
            <w:pPr>
              <w:pStyle w:val="30"/>
              <w:bidi w:val="0"/>
              <w:rPr>
                <w:color w:val="auto"/>
              </w:rPr>
            </w:pPr>
            <w:r>
              <w:rPr>
                <w:rFonts w:hint="eastAsia"/>
                <w:color w:val="auto"/>
              </w:rPr>
              <w:t>雨季来临，会造成坍塌、滑坡。</w:t>
            </w:r>
          </w:p>
        </w:tc>
        <w:tc>
          <w:tcPr>
            <w:tcW w:w="1133" w:type="pct"/>
            <w:noWrap w:val="0"/>
            <w:vAlign w:val="center"/>
          </w:tcPr>
          <w:p w14:paraId="037A256B">
            <w:pPr>
              <w:pStyle w:val="30"/>
              <w:bidi w:val="0"/>
              <w:rPr>
                <w:color w:val="auto"/>
                <w:lang w:val="sq-AL" w:eastAsia="zh-CN"/>
              </w:rPr>
            </w:pPr>
            <w:r>
              <w:rPr>
                <w:color w:val="auto"/>
                <w:lang w:val="sq-AL"/>
              </w:rPr>
              <w:t>人员伤亡、财产损失</w:t>
            </w:r>
          </w:p>
        </w:tc>
      </w:tr>
      <w:tr w14:paraId="1E0A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94" w:type="pct"/>
            <w:vMerge w:val="continue"/>
            <w:noWrap w:val="0"/>
            <w:vAlign w:val="center"/>
          </w:tcPr>
          <w:p w14:paraId="20CE42CE">
            <w:pPr>
              <w:pStyle w:val="30"/>
              <w:bidi w:val="0"/>
              <w:rPr>
                <w:color w:val="auto"/>
                <w:lang w:val="sq-AL"/>
              </w:rPr>
            </w:pPr>
          </w:p>
        </w:tc>
        <w:tc>
          <w:tcPr>
            <w:tcW w:w="259" w:type="pct"/>
            <w:noWrap w:val="0"/>
            <w:vAlign w:val="center"/>
          </w:tcPr>
          <w:p w14:paraId="30349E87">
            <w:pPr>
              <w:pStyle w:val="30"/>
              <w:bidi w:val="0"/>
              <w:rPr>
                <w:rFonts w:hint="eastAsia"/>
                <w:color w:val="auto"/>
                <w:lang w:val="sq-AL" w:eastAsia="zh-CN"/>
              </w:rPr>
            </w:pPr>
            <w:r>
              <w:rPr>
                <w:rFonts w:hint="eastAsia"/>
                <w:color w:val="auto"/>
                <w:lang w:val="en-US" w:eastAsia="zh-CN"/>
              </w:rPr>
              <w:t>3</w:t>
            </w:r>
          </w:p>
        </w:tc>
        <w:tc>
          <w:tcPr>
            <w:tcW w:w="751" w:type="pct"/>
            <w:noWrap w:val="0"/>
            <w:vAlign w:val="center"/>
          </w:tcPr>
          <w:p w14:paraId="39A23860">
            <w:pPr>
              <w:pStyle w:val="30"/>
              <w:bidi w:val="0"/>
              <w:rPr>
                <w:color w:val="auto"/>
                <w:lang w:val="sq-AL"/>
              </w:rPr>
            </w:pPr>
            <w:r>
              <w:rPr>
                <w:color w:val="auto"/>
                <w:lang w:val="sq-AL"/>
              </w:rPr>
              <w:t>机械伤害</w:t>
            </w:r>
          </w:p>
        </w:tc>
        <w:tc>
          <w:tcPr>
            <w:tcW w:w="2561" w:type="pct"/>
            <w:noWrap w:val="0"/>
            <w:vAlign w:val="center"/>
          </w:tcPr>
          <w:p w14:paraId="321787EB">
            <w:pPr>
              <w:pStyle w:val="30"/>
              <w:bidi w:val="0"/>
              <w:rPr>
                <w:color w:val="auto"/>
                <w:lang w:val="sq-AL"/>
              </w:rPr>
            </w:pPr>
            <w:r>
              <w:rPr>
                <w:rFonts w:hint="eastAsia"/>
                <w:color w:val="auto"/>
                <w:lang w:val="en-US" w:eastAsia="zh-CN"/>
              </w:rPr>
              <w:t>尾矿升级</w:t>
            </w:r>
            <w:r>
              <w:rPr>
                <w:color w:val="auto"/>
                <w:lang w:val="sq-AL"/>
              </w:rPr>
              <w:t>系统的设备引起的机械事故</w:t>
            </w:r>
          </w:p>
        </w:tc>
        <w:tc>
          <w:tcPr>
            <w:tcW w:w="1133" w:type="pct"/>
            <w:noWrap w:val="0"/>
            <w:vAlign w:val="center"/>
          </w:tcPr>
          <w:p w14:paraId="6571488D">
            <w:pPr>
              <w:pStyle w:val="30"/>
              <w:bidi w:val="0"/>
              <w:rPr>
                <w:color w:val="auto"/>
                <w:lang w:val="sq-AL"/>
              </w:rPr>
            </w:pPr>
            <w:r>
              <w:rPr>
                <w:color w:val="auto"/>
                <w:lang w:val="sq-AL"/>
              </w:rPr>
              <w:t>人员重伤或死亡</w:t>
            </w:r>
          </w:p>
        </w:tc>
      </w:tr>
      <w:tr w14:paraId="5793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94" w:type="pct"/>
            <w:vMerge w:val="continue"/>
            <w:noWrap w:val="0"/>
            <w:vAlign w:val="center"/>
          </w:tcPr>
          <w:p w14:paraId="3CB9AC6B">
            <w:pPr>
              <w:pStyle w:val="30"/>
              <w:bidi w:val="0"/>
              <w:rPr>
                <w:color w:val="auto"/>
                <w:lang w:val="sq-AL"/>
              </w:rPr>
            </w:pPr>
          </w:p>
        </w:tc>
        <w:tc>
          <w:tcPr>
            <w:tcW w:w="259" w:type="pct"/>
            <w:noWrap w:val="0"/>
            <w:vAlign w:val="center"/>
          </w:tcPr>
          <w:p w14:paraId="728A8912">
            <w:pPr>
              <w:pStyle w:val="30"/>
              <w:bidi w:val="0"/>
              <w:rPr>
                <w:rFonts w:hint="eastAsia"/>
                <w:color w:val="auto"/>
                <w:lang w:val="sq-AL" w:eastAsia="zh-CN"/>
              </w:rPr>
            </w:pPr>
            <w:r>
              <w:rPr>
                <w:rFonts w:hint="eastAsia"/>
                <w:color w:val="auto"/>
                <w:lang w:val="en-US" w:eastAsia="zh-CN"/>
              </w:rPr>
              <w:t>4</w:t>
            </w:r>
          </w:p>
        </w:tc>
        <w:tc>
          <w:tcPr>
            <w:tcW w:w="751" w:type="pct"/>
            <w:noWrap w:val="0"/>
            <w:vAlign w:val="center"/>
          </w:tcPr>
          <w:p w14:paraId="14BA2C8A">
            <w:pPr>
              <w:pStyle w:val="30"/>
              <w:bidi w:val="0"/>
              <w:rPr>
                <w:color w:val="auto"/>
                <w:lang w:val="sq-AL"/>
              </w:rPr>
            </w:pPr>
            <w:r>
              <w:rPr>
                <w:color w:val="auto"/>
                <w:lang w:val="sq-AL"/>
              </w:rPr>
              <w:t>车辆伤害</w:t>
            </w:r>
          </w:p>
        </w:tc>
        <w:tc>
          <w:tcPr>
            <w:tcW w:w="2561" w:type="pct"/>
            <w:noWrap w:val="0"/>
            <w:vAlign w:val="center"/>
          </w:tcPr>
          <w:p w14:paraId="5E14E8CD">
            <w:pPr>
              <w:pStyle w:val="30"/>
              <w:bidi w:val="0"/>
              <w:rPr>
                <w:color w:val="auto"/>
                <w:lang w:val="sq-AL"/>
              </w:rPr>
            </w:pPr>
            <w:r>
              <w:rPr>
                <w:color w:val="auto"/>
                <w:lang w:val="sq-AL"/>
              </w:rPr>
              <w:t>运输过程中的各种车辆设备。</w:t>
            </w:r>
          </w:p>
        </w:tc>
        <w:tc>
          <w:tcPr>
            <w:tcW w:w="1133" w:type="pct"/>
            <w:noWrap w:val="0"/>
            <w:vAlign w:val="center"/>
          </w:tcPr>
          <w:p w14:paraId="6EEE29AA">
            <w:pPr>
              <w:pStyle w:val="30"/>
              <w:bidi w:val="0"/>
              <w:rPr>
                <w:color w:val="auto"/>
                <w:lang w:val="sq-AL"/>
              </w:rPr>
            </w:pPr>
            <w:r>
              <w:rPr>
                <w:color w:val="auto"/>
                <w:lang w:val="sq-AL"/>
              </w:rPr>
              <w:t>人员伤亡</w:t>
            </w:r>
          </w:p>
        </w:tc>
      </w:tr>
      <w:tr w14:paraId="04CA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4" w:type="pct"/>
            <w:vMerge w:val="continue"/>
            <w:noWrap w:val="0"/>
            <w:vAlign w:val="center"/>
          </w:tcPr>
          <w:p w14:paraId="1CB91C5B">
            <w:pPr>
              <w:pStyle w:val="30"/>
              <w:bidi w:val="0"/>
              <w:rPr>
                <w:color w:val="auto"/>
                <w:lang w:val="sq-AL"/>
              </w:rPr>
            </w:pPr>
          </w:p>
        </w:tc>
        <w:tc>
          <w:tcPr>
            <w:tcW w:w="259" w:type="pct"/>
            <w:noWrap w:val="0"/>
            <w:vAlign w:val="center"/>
          </w:tcPr>
          <w:p w14:paraId="0336E046">
            <w:pPr>
              <w:pStyle w:val="30"/>
              <w:bidi w:val="0"/>
              <w:rPr>
                <w:rFonts w:hint="eastAsia"/>
                <w:color w:val="auto"/>
                <w:lang w:val="sq-AL" w:eastAsia="zh-CN"/>
              </w:rPr>
            </w:pPr>
            <w:r>
              <w:rPr>
                <w:rFonts w:hint="eastAsia"/>
                <w:color w:val="auto"/>
                <w:lang w:val="en-US" w:eastAsia="zh-CN"/>
              </w:rPr>
              <w:t>5</w:t>
            </w:r>
          </w:p>
        </w:tc>
        <w:tc>
          <w:tcPr>
            <w:tcW w:w="751" w:type="pct"/>
            <w:noWrap w:val="0"/>
            <w:vAlign w:val="center"/>
          </w:tcPr>
          <w:p w14:paraId="539B86EA">
            <w:pPr>
              <w:pStyle w:val="30"/>
              <w:bidi w:val="0"/>
              <w:rPr>
                <w:color w:val="auto"/>
                <w:lang w:val="sq-AL"/>
              </w:rPr>
            </w:pPr>
            <w:r>
              <w:rPr>
                <w:color w:val="auto"/>
                <w:lang w:val="sq-AL"/>
              </w:rPr>
              <w:t>触电</w:t>
            </w:r>
          </w:p>
        </w:tc>
        <w:tc>
          <w:tcPr>
            <w:tcW w:w="2561" w:type="pct"/>
            <w:noWrap w:val="0"/>
            <w:vAlign w:val="center"/>
          </w:tcPr>
          <w:p w14:paraId="384DE918">
            <w:pPr>
              <w:pStyle w:val="30"/>
              <w:bidi w:val="0"/>
              <w:rPr>
                <w:color w:val="auto"/>
                <w:lang w:val="sq-AL"/>
              </w:rPr>
            </w:pPr>
            <w:r>
              <w:rPr>
                <w:color w:val="auto"/>
                <w:lang w:val="sq-AL"/>
              </w:rPr>
              <w:t>车间、供电线路及各种用电设备</w:t>
            </w:r>
          </w:p>
        </w:tc>
        <w:tc>
          <w:tcPr>
            <w:tcW w:w="1133" w:type="pct"/>
            <w:noWrap w:val="0"/>
            <w:vAlign w:val="center"/>
          </w:tcPr>
          <w:p w14:paraId="30F10159">
            <w:pPr>
              <w:pStyle w:val="30"/>
              <w:bidi w:val="0"/>
              <w:rPr>
                <w:color w:val="auto"/>
                <w:lang w:val="sq-AL"/>
              </w:rPr>
            </w:pPr>
            <w:r>
              <w:rPr>
                <w:color w:val="auto"/>
                <w:lang w:val="sq-AL"/>
              </w:rPr>
              <w:t>人员伤亡</w:t>
            </w:r>
          </w:p>
        </w:tc>
      </w:tr>
      <w:tr w14:paraId="404C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Merge w:val="continue"/>
            <w:noWrap w:val="0"/>
            <w:vAlign w:val="center"/>
          </w:tcPr>
          <w:p w14:paraId="69BDD974">
            <w:pPr>
              <w:pStyle w:val="30"/>
              <w:bidi w:val="0"/>
              <w:rPr>
                <w:color w:val="auto"/>
                <w:lang w:val="sq-AL"/>
              </w:rPr>
            </w:pPr>
          </w:p>
        </w:tc>
        <w:tc>
          <w:tcPr>
            <w:tcW w:w="259" w:type="pct"/>
            <w:noWrap w:val="0"/>
            <w:vAlign w:val="center"/>
          </w:tcPr>
          <w:p w14:paraId="30AC4FA3">
            <w:pPr>
              <w:pStyle w:val="30"/>
              <w:bidi w:val="0"/>
              <w:rPr>
                <w:rFonts w:hint="eastAsia"/>
                <w:color w:val="auto"/>
                <w:lang w:val="sq-AL" w:eastAsia="zh-CN"/>
              </w:rPr>
            </w:pPr>
            <w:r>
              <w:rPr>
                <w:rFonts w:hint="eastAsia"/>
                <w:color w:val="auto"/>
                <w:lang w:val="en-US" w:eastAsia="zh-CN"/>
              </w:rPr>
              <w:t>6</w:t>
            </w:r>
          </w:p>
        </w:tc>
        <w:tc>
          <w:tcPr>
            <w:tcW w:w="751" w:type="pct"/>
            <w:noWrap w:val="0"/>
            <w:vAlign w:val="center"/>
          </w:tcPr>
          <w:p w14:paraId="4006655A">
            <w:pPr>
              <w:pStyle w:val="30"/>
              <w:bidi w:val="0"/>
              <w:rPr>
                <w:color w:val="auto"/>
                <w:lang w:val="sq-AL"/>
              </w:rPr>
            </w:pPr>
            <w:r>
              <w:rPr>
                <w:color w:val="auto"/>
                <w:lang w:val="sq-AL"/>
              </w:rPr>
              <w:t>物体打击</w:t>
            </w:r>
          </w:p>
        </w:tc>
        <w:tc>
          <w:tcPr>
            <w:tcW w:w="2561" w:type="pct"/>
            <w:noWrap w:val="0"/>
            <w:vAlign w:val="center"/>
          </w:tcPr>
          <w:p w14:paraId="5FBCCA9D">
            <w:pPr>
              <w:pStyle w:val="30"/>
              <w:bidi w:val="0"/>
              <w:rPr>
                <w:color w:val="auto"/>
                <w:lang w:val="sq-AL"/>
              </w:rPr>
            </w:pPr>
            <w:r>
              <w:rPr>
                <w:color w:val="auto"/>
                <w:lang w:val="sq-AL"/>
              </w:rPr>
              <w:t>厂区周围山坡，公路，运输物件装卸、材料搬运、各设备的检修等过程中。</w:t>
            </w:r>
          </w:p>
        </w:tc>
        <w:tc>
          <w:tcPr>
            <w:tcW w:w="1133" w:type="pct"/>
            <w:noWrap w:val="0"/>
            <w:vAlign w:val="center"/>
          </w:tcPr>
          <w:p w14:paraId="42D87FED">
            <w:pPr>
              <w:pStyle w:val="30"/>
              <w:bidi w:val="0"/>
              <w:rPr>
                <w:color w:val="auto"/>
                <w:lang w:val="sq-AL"/>
              </w:rPr>
            </w:pPr>
            <w:r>
              <w:rPr>
                <w:color w:val="auto"/>
                <w:lang w:val="sq-AL"/>
              </w:rPr>
              <w:t>人员伤亡、财产损失</w:t>
            </w:r>
          </w:p>
        </w:tc>
      </w:tr>
      <w:tr w14:paraId="7BFF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Merge w:val="continue"/>
            <w:noWrap w:val="0"/>
            <w:vAlign w:val="center"/>
          </w:tcPr>
          <w:p w14:paraId="520FCFE6">
            <w:pPr>
              <w:pStyle w:val="30"/>
              <w:bidi w:val="0"/>
              <w:rPr>
                <w:color w:val="auto"/>
                <w:lang w:val="sq-AL"/>
              </w:rPr>
            </w:pPr>
          </w:p>
        </w:tc>
        <w:tc>
          <w:tcPr>
            <w:tcW w:w="259" w:type="pct"/>
            <w:noWrap w:val="0"/>
            <w:vAlign w:val="center"/>
          </w:tcPr>
          <w:p w14:paraId="10576D26">
            <w:pPr>
              <w:pStyle w:val="30"/>
              <w:bidi w:val="0"/>
              <w:rPr>
                <w:rFonts w:hint="eastAsia"/>
                <w:color w:val="auto"/>
                <w:lang w:val="sq-AL" w:eastAsia="zh-CN"/>
              </w:rPr>
            </w:pPr>
            <w:r>
              <w:rPr>
                <w:rFonts w:hint="eastAsia"/>
                <w:color w:val="auto"/>
                <w:lang w:val="en-US" w:eastAsia="zh-CN"/>
              </w:rPr>
              <w:t>7</w:t>
            </w:r>
          </w:p>
        </w:tc>
        <w:tc>
          <w:tcPr>
            <w:tcW w:w="751" w:type="pct"/>
            <w:noWrap w:val="0"/>
            <w:vAlign w:val="center"/>
          </w:tcPr>
          <w:p w14:paraId="7CCB846B">
            <w:pPr>
              <w:pStyle w:val="30"/>
              <w:bidi w:val="0"/>
              <w:rPr>
                <w:color w:val="auto"/>
                <w:lang w:val="sq-AL"/>
              </w:rPr>
            </w:pPr>
            <w:r>
              <w:rPr>
                <w:color w:val="auto"/>
                <w:lang w:val="sq-AL"/>
              </w:rPr>
              <w:t>高处坠落</w:t>
            </w:r>
          </w:p>
        </w:tc>
        <w:tc>
          <w:tcPr>
            <w:tcW w:w="2561" w:type="pct"/>
            <w:noWrap w:val="0"/>
            <w:vAlign w:val="center"/>
          </w:tcPr>
          <w:p w14:paraId="6E6AF744">
            <w:pPr>
              <w:pStyle w:val="30"/>
              <w:bidi w:val="0"/>
              <w:rPr>
                <w:color w:val="auto"/>
                <w:lang w:val="sq-AL"/>
              </w:rPr>
            </w:pPr>
            <w:r>
              <w:rPr>
                <w:color w:val="auto"/>
                <w:lang w:val="sq-AL"/>
              </w:rPr>
              <w:t>高度基准面2m以上作业，或在设施的维护和检修及其它临时性作业过程中的高处作业。</w:t>
            </w:r>
          </w:p>
        </w:tc>
        <w:tc>
          <w:tcPr>
            <w:tcW w:w="1133" w:type="pct"/>
            <w:noWrap w:val="0"/>
            <w:vAlign w:val="center"/>
          </w:tcPr>
          <w:p w14:paraId="66AF4FB3">
            <w:pPr>
              <w:pStyle w:val="30"/>
              <w:bidi w:val="0"/>
              <w:rPr>
                <w:color w:val="auto"/>
                <w:lang w:val="sq-AL"/>
              </w:rPr>
            </w:pPr>
            <w:r>
              <w:rPr>
                <w:color w:val="auto"/>
                <w:lang w:val="sq-AL"/>
              </w:rPr>
              <w:t>人员死亡、财产损失</w:t>
            </w:r>
          </w:p>
        </w:tc>
      </w:tr>
      <w:tr w14:paraId="2E47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Merge w:val="continue"/>
            <w:noWrap w:val="0"/>
            <w:vAlign w:val="center"/>
          </w:tcPr>
          <w:p w14:paraId="3586B270">
            <w:pPr>
              <w:pStyle w:val="30"/>
              <w:bidi w:val="0"/>
              <w:rPr>
                <w:color w:val="auto"/>
                <w:lang w:val="sq-AL"/>
              </w:rPr>
            </w:pPr>
          </w:p>
        </w:tc>
        <w:tc>
          <w:tcPr>
            <w:tcW w:w="259" w:type="pct"/>
            <w:noWrap w:val="0"/>
            <w:vAlign w:val="center"/>
          </w:tcPr>
          <w:p w14:paraId="445105C8">
            <w:pPr>
              <w:pStyle w:val="30"/>
              <w:bidi w:val="0"/>
              <w:rPr>
                <w:rFonts w:hint="default"/>
                <w:color w:val="auto"/>
                <w:lang w:val="en-US" w:eastAsia="zh-CN"/>
              </w:rPr>
            </w:pPr>
            <w:r>
              <w:rPr>
                <w:rFonts w:hint="eastAsia"/>
                <w:color w:val="auto"/>
                <w:lang w:val="en-US" w:eastAsia="zh-CN"/>
              </w:rPr>
              <w:t>8</w:t>
            </w:r>
          </w:p>
        </w:tc>
        <w:tc>
          <w:tcPr>
            <w:tcW w:w="751" w:type="pct"/>
            <w:noWrap w:val="0"/>
            <w:vAlign w:val="center"/>
          </w:tcPr>
          <w:p w14:paraId="7863E622">
            <w:pPr>
              <w:pStyle w:val="30"/>
              <w:bidi w:val="0"/>
              <w:rPr>
                <w:rFonts w:hint="eastAsia" w:eastAsia="宋体"/>
                <w:color w:val="auto"/>
                <w:lang w:val="en-US" w:eastAsia="zh-CN"/>
              </w:rPr>
            </w:pPr>
            <w:r>
              <w:rPr>
                <w:rFonts w:hint="eastAsia"/>
                <w:color w:val="auto"/>
                <w:lang w:val="en-US" w:eastAsia="zh-CN"/>
              </w:rPr>
              <w:t>起重伤害</w:t>
            </w:r>
          </w:p>
        </w:tc>
        <w:tc>
          <w:tcPr>
            <w:tcW w:w="2561" w:type="pct"/>
            <w:noWrap w:val="0"/>
            <w:vAlign w:val="center"/>
          </w:tcPr>
          <w:p w14:paraId="5448704D">
            <w:pPr>
              <w:pStyle w:val="30"/>
              <w:bidi w:val="0"/>
              <w:rPr>
                <w:rFonts w:hint="eastAsia" w:eastAsia="宋体"/>
                <w:color w:val="auto"/>
                <w:lang w:val="sq-AL" w:eastAsia="zh-CN"/>
              </w:rPr>
            </w:pPr>
            <w:r>
              <w:rPr>
                <w:rFonts w:hint="eastAsia"/>
                <w:color w:val="auto"/>
                <w:lang w:val="sq-AL"/>
              </w:rPr>
              <w:t>使用电动单梁吊和电葫芦的区域</w:t>
            </w:r>
            <w:r>
              <w:rPr>
                <w:rFonts w:hint="eastAsia"/>
                <w:color w:val="auto"/>
                <w:lang w:val="sq-AL" w:eastAsia="zh-CN"/>
              </w:rPr>
              <w:t>。</w:t>
            </w:r>
          </w:p>
        </w:tc>
        <w:tc>
          <w:tcPr>
            <w:tcW w:w="1133" w:type="pct"/>
            <w:noWrap w:val="0"/>
            <w:vAlign w:val="center"/>
          </w:tcPr>
          <w:p w14:paraId="6B7D9A3C">
            <w:pPr>
              <w:pStyle w:val="30"/>
              <w:bidi w:val="0"/>
              <w:rPr>
                <w:color w:val="auto"/>
                <w:lang w:val="sq-AL"/>
              </w:rPr>
            </w:pPr>
            <w:r>
              <w:rPr>
                <w:color w:val="auto"/>
                <w:lang w:val="sq-AL"/>
              </w:rPr>
              <w:t>人员死亡、财产损失</w:t>
            </w:r>
          </w:p>
        </w:tc>
      </w:tr>
      <w:tr w14:paraId="7ED0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4" w:type="pct"/>
            <w:vMerge w:val="continue"/>
            <w:noWrap w:val="0"/>
            <w:vAlign w:val="center"/>
          </w:tcPr>
          <w:p w14:paraId="4E14ECC3">
            <w:pPr>
              <w:pStyle w:val="30"/>
              <w:bidi w:val="0"/>
              <w:rPr>
                <w:color w:val="auto"/>
                <w:lang w:val="sq-AL"/>
              </w:rPr>
            </w:pPr>
          </w:p>
        </w:tc>
        <w:tc>
          <w:tcPr>
            <w:tcW w:w="259" w:type="pct"/>
            <w:noWrap w:val="0"/>
            <w:vAlign w:val="center"/>
          </w:tcPr>
          <w:p w14:paraId="6C064B01">
            <w:pPr>
              <w:pStyle w:val="30"/>
              <w:bidi w:val="0"/>
              <w:rPr>
                <w:rFonts w:hint="default"/>
                <w:color w:val="auto"/>
                <w:lang w:val="en-US" w:eastAsia="zh-CN"/>
              </w:rPr>
            </w:pPr>
            <w:r>
              <w:rPr>
                <w:rFonts w:hint="eastAsia"/>
                <w:color w:val="auto"/>
                <w:lang w:val="en-US" w:eastAsia="zh-CN"/>
              </w:rPr>
              <w:t>9</w:t>
            </w:r>
          </w:p>
        </w:tc>
        <w:tc>
          <w:tcPr>
            <w:tcW w:w="751" w:type="pct"/>
            <w:noWrap w:val="0"/>
            <w:vAlign w:val="center"/>
          </w:tcPr>
          <w:p w14:paraId="53F7AF29">
            <w:pPr>
              <w:pStyle w:val="30"/>
              <w:bidi w:val="0"/>
              <w:rPr>
                <w:color w:val="auto"/>
                <w:lang w:val="sq-AL"/>
              </w:rPr>
            </w:pPr>
            <w:r>
              <w:rPr>
                <w:color w:val="auto"/>
                <w:lang w:val="sq-AL"/>
              </w:rPr>
              <w:t>火灾、爆炸</w:t>
            </w:r>
          </w:p>
        </w:tc>
        <w:tc>
          <w:tcPr>
            <w:tcW w:w="2561" w:type="pct"/>
            <w:noWrap w:val="0"/>
            <w:vAlign w:val="center"/>
          </w:tcPr>
          <w:p w14:paraId="73DC7FDF">
            <w:pPr>
              <w:pStyle w:val="30"/>
              <w:bidi w:val="0"/>
              <w:rPr>
                <w:color w:val="auto"/>
                <w:lang w:val="sq-AL"/>
              </w:rPr>
            </w:pPr>
            <w:r>
              <w:rPr>
                <w:color w:val="auto"/>
                <w:lang w:val="sq-AL"/>
              </w:rPr>
              <w:t>厂区电器线路短路、其它可燃油品、电气设备。</w:t>
            </w:r>
          </w:p>
        </w:tc>
        <w:tc>
          <w:tcPr>
            <w:tcW w:w="1133" w:type="pct"/>
            <w:noWrap w:val="0"/>
            <w:vAlign w:val="center"/>
          </w:tcPr>
          <w:p w14:paraId="3C3C0506">
            <w:pPr>
              <w:pStyle w:val="30"/>
              <w:bidi w:val="0"/>
              <w:rPr>
                <w:color w:val="auto"/>
                <w:lang w:val="sq-AL"/>
              </w:rPr>
            </w:pPr>
            <w:r>
              <w:rPr>
                <w:color w:val="auto"/>
                <w:lang w:val="sq-AL"/>
              </w:rPr>
              <w:t>人员死亡、财产损失</w:t>
            </w:r>
          </w:p>
        </w:tc>
      </w:tr>
      <w:tr w14:paraId="7F74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94" w:type="pct"/>
            <w:vMerge w:val="continue"/>
            <w:noWrap w:val="0"/>
            <w:vAlign w:val="center"/>
          </w:tcPr>
          <w:p w14:paraId="1E88C853">
            <w:pPr>
              <w:pStyle w:val="30"/>
              <w:bidi w:val="0"/>
              <w:rPr>
                <w:color w:val="auto"/>
                <w:lang w:val="sq-AL"/>
              </w:rPr>
            </w:pPr>
          </w:p>
        </w:tc>
        <w:tc>
          <w:tcPr>
            <w:tcW w:w="259" w:type="pct"/>
            <w:noWrap w:val="0"/>
            <w:vAlign w:val="center"/>
          </w:tcPr>
          <w:p w14:paraId="71A599FA">
            <w:pPr>
              <w:pStyle w:val="30"/>
              <w:bidi w:val="0"/>
              <w:rPr>
                <w:rFonts w:hint="default"/>
                <w:color w:val="auto"/>
                <w:lang w:val="en-US" w:eastAsia="zh-CN"/>
              </w:rPr>
            </w:pPr>
            <w:r>
              <w:rPr>
                <w:rFonts w:hint="eastAsia"/>
                <w:color w:val="auto"/>
                <w:lang w:val="en-US" w:eastAsia="zh-CN"/>
              </w:rPr>
              <w:t>10</w:t>
            </w:r>
          </w:p>
        </w:tc>
        <w:tc>
          <w:tcPr>
            <w:tcW w:w="751" w:type="pct"/>
            <w:noWrap w:val="0"/>
            <w:vAlign w:val="center"/>
          </w:tcPr>
          <w:p w14:paraId="42FCF690">
            <w:pPr>
              <w:pStyle w:val="30"/>
              <w:bidi w:val="0"/>
              <w:rPr>
                <w:color w:val="auto"/>
                <w:lang w:val="sq-AL"/>
              </w:rPr>
            </w:pPr>
            <w:r>
              <w:rPr>
                <w:color w:val="auto"/>
                <w:lang w:val="sq-AL"/>
              </w:rPr>
              <w:t>淹溺</w:t>
            </w:r>
          </w:p>
        </w:tc>
        <w:tc>
          <w:tcPr>
            <w:tcW w:w="2561" w:type="pct"/>
            <w:noWrap w:val="0"/>
            <w:vAlign w:val="center"/>
          </w:tcPr>
          <w:p w14:paraId="3CE73DEB">
            <w:pPr>
              <w:pStyle w:val="30"/>
              <w:bidi w:val="0"/>
              <w:rPr>
                <w:rFonts w:hint="default" w:eastAsia="宋体"/>
                <w:color w:val="auto"/>
                <w:lang w:val="en-US" w:eastAsia="zh-CN"/>
              </w:rPr>
            </w:pPr>
            <w:r>
              <w:rPr>
                <w:rFonts w:hint="eastAsia"/>
                <w:color w:val="auto"/>
                <w:lang w:val="en-US" w:eastAsia="zh-CN"/>
              </w:rPr>
              <w:t>新水池、回水池、事故池、浓缩机等。</w:t>
            </w:r>
          </w:p>
        </w:tc>
        <w:tc>
          <w:tcPr>
            <w:tcW w:w="1133" w:type="pct"/>
            <w:noWrap w:val="0"/>
            <w:vAlign w:val="center"/>
          </w:tcPr>
          <w:p w14:paraId="7EE948A2">
            <w:pPr>
              <w:pStyle w:val="30"/>
              <w:bidi w:val="0"/>
              <w:rPr>
                <w:color w:val="auto"/>
                <w:lang w:val="sq-AL"/>
              </w:rPr>
            </w:pPr>
            <w:r>
              <w:rPr>
                <w:color w:val="auto"/>
                <w:lang w:val="sq-AL"/>
              </w:rPr>
              <w:t>人员伤亡</w:t>
            </w:r>
          </w:p>
        </w:tc>
      </w:tr>
      <w:tr w14:paraId="3836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4" w:type="pct"/>
            <w:vMerge w:val="continue"/>
            <w:noWrap w:val="0"/>
            <w:vAlign w:val="center"/>
          </w:tcPr>
          <w:p w14:paraId="6BAC6C80">
            <w:pPr>
              <w:pStyle w:val="30"/>
              <w:bidi w:val="0"/>
              <w:rPr>
                <w:color w:val="auto"/>
                <w:lang w:val="sq-AL"/>
              </w:rPr>
            </w:pPr>
          </w:p>
        </w:tc>
        <w:tc>
          <w:tcPr>
            <w:tcW w:w="259" w:type="pct"/>
            <w:noWrap w:val="0"/>
            <w:vAlign w:val="center"/>
          </w:tcPr>
          <w:p w14:paraId="4A8B9F88">
            <w:pPr>
              <w:pStyle w:val="30"/>
              <w:bidi w:val="0"/>
              <w:rPr>
                <w:rFonts w:hint="default"/>
                <w:color w:val="auto"/>
                <w:lang w:val="en-US" w:eastAsia="zh-CN"/>
              </w:rPr>
            </w:pPr>
            <w:r>
              <w:rPr>
                <w:rFonts w:hint="eastAsia"/>
                <w:color w:val="auto"/>
                <w:lang w:val="en-US" w:eastAsia="zh-CN"/>
              </w:rPr>
              <w:t>11</w:t>
            </w:r>
          </w:p>
        </w:tc>
        <w:tc>
          <w:tcPr>
            <w:tcW w:w="751" w:type="pct"/>
            <w:noWrap w:val="0"/>
            <w:vAlign w:val="center"/>
          </w:tcPr>
          <w:p w14:paraId="2ABC5B6D">
            <w:pPr>
              <w:pStyle w:val="30"/>
              <w:bidi w:val="0"/>
              <w:rPr>
                <w:color w:val="auto"/>
                <w:lang w:val="sq-AL"/>
              </w:rPr>
            </w:pPr>
            <w:r>
              <w:rPr>
                <w:rFonts w:hint="eastAsia"/>
                <w:color w:val="auto"/>
                <w:lang w:val="en-US" w:eastAsia="zh-CN"/>
              </w:rPr>
              <w:t>中毒和</w:t>
            </w:r>
            <w:r>
              <w:rPr>
                <w:color w:val="auto"/>
                <w:lang w:val="sq-AL"/>
              </w:rPr>
              <w:t>窒息</w:t>
            </w:r>
          </w:p>
        </w:tc>
        <w:tc>
          <w:tcPr>
            <w:tcW w:w="2561" w:type="pct"/>
            <w:noWrap w:val="0"/>
            <w:vAlign w:val="center"/>
          </w:tcPr>
          <w:p w14:paraId="44C27191">
            <w:pPr>
              <w:pStyle w:val="30"/>
              <w:bidi w:val="0"/>
              <w:rPr>
                <w:rFonts w:hint="eastAsia"/>
                <w:color w:val="auto"/>
                <w:lang w:val="sq-AL" w:eastAsia="zh-CN"/>
              </w:rPr>
            </w:pPr>
            <w:r>
              <w:rPr>
                <w:rFonts w:hint="eastAsia"/>
                <w:color w:val="auto"/>
                <w:lang w:val="en-US" w:eastAsia="zh-CN"/>
              </w:rPr>
              <w:t>新水池、回水池、事故池、浓缩机等。</w:t>
            </w:r>
          </w:p>
        </w:tc>
        <w:tc>
          <w:tcPr>
            <w:tcW w:w="1133" w:type="pct"/>
            <w:noWrap w:val="0"/>
            <w:vAlign w:val="center"/>
          </w:tcPr>
          <w:p w14:paraId="2F775ED0">
            <w:pPr>
              <w:pStyle w:val="30"/>
              <w:bidi w:val="0"/>
              <w:rPr>
                <w:color w:val="auto"/>
                <w:lang w:val="sq-AL"/>
              </w:rPr>
            </w:pPr>
            <w:r>
              <w:rPr>
                <w:color w:val="auto"/>
                <w:lang w:val="sq-AL"/>
              </w:rPr>
              <w:t>人员伤亡</w:t>
            </w:r>
          </w:p>
        </w:tc>
      </w:tr>
      <w:tr w14:paraId="3356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94" w:type="pct"/>
            <w:vMerge w:val="restart"/>
            <w:noWrap w:val="0"/>
            <w:vAlign w:val="center"/>
          </w:tcPr>
          <w:p w14:paraId="555C526E">
            <w:pPr>
              <w:pStyle w:val="30"/>
              <w:bidi w:val="0"/>
              <w:rPr>
                <w:rFonts w:hint="default" w:eastAsia="宋体"/>
                <w:color w:val="auto"/>
                <w:lang w:val="en-US" w:eastAsia="zh-CN"/>
              </w:rPr>
            </w:pPr>
            <w:r>
              <w:rPr>
                <w:rFonts w:hint="eastAsia"/>
                <w:color w:val="auto"/>
                <w:lang w:val="en-US" w:eastAsia="zh-CN"/>
              </w:rPr>
              <w:t>有害因素</w:t>
            </w:r>
          </w:p>
        </w:tc>
        <w:tc>
          <w:tcPr>
            <w:tcW w:w="259" w:type="pct"/>
            <w:noWrap w:val="0"/>
            <w:vAlign w:val="center"/>
          </w:tcPr>
          <w:p w14:paraId="7AF14889">
            <w:pPr>
              <w:pStyle w:val="30"/>
              <w:bidi w:val="0"/>
              <w:rPr>
                <w:rFonts w:hint="default"/>
                <w:color w:val="auto"/>
                <w:lang w:val="en-US" w:eastAsia="zh-CN"/>
              </w:rPr>
            </w:pPr>
            <w:r>
              <w:rPr>
                <w:rFonts w:hint="eastAsia"/>
                <w:color w:val="auto"/>
                <w:lang w:val="en-US" w:eastAsia="zh-CN"/>
              </w:rPr>
              <w:t>12</w:t>
            </w:r>
          </w:p>
        </w:tc>
        <w:tc>
          <w:tcPr>
            <w:tcW w:w="751" w:type="pct"/>
            <w:noWrap w:val="0"/>
            <w:vAlign w:val="center"/>
          </w:tcPr>
          <w:p w14:paraId="2F349064">
            <w:pPr>
              <w:pStyle w:val="30"/>
              <w:bidi w:val="0"/>
              <w:rPr>
                <w:color w:val="auto"/>
                <w:lang w:val="sq-AL"/>
              </w:rPr>
            </w:pPr>
            <w:r>
              <w:rPr>
                <w:color w:val="auto"/>
                <w:lang w:val="sq-AL"/>
              </w:rPr>
              <w:t>噪声</w:t>
            </w:r>
          </w:p>
        </w:tc>
        <w:tc>
          <w:tcPr>
            <w:tcW w:w="2561" w:type="pct"/>
            <w:noWrap w:val="0"/>
            <w:vAlign w:val="center"/>
          </w:tcPr>
          <w:p w14:paraId="184199C5">
            <w:pPr>
              <w:pStyle w:val="30"/>
              <w:bidi w:val="0"/>
              <w:rPr>
                <w:rFonts w:hint="eastAsia" w:eastAsia="宋体"/>
                <w:color w:val="auto"/>
                <w:lang w:val="sq-AL" w:eastAsia="zh-CN"/>
              </w:rPr>
            </w:pPr>
            <w:r>
              <w:rPr>
                <w:color w:val="auto"/>
                <w:lang w:val="sq-AL"/>
              </w:rPr>
              <w:t>球磨机、选矿设备及运输车辆等设备</w:t>
            </w:r>
            <w:r>
              <w:rPr>
                <w:rFonts w:hint="eastAsia"/>
                <w:color w:val="auto"/>
                <w:lang w:val="sq-AL" w:eastAsia="zh-CN"/>
              </w:rPr>
              <w:t>。</w:t>
            </w:r>
          </w:p>
        </w:tc>
        <w:tc>
          <w:tcPr>
            <w:tcW w:w="1133" w:type="pct"/>
            <w:noWrap w:val="0"/>
            <w:vAlign w:val="center"/>
          </w:tcPr>
          <w:p w14:paraId="21EFF6FC">
            <w:pPr>
              <w:pStyle w:val="30"/>
              <w:bidi w:val="0"/>
              <w:rPr>
                <w:color w:val="auto"/>
                <w:lang w:val="sq-AL"/>
              </w:rPr>
            </w:pPr>
            <w:r>
              <w:rPr>
                <w:color w:val="auto"/>
                <w:lang w:val="sq-AL"/>
              </w:rPr>
              <w:t>慢性伤害、职业病</w:t>
            </w:r>
          </w:p>
        </w:tc>
      </w:tr>
      <w:tr w14:paraId="733B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94" w:type="pct"/>
            <w:vMerge w:val="continue"/>
            <w:noWrap w:val="0"/>
            <w:vAlign w:val="center"/>
          </w:tcPr>
          <w:p w14:paraId="4882A62C">
            <w:pPr>
              <w:pStyle w:val="30"/>
              <w:bidi w:val="0"/>
              <w:rPr>
                <w:color w:val="auto"/>
                <w:lang w:val="sq-AL"/>
              </w:rPr>
            </w:pPr>
          </w:p>
        </w:tc>
        <w:tc>
          <w:tcPr>
            <w:tcW w:w="259" w:type="pct"/>
            <w:noWrap w:val="0"/>
            <w:vAlign w:val="center"/>
          </w:tcPr>
          <w:p w14:paraId="362B17A1">
            <w:pPr>
              <w:pStyle w:val="30"/>
              <w:bidi w:val="0"/>
              <w:rPr>
                <w:rFonts w:hint="default"/>
                <w:color w:val="auto"/>
                <w:lang w:val="en-US" w:eastAsia="zh-CN"/>
              </w:rPr>
            </w:pPr>
            <w:r>
              <w:rPr>
                <w:rFonts w:hint="eastAsia"/>
                <w:color w:val="auto"/>
                <w:lang w:val="en-US" w:eastAsia="zh-CN"/>
              </w:rPr>
              <w:t>13</w:t>
            </w:r>
          </w:p>
        </w:tc>
        <w:tc>
          <w:tcPr>
            <w:tcW w:w="751" w:type="pct"/>
            <w:noWrap w:val="0"/>
            <w:vAlign w:val="center"/>
          </w:tcPr>
          <w:p w14:paraId="01425F0D">
            <w:pPr>
              <w:pStyle w:val="30"/>
              <w:bidi w:val="0"/>
              <w:rPr>
                <w:color w:val="auto"/>
                <w:lang w:val="sq-AL"/>
              </w:rPr>
            </w:pPr>
            <w:r>
              <w:rPr>
                <w:color w:val="auto"/>
                <w:lang w:val="sq-AL"/>
              </w:rPr>
              <w:t>振动</w:t>
            </w:r>
          </w:p>
        </w:tc>
        <w:tc>
          <w:tcPr>
            <w:tcW w:w="2561" w:type="pct"/>
            <w:noWrap w:val="0"/>
            <w:vAlign w:val="center"/>
          </w:tcPr>
          <w:p w14:paraId="41C4C5E4">
            <w:pPr>
              <w:pStyle w:val="30"/>
              <w:bidi w:val="0"/>
              <w:rPr>
                <w:rFonts w:hint="eastAsia" w:eastAsia="宋体"/>
                <w:color w:val="auto"/>
                <w:lang w:val="sq-AL" w:eastAsia="zh-CN"/>
              </w:rPr>
            </w:pPr>
            <w:r>
              <w:rPr>
                <w:rFonts w:hint="eastAsia"/>
                <w:color w:val="auto"/>
                <w:lang w:val="en-US" w:eastAsia="zh-CN"/>
              </w:rPr>
              <w:t>振动筛、泵</w:t>
            </w:r>
            <w:r>
              <w:rPr>
                <w:color w:val="auto"/>
                <w:lang w:val="sq-AL"/>
              </w:rPr>
              <w:t>等</w:t>
            </w:r>
            <w:r>
              <w:rPr>
                <w:rFonts w:hint="eastAsia"/>
                <w:color w:val="auto"/>
                <w:lang w:val="sq-AL" w:eastAsia="zh-CN"/>
              </w:rPr>
              <w:t>。</w:t>
            </w:r>
          </w:p>
        </w:tc>
        <w:tc>
          <w:tcPr>
            <w:tcW w:w="1133" w:type="pct"/>
            <w:noWrap w:val="0"/>
            <w:vAlign w:val="center"/>
          </w:tcPr>
          <w:p w14:paraId="4FC1CD7B">
            <w:pPr>
              <w:pStyle w:val="30"/>
              <w:bidi w:val="0"/>
              <w:rPr>
                <w:color w:val="auto"/>
                <w:lang w:val="sq-AL"/>
              </w:rPr>
            </w:pPr>
            <w:r>
              <w:rPr>
                <w:color w:val="auto"/>
                <w:lang w:val="sq-AL"/>
              </w:rPr>
              <w:t>慢性伤害、职业病</w:t>
            </w:r>
          </w:p>
        </w:tc>
      </w:tr>
      <w:tr w14:paraId="11E9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94" w:type="pct"/>
            <w:vMerge w:val="continue"/>
            <w:noWrap w:val="0"/>
            <w:vAlign w:val="center"/>
          </w:tcPr>
          <w:p w14:paraId="78BE0C83">
            <w:pPr>
              <w:pStyle w:val="30"/>
              <w:bidi w:val="0"/>
              <w:rPr>
                <w:color w:val="auto"/>
                <w:lang w:val="sq-AL"/>
              </w:rPr>
            </w:pPr>
          </w:p>
        </w:tc>
        <w:tc>
          <w:tcPr>
            <w:tcW w:w="259" w:type="pct"/>
            <w:noWrap w:val="0"/>
            <w:vAlign w:val="center"/>
          </w:tcPr>
          <w:p w14:paraId="6E48DA11">
            <w:pPr>
              <w:pStyle w:val="30"/>
              <w:bidi w:val="0"/>
              <w:rPr>
                <w:rFonts w:hint="default"/>
                <w:color w:val="auto"/>
                <w:lang w:val="en-US" w:eastAsia="zh-CN"/>
              </w:rPr>
            </w:pPr>
            <w:r>
              <w:rPr>
                <w:rFonts w:hint="eastAsia"/>
                <w:color w:val="auto"/>
                <w:lang w:val="en-US" w:eastAsia="zh-CN"/>
              </w:rPr>
              <w:t>14</w:t>
            </w:r>
          </w:p>
        </w:tc>
        <w:tc>
          <w:tcPr>
            <w:tcW w:w="751" w:type="pct"/>
            <w:noWrap w:val="0"/>
            <w:vAlign w:val="center"/>
          </w:tcPr>
          <w:p w14:paraId="7704698C">
            <w:pPr>
              <w:pStyle w:val="30"/>
              <w:bidi w:val="0"/>
              <w:rPr>
                <w:rFonts w:hint="eastAsia" w:eastAsia="宋体"/>
                <w:color w:val="auto"/>
                <w:lang w:val="en-US" w:eastAsia="zh-CN"/>
              </w:rPr>
            </w:pPr>
            <w:r>
              <w:rPr>
                <w:rFonts w:hint="eastAsia"/>
                <w:color w:val="auto"/>
                <w:lang w:val="en-US" w:eastAsia="zh-CN"/>
              </w:rPr>
              <w:t>粉尘</w:t>
            </w:r>
          </w:p>
        </w:tc>
        <w:tc>
          <w:tcPr>
            <w:tcW w:w="2561" w:type="pct"/>
            <w:noWrap w:val="0"/>
            <w:vAlign w:val="center"/>
          </w:tcPr>
          <w:p w14:paraId="48CEC470">
            <w:pPr>
              <w:pStyle w:val="30"/>
              <w:bidi w:val="0"/>
              <w:rPr>
                <w:rFonts w:hint="default"/>
                <w:color w:val="auto"/>
                <w:lang w:val="en-US" w:eastAsia="zh-CN"/>
              </w:rPr>
            </w:pPr>
            <w:r>
              <w:rPr>
                <w:rFonts w:hint="eastAsia"/>
                <w:color w:val="auto"/>
                <w:lang w:val="en-US" w:eastAsia="zh-CN"/>
              </w:rPr>
              <w:t>运输过程、卸料场所</w:t>
            </w:r>
          </w:p>
        </w:tc>
        <w:tc>
          <w:tcPr>
            <w:tcW w:w="1133" w:type="pct"/>
            <w:noWrap w:val="0"/>
            <w:vAlign w:val="center"/>
          </w:tcPr>
          <w:p w14:paraId="721ADBA5">
            <w:pPr>
              <w:pStyle w:val="30"/>
              <w:bidi w:val="0"/>
              <w:rPr>
                <w:color w:val="auto"/>
                <w:lang w:val="sq-AL"/>
              </w:rPr>
            </w:pPr>
            <w:r>
              <w:rPr>
                <w:color w:val="auto"/>
                <w:lang w:val="sq-AL"/>
              </w:rPr>
              <w:t>慢性伤害、职业病</w:t>
            </w:r>
          </w:p>
        </w:tc>
      </w:tr>
      <w:tr w14:paraId="19E5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4" w:type="pct"/>
            <w:vMerge w:val="continue"/>
            <w:noWrap w:val="0"/>
            <w:vAlign w:val="center"/>
          </w:tcPr>
          <w:p w14:paraId="7A47ADA5">
            <w:pPr>
              <w:pStyle w:val="30"/>
              <w:bidi w:val="0"/>
              <w:rPr>
                <w:color w:val="auto"/>
                <w:lang w:val="sq-AL"/>
              </w:rPr>
            </w:pPr>
          </w:p>
        </w:tc>
        <w:tc>
          <w:tcPr>
            <w:tcW w:w="259" w:type="pct"/>
            <w:noWrap w:val="0"/>
            <w:vAlign w:val="center"/>
          </w:tcPr>
          <w:p w14:paraId="41B91906">
            <w:pPr>
              <w:pStyle w:val="30"/>
              <w:bidi w:val="0"/>
              <w:rPr>
                <w:rFonts w:hint="default"/>
                <w:color w:val="auto"/>
                <w:lang w:val="en-US" w:eastAsia="zh-CN"/>
              </w:rPr>
            </w:pPr>
            <w:r>
              <w:rPr>
                <w:rFonts w:hint="eastAsia"/>
                <w:color w:val="auto"/>
                <w:lang w:val="en-US" w:eastAsia="zh-CN"/>
              </w:rPr>
              <w:t>15</w:t>
            </w:r>
          </w:p>
        </w:tc>
        <w:tc>
          <w:tcPr>
            <w:tcW w:w="751" w:type="pct"/>
            <w:noWrap w:val="0"/>
            <w:vAlign w:val="center"/>
          </w:tcPr>
          <w:p w14:paraId="4F037734">
            <w:pPr>
              <w:pStyle w:val="30"/>
              <w:bidi w:val="0"/>
              <w:rPr>
                <w:color w:val="auto"/>
                <w:lang w:val="sq-AL"/>
              </w:rPr>
            </w:pPr>
            <w:r>
              <w:rPr>
                <w:color w:val="auto"/>
                <w:lang w:val="sq-AL"/>
              </w:rPr>
              <w:t>酷暑</w:t>
            </w:r>
          </w:p>
        </w:tc>
        <w:tc>
          <w:tcPr>
            <w:tcW w:w="2561" w:type="pct"/>
            <w:noWrap w:val="0"/>
            <w:vAlign w:val="center"/>
          </w:tcPr>
          <w:p w14:paraId="5C9C9109">
            <w:pPr>
              <w:pStyle w:val="30"/>
              <w:bidi w:val="0"/>
              <w:rPr>
                <w:rFonts w:hint="eastAsia" w:eastAsia="宋体"/>
                <w:color w:val="auto"/>
                <w:lang w:val="sq-AL" w:eastAsia="zh-CN"/>
              </w:rPr>
            </w:pPr>
            <w:r>
              <w:rPr>
                <w:color w:val="auto"/>
                <w:lang w:val="sq-AL"/>
              </w:rPr>
              <w:t>在高温条件下作业</w:t>
            </w:r>
            <w:r>
              <w:rPr>
                <w:rFonts w:hint="eastAsia"/>
                <w:color w:val="auto"/>
                <w:lang w:val="sq-AL" w:eastAsia="zh-CN"/>
              </w:rPr>
              <w:t>。</w:t>
            </w:r>
          </w:p>
        </w:tc>
        <w:tc>
          <w:tcPr>
            <w:tcW w:w="1133" w:type="pct"/>
            <w:noWrap w:val="0"/>
            <w:vAlign w:val="center"/>
          </w:tcPr>
          <w:p w14:paraId="38E0675E">
            <w:pPr>
              <w:pStyle w:val="30"/>
              <w:bidi w:val="0"/>
              <w:rPr>
                <w:color w:val="auto"/>
                <w:lang w:val="sq-AL"/>
              </w:rPr>
            </w:pPr>
            <w:r>
              <w:rPr>
                <w:color w:val="auto"/>
                <w:lang w:val="sq-AL"/>
              </w:rPr>
              <w:t>人员伤亡、职业病</w:t>
            </w:r>
          </w:p>
        </w:tc>
      </w:tr>
    </w:tbl>
    <w:p w14:paraId="22AEE60A">
      <w:pPr>
        <w:rPr>
          <w:rFonts w:hint="default"/>
          <w:color w:val="auto"/>
          <w:lang w:val="en-US" w:eastAsia="zh-CN"/>
        </w:rPr>
      </w:pPr>
      <w:r>
        <w:rPr>
          <w:rFonts w:hint="default"/>
          <w:color w:val="auto"/>
          <w:lang w:val="en-US" w:eastAsia="zh-CN"/>
        </w:rPr>
        <w:br w:type="page"/>
      </w:r>
    </w:p>
    <w:p w14:paraId="102033EA">
      <w:pPr>
        <w:pStyle w:val="4"/>
        <w:bidi w:val="0"/>
        <w:rPr>
          <w:rFonts w:hint="default"/>
          <w:color w:val="auto"/>
          <w:lang w:val="en-US" w:eastAsia="zh-CN"/>
        </w:rPr>
      </w:pPr>
      <w:bookmarkStart w:id="25" w:name="_Toc24076"/>
      <w:r>
        <w:rPr>
          <w:rFonts w:hint="default"/>
          <w:color w:val="auto"/>
          <w:lang w:val="en-US" w:eastAsia="zh-CN"/>
        </w:rPr>
        <w:t>4 评价单元划分及评价方法选择</w:t>
      </w:r>
      <w:bookmarkEnd w:id="25"/>
    </w:p>
    <w:p w14:paraId="5D230AAF">
      <w:pPr>
        <w:pStyle w:val="5"/>
        <w:bidi w:val="0"/>
        <w:rPr>
          <w:rFonts w:hint="default"/>
          <w:color w:val="auto"/>
          <w:lang w:val="en-US" w:eastAsia="zh-CN"/>
        </w:rPr>
      </w:pPr>
      <w:bookmarkStart w:id="26" w:name="_Toc20050"/>
      <w:r>
        <w:rPr>
          <w:rFonts w:hint="default"/>
          <w:color w:val="auto"/>
          <w:lang w:val="en-US" w:eastAsia="zh-CN"/>
        </w:rPr>
        <w:t>4.1 评价单元划分</w:t>
      </w:r>
      <w:bookmarkEnd w:id="26"/>
    </w:p>
    <w:p w14:paraId="7C37D5C8">
      <w:pPr>
        <w:pStyle w:val="6"/>
        <w:bidi w:val="0"/>
        <w:rPr>
          <w:rFonts w:hint="default"/>
          <w:color w:val="auto"/>
          <w:lang w:val="en-US" w:eastAsia="zh-CN"/>
        </w:rPr>
      </w:pPr>
      <w:r>
        <w:rPr>
          <w:rFonts w:hint="default"/>
          <w:color w:val="auto"/>
          <w:lang w:val="en-US" w:eastAsia="zh-CN"/>
        </w:rPr>
        <w:t>4.1.1 评价单元划分原则</w:t>
      </w:r>
    </w:p>
    <w:p w14:paraId="32A08B31">
      <w:pPr>
        <w:bidi w:val="0"/>
        <w:rPr>
          <w:rFonts w:hint="default"/>
          <w:color w:val="auto"/>
          <w:lang w:val="en-US" w:eastAsia="zh-CN"/>
        </w:rPr>
      </w:pPr>
      <w:r>
        <w:rPr>
          <w:rFonts w:hint="default"/>
          <w:color w:val="auto"/>
          <w:lang w:val="en-US" w:eastAsia="zh-CN"/>
        </w:rPr>
        <w:t>划分评价单元是为评价目标和评价方法服务，便于评价工作的进行，利于提高评价工作的准确性。</w:t>
      </w:r>
    </w:p>
    <w:p w14:paraId="1098995B">
      <w:pPr>
        <w:bidi w:val="0"/>
        <w:rPr>
          <w:rFonts w:hint="default"/>
          <w:color w:val="auto"/>
          <w:lang w:val="en-US" w:eastAsia="zh-CN"/>
        </w:rPr>
      </w:pPr>
      <w:r>
        <w:rPr>
          <w:rFonts w:hint="default"/>
          <w:color w:val="auto"/>
          <w:lang w:val="en-US" w:eastAsia="zh-CN"/>
        </w:rPr>
        <w:t>评价单元一般以生产工艺、工艺装置、物料的特点和特征与危险、有害因素的类别、分布有机结合进行划分，还可以按评价的需要将一个评价单元再划分为若干子评价单元或更细致的单元。由于至今尚无明确通用的“规则”来规范单元的划分方法，因此，不同的评价人员对同一个评价对象划分的评价单元也不同。由于评价目标不同，各评价方法均有自身特点，只要达到评价的目的，评价单元划分并不要求绝对一致。</w:t>
      </w:r>
    </w:p>
    <w:p w14:paraId="2E83D67A">
      <w:pPr>
        <w:pStyle w:val="6"/>
        <w:bidi w:val="0"/>
        <w:rPr>
          <w:rFonts w:hint="default"/>
          <w:color w:val="auto"/>
          <w:lang w:val="en-US" w:eastAsia="zh-CN"/>
        </w:rPr>
      </w:pPr>
      <w:r>
        <w:rPr>
          <w:rFonts w:hint="default"/>
          <w:color w:val="auto"/>
          <w:lang w:val="en-US" w:eastAsia="zh-CN"/>
        </w:rPr>
        <w:t>4.1.2 评价单元划分方法</w:t>
      </w:r>
    </w:p>
    <w:p w14:paraId="39F57D29">
      <w:pPr>
        <w:bidi w:val="0"/>
        <w:rPr>
          <w:rFonts w:hint="default"/>
          <w:color w:val="auto"/>
          <w:lang w:val="en-US" w:eastAsia="zh-CN"/>
        </w:rPr>
      </w:pPr>
      <w:r>
        <w:rPr>
          <w:rFonts w:hint="default"/>
          <w:color w:val="auto"/>
          <w:lang w:val="en-US" w:eastAsia="zh-CN"/>
        </w:rPr>
        <w:t>常用的评价单元划分方法有：</w:t>
      </w:r>
    </w:p>
    <w:p w14:paraId="75611836">
      <w:pPr>
        <w:bidi w:val="0"/>
        <w:rPr>
          <w:rFonts w:hint="default"/>
          <w:color w:val="auto"/>
          <w:lang w:val="en-US" w:eastAsia="zh-CN"/>
        </w:rPr>
      </w:pPr>
      <w:r>
        <w:rPr>
          <w:rFonts w:hint="default"/>
          <w:color w:val="auto"/>
          <w:lang w:val="en-US" w:eastAsia="zh-CN"/>
        </w:rPr>
        <w:t>1、以危险、有害因素的类别为主划分评价单元。</w:t>
      </w:r>
    </w:p>
    <w:p w14:paraId="14455BC3">
      <w:pPr>
        <w:bidi w:val="0"/>
        <w:rPr>
          <w:rFonts w:hint="default"/>
          <w:color w:val="auto"/>
          <w:lang w:val="en-US" w:eastAsia="zh-CN"/>
        </w:rPr>
      </w:pPr>
      <w:r>
        <w:rPr>
          <w:rFonts w:hint="default"/>
          <w:color w:val="auto"/>
          <w:lang w:val="en-US" w:eastAsia="zh-CN"/>
        </w:rPr>
        <w:t>（1）对工艺方案、总体布置及自然条件、环境对系统影响等综合方面的危险、有害因素的分析和评价，可将整个系统作为一个评价单元；</w:t>
      </w:r>
    </w:p>
    <w:p w14:paraId="61EF56AE">
      <w:pPr>
        <w:bidi w:val="0"/>
        <w:rPr>
          <w:rFonts w:hint="default"/>
          <w:color w:val="auto"/>
          <w:lang w:val="en-US" w:eastAsia="zh-CN"/>
        </w:rPr>
      </w:pPr>
      <w:r>
        <w:rPr>
          <w:rFonts w:hint="default"/>
          <w:color w:val="auto"/>
          <w:lang w:val="en-US" w:eastAsia="zh-CN"/>
        </w:rPr>
        <w:t>（2）将具有共性危险因素、有害因素的场所和装置划为一个单元。</w:t>
      </w:r>
    </w:p>
    <w:p w14:paraId="203E5C44">
      <w:pPr>
        <w:bidi w:val="0"/>
        <w:rPr>
          <w:rFonts w:hint="default"/>
          <w:color w:val="auto"/>
          <w:lang w:val="en-US" w:eastAsia="zh-CN"/>
        </w:rPr>
      </w:pPr>
      <w:r>
        <w:rPr>
          <w:rFonts w:hint="default"/>
          <w:color w:val="auto"/>
          <w:lang w:val="en-US" w:eastAsia="zh-CN"/>
        </w:rPr>
        <w:t>2、以装置和物质特征划分评价单元。</w:t>
      </w:r>
    </w:p>
    <w:p w14:paraId="12C81F4A">
      <w:pPr>
        <w:bidi w:val="0"/>
        <w:rPr>
          <w:rFonts w:hint="default"/>
          <w:color w:val="auto"/>
          <w:lang w:val="en-US" w:eastAsia="zh-CN"/>
        </w:rPr>
      </w:pPr>
      <w:r>
        <w:rPr>
          <w:rFonts w:hint="default"/>
          <w:color w:val="auto"/>
          <w:lang w:val="en-US" w:eastAsia="zh-CN"/>
        </w:rPr>
        <w:t>（1）按装置工艺功能划分；</w:t>
      </w:r>
    </w:p>
    <w:p w14:paraId="6A15314A">
      <w:pPr>
        <w:bidi w:val="0"/>
        <w:rPr>
          <w:rFonts w:hint="default"/>
          <w:color w:val="auto"/>
          <w:lang w:val="en-US" w:eastAsia="zh-CN"/>
        </w:rPr>
      </w:pPr>
      <w:r>
        <w:rPr>
          <w:rFonts w:hint="default"/>
          <w:color w:val="auto"/>
          <w:lang w:val="en-US" w:eastAsia="zh-CN"/>
        </w:rPr>
        <w:t>（2）按布置的相对独立性划分；</w:t>
      </w:r>
    </w:p>
    <w:p w14:paraId="550BED03">
      <w:pPr>
        <w:bidi w:val="0"/>
        <w:rPr>
          <w:rFonts w:hint="default"/>
          <w:color w:val="auto"/>
          <w:lang w:val="en-US" w:eastAsia="zh-CN"/>
        </w:rPr>
      </w:pPr>
      <w:r>
        <w:rPr>
          <w:rFonts w:hint="default"/>
          <w:color w:val="auto"/>
          <w:lang w:val="en-US" w:eastAsia="zh-CN"/>
        </w:rPr>
        <w:t>（3）按工艺条件划分评价单元；</w:t>
      </w:r>
    </w:p>
    <w:p w14:paraId="23D44B72">
      <w:pPr>
        <w:bidi w:val="0"/>
        <w:rPr>
          <w:rFonts w:hint="default"/>
          <w:color w:val="auto"/>
          <w:lang w:val="en-US" w:eastAsia="zh-CN"/>
        </w:rPr>
      </w:pPr>
      <w:r>
        <w:rPr>
          <w:rFonts w:hint="default"/>
          <w:color w:val="auto"/>
          <w:lang w:val="en-US" w:eastAsia="zh-CN"/>
        </w:rPr>
        <w:t>（4）按贮存、处理危险物品的潜在化学能、毒性和危险物品的数量划分评价单元；</w:t>
      </w:r>
    </w:p>
    <w:p w14:paraId="0A99B640">
      <w:pPr>
        <w:bidi w:val="0"/>
        <w:rPr>
          <w:rFonts w:hint="default"/>
          <w:color w:val="auto"/>
          <w:lang w:val="en-US" w:eastAsia="zh-CN"/>
        </w:rPr>
      </w:pPr>
      <w:r>
        <w:rPr>
          <w:rFonts w:hint="default"/>
          <w:color w:val="auto"/>
          <w:lang w:val="en-US" w:eastAsia="zh-CN"/>
        </w:rPr>
        <w:t>（5）根据以往事故资料，将发生事故能导致停产、波及范围大、造成巨大损失和伤害的关键设备作为一个单元；</w:t>
      </w:r>
    </w:p>
    <w:p w14:paraId="74C552FF">
      <w:pPr>
        <w:bidi w:val="0"/>
        <w:rPr>
          <w:rFonts w:hint="default"/>
          <w:color w:val="auto"/>
          <w:lang w:val="en-US" w:eastAsia="zh-CN"/>
        </w:rPr>
      </w:pPr>
      <w:r>
        <w:rPr>
          <w:rFonts w:hint="default"/>
          <w:color w:val="auto"/>
          <w:lang w:val="en-US" w:eastAsia="zh-CN"/>
        </w:rPr>
        <w:t>（6）将危险性大且资金密度大的区域作为一个评价单元；</w:t>
      </w:r>
    </w:p>
    <w:p w14:paraId="6F8177F0">
      <w:pPr>
        <w:bidi w:val="0"/>
        <w:rPr>
          <w:rFonts w:hint="default"/>
          <w:color w:val="auto"/>
          <w:lang w:val="en-US" w:eastAsia="zh-CN"/>
        </w:rPr>
      </w:pPr>
      <w:r>
        <w:rPr>
          <w:rFonts w:hint="default"/>
          <w:color w:val="auto"/>
          <w:lang w:val="en-US" w:eastAsia="zh-CN"/>
        </w:rPr>
        <w:t>（7）将危险性特别大的区域、装置作为一个评价单元；</w:t>
      </w:r>
    </w:p>
    <w:p w14:paraId="6B163893">
      <w:pPr>
        <w:bidi w:val="0"/>
        <w:rPr>
          <w:rFonts w:hint="default"/>
          <w:color w:val="auto"/>
          <w:lang w:val="en-US" w:eastAsia="zh-CN"/>
        </w:rPr>
      </w:pPr>
      <w:r>
        <w:rPr>
          <w:rFonts w:hint="default"/>
          <w:color w:val="auto"/>
          <w:lang w:val="en-US" w:eastAsia="zh-CN"/>
        </w:rPr>
        <w:t>（8）将具有类似危险性潜能的单元合并为一个大单元。</w:t>
      </w:r>
    </w:p>
    <w:p w14:paraId="4107755D">
      <w:pPr>
        <w:pStyle w:val="6"/>
        <w:bidi w:val="0"/>
        <w:rPr>
          <w:rFonts w:hint="default"/>
          <w:color w:val="auto"/>
          <w:lang w:val="en-US" w:eastAsia="zh-CN"/>
        </w:rPr>
      </w:pPr>
      <w:r>
        <w:rPr>
          <w:rFonts w:hint="default"/>
          <w:color w:val="auto"/>
          <w:lang w:val="en-US" w:eastAsia="zh-CN"/>
        </w:rPr>
        <w:t>4.1.3 本项目评价单元的划分</w:t>
      </w:r>
    </w:p>
    <w:p w14:paraId="64C64644">
      <w:pPr>
        <w:bidi w:val="0"/>
        <w:rPr>
          <w:rFonts w:hint="default"/>
          <w:color w:val="auto"/>
          <w:lang w:val="en-US" w:eastAsia="zh-CN"/>
        </w:rPr>
      </w:pPr>
      <w:r>
        <w:rPr>
          <w:rFonts w:hint="default"/>
          <w:color w:val="auto"/>
          <w:lang w:val="en-US" w:eastAsia="zh-CN"/>
        </w:rPr>
        <w:t>根据建设单位提供的有关技术资料和现场调查、类比调查结果，以该</w:t>
      </w:r>
      <w:r>
        <w:rPr>
          <w:rFonts w:hint="eastAsia"/>
          <w:color w:val="auto"/>
          <w:lang w:val="en-US" w:eastAsia="zh-CN"/>
        </w:rPr>
        <w:t>项目</w:t>
      </w:r>
      <w:r>
        <w:rPr>
          <w:rFonts w:hint="default"/>
          <w:color w:val="auto"/>
          <w:lang w:val="en-US" w:eastAsia="zh-CN"/>
        </w:rPr>
        <w:t>建设工程设计固有的系统特点，在对该建设项目主要危险因素分析的基础上，遵循突出重点、抓主要环节的原则，按照系统分析中自上而下逐步分解的原理，将整个评价对象首先划分为不同的单元，对复杂的和重要的单元进一步划分为子单元，以此确保评价过程的系统性、完整性和针对性。</w:t>
      </w:r>
    </w:p>
    <w:p w14:paraId="013150F7">
      <w:pPr>
        <w:bidi w:val="0"/>
        <w:rPr>
          <w:rFonts w:hint="default"/>
          <w:color w:val="auto"/>
          <w:lang w:val="en-US" w:eastAsia="zh-CN"/>
        </w:rPr>
      </w:pPr>
      <w:r>
        <w:rPr>
          <w:rFonts w:hint="default"/>
          <w:color w:val="auto"/>
          <w:lang w:val="en-US" w:eastAsia="zh-CN"/>
        </w:rPr>
        <w:t>评价单元一般以生产工艺、工艺装置、物料的特点和特征与危险、危害因素的类别、分布有机结合进行划分，还可以按评价的需要将一个评价单元再划分为若干子评价单元或更细致的单元。根据该评价项目的总图布置和生产工艺特点，为达到对该项目系统、科学、全面的评价目的，将该项目评价划分为以下几个单元进行评价：</w:t>
      </w:r>
    </w:p>
    <w:p w14:paraId="1D0D3A97">
      <w:pPr>
        <w:bidi w:val="0"/>
        <w:rPr>
          <w:rFonts w:hint="default"/>
          <w:color w:val="auto"/>
          <w:lang w:val="en-US" w:eastAsia="zh-CN"/>
        </w:rPr>
      </w:pPr>
      <w:r>
        <w:rPr>
          <w:rFonts w:hint="default"/>
          <w:color w:val="auto"/>
          <w:lang w:val="en-US" w:eastAsia="zh-CN"/>
        </w:rPr>
        <w:t>1、厂址及总平面布置单元；</w:t>
      </w:r>
    </w:p>
    <w:p w14:paraId="3C6858A0">
      <w:pPr>
        <w:bidi w:val="0"/>
        <w:rPr>
          <w:rFonts w:hint="default"/>
          <w:color w:val="auto"/>
          <w:lang w:val="en-US" w:eastAsia="zh-CN"/>
        </w:rPr>
      </w:pPr>
      <w:r>
        <w:rPr>
          <w:rFonts w:hint="default"/>
          <w:color w:val="auto"/>
          <w:lang w:val="en-US" w:eastAsia="zh-CN"/>
        </w:rPr>
        <w:t>2、</w:t>
      </w:r>
      <w:r>
        <w:rPr>
          <w:rFonts w:hint="eastAsia"/>
          <w:color w:val="auto"/>
          <w:lang w:val="en-US" w:eastAsia="zh-CN"/>
        </w:rPr>
        <w:t>设备</w:t>
      </w:r>
      <w:r>
        <w:rPr>
          <w:rFonts w:hint="default"/>
          <w:color w:val="auto"/>
          <w:lang w:val="en-US" w:eastAsia="zh-CN"/>
        </w:rPr>
        <w:t>工艺单元；</w:t>
      </w:r>
    </w:p>
    <w:p w14:paraId="1AB9C41D">
      <w:pPr>
        <w:bidi w:val="0"/>
        <w:rPr>
          <w:rFonts w:hint="default"/>
          <w:color w:val="auto"/>
          <w:lang w:val="en-US" w:eastAsia="zh-CN"/>
        </w:rPr>
      </w:pPr>
      <w:r>
        <w:rPr>
          <w:rFonts w:hint="default"/>
          <w:color w:val="auto"/>
          <w:lang w:val="en-US" w:eastAsia="zh-CN"/>
        </w:rPr>
        <w:t>3、</w:t>
      </w:r>
      <w:r>
        <w:rPr>
          <w:rFonts w:hint="eastAsia"/>
          <w:color w:val="auto"/>
          <w:lang w:val="en-US" w:eastAsia="zh-CN"/>
        </w:rPr>
        <w:t>给排水系统单元</w:t>
      </w:r>
      <w:r>
        <w:rPr>
          <w:rFonts w:hint="default"/>
          <w:color w:val="auto"/>
          <w:lang w:val="en-US" w:eastAsia="zh-CN"/>
        </w:rPr>
        <w:t>；</w:t>
      </w:r>
    </w:p>
    <w:p w14:paraId="7D14BBF7">
      <w:pPr>
        <w:bidi w:val="0"/>
        <w:rPr>
          <w:rFonts w:hint="default"/>
          <w:color w:val="auto"/>
          <w:lang w:val="en-US" w:eastAsia="zh-CN"/>
        </w:rPr>
      </w:pPr>
      <w:r>
        <w:rPr>
          <w:rFonts w:hint="default"/>
          <w:color w:val="auto"/>
          <w:lang w:val="en-US" w:eastAsia="zh-CN"/>
        </w:rPr>
        <w:t>4、供配电系统单元；</w:t>
      </w:r>
    </w:p>
    <w:p w14:paraId="02687F67">
      <w:pPr>
        <w:bidi w:val="0"/>
        <w:rPr>
          <w:rFonts w:hint="default"/>
          <w:color w:val="auto"/>
          <w:lang w:val="en-US" w:eastAsia="zh-CN"/>
        </w:rPr>
      </w:pPr>
      <w:r>
        <w:rPr>
          <w:rFonts w:hint="default"/>
          <w:color w:val="auto"/>
          <w:lang w:val="en-US" w:eastAsia="zh-CN"/>
        </w:rPr>
        <w:t>5、安全管理单元。</w:t>
      </w:r>
    </w:p>
    <w:p w14:paraId="39E538D3">
      <w:pPr>
        <w:pStyle w:val="29"/>
        <w:bidi w:val="0"/>
        <w:rPr>
          <w:rFonts w:hint="default"/>
          <w:color w:val="auto"/>
          <w:lang w:val="en-US" w:eastAsia="zh-CN"/>
        </w:rPr>
      </w:pPr>
      <w:r>
        <w:rPr>
          <w:rFonts w:hint="default"/>
          <w:color w:val="auto"/>
          <w:lang w:val="en-US" w:eastAsia="zh-CN"/>
        </w:rPr>
        <w:t>表4</w:t>
      </w:r>
      <w:r>
        <w:rPr>
          <w:rFonts w:hint="eastAsia"/>
          <w:color w:val="auto"/>
          <w:lang w:val="en-US" w:eastAsia="zh-CN"/>
        </w:rPr>
        <w:t>.1</w:t>
      </w:r>
      <w:r>
        <w:rPr>
          <w:rFonts w:hint="default"/>
          <w:color w:val="auto"/>
          <w:lang w:val="en-US" w:eastAsia="zh-CN"/>
        </w:rPr>
        <w:t>-1  评价单元与评价方法对照表</w:t>
      </w:r>
    </w:p>
    <w:tbl>
      <w:tblPr>
        <w:tblStyle w:val="22"/>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3200"/>
        <w:gridCol w:w="5349"/>
      </w:tblGrid>
      <w:tr w14:paraId="2023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3" w:type="dxa"/>
            <w:noWrap w:val="0"/>
            <w:vAlign w:val="center"/>
          </w:tcPr>
          <w:p w14:paraId="29140A6D">
            <w:pPr>
              <w:pStyle w:val="30"/>
              <w:bidi w:val="0"/>
              <w:rPr>
                <w:rFonts w:hint="default"/>
                <w:b/>
                <w:bCs/>
                <w:color w:val="auto"/>
                <w:lang w:val="en-US" w:eastAsia="zh-CN"/>
              </w:rPr>
            </w:pPr>
            <w:r>
              <w:rPr>
                <w:rFonts w:hint="eastAsia"/>
                <w:b/>
                <w:bCs/>
                <w:color w:val="auto"/>
                <w:lang w:val="sq-AL" w:eastAsia="zh-CN"/>
              </w:rPr>
              <w:t>序号</w:t>
            </w:r>
          </w:p>
        </w:tc>
        <w:tc>
          <w:tcPr>
            <w:tcW w:w="3200" w:type="dxa"/>
            <w:noWrap w:val="0"/>
            <w:vAlign w:val="center"/>
          </w:tcPr>
          <w:p w14:paraId="09C2587C">
            <w:pPr>
              <w:pStyle w:val="30"/>
              <w:bidi w:val="0"/>
              <w:rPr>
                <w:rFonts w:hint="default"/>
                <w:b/>
                <w:bCs/>
                <w:color w:val="auto"/>
                <w:lang w:val="en-US" w:eastAsia="zh-CN"/>
              </w:rPr>
            </w:pPr>
            <w:r>
              <w:rPr>
                <w:rFonts w:hint="eastAsia"/>
                <w:b/>
                <w:bCs/>
                <w:color w:val="auto"/>
                <w:lang w:val="sq-AL" w:eastAsia="zh-CN"/>
              </w:rPr>
              <w:t>评价单元</w:t>
            </w:r>
          </w:p>
        </w:tc>
        <w:tc>
          <w:tcPr>
            <w:tcW w:w="5349" w:type="dxa"/>
            <w:noWrap w:val="0"/>
            <w:vAlign w:val="center"/>
          </w:tcPr>
          <w:p w14:paraId="5217FE28">
            <w:pPr>
              <w:pStyle w:val="30"/>
              <w:bidi w:val="0"/>
              <w:rPr>
                <w:rFonts w:hint="default"/>
                <w:b/>
                <w:bCs/>
                <w:color w:val="auto"/>
                <w:lang w:val="en-US" w:eastAsia="zh-CN"/>
              </w:rPr>
            </w:pPr>
            <w:r>
              <w:rPr>
                <w:rFonts w:hint="eastAsia"/>
                <w:b/>
                <w:bCs/>
                <w:color w:val="auto"/>
                <w:lang w:val="sq-AL" w:eastAsia="zh-CN"/>
              </w:rPr>
              <w:t>评价方法选择</w:t>
            </w:r>
          </w:p>
        </w:tc>
      </w:tr>
      <w:tr w14:paraId="36E8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05524333">
            <w:pPr>
              <w:pStyle w:val="30"/>
              <w:bidi w:val="0"/>
              <w:rPr>
                <w:rFonts w:hint="default"/>
                <w:color w:val="auto"/>
                <w:lang w:val="en-US" w:eastAsia="zh-CN"/>
              </w:rPr>
            </w:pPr>
            <w:r>
              <w:rPr>
                <w:rFonts w:hint="eastAsia"/>
                <w:color w:val="auto"/>
                <w:lang w:val="sq-AL" w:eastAsia="zh-CN"/>
              </w:rPr>
              <w:t>1</w:t>
            </w:r>
          </w:p>
        </w:tc>
        <w:tc>
          <w:tcPr>
            <w:tcW w:w="3200" w:type="dxa"/>
            <w:noWrap w:val="0"/>
            <w:vAlign w:val="center"/>
          </w:tcPr>
          <w:p w14:paraId="00C86D83">
            <w:pPr>
              <w:pStyle w:val="30"/>
              <w:bidi w:val="0"/>
              <w:rPr>
                <w:rFonts w:hint="default"/>
                <w:color w:val="auto"/>
                <w:lang w:val="en-US" w:eastAsia="zh-CN"/>
              </w:rPr>
            </w:pPr>
            <w:r>
              <w:rPr>
                <w:rFonts w:hint="eastAsia"/>
                <w:color w:val="auto"/>
                <w:lang w:val="en-US" w:eastAsia="zh-CN"/>
              </w:rPr>
              <w:t>厂址及总平面布置单元</w:t>
            </w:r>
          </w:p>
        </w:tc>
        <w:tc>
          <w:tcPr>
            <w:tcW w:w="5349" w:type="dxa"/>
            <w:noWrap w:val="0"/>
            <w:vAlign w:val="center"/>
          </w:tcPr>
          <w:p w14:paraId="2809B7D0">
            <w:pPr>
              <w:pStyle w:val="30"/>
              <w:bidi w:val="0"/>
              <w:rPr>
                <w:rFonts w:hint="default"/>
                <w:color w:val="auto"/>
                <w:lang w:val="en-US" w:eastAsia="zh-CN"/>
              </w:rPr>
            </w:pPr>
            <w:r>
              <w:rPr>
                <w:rFonts w:hint="eastAsia"/>
                <w:color w:val="auto"/>
                <w:lang w:val="en-US" w:eastAsia="zh-CN"/>
              </w:rPr>
              <w:t>预先危险性分析</w:t>
            </w:r>
            <w:r>
              <w:rPr>
                <w:rFonts w:hint="eastAsia"/>
                <w:color w:val="auto"/>
                <w:lang w:val="sq-AL" w:eastAsia="zh-CN"/>
              </w:rPr>
              <w:t>法、</w:t>
            </w:r>
            <w:r>
              <w:rPr>
                <w:rFonts w:hint="eastAsia"/>
                <w:color w:val="auto"/>
                <w:lang w:val="en-US" w:eastAsia="zh-CN"/>
              </w:rPr>
              <w:t>安全检查表法</w:t>
            </w:r>
          </w:p>
        </w:tc>
      </w:tr>
      <w:tr w14:paraId="01DB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479D3B30">
            <w:pPr>
              <w:pStyle w:val="30"/>
              <w:bidi w:val="0"/>
              <w:rPr>
                <w:rFonts w:hint="default"/>
                <w:color w:val="auto"/>
                <w:lang w:val="en-US" w:eastAsia="zh-CN"/>
              </w:rPr>
            </w:pPr>
            <w:r>
              <w:rPr>
                <w:rFonts w:hint="eastAsia"/>
                <w:color w:val="auto"/>
                <w:lang w:val="sq-AL" w:eastAsia="zh-CN"/>
              </w:rPr>
              <w:t>2</w:t>
            </w:r>
          </w:p>
        </w:tc>
        <w:tc>
          <w:tcPr>
            <w:tcW w:w="3200" w:type="dxa"/>
            <w:noWrap w:val="0"/>
            <w:vAlign w:val="center"/>
          </w:tcPr>
          <w:p w14:paraId="09C4043A">
            <w:pPr>
              <w:pStyle w:val="30"/>
              <w:bidi w:val="0"/>
              <w:rPr>
                <w:rFonts w:hint="default"/>
                <w:color w:val="auto"/>
                <w:lang w:val="en-US" w:eastAsia="zh-CN"/>
              </w:rPr>
            </w:pPr>
            <w:r>
              <w:rPr>
                <w:rFonts w:hint="eastAsia"/>
                <w:color w:val="auto"/>
                <w:lang w:val="en-US" w:eastAsia="zh-CN"/>
              </w:rPr>
              <w:t>设备工艺单元</w:t>
            </w:r>
          </w:p>
        </w:tc>
        <w:tc>
          <w:tcPr>
            <w:tcW w:w="5349" w:type="dxa"/>
            <w:noWrap w:val="0"/>
            <w:vAlign w:val="center"/>
          </w:tcPr>
          <w:p w14:paraId="6CAA247A">
            <w:pPr>
              <w:pStyle w:val="30"/>
              <w:bidi w:val="0"/>
              <w:rPr>
                <w:rFonts w:hint="default"/>
                <w:color w:val="auto"/>
                <w:lang w:val="en-US" w:eastAsia="zh-CN"/>
              </w:rPr>
            </w:pPr>
            <w:r>
              <w:rPr>
                <w:rFonts w:hint="eastAsia"/>
                <w:color w:val="auto"/>
                <w:lang w:val="en-US" w:eastAsia="zh-CN"/>
              </w:rPr>
              <w:t>预先危险性分析</w:t>
            </w:r>
            <w:r>
              <w:rPr>
                <w:rFonts w:hint="eastAsia"/>
                <w:color w:val="auto"/>
                <w:lang w:val="sq-AL" w:eastAsia="zh-CN"/>
              </w:rPr>
              <w:t>法、</w:t>
            </w:r>
            <w:r>
              <w:rPr>
                <w:rFonts w:hint="eastAsia"/>
                <w:color w:val="auto"/>
                <w:lang w:val="en-US" w:eastAsia="zh-CN"/>
              </w:rPr>
              <w:t>事故树分析方法</w:t>
            </w:r>
          </w:p>
        </w:tc>
      </w:tr>
      <w:tr w14:paraId="1036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42F0D7F2">
            <w:pPr>
              <w:pStyle w:val="30"/>
              <w:bidi w:val="0"/>
              <w:rPr>
                <w:rFonts w:hint="default"/>
                <w:color w:val="auto"/>
                <w:lang w:val="en-US" w:eastAsia="zh-CN"/>
              </w:rPr>
            </w:pPr>
            <w:r>
              <w:rPr>
                <w:rFonts w:hint="eastAsia"/>
                <w:color w:val="auto"/>
                <w:lang w:val="sq-AL"/>
              </w:rPr>
              <w:t>3</w:t>
            </w:r>
          </w:p>
        </w:tc>
        <w:tc>
          <w:tcPr>
            <w:tcW w:w="3200" w:type="dxa"/>
            <w:noWrap w:val="0"/>
            <w:vAlign w:val="center"/>
          </w:tcPr>
          <w:p w14:paraId="2D39A61F">
            <w:pPr>
              <w:pStyle w:val="30"/>
              <w:bidi w:val="0"/>
              <w:rPr>
                <w:rFonts w:hint="default"/>
                <w:color w:val="auto"/>
                <w:lang w:val="en-US" w:eastAsia="zh-CN"/>
              </w:rPr>
            </w:pPr>
            <w:r>
              <w:rPr>
                <w:rFonts w:hint="default"/>
                <w:color w:val="auto"/>
                <w:lang w:val="en-US" w:eastAsia="zh-CN"/>
              </w:rPr>
              <w:t>给排水系统单元</w:t>
            </w:r>
          </w:p>
        </w:tc>
        <w:tc>
          <w:tcPr>
            <w:tcW w:w="5349" w:type="dxa"/>
            <w:noWrap w:val="0"/>
            <w:vAlign w:val="center"/>
          </w:tcPr>
          <w:p w14:paraId="16B511EA">
            <w:pPr>
              <w:pStyle w:val="30"/>
              <w:bidi w:val="0"/>
              <w:rPr>
                <w:rFonts w:hint="default"/>
                <w:color w:val="auto"/>
                <w:lang w:val="en-US" w:eastAsia="zh-CN"/>
              </w:rPr>
            </w:pPr>
            <w:r>
              <w:rPr>
                <w:rFonts w:hint="eastAsia"/>
                <w:color w:val="auto"/>
                <w:lang w:val="en-US" w:eastAsia="zh-CN"/>
              </w:rPr>
              <w:t>预先危险性分析</w:t>
            </w:r>
            <w:r>
              <w:rPr>
                <w:rFonts w:hint="eastAsia"/>
                <w:color w:val="auto"/>
                <w:lang w:val="sq-AL"/>
              </w:rPr>
              <w:t>法</w:t>
            </w:r>
          </w:p>
        </w:tc>
      </w:tr>
      <w:tr w14:paraId="4259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4E2E5926">
            <w:pPr>
              <w:pStyle w:val="30"/>
              <w:bidi w:val="0"/>
              <w:rPr>
                <w:rFonts w:hint="default"/>
                <w:color w:val="auto"/>
                <w:lang w:val="en-US" w:eastAsia="zh-CN"/>
              </w:rPr>
            </w:pPr>
            <w:r>
              <w:rPr>
                <w:rFonts w:hint="eastAsia"/>
                <w:color w:val="auto"/>
                <w:lang w:val="sq-AL"/>
              </w:rPr>
              <w:t>4</w:t>
            </w:r>
          </w:p>
        </w:tc>
        <w:tc>
          <w:tcPr>
            <w:tcW w:w="3200" w:type="dxa"/>
            <w:noWrap w:val="0"/>
            <w:vAlign w:val="center"/>
          </w:tcPr>
          <w:p w14:paraId="4676C8D4">
            <w:pPr>
              <w:pStyle w:val="30"/>
              <w:bidi w:val="0"/>
              <w:rPr>
                <w:rFonts w:hint="default"/>
                <w:color w:val="auto"/>
                <w:lang w:val="en-US" w:eastAsia="zh-CN"/>
              </w:rPr>
            </w:pPr>
            <w:r>
              <w:rPr>
                <w:rFonts w:hint="default"/>
                <w:color w:val="auto"/>
                <w:lang w:val="en-US" w:eastAsia="zh-CN"/>
              </w:rPr>
              <w:t>供配电系统单元</w:t>
            </w:r>
          </w:p>
        </w:tc>
        <w:tc>
          <w:tcPr>
            <w:tcW w:w="5349" w:type="dxa"/>
            <w:noWrap w:val="0"/>
            <w:vAlign w:val="center"/>
          </w:tcPr>
          <w:p w14:paraId="00B1054F">
            <w:pPr>
              <w:pStyle w:val="30"/>
              <w:bidi w:val="0"/>
              <w:rPr>
                <w:rFonts w:hint="default"/>
                <w:color w:val="auto"/>
                <w:lang w:val="en-US" w:eastAsia="zh-CN"/>
              </w:rPr>
            </w:pPr>
            <w:r>
              <w:rPr>
                <w:rFonts w:hint="eastAsia"/>
                <w:color w:val="auto"/>
                <w:lang w:val="en-US" w:eastAsia="zh-CN"/>
              </w:rPr>
              <w:t>预先危险性分析</w:t>
            </w:r>
            <w:r>
              <w:rPr>
                <w:rFonts w:hint="eastAsia"/>
                <w:color w:val="auto"/>
                <w:lang w:val="sq-AL"/>
              </w:rPr>
              <w:t>法</w:t>
            </w:r>
            <w:r>
              <w:rPr>
                <w:rFonts w:hint="eastAsia"/>
                <w:color w:val="auto"/>
                <w:lang w:val="sq-AL" w:eastAsia="zh-CN"/>
              </w:rPr>
              <w:t>、</w:t>
            </w:r>
            <w:r>
              <w:rPr>
                <w:rFonts w:hint="eastAsia"/>
                <w:color w:val="auto"/>
                <w:lang w:val="en-US" w:eastAsia="zh-CN"/>
              </w:rPr>
              <w:t>事故树分析方法</w:t>
            </w:r>
          </w:p>
        </w:tc>
      </w:tr>
      <w:tr w14:paraId="204E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14:paraId="7A966B04">
            <w:pPr>
              <w:pStyle w:val="30"/>
              <w:bidi w:val="0"/>
              <w:rPr>
                <w:rFonts w:hint="eastAsia"/>
                <w:color w:val="auto"/>
                <w:lang w:val="en-US" w:eastAsia="zh-CN"/>
              </w:rPr>
            </w:pPr>
            <w:r>
              <w:rPr>
                <w:rFonts w:hint="eastAsia"/>
                <w:color w:val="auto"/>
                <w:lang w:val="en-US" w:eastAsia="zh-CN"/>
              </w:rPr>
              <w:t>5</w:t>
            </w:r>
          </w:p>
        </w:tc>
        <w:tc>
          <w:tcPr>
            <w:tcW w:w="3200" w:type="dxa"/>
            <w:noWrap w:val="0"/>
            <w:vAlign w:val="center"/>
          </w:tcPr>
          <w:p w14:paraId="3E906CA8">
            <w:pPr>
              <w:pStyle w:val="30"/>
              <w:bidi w:val="0"/>
              <w:rPr>
                <w:rFonts w:hint="default"/>
                <w:color w:val="auto"/>
                <w:lang w:val="en-US" w:eastAsia="zh-CN"/>
              </w:rPr>
            </w:pPr>
            <w:r>
              <w:rPr>
                <w:rFonts w:hint="eastAsia"/>
                <w:color w:val="auto"/>
                <w:lang w:val="en-US" w:eastAsia="zh-CN"/>
              </w:rPr>
              <w:t>安全管理单元</w:t>
            </w:r>
          </w:p>
        </w:tc>
        <w:tc>
          <w:tcPr>
            <w:tcW w:w="5349" w:type="dxa"/>
            <w:noWrap w:val="0"/>
            <w:vAlign w:val="center"/>
          </w:tcPr>
          <w:p w14:paraId="663001E8">
            <w:pPr>
              <w:pStyle w:val="30"/>
              <w:bidi w:val="0"/>
              <w:rPr>
                <w:rFonts w:hint="eastAsia"/>
                <w:color w:val="auto"/>
                <w:lang w:val="en-US" w:eastAsia="zh-CN"/>
              </w:rPr>
            </w:pPr>
            <w:r>
              <w:rPr>
                <w:rFonts w:hint="eastAsia"/>
                <w:color w:val="auto"/>
                <w:lang w:val="en-US" w:eastAsia="zh-CN"/>
              </w:rPr>
              <w:t>预先危险性分析</w:t>
            </w:r>
            <w:r>
              <w:rPr>
                <w:rFonts w:hint="eastAsia"/>
                <w:color w:val="auto"/>
                <w:lang w:val="sq-AL"/>
              </w:rPr>
              <w:t>法</w:t>
            </w:r>
          </w:p>
        </w:tc>
      </w:tr>
    </w:tbl>
    <w:p w14:paraId="68ADD071">
      <w:pPr>
        <w:pStyle w:val="5"/>
        <w:bidi w:val="0"/>
        <w:rPr>
          <w:rFonts w:hint="default"/>
          <w:color w:val="auto"/>
          <w:lang w:val="en-US" w:eastAsia="zh-CN"/>
        </w:rPr>
      </w:pPr>
      <w:bookmarkStart w:id="27" w:name="_Toc3007"/>
      <w:r>
        <w:rPr>
          <w:rFonts w:hint="default"/>
          <w:color w:val="auto"/>
          <w:lang w:val="en-US" w:eastAsia="zh-CN"/>
        </w:rPr>
        <w:t>4.2 评价方法介绍</w:t>
      </w:r>
      <w:bookmarkEnd w:id="27"/>
    </w:p>
    <w:p w14:paraId="1503CEC2">
      <w:pPr>
        <w:bidi w:val="0"/>
        <w:rPr>
          <w:rFonts w:hint="default"/>
          <w:color w:val="auto"/>
          <w:lang w:val="en-US" w:eastAsia="zh-CN"/>
        </w:rPr>
      </w:pPr>
      <w:r>
        <w:rPr>
          <w:rFonts w:hint="default"/>
          <w:color w:val="auto"/>
          <w:lang w:val="en-US" w:eastAsia="zh-CN"/>
        </w:rPr>
        <w:t>安全评价方法是对系统的危险因素、危害因素及其危险、危害程度进行分析、评价的方法。按照特性可分为定性安全评价和定量安全评价。由于本项目为安全预评价，需对项目进行检查对比和危险分析。针对被评价单元的实际情况和从评价效果出发，采用的评价方法为：①预先危险性分析法（PHA）；②安全检查表法（SCL）；③事故树分析法（FTA）。</w:t>
      </w:r>
    </w:p>
    <w:p w14:paraId="36C2FF00">
      <w:pPr>
        <w:pStyle w:val="6"/>
        <w:bidi w:val="0"/>
        <w:rPr>
          <w:rFonts w:hint="default"/>
          <w:color w:val="auto"/>
          <w:lang w:val="en-US" w:eastAsia="zh-CN"/>
        </w:rPr>
      </w:pPr>
      <w:r>
        <w:rPr>
          <w:rFonts w:hint="default"/>
          <w:color w:val="auto"/>
          <w:lang w:val="en-US" w:eastAsia="zh-CN"/>
        </w:rPr>
        <w:t>4.2.1 预先危险性分析法（PHA法）</w:t>
      </w:r>
    </w:p>
    <w:p w14:paraId="0E98B03B">
      <w:pPr>
        <w:bidi w:val="0"/>
        <w:rPr>
          <w:rFonts w:hint="default"/>
          <w:color w:val="auto"/>
          <w:lang w:val="en-US" w:eastAsia="zh-CN"/>
        </w:rPr>
      </w:pPr>
      <w:r>
        <w:rPr>
          <w:rFonts w:hint="default"/>
          <w:color w:val="auto"/>
          <w:lang w:val="en-US" w:eastAsia="zh-CN"/>
        </w:rPr>
        <w:t>预先危险性分析（PHA）也可称为危险性预先分析，是一种对系统存在的危险性类别、出现危险状态的条件、导致事故的后果，做一概略的分析而采用的分析方法，其目的是辨识系统中存在的潜在危险，确定其危险等级。</w:t>
      </w:r>
    </w:p>
    <w:p w14:paraId="345F0273">
      <w:pPr>
        <w:bidi w:val="0"/>
        <w:rPr>
          <w:rFonts w:hint="default"/>
          <w:color w:val="auto"/>
          <w:lang w:val="en-US" w:eastAsia="zh-CN"/>
        </w:rPr>
      </w:pPr>
      <w:r>
        <w:rPr>
          <w:rFonts w:hint="default"/>
          <w:color w:val="auto"/>
          <w:lang w:val="en-US" w:eastAsia="zh-CN"/>
        </w:rPr>
        <w:t>1、功能</w:t>
      </w:r>
    </w:p>
    <w:p w14:paraId="66CCEE8B">
      <w:pPr>
        <w:bidi w:val="0"/>
        <w:rPr>
          <w:rFonts w:hint="default"/>
          <w:color w:val="auto"/>
          <w:lang w:val="en-US" w:eastAsia="zh-CN"/>
        </w:rPr>
      </w:pPr>
      <w:r>
        <w:rPr>
          <w:rFonts w:hint="default"/>
          <w:color w:val="auto"/>
          <w:lang w:val="en-US" w:eastAsia="zh-CN"/>
        </w:rPr>
        <w:t>（1）大体识别与系统有关的主要危险；</w:t>
      </w:r>
    </w:p>
    <w:p w14:paraId="407B2181">
      <w:pPr>
        <w:bidi w:val="0"/>
        <w:rPr>
          <w:rFonts w:hint="default"/>
          <w:color w:val="auto"/>
          <w:lang w:val="en-US" w:eastAsia="zh-CN"/>
        </w:rPr>
      </w:pPr>
      <w:r>
        <w:rPr>
          <w:rFonts w:hint="default"/>
          <w:color w:val="auto"/>
          <w:lang w:val="en-US" w:eastAsia="zh-CN"/>
        </w:rPr>
        <w:t>（2）鉴别产生危险的原因；</w:t>
      </w:r>
    </w:p>
    <w:p w14:paraId="703BB1DD">
      <w:pPr>
        <w:bidi w:val="0"/>
        <w:rPr>
          <w:rFonts w:hint="default"/>
          <w:color w:val="auto"/>
          <w:lang w:val="en-US" w:eastAsia="zh-CN"/>
        </w:rPr>
      </w:pPr>
      <w:r>
        <w:rPr>
          <w:rFonts w:hint="default"/>
          <w:color w:val="auto"/>
          <w:lang w:val="en-US" w:eastAsia="zh-CN"/>
        </w:rPr>
        <w:t>（3）预测事故出现对人体及系统的影响；</w:t>
      </w:r>
    </w:p>
    <w:p w14:paraId="566A6852">
      <w:pPr>
        <w:bidi w:val="0"/>
        <w:rPr>
          <w:rFonts w:hint="default"/>
          <w:color w:val="auto"/>
          <w:lang w:val="en-US" w:eastAsia="zh-CN"/>
        </w:rPr>
      </w:pPr>
      <w:r>
        <w:rPr>
          <w:rFonts w:hint="default"/>
          <w:color w:val="auto"/>
          <w:lang w:val="en-US" w:eastAsia="zh-CN"/>
        </w:rPr>
        <w:t>（4）判定已识别的危险性等级，并提出削减或控制危险性的措施。</w:t>
      </w:r>
    </w:p>
    <w:p w14:paraId="76CD91ED">
      <w:pPr>
        <w:bidi w:val="0"/>
        <w:rPr>
          <w:rFonts w:hint="default"/>
          <w:color w:val="auto"/>
          <w:lang w:val="en-US" w:eastAsia="zh-CN"/>
        </w:rPr>
      </w:pPr>
      <w:r>
        <w:rPr>
          <w:rFonts w:hint="default"/>
          <w:color w:val="auto"/>
          <w:lang w:val="en-US" w:eastAsia="zh-CN"/>
        </w:rPr>
        <w:t>2、系统（单元）预先危险性等级划分</w:t>
      </w:r>
    </w:p>
    <w:p w14:paraId="00623277">
      <w:pPr>
        <w:bidi w:val="0"/>
        <w:rPr>
          <w:rFonts w:hint="default"/>
          <w:color w:val="auto"/>
          <w:lang w:val="en-US" w:eastAsia="zh-CN"/>
        </w:rPr>
      </w:pPr>
      <w:r>
        <w:rPr>
          <w:rFonts w:hint="default"/>
          <w:color w:val="auto"/>
          <w:lang w:val="en-US" w:eastAsia="zh-CN"/>
        </w:rPr>
        <w:t>系统（单元）预先危险性等级系数按下式确定：</w:t>
      </w:r>
    </w:p>
    <w:p w14:paraId="5D01875B">
      <w:pPr>
        <w:bidi w:val="0"/>
        <w:rPr>
          <w:rFonts w:hint="default"/>
          <w:color w:val="auto"/>
          <w:lang w:val="en-US" w:eastAsia="zh-CN"/>
        </w:rPr>
      </w:pPr>
      <w:r>
        <w:rPr>
          <w:rFonts w:hint="default"/>
          <w:color w:val="auto"/>
          <w:lang w:val="en-US" w:eastAsia="zh-CN"/>
        </w:rPr>
        <w:t>W=∑（P×K）/∑K</w:t>
      </w:r>
    </w:p>
    <w:p w14:paraId="4DCA450A">
      <w:pPr>
        <w:bidi w:val="0"/>
        <w:rPr>
          <w:rFonts w:hint="default"/>
          <w:color w:val="auto"/>
          <w:lang w:val="en-US" w:eastAsia="zh-CN"/>
        </w:rPr>
      </w:pPr>
      <w:r>
        <w:rPr>
          <w:rFonts w:hint="default"/>
          <w:color w:val="auto"/>
          <w:lang w:val="en-US" w:eastAsia="zh-CN"/>
        </w:rPr>
        <w:t>式中：W—系统（单元）预先危险性等级系数，划分标准见表4-1；</w:t>
      </w:r>
    </w:p>
    <w:p w14:paraId="372530F1">
      <w:pPr>
        <w:bidi w:val="0"/>
        <w:rPr>
          <w:rFonts w:hint="default"/>
          <w:color w:val="auto"/>
          <w:lang w:val="en-US" w:eastAsia="zh-CN"/>
        </w:rPr>
      </w:pPr>
      <w:r>
        <w:rPr>
          <w:rFonts w:hint="default"/>
          <w:color w:val="auto"/>
          <w:lang w:val="en-US" w:eastAsia="zh-CN"/>
        </w:rPr>
        <w:t>P—分析项目的危险性等级系数，划分标准见表4-2；</w:t>
      </w:r>
    </w:p>
    <w:p w14:paraId="4FB1DA82">
      <w:pPr>
        <w:bidi w:val="0"/>
        <w:rPr>
          <w:rFonts w:hint="default"/>
          <w:color w:val="auto"/>
          <w:lang w:val="en-US" w:eastAsia="zh-CN"/>
        </w:rPr>
      </w:pPr>
      <w:r>
        <w:rPr>
          <w:rFonts w:hint="default"/>
          <w:color w:val="auto"/>
          <w:lang w:val="en-US" w:eastAsia="zh-CN"/>
        </w:rPr>
        <w:t>K—分析项目发生事故的概率系数，划分标准见表4-3。</w:t>
      </w:r>
    </w:p>
    <w:p w14:paraId="7E34760F">
      <w:pPr>
        <w:pStyle w:val="29"/>
        <w:bidi w:val="0"/>
        <w:rPr>
          <w:rFonts w:hint="default"/>
          <w:color w:val="auto"/>
          <w:lang w:val="en-US" w:eastAsia="zh-CN"/>
        </w:rPr>
      </w:pPr>
      <w:r>
        <w:rPr>
          <w:rFonts w:hint="default"/>
          <w:color w:val="auto"/>
          <w:lang w:val="en-US" w:eastAsia="zh-CN"/>
        </w:rPr>
        <w:t>表4</w:t>
      </w:r>
      <w:r>
        <w:rPr>
          <w:rFonts w:hint="eastAsia"/>
          <w:color w:val="auto"/>
          <w:lang w:val="en-US" w:eastAsia="zh-CN"/>
        </w:rPr>
        <w:t>.2</w:t>
      </w:r>
      <w:r>
        <w:rPr>
          <w:rFonts w:hint="default"/>
          <w:color w:val="auto"/>
          <w:lang w:val="en-US" w:eastAsia="zh-CN"/>
        </w:rPr>
        <w:t>-</w:t>
      </w:r>
      <w:r>
        <w:rPr>
          <w:rFonts w:hint="eastAsia"/>
          <w:color w:val="auto"/>
          <w:lang w:val="en-US" w:eastAsia="zh-CN"/>
        </w:rPr>
        <w:t>1</w:t>
      </w:r>
      <w:r>
        <w:rPr>
          <w:rFonts w:hint="default"/>
          <w:color w:val="auto"/>
          <w:lang w:val="en-US" w:eastAsia="zh-CN"/>
        </w:rPr>
        <w:t xml:space="preserve">  系统（单元）预先危险性等级系数（W）划分表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3"/>
        <w:gridCol w:w="1425"/>
        <w:gridCol w:w="1425"/>
        <w:gridCol w:w="1246"/>
        <w:gridCol w:w="1957"/>
      </w:tblGrid>
      <w:tr w14:paraId="216D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778" w:type="pct"/>
            <w:noWrap w:val="0"/>
            <w:vAlign w:val="center"/>
          </w:tcPr>
          <w:p w14:paraId="6523346C">
            <w:pPr>
              <w:pStyle w:val="30"/>
              <w:bidi w:val="0"/>
              <w:rPr>
                <w:color w:val="auto"/>
              </w:rPr>
            </w:pPr>
            <w:r>
              <w:rPr>
                <w:color w:val="auto"/>
              </w:rPr>
              <w:t>系统危险程度级别</w:t>
            </w:r>
          </w:p>
        </w:tc>
        <w:tc>
          <w:tcPr>
            <w:tcW w:w="758" w:type="pct"/>
            <w:noWrap w:val="0"/>
            <w:vAlign w:val="center"/>
          </w:tcPr>
          <w:p w14:paraId="41958E51">
            <w:pPr>
              <w:pStyle w:val="30"/>
              <w:bidi w:val="0"/>
              <w:rPr>
                <w:color w:val="auto"/>
              </w:rPr>
            </w:pPr>
            <w:r>
              <w:rPr>
                <w:color w:val="auto"/>
              </w:rPr>
              <w:t>I级</w:t>
            </w:r>
          </w:p>
        </w:tc>
        <w:tc>
          <w:tcPr>
            <w:tcW w:w="758" w:type="pct"/>
            <w:noWrap w:val="0"/>
            <w:vAlign w:val="center"/>
          </w:tcPr>
          <w:p w14:paraId="1EC108B6">
            <w:pPr>
              <w:pStyle w:val="30"/>
              <w:bidi w:val="0"/>
              <w:rPr>
                <w:color w:val="auto"/>
              </w:rPr>
            </w:pPr>
            <w:r>
              <w:rPr>
                <w:color w:val="auto"/>
              </w:rPr>
              <w:t>II级</w:t>
            </w:r>
          </w:p>
        </w:tc>
        <w:tc>
          <w:tcPr>
            <w:tcW w:w="663" w:type="pct"/>
            <w:noWrap w:val="0"/>
            <w:vAlign w:val="center"/>
          </w:tcPr>
          <w:p w14:paraId="41087125">
            <w:pPr>
              <w:pStyle w:val="30"/>
              <w:bidi w:val="0"/>
              <w:rPr>
                <w:color w:val="auto"/>
              </w:rPr>
            </w:pPr>
            <w:r>
              <w:rPr>
                <w:rFonts w:hint="eastAsia"/>
                <w:color w:val="auto"/>
              </w:rPr>
              <w:t>Ⅲ</w:t>
            </w:r>
            <w:r>
              <w:rPr>
                <w:color w:val="auto"/>
              </w:rPr>
              <w:t>级</w:t>
            </w:r>
          </w:p>
        </w:tc>
        <w:tc>
          <w:tcPr>
            <w:tcW w:w="1041" w:type="pct"/>
            <w:noWrap w:val="0"/>
            <w:vAlign w:val="center"/>
          </w:tcPr>
          <w:p w14:paraId="133B3D2E">
            <w:pPr>
              <w:pStyle w:val="30"/>
              <w:bidi w:val="0"/>
              <w:rPr>
                <w:color w:val="auto"/>
              </w:rPr>
            </w:pPr>
            <w:r>
              <w:rPr>
                <w:rFonts w:hint="eastAsia"/>
                <w:color w:val="auto"/>
              </w:rPr>
              <w:t>Ⅳ</w:t>
            </w:r>
            <w:r>
              <w:rPr>
                <w:color w:val="auto"/>
              </w:rPr>
              <w:t>级</w:t>
            </w:r>
          </w:p>
        </w:tc>
      </w:tr>
      <w:tr w14:paraId="4117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778" w:type="pct"/>
            <w:noWrap w:val="0"/>
            <w:vAlign w:val="center"/>
          </w:tcPr>
          <w:p w14:paraId="47F9ADA2">
            <w:pPr>
              <w:pStyle w:val="30"/>
              <w:bidi w:val="0"/>
              <w:rPr>
                <w:color w:val="auto"/>
              </w:rPr>
            </w:pPr>
            <w:r>
              <w:rPr>
                <w:color w:val="auto"/>
              </w:rPr>
              <w:t>系统危险程度</w:t>
            </w:r>
          </w:p>
        </w:tc>
        <w:tc>
          <w:tcPr>
            <w:tcW w:w="758" w:type="pct"/>
            <w:noWrap w:val="0"/>
            <w:vAlign w:val="center"/>
          </w:tcPr>
          <w:p w14:paraId="24E63AC0">
            <w:pPr>
              <w:pStyle w:val="30"/>
              <w:bidi w:val="0"/>
              <w:rPr>
                <w:color w:val="auto"/>
              </w:rPr>
            </w:pPr>
            <w:r>
              <w:rPr>
                <w:color w:val="auto"/>
              </w:rPr>
              <w:t>稍有危险</w:t>
            </w:r>
          </w:p>
        </w:tc>
        <w:tc>
          <w:tcPr>
            <w:tcW w:w="758" w:type="pct"/>
            <w:noWrap w:val="0"/>
            <w:vAlign w:val="center"/>
          </w:tcPr>
          <w:p w14:paraId="381DF0DE">
            <w:pPr>
              <w:pStyle w:val="30"/>
              <w:bidi w:val="0"/>
              <w:rPr>
                <w:color w:val="auto"/>
              </w:rPr>
            </w:pPr>
            <w:r>
              <w:rPr>
                <w:color w:val="auto"/>
              </w:rPr>
              <w:t>比较危险</w:t>
            </w:r>
          </w:p>
        </w:tc>
        <w:tc>
          <w:tcPr>
            <w:tcW w:w="663" w:type="pct"/>
            <w:noWrap w:val="0"/>
            <w:vAlign w:val="center"/>
          </w:tcPr>
          <w:p w14:paraId="549AB0AA">
            <w:pPr>
              <w:pStyle w:val="30"/>
              <w:bidi w:val="0"/>
              <w:rPr>
                <w:color w:val="auto"/>
              </w:rPr>
            </w:pPr>
            <w:r>
              <w:rPr>
                <w:color w:val="auto"/>
              </w:rPr>
              <w:t>很危险</w:t>
            </w:r>
          </w:p>
        </w:tc>
        <w:tc>
          <w:tcPr>
            <w:tcW w:w="1041" w:type="pct"/>
            <w:noWrap w:val="0"/>
            <w:vAlign w:val="center"/>
          </w:tcPr>
          <w:p w14:paraId="594DC04A">
            <w:pPr>
              <w:pStyle w:val="30"/>
              <w:bidi w:val="0"/>
              <w:rPr>
                <w:color w:val="auto"/>
              </w:rPr>
            </w:pPr>
            <w:r>
              <w:rPr>
                <w:color w:val="auto"/>
              </w:rPr>
              <w:t>极危险</w:t>
            </w:r>
          </w:p>
        </w:tc>
      </w:tr>
      <w:tr w14:paraId="6250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778" w:type="pct"/>
            <w:noWrap w:val="0"/>
            <w:vAlign w:val="center"/>
          </w:tcPr>
          <w:p w14:paraId="7B4D2BF9">
            <w:pPr>
              <w:pStyle w:val="30"/>
              <w:bidi w:val="0"/>
              <w:rPr>
                <w:color w:val="auto"/>
              </w:rPr>
            </w:pPr>
            <w:r>
              <w:rPr>
                <w:color w:val="auto"/>
              </w:rPr>
              <w:t>系统预先危险性等级系数</w:t>
            </w:r>
          </w:p>
        </w:tc>
        <w:tc>
          <w:tcPr>
            <w:tcW w:w="758" w:type="pct"/>
            <w:noWrap w:val="0"/>
            <w:vAlign w:val="center"/>
          </w:tcPr>
          <w:p w14:paraId="53A8C7D4">
            <w:pPr>
              <w:pStyle w:val="30"/>
              <w:bidi w:val="0"/>
              <w:rPr>
                <w:color w:val="auto"/>
              </w:rPr>
            </w:pPr>
            <w:r>
              <w:rPr>
                <w:color w:val="auto"/>
              </w:rPr>
              <w:t>1≤W&lt;1.5</w:t>
            </w:r>
          </w:p>
        </w:tc>
        <w:tc>
          <w:tcPr>
            <w:tcW w:w="758" w:type="pct"/>
            <w:noWrap w:val="0"/>
            <w:vAlign w:val="center"/>
          </w:tcPr>
          <w:p w14:paraId="5F6B4F76">
            <w:pPr>
              <w:pStyle w:val="30"/>
              <w:bidi w:val="0"/>
              <w:rPr>
                <w:color w:val="auto"/>
              </w:rPr>
            </w:pPr>
            <w:r>
              <w:rPr>
                <w:color w:val="auto"/>
              </w:rPr>
              <w:t>1.5≤W&lt;3</w:t>
            </w:r>
          </w:p>
        </w:tc>
        <w:tc>
          <w:tcPr>
            <w:tcW w:w="663" w:type="pct"/>
            <w:noWrap w:val="0"/>
            <w:vAlign w:val="center"/>
          </w:tcPr>
          <w:p w14:paraId="3C5050AF">
            <w:pPr>
              <w:pStyle w:val="30"/>
              <w:bidi w:val="0"/>
              <w:rPr>
                <w:color w:val="auto"/>
              </w:rPr>
            </w:pPr>
            <w:r>
              <w:rPr>
                <w:color w:val="auto"/>
              </w:rPr>
              <w:t>3≤W&lt;6</w:t>
            </w:r>
          </w:p>
        </w:tc>
        <w:tc>
          <w:tcPr>
            <w:tcW w:w="1041" w:type="pct"/>
            <w:noWrap w:val="0"/>
            <w:vAlign w:val="center"/>
          </w:tcPr>
          <w:p w14:paraId="11B20745">
            <w:pPr>
              <w:pStyle w:val="30"/>
              <w:bidi w:val="0"/>
              <w:rPr>
                <w:color w:val="auto"/>
              </w:rPr>
            </w:pPr>
            <w:r>
              <w:rPr>
                <w:color w:val="auto"/>
              </w:rPr>
              <w:t>6&lt;W≤8</w:t>
            </w:r>
          </w:p>
        </w:tc>
      </w:tr>
    </w:tbl>
    <w:p w14:paraId="1CC5AB3B">
      <w:pPr>
        <w:pStyle w:val="29"/>
        <w:bidi w:val="0"/>
        <w:rPr>
          <w:color w:val="auto"/>
        </w:rPr>
      </w:pPr>
      <w:r>
        <w:rPr>
          <w:rFonts w:hint="eastAsia"/>
          <w:color w:val="auto"/>
        </w:rPr>
        <w:t>表</w:t>
      </w:r>
      <w:r>
        <w:rPr>
          <w:rFonts w:hint="eastAsia"/>
          <w:color w:val="auto"/>
          <w:lang w:val="en-US" w:eastAsia="zh-CN"/>
        </w:rPr>
        <w:t xml:space="preserve">4.2-2 </w:t>
      </w:r>
      <w:r>
        <w:rPr>
          <w:rFonts w:hint="eastAsia"/>
          <w:color w:val="auto"/>
        </w:rPr>
        <w:t xml:space="preserve"> 分析项目的危险性等级系数（P）划分表</w:t>
      </w:r>
    </w:p>
    <w:tbl>
      <w:tblPr>
        <w:tblStyle w:val="21"/>
        <w:tblW w:w="4999" w:type="pct"/>
        <w:jc w:val="center"/>
        <w:tblLayout w:type="autofit"/>
        <w:tblCellMar>
          <w:top w:w="0" w:type="dxa"/>
          <w:left w:w="108" w:type="dxa"/>
          <w:bottom w:w="0" w:type="dxa"/>
          <w:right w:w="108" w:type="dxa"/>
        </w:tblCellMar>
      </w:tblPr>
      <w:tblGrid>
        <w:gridCol w:w="773"/>
        <w:gridCol w:w="1553"/>
        <w:gridCol w:w="1256"/>
        <w:gridCol w:w="5816"/>
      </w:tblGrid>
      <w:tr w14:paraId="6267D122">
        <w:tblPrEx>
          <w:tblCellMar>
            <w:top w:w="0" w:type="dxa"/>
            <w:left w:w="108" w:type="dxa"/>
            <w:bottom w:w="0" w:type="dxa"/>
            <w:right w:w="108" w:type="dxa"/>
          </w:tblCellMar>
        </w:tblPrEx>
        <w:trPr>
          <w:cantSplit/>
          <w:trHeight w:val="65"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153E709A">
            <w:pPr>
              <w:pStyle w:val="30"/>
              <w:bidi w:val="0"/>
              <w:rPr>
                <w:b/>
                <w:bCs/>
                <w:color w:val="auto"/>
              </w:rPr>
            </w:pPr>
            <w:r>
              <w:rPr>
                <w:rFonts w:hint="default"/>
                <w:b/>
                <w:bCs/>
                <w:color w:val="auto"/>
              </w:rPr>
              <w:t>级别</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6517C21F">
            <w:pPr>
              <w:pStyle w:val="30"/>
              <w:bidi w:val="0"/>
              <w:rPr>
                <w:b/>
                <w:bCs/>
                <w:color w:val="auto"/>
              </w:rPr>
            </w:pPr>
            <w:r>
              <w:rPr>
                <w:rFonts w:hint="default"/>
                <w:b/>
                <w:bCs/>
                <w:color w:val="auto"/>
              </w:rPr>
              <w:t>危险程度</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4731F0FD">
            <w:pPr>
              <w:pStyle w:val="30"/>
              <w:bidi w:val="0"/>
              <w:rPr>
                <w:b/>
                <w:bCs/>
                <w:color w:val="auto"/>
              </w:rPr>
            </w:pPr>
            <w:r>
              <w:rPr>
                <w:rFonts w:hint="default"/>
                <w:b/>
                <w:bCs/>
                <w:color w:val="auto"/>
              </w:rPr>
              <w:t>等级系数</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20B1556">
            <w:pPr>
              <w:pStyle w:val="30"/>
              <w:bidi w:val="0"/>
              <w:rPr>
                <w:b/>
                <w:bCs/>
                <w:color w:val="auto"/>
              </w:rPr>
            </w:pPr>
            <w:r>
              <w:rPr>
                <w:rFonts w:hint="default"/>
                <w:b/>
                <w:bCs/>
                <w:color w:val="auto"/>
              </w:rPr>
              <w:t>可能导致的后果</w:t>
            </w:r>
          </w:p>
        </w:tc>
      </w:tr>
      <w:tr w14:paraId="13369057">
        <w:tblPrEx>
          <w:tblCellMar>
            <w:top w:w="0" w:type="dxa"/>
            <w:left w:w="108" w:type="dxa"/>
            <w:bottom w:w="0" w:type="dxa"/>
            <w:right w:w="108" w:type="dxa"/>
          </w:tblCellMar>
        </w:tblPrEx>
        <w:trPr>
          <w:cantSplit/>
          <w:trHeight w:val="65"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10C64A0">
            <w:pPr>
              <w:pStyle w:val="30"/>
              <w:bidi w:val="0"/>
              <w:rPr>
                <w:color w:val="auto"/>
              </w:rPr>
            </w:pPr>
            <w:r>
              <w:rPr>
                <w:color w:val="auto"/>
              </w:rPr>
              <w:t>I</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4F4C4E98">
            <w:pPr>
              <w:pStyle w:val="30"/>
              <w:bidi w:val="0"/>
              <w:rPr>
                <w:color w:val="auto"/>
              </w:rPr>
            </w:pPr>
            <w:r>
              <w:rPr>
                <w:rFonts w:hint="default"/>
                <w:color w:val="auto"/>
              </w:rPr>
              <w:t>安全级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77C00CE4">
            <w:pPr>
              <w:pStyle w:val="30"/>
              <w:bidi w:val="0"/>
              <w:rPr>
                <w:color w:val="auto"/>
              </w:rPr>
            </w:pPr>
            <w:r>
              <w:rPr>
                <w:color w:val="auto"/>
              </w:rPr>
              <w:t>1</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454C49C">
            <w:pPr>
              <w:pStyle w:val="30"/>
              <w:bidi w:val="0"/>
              <w:rPr>
                <w:color w:val="auto"/>
              </w:rPr>
            </w:pPr>
            <w:r>
              <w:rPr>
                <w:rFonts w:hint="default"/>
                <w:color w:val="auto"/>
              </w:rPr>
              <w:t>不会造成人员伤亡及系统损坏。</w:t>
            </w:r>
          </w:p>
        </w:tc>
      </w:tr>
      <w:tr w14:paraId="669BEB28">
        <w:tblPrEx>
          <w:tblCellMar>
            <w:top w:w="0" w:type="dxa"/>
            <w:left w:w="108" w:type="dxa"/>
            <w:bottom w:w="0" w:type="dxa"/>
            <w:right w:w="108" w:type="dxa"/>
          </w:tblCellMar>
        </w:tblPrEx>
        <w:trPr>
          <w:cantSplit/>
          <w:trHeight w:val="397"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D1D5303">
            <w:pPr>
              <w:pStyle w:val="30"/>
              <w:bidi w:val="0"/>
              <w:rPr>
                <w:color w:val="auto"/>
              </w:rPr>
            </w:pPr>
            <w:r>
              <w:rPr>
                <w:color w:val="auto"/>
              </w:rPr>
              <w:t>II</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3E2CA2DC">
            <w:pPr>
              <w:pStyle w:val="30"/>
              <w:bidi w:val="0"/>
              <w:rPr>
                <w:color w:val="auto"/>
              </w:rPr>
            </w:pPr>
            <w:r>
              <w:rPr>
                <w:rFonts w:hint="default"/>
                <w:color w:val="auto"/>
              </w:rPr>
              <w:t>基本安全级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1F5C572D">
            <w:pPr>
              <w:pStyle w:val="30"/>
              <w:bidi w:val="0"/>
              <w:rPr>
                <w:color w:val="auto"/>
              </w:rPr>
            </w:pPr>
            <w:r>
              <w:rPr>
                <w:color w:val="auto"/>
              </w:rPr>
              <w:t>2</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39C80D24">
            <w:pPr>
              <w:pStyle w:val="30"/>
              <w:bidi w:val="0"/>
              <w:rPr>
                <w:color w:val="auto"/>
              </w:rPr>
            </w:pPr>
            <w:r>
              <w:rPr>
                <w:rFonts w:hint="default"/>
                <w:color w:val="auto"/>
              </w:rPr>
              <w:t>处于事故的边缘状态，可能造成人员伤亡、系统损坏或降低系统性能，但应予以排除或采取控制措施。</w:t>
            </w:r>
          </w:p>
        </w:tc>
      </w:tr>
      <w:tr w14:paraId="3DBED258">
        <w:tblPrEx>
          <w:tblCellMar>
            <w:top w:w="0" w:type="dxa"/>
            <w:left w:w="108" w:type="dxa"/>
            <w:bottom w:w="0" w:type="dxa"/>
            <w:right w:w="108" w:type="dxa"/>
          </w:tblCellMar>
        </w:tblPrEx>
        <w:trPr>
          <w:cantSplit/>
          <w:trHeight w:val="188"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46F61787">
            <w:pPr>
              <w:pStyle w:val="30"/>
              <w:bidi w:val="0"/>
              <w:rPr>
                <w:color w:val="auto"/>
              </w:rPr>
            </w:pPr>
            <w:r>
              <w:rPr>
                <w:rFonts w:hint="default"/>
                <w:color w:val="auto"/>
              </w:rPr>
              <w:t>Ⅲ</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6879078B">
            <w:pPr>
              <w:pStyle w:val="30"/>
              <w:bidi w:val="0"/>
              <w:rPr>
                <w:color w:val="auto"/>
              </w:rPr>
            </w:pPr>
            <w:r>
              <w:rPr>
                <w:rFonts w:hint="default"/>
                <w:color w:val="auto"/>
              </w:rPr>
              <w:t>危险级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262AC5CC">
            <w:pPr>
              <w:pStyle w:val="30"/>
              <w:bidi w:val="0"/>
              <w:rPr>
                <w:color w:val="auto"/>
              </w:rPr>
            </w:pPr>
            <w:r>
              <w:rPr>
                <w:color w:val="auto"/>
              </w:rPr>
              <w:t>4</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2DF27417">
            <w:pPr>
              <w:pStyle w:val="30"/>
              <w:bidi w:val="0"/>
              <w:rPr>
                <w:color w:val="auto"/>
              </w:rPr>
            </w:pPr>
            <w:r>
              <w:rPr>
                <w:rFonts w:hint="default"/>
                <w:color w:val="auto"/>
              </w:rPr>
              <w:t>会造成较大人员伤亡及系统损坏，要立即采取防范措施。</w:t>
            </w:r>
          </w:p>
        </w:tc>
      </w:tr>
      <w:tr w14:paraId="65CE4CB2">
        <w:tblPrEx>
          <w:tblCellMar>
            <w:top w:w="0" w:type="dxa"/>
            <w:left w:w="108" w:type="dxa"/>
            <w:bottom w:w="0" w:type="dxa"/>
            <w:right w:w="108" w:type="dxa"/>
          </w:tblCellMar>
        </w:tblPrEx>
        <w:trPr>
          <w:cantSplit/>
          <w:trHeight w:val="397" w:hRule="atLeast"/>
          <w:jc w:val="center"/>
        </w:trPr>
        <w:tc>
          <w:tcPr>
            <w:tcW w:w="411" w:type="pct"/>
            <w:tcBorders>
              <w:top w:val="single" w:color="auto" w:sz="6" w:space="0"/>
              <w:left w:val="single" w:color="auto" w:sz="6" w:space="0"/>
              <w:bottom w:val="single" w:color="auto" w:sz="6" w:space="0"/>
              <w:right w:val="single" w:color="auto" w:sz="6" w:space="0"/>
            </w:tcBorders>
            <w:noWrap w:val="0"/>
            <w:vAlign w:val="center"/>
          </w:tcPr>
          <w:p w14:paraId="68E59273">
            <w:pPr>
              <w:pStyle w:val="30"/>
              <w:bidi w:val="0"/>
              <w:rPr>
                <w:color w:val="auto"/>
              </w:rPr>
            </w:pPr>
            <w:r>
              <w:rPr>
                <w:rFonts w:hint="default"/>
                <w:color w:val="auto"/>
              </w:rPr>
              <w:t>Ⅳ</w:t>
            </w:r>
          </w:p>
        </w:tc>
        <w:tc>
          <w:tcPr>
            <w:tcW w:w="826" w:type="pct"/>
            <w:tcBorders>
              <w:top w:val="single" w:color="auto" w:sz="6" w:space="0"/>
              <w:left w:val="single" w:color="auto" w:sz="6" w:space="0"/>
              <w:bottom w:val="single" w:color="auto" w:sz="6" w:space="0"/>
              <w:right w:val="single" w:color="auto" w:sz="6" w:space="0"/>
            </w:tcBorders>
            <w:noWrap w:val="0"/>
            <w:vAlign w:val="center"/>
          </w:tcPr>
          <w:p w14:paraId="3D4086E5">
            <w:pPr>
              <w:pStyle w:val="30"/>
              <w:bidi w:val="0"/>
              <w:rPr>
                <w:color w:val="auto"/>
              </w:rPr>
            </w:pPr>
            <w:r>
              <w:rPr>
                <w:rFonts w:hint="default"/>
                <w:color w:val="auto"/>
              </w:rPr>
              <w:t>灾难级</w:t>
            </w:r>
          </w:p>
        </w:tc>
        <w:tc>
          <w:tcPr>
            <w:tcW w:w="668" w:type="pct"/>
            <w:tcBorders>
              <w:top w:val="single" w:color="auto" w:sz="6" w:space="0"/>
              <w:left w:val="single" w:color="auto" w:sz="6" w:space="0"/>
              <w:bottom w:val="single" w:color="auto" w:sz="6" w:space="0"/>
              <w:right w:val="single" w:color="auto" w:sz="6" w:space="0"/>
            </w:tcBorders>
            <w:noWrap w:val="0"/>
            <w:vAlign w:val="center"/>
          </w:tcPr>
          <w:p w14:paraId="1DA9EAD5">
            <w:pPr>
              <w:pStyle w:val="30"/>
              <w:bidi w:val="0"/>
              <w:rPr>
                <w:color w:val="auto"/>
              </w:rPr>
            </w:pPr>
            <w:r>
              <w:rPr>
                <w:color w:val="auto"/>
              </w:rPr>
              <w:t>8</w:t>
            </w:r>
          </w:p>
        </w:tc>
        <w:tc>
          <w:tcPr>
            <w:tcW w:w="3093" w:type="pct"/>
            <w:tcBorders>
              <w:top w:val="single" w:color="auto" w:sz="6" w:space="0"/>
              <w:left w:val="single" w:color="auto" w:sz="6" w:space="0"/>
              <w:bottom w:val="single" w:color="auto" w:sz="6" w:space="0"/>
              <w:right w:val="single" w:color="auto" w:sz="6" w:space="0"/>
            </w:tcBorders>
            <w:noWrap w:val="0"/>
            <w:vAlign w:val="center"/>
          </w:tcPr>
          <w:p w14:paraId="225ABE74">
            <w:pPr>
              <w:pStyle w:val="30"/>
              <w:bidi w:val="0"/>
              <w:rPr>
                <w:color w:val="auto"/>
              </w:rPr>
            </w:pPr>
            <w:r>
              <w:rPr>
                <w:rFonts w:hint="default"/>
                <w:color w:val="auto"/>
              </w:rPr>
              <w:t>造成人员重大伤亡及系统严重破坏的灾难性事故，必须予以果断排出并进行重点防范。</w:t>
            </w:r>
          </w:p>
        </w:tc>
      </w:tr>
    </w:tbl>
    <w:p w14:paraId="3754CDE1">
      <w:pPr>
        <w:pStyle w:val="29"/>
        <w:bidi w:val="0"/>
        <w:rPr>
          <w:color w:val="auto"/>
        </w:rPr>
      </w:pPr>
      <w:r>
        <w:rPr>
          <w:rFonts w:hint="eastAsia"/>
          <w:color w:val="auto"/>
        </w:rPr>
        <w:t>表</w:t>
      </w:r>
      <w:r>
        <w:rPr>
          <w:rFonts w:hint="eastAsia"/>
          <w:color w:val="auto"/>
          <w:lang w:val="en-US" w:eastAsia="zh-CN"/>
        </w:rPr>
        <w:t xml:space="preserve">4.2-3 </w:t>
      </w:r>
      <w:r>
        <w:rPr>
          <w:rFonts w:hint="eastAsia"/>
          <w:color w:val="auto"/>
        </w:rPr>
        <w:t xml:space="preserve"> 分析项目发生事故的概率系数（K）划分表</w:t>
      </w:r>
    </w:p>
    <w:tbl>
      <w:tblPr>
        <w:tblStyle w:val="21"/>
        <w:tblW w:w="4999" w:type="pct"/>
        <w:jc w:val="center"/>
        <w:tblLayout w:type="autofit"/>
        <w:tblCellMar>
          <w:top w:w="0" w:type="dxa"/>
          <w:left w:w="108" w:type="dxa"/>
          <w:bottom w:w="0" w:type="dxa"/>
          <w:right w:w="108" w:type="dxa"/>
        </w:tblCellMar>
      </w:tblPr>
      <w:tblGrid>
        <w:gridCol w:w="778"/>
        <w:gridCol w:w="1329"/>
        <w:gridCol w:w="7291"/>
      </w:tblGrid>
      <w:tr w14:paraId="62CCF3D0">
        <w:tblPrEx>
          <w:tblCellMar>
            <w:top w:w="0" w:type="dxa"/>
            <w:left w:w="108" w:type="dxa"/>
            <w:bottom w:w="0" w:type="dxa"/>
            <w:right w:w="108" w:type="dxa"/>
          </w:tblCellMar>
        </w:tblPrEx>
        <w:trPr>
          <w:trHeight w:val="312"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391BAFFC">
            <w:pPr>
              <w:pStyle w:val="30"/>
              <w:bidi w:val="0"/>
              <w:rPr>
                <w:b/>
                <w:bCs/>
                <w:color w:val="auto"/>
              </w:rPr>
            </w:pPr>
            <w:r>
              <w:rPr>
                <w:rFonts w:hint="default"/>
                <w:b/>
                <w:bCs/>
                <w:color w:val="auto"/>
              </w:rPr>
              <w:t>级别</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4F9EBE10">
            <w:pPr>
              <w:pStyle w:val="30"/>
              <w:bidi w:val="0"/>
              <w:rPr>
                <w:b/>
                <w:bCs/>
                <w:color w:val="auto"/>
              </w:rPr>
            </w:pPr>
            <w:r>
              <w:rPr>
                <w:rFonts w:hint="default"/>
                <w:b/>
                <w:bCs/>
                <w:color w:val="auto"/>
              </w:rPr>
              <w:t>概率系数</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49649173">
            <w:pPr>
              <w:pStyle w:val="30"/>
              <w:bidi w:val="0"/>
              <w:rPr>
                <w:b/>
                <w:bCs/>
                <w:color w:val="auto"/>
              </w:rPr>
            </w:pPr>
            <w:r>
              <w:rPr>
                <w:rFonts w:hint="default"/>
                <w:b/>
                <w:bCs/>
                <w:color w:val="auto"/>
              </w:rPr>
              <w:t>发生概率</w:t>
            </w:r>
          </w:p>
        </w:tc>
      </w:tr>
      <w:tr w14:paraId="059345AF">
        <w:tblPrEx>
          <w:tblCellMar>
            <w:top w:w="0" w:type="dxa"/>
            <w:left w:w="108" w:type="dxa"/>
            <w:bottom w:w="0" w:type="dxa"/>
            <w:right w:w="108" w:type="dxa"/>
          </w:tblCellMar>
        </w:tblPrEx>
        <w:trPr>
          <w:trHeight w:val="132"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7C58AC4E">
            <w:pPr>
              <w:pStyle w:val="30"/>
              <w:bidi w:val="0"/>
              <w:rPr>
                <w:color w:val="auto"/>
              </w:rPr>
            </w:pPr>
            <w:r>
              <w:rPr>
                <w:color w:val="auto"/>
              </w:rPr>
              <w:t>A</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26D31013">
            <w:pPr>
              <w:pStyle w:val="30"/>
              <w:bidi w:val="0"/>
              <w:rPr>
                <w:color w:val="auto"/>
              </w:rPr>
            </w:pPr>
            <w:r>
              <w:rPr>
                <w:color w:val="auto"/>
              </w:rPr>
              <w:t>0</w:t>
            </w:r>
            <w:r>
              <w:rPr>
                <w:rFonts w:hint="default"/>
                <w:color w:val="auto"/>
              </w:rPr>
              <w:t>.</w:t>
            </w:r>
            <w:r>
              <w:rPr>
                <w:color w:val="auto"/>
              </w:rPr>
              <w:t>05</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29BDC44">
            <w:pPr>
              <w:pStyle w:val="30"/>
              <w:bidi w:val="0"/>
              <w:rPr>
                <w:color w:val="auto"/>
              </w:rPr>
            </w:pPr>
            <w:r>
              <w:rPr>
                <w:rFonts w:hint="default"/>
                <w:color w:val="auto"/>
              </w:rPr>
              <w:t>发生概率接近零，在设备使用期内几乎不发生。</w:t>
            </w:r>
          </w:p>
        </w:tc>
      </w:tr>
      <w:tr w14:paraId="1087BF6A">
        <w:tblPrEx>
          <w:tblCellMar>
            <w:top w:w="0" w:type="dxa"/>
            <w:left w:w="108" w:type="dxa"/>
            <w:bottom w:w="0" w:type="dxa"/>
            <w:right w:w="108" w:type="dxa"/>
          </w:tblCellMar>
        </w:tblPrEx>
        <w:trPr>
          <w:trHeight w:val="65"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0948CF27">
            <w:pPr>
              <w:pStyle w:val="30"/>
              <w:bidi w:val="0"/>
              <w:rPr>
                <w:color w:val="auto"/>
              </w:rPr>
            </w:pPr>
            <w:r>
              <w:rPr>
                <w:color w:val="auto"/>
              </w:rPr>
              <w:t>B</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6D2DAFC7">
            <w:pPr>
              <w:pStyle w:val="30"/>
              <w:bidi w:val="0"/>
              <w:rPr>
                <w:color w:val="auto"/>
              </w:rPr>
            </w:pPr>
            <w:r>
              <w:rPr>
                <w:color w:val="auto"/>
              </w:rPr>
              <w:t>0</w:t>
            </w:r>
            <w:r>
              <w:rPr>
                <w:rFonts w:hint="default"/>
                <w:color w:val="auto"/>
              </w:rPr>
              <w:t>.</w:t>
            </w:r>
            <w:r>
              <w:rPr>
                <w:color w:val="auto"/>
              </w:rPr>
              <w:t>10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6D15BFA1">
            <w:pPr>
              <w:pStyle w:val="30"/>
              <w:bidi w:val="0"/>
              <w:rPr>
                <w:color w:val="auto"/>
              </w:rPr>
            </w:pPr>
            <w:r>
              <w:rPr>
                <w:rFonts w:hint="default"/>
                <w:color w:val="auto"/>
              </w:rPr>
              <w:t>很少发生。</w:t>
            </w:r>
          </w:p>
        </w:tc>
      </w:tr>
      <w:tr w14:paraId="4285B1F5">
        <w:tblPrEx>
          <w:tblCellMar>
            <w:top w:w="0" w:type="dxa"/>
            <w:left w:w="108" w:type="dxa"/>
            <w:bottom w:w="0" w:type="dxa"/>
            <w:right w:w="108" w:type="dxa"/>
          </w:tblCellMar>
        </w:tblPrEx>
        <w:trPr>
          <w:trHeight w:val="268"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38517B4B">
            <w:pPr>
              <w:pStyle w:val="30"/>
              <w:bidi w:val="0"/>
              <w:rPr>
                <w:color w:val="auto"/>
              </w:rPr>
            </w:pPr>
            <w:r>
              <w:rPr>
                <w:color w:val="auto"/>
              </w:rPr>
              <w:t>C</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12FD840D">
            <w:pPr>
              <w:pStyle w:val="30"/>
              <w:bidi w:val="0"/>
              <w:rPr>
                <w:color w:val="auto"/>
              </w:rPr>
            </w:pPr>
            <w:r>
              <w:rPr>
                <w:color w:val="auto"/>
              </w:rPr>
              <w:t>0</w:t>
            </w:r>
            <w:r>
              <w:rPr>
                <w:rFonts w:hint="default"/>
                <w:color w:val="auto"/>
              </w:rPr>
              <w:t>.</w:t>
            </w:r>
            <w:r>
              <w:rPr>
                <w:color w:val="auto"/>
              </w:rPr>
              <w:t>20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ED1CA46">
            <w:pPr>
              <w:pStyle w:val="30"/>
              <w:bidi w:val="0"/>
              <w:rPr>
                <w:color w:val="auto"/>
              </w:rPr>
            </w:pPr>
            <w:r>
              <w:rPr>
                <w:rFonts w:hint="default"/>
                <w:color w:val="auto"/>
              </w:rPr>
              <w:t>容易发生或偶然发生。</w:t>
            </w:r>
          </w:p>
        </w:tc>
      </w:tr>
      <w:tr w14:paraId="5853D200">
        <w:tblPrEx>
          <w:tblCellMar>
            <w:top w:w="0" w:type="dxa"/>
            <w:left w:w="108" w:type="dxa"/>
            <w:bottom w:w="0" w:type="dxa"/>
            <w:right w:w="108" w:type="dxa"/>
          </w:tblCellMar>
        </w:tblPrEx>
        <w:trPr>
          <w:trHeight w:val="116"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517F8A6C">
            <w:pPr>
              <w:pStyle w:val="30"/>
              <w:bidi w:val="0"/>
              <w:rPr>
                <w:color w:val="auto"/>
              </w:rPr>
            </w:pPr>
            <w:r>
              <w:rPr>
                <w:color w:val="auto"/>
              </w:rPr>
              <w:t>D</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55BF449D">
            <w:pPr>
              <w:pStyle w:val="30"/>
              <w:bidi w:val="0"/>
              <w:rPr>
                <w:color w:val="auto"/>
              </w:rPr>
            </w:pPr>
            <w:r>
              <w:rPr>
                <w:color w:val="auto"/>
              </w:rPr>
              <w:t>0</w:t>
            </w:r>
            <w:r>
              <w:rPr>
                <w:rFonts w:hint="default"/>
                <w:color w:val="auto"/>
              </w:rPr>
              <w:t>.</w:t>
            </w:r>
            <w:r>
              <w:rPr>
                <w:color w:val="auto"/>
              </w:rPr>
              <w:t>30</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77290F84">
            <w:pPr>
              <w:pStyle w:val="30"/>
              <w:bidi w:val="0"/>
              <w:rPr>
                <w:color w:val="auto"/>
              </w:rPr>
            </w:pPr>
            <w:r>
              <w:rPr>
                <w:rFonts w:hint="default"/>
                <w:color w:val="auto"/>
              </w:rPr>
              <w:t>很容易发生，相当可能发生。</w:t>
            </w:r>
          </w:p>
        </w:tc>
      </w:tr>
      <w:tr w14:paraId="303ADBC4">
        <w:tblPrEx>
          <w:tblCellMar>
            <w:top w:w="0" w:type="dxa"/>
            <w:left w:w="108" w:type="dxa"/>
            <w:bottom w:w="0" w:type="dxa"/>
            <w:right w:w="108" w:type="dxa"/>
          </w:tblCellMar>
        </w:tblPrEx>
        <w:trPr>
          <w:trHeight w:val="106" w:hRule="atLeast"/>
          <w:jc w:val="center"/>
        </w:trPr>
        <w:tc>
          <w:tcPr>
            <w:tcW w:w="414" w:type="pct"/>
            <w:tcBorders>
              <w:top w:val="single" w:color="auto" w:sz="6" w:space="0"/>
              <w:left w:val="single" w:color="auto" w:sz="6" w:space="0"/>
              <w:bottom w:val="single" w:color="auto" w:sz="6" w:space="0"/>
              <w:right w:val="single" w:color="auto" w:sz="6" w:space="0"/>
            </w:tcBorders>
            <w:noWrap w:val="0"/>
            <w:vAlign w:val="center"/>
          </w:tcPr>
          <w:p w14:paraId="0BE4F312">
            <w:pPr>
              <w:pStyle w:val="30"/>
              <w:bidi w:val="0"/>
              <w:rPr>
                <w:color w:val="auto"/>
              </w:rPr>
            </w:pPr>
            <w:r>
              <w:rPr>
                <w:color w:val="auto"/>
              </w:rPr>
              <w:t>E</w:t>
            </w:r>
          </w:p>
        </w:tc>
        <w:tc>
          <w:tcPr>
            <w:tcW w:w="707" w:type="pct"/>
            <w:tcBorders>
              <w:top w:val="single" w:color="auto" w:sz="6" w:space="0"/>
              <w:left w:val="single" w:color="auto" w:sz="6" w:space="0"/>
              <w:bottom w:val="single" w:color="auto" w:sz="6" w:space="0"/>
              <w:right w:val="single" w:color="auto" w:sz="6" w:space="0"/>
            </w:tcBorders>
            <w:noWrap w:val="0"/>
            <w:vAlign w:val="center"/>
          </w:tcPr>
          <w:p w14:paraId="63274B9C">
            <w:pPr>
              <w:pStyle w:val="30"/>
              <w:bidi w:val="0"/>
              <w:rPr>
                <w:color w:val="auto"/>
              </w:rPr>
            </w:pPr>
            <w:r>
              <w:rPr>
                <w:color w:val="auto"/>
              </w:rPr>
              <w:t>0</w:t>
            </w:r>
            <w:r>
              <w:rPr>
                <w:rFonts w:hint="default"/>
                <w:color w:val="auto"/>
              </w:rPr>
              <w:t>.</w:t>
            </w:r>
            <w:r>
              <w:rPr>
                <w:color w:val="auto"/>
              </w:rPr>
              <w:t>35</w:t>
            </w:r>
          </w:p>
        </w:tc>
        <w:tc>
          <w:tcPr>
            <w:tcW w:w="3877" w:type="pct"/>
            <w:tcBorders>
              <w:top w:val="single" w:color="auto" w:sz="6" w:space="0"/>
              <w:left w:val="single" w:color="auto" w:sz="6" w:space="0"/>
              <w:bottom w:val="single" w:color="auto" w:sz="6" w:space="0"/>
              <w:right w:val="single" w:color="auto" w:sz="6" w:space="0"/>
            </w:tcBorders>
            <w:noWrap w:val="0"/>
            <w:vAlign w:val="center"/>
          </w:tcPr>
          <w:p w14:paraId="4FD9F036">
            <w:pPr>
              <w:pStyle w:val="30"/>
              <w:bidi w:val="0"/>
              <w:rPr>
                <w:color w:val="auto"/>
              </w:rPr>
            </w:pPr>
            <w:r>
              <w:rPr>
                <w:rFonts w:hint="default"/>
                <w:color w:val="auto"/>
              </w:rPr>
              <w:t>频繁发生、经常发生。</w:t>
            </w:r>
          </w:p>
        </w:tc>
      </w:tr>
    </w:tbl>
    <w:p w14:paraId="196428F5">
      <w:pPr>
        <w:bidi w:val="0"/>
        <w:rPr>
          <w:rFonts w:hint="default"/>
          <w:color w:val="auto"/>
          <w:lang w:val="en-US" w:eastAsia="zh-CN"/>
        </w:rPr>
      </w:pPr>
      <w:r>
        <w:rPr>
          <w:rFonts w:hint="default"/>
          <w:color w:val="auto"/>
          <w:lang w:val="en-US" w:eastAsia="zh-CN"/>
        </w:rPr>
        <w:t>3、分析步骤</w:t>
      </w:r>
    </w:p>
    <w:p w14:paraId="70CA24C4">
      <w:pPr>
        <w:bidi w:val="0"/>
        <w:rPr>
          <w:rFonts w:hint="default"/>
          <w:color w:val="auto"/>
          <w:lang w:val="en-US" w:eastAsia="zh-CN"/>
        </w:rPr>
      </w:pPr>
      <w:r>
        <w:rPr>
          <w:rFonts w:hint="default"/>
          <w:color w:val="auto"/>
          <w:lang w:val="en-US" w:eastAsia="zh-CN"/>
        </w:rPr>
        <w:t>预先危险性分析的步骤大致为：</w:t>
      </w:r>
    </w:p>
    <w:p w14:paraId="00786463">
      <w:pPr>
        <w:bidi w:val="0"/>
        <w:rPr>
          <w:rFonts w:hint="default"/>
          <w:color w:val="auto"/>
          <w:lang w:val="en-US" w:eastAsia="zh-CN"/>
        </w:rPr>
      </w:pPr>
      <w:r>
        <w:rPr>
          <w:rFonts w:hint="default"/>
          <w:color w:val="auto"/>
          <w:lang w:val="en-US" w:eastAsia="zh-CN"/>
        </w:rPr>
        <w:t>（1）了解系统的基本目的、工艺流程及环境因素等；</w:t>
      </w:r>
    </w:p>
    <w:p w14:paraId="03375DA8">
      <w:pPr>
        <w:bidi w:val="0"/>
        <w:rPr>
          <w:rFonts w:hint="default"/>
          <w:color w:val="auto"/>
          <w:lang w:val="en-US" w:eastAsia="zh-CN"/>
        </w:rPr>
      </w:pPr>
      <w:r>
        <w:rPr>
          <w:rFonts w:hint="default"/>
          <w:color w:val="auto"/>
          <w:lang w:val="en-US" w:eastAsia="zh-CN"/>
        </w:rPr>
        <w:t>（2）参照类似系统的事故教训及经验，分析系统中可能出现的危险、危害及其事故（或灾害）可能类型；</w:t>
      </w:r>
    </w:p>
    <w:p w14:paraId="3058ED85">
      <w:pPr>
        <w:bidi w:val="0"/>
        <w:rPr>
          <w:rFonts w:hint="default"/>
          <w:color w:val="auto"/>
          <w:lang w:val="en-US" w:eastAsia="zh-CN"/>
        </w:rPr>
      </w:pPr>
      <w:r>
        <w:rPr>
          <w:rFonts w:hint="default"/>
          <w:color w:val="auto"/>
          <w:lang w:val="en-US" w:eastAsia="zh-CN"/>
        </w:rPr>
        <w:t>（3）对确定的危险源分类，制定预先危险性分析表；</w:t>
      </w:r>
    </w:p>
    <w:p w14:paraId="2042E053">
      <w:pPr>
        <w:bidi w:val="0"/>
        <w:rPr>
          <w:rFonts w:hint="default"/>
          <w:color w:val="auto"/>
          <w:lang w:val="en-US" w:eastAsia="zh-CN"/>
        </w:rPr>
      </w:pPr>
      <w:r>
        <w:rPr>
          <w:rFonts w:hint="default"/>
          <w:color w:val="auto"/>
          <w:lang w:val="en-US" w:eastAsia="zh-CN"/>
        </w:rPr>
        <w:t>（4）确定危险因素转变为事故的触发条件和必要条件，寻求有效的对策措施；</w:t>
      </w:r>
    </w:p>
    <w:p w14:paraId="06C58094">
      <w:pPr>
        <w:bidi w:val="0"/>
        <w:rPr>
          <w:rFonts w:hint="default"/>
          <w:color w:val="auto"/>
          <w:lang w:val="en-US" w:eastAsia="zh-CN"/>
        </w:rPr>
      </w:pPr>
      <w:r>
        <w:rPr>
          <w:rFonts w:hint="default"/>
          <w:color w:val="auto"/>
          <w:lang w:val="en-US" w:eastAsia="zh-CN"/>
        </w:rPr>
        <w:t>（5）进行危险性等级划分；</w:t>
      </w:r>
    </w:p>
    <w:p w14:paraId="5839F0AA">
      <w:pPr>
        <w:bidi w:val="0"/>
        <w:rPr>
          <w:rFonts w:hint="default"/>
          <w:color w:val="auto"/>
          <w:lang w:val="en-US" w:eastAsia="zh-CN"/>
        </w:rPr>
      </w:pPr>
      <w:r>
        <w:rPr>
          <w:rFonts w:hint="default"/>
          <w:color w:val="auto"/>
          <w:lang w:val="en-US" w:eastAsia="zh-CN"/>
        </w:rPr>
        <w:t>（6）制定事故（或灾害）的预防性对策措施。</w:t>
      </w:r>
    </w:p>
    <w:p w14:paraId="253141EF">
      <w:pPr>
        <w:pStyle w:val="6"/>
        <w:bidi w:val="0"/>
        <w:rPr>
          <w:rFonts w:hint="default"/>
          <w:color w:val="auto"/>
          <w:lang w:val="en-US" w:eastAsia="zh-CN"/>
        </w:rPr>
      </w:pPr>
      <w:r>
        <w:rPr>
          <w:rFonts w:hint="default"/>
          <w:color w:val="auto"/>
          <w:lang w:val="en-US" w:eastAsia="zh-CN"/>
        </w:rPr>
        <w:t>4.2.2 安全检查表分析法（SCL）</w:t>
      </w:r>
    </w:p>
    <w:p w14:paraId="414F7B23">
      <w:pPr>
        <w:bidi w:val="0"/>
        <w:rPr>
          <w:rFonts w:hint="default"/>
          <w:color w:val="auto"/>
          <w:lang w:val="en-US" w:eastAsia="zh-CN"/>
        </w:rPr>
      </w:pPr>
      <w:r>
        <w:rPr>
          <w:rFonts w:hint="default"/>
          <w:color w:val="auto"/>
          <w:lang w:val="en-US" w:eastAsia="zh-CN"/>
        </w:rPr>
        <w:t>安全检查表分析（SafetyCheckListAnalysis）是将一系列分析项目列出检查表进行分析以确定系统的状态，这些项目包括设备、贮运、操作、管理等各个方面。传统的安全检查表分析方法是分析人员列出一些危险项目，识别与一般工艺设备和操作有关的已知类型的危险、设计缺陷以及事故隐患，其所列项目的差别很大，而且通常用于检查各种规范和标准的执行情况。安全检查表分析的弹性很大，既可用于简单的快速分析，也可用于更深层次的分析，它是识别已知危险的有效方法。</w:t>
      </w:r>
    </w:p>
    <w:p w14:paraId="7323C8DF">
      <w:pPr>
        <w:bidi w:val="0"/>
        <w:rPr>
          <w:rFonts w:hint="default"/>
          <w:color w:val="auto"/>
          <w:lang w:val="en-US" w:eastAsia="zh-CN"/>
        </w:rPr>
      </w:pPr>
      <w:r>
        <w:rPr>
          <w:rFonts w:hint="default"/>
          <w:color w:val="auto"/>
          <w:lang w:val="en-US" w:eastAsia="zh-CN"/>
        </w:rPr>
        <w:t>安全检查表内容包括标准、规范和规定，随时关注并采用新颁布的有关标准、规范和规定。正确地使用安全检查表分析将保证每个设备符合标准，而且要以识别出需进一步分析的区域。安全检查表分析是基于经验的方法，编制安全检查表的评价人员应当熟悉装置的操作、标准和规程，并从有关渠道（如内部标准、规范、行业指南等）选择合适的安全检查表，如果无法获得相关的安全检查表，评价人员必须运用自己的经验和可靠的参考资料编制合适的安全检查表；所拟定的安全检查表应当是通过回答安全检查表所列的问题能够发现系统设计和操作的各个方面与有关标准不符的地方。许多机构使用标准的安全检查表对项目发展的各个阶段进行分析。换句话说，针对典型的行业和工艺，其安全检查表内容是一定的；但是，完整的安全检查表应当随着项目从一个阶段到下一个阶段不断完善，这样，安全检查表才能作为交流和控制的手段。</w:t>
      </w:r>
    </w:p>
    <w:p w14:paraId="07993508">
      <w:pPr>
        <w:bidi w:val="0"/>
        <w:rPr>
          <w:rFonts w:hint="default"/>
          <w:color w:val="auto"/>
          <w:lang w:val="en-US" w:eastAsia="zh-CN"/>
        </w:rPr>
      </w:pPr>
      <w:r>
        <w:rPr>
          <w:rFonts w:hint="default"/>
          <w:color w:val="auto"/>
          <w:lang w:val="en-US" w:eastAsia="zh-CN"/>
        </w:rPr>
        <w:t>安全检查表分析包括三个步骤：</w:t>
      </w:r>
    </w:p>
    <w:p w14:paraId="7BC97D9F">
      <w:pPr>
        <w:bidi w:val="0"/>
        <w:rPr>
          <w:rFonts w:hint="default"/>
          <w:color w:val="auto"/>
          <w:lang w:val="en-US" w:eastAsia="zh-CN"/>
        </w:rPr>
      </w:pPr>
      <w:r>
        <w:rPr>
          <w:rFonts w:hint="default"/>
          <w:color w:val="auto"/>
          <w:lang w:val="en-US" w:eastAsia="zh-CN"/>
        </w:rPr>
        <w:t>1、选择或拟定合适的安全检查表；</w:t>
      </w:r>
    </w:p>
    <w:p w14:paraId="467DC7C4">
      <w:pPr>
        <w:bidi w:val="0"/>
        <w:rPr>
          <w:rFonts w:hint="default"/>
          <w:color w:val="auto"/>
          <w:lang w:val="en-US" w:eastAsia="zh-CN"/>
        </w:rPr>
      </w:pPr>
      <w:r>
        <w:rPr>
          <w:rFonts w:hint="default"/>
          <w:color w:val="auto"/>
          <w:lang w:val="en-US" w:eastAsia="zh-CN"/>
        </w:rPr>
        <w:t>2、完成分析；</w:t>
      </w:r>
    </w:p>
    <w:p w14:paraId="3DE93832">
      <w:pPr>
        <w:bidi w:val="0"/>
        <w:rPr>
          <w:rFonts w:hint="default"/>
          <w:color w:val="auto"/>
          <w:lang w:val="en-US" w:eastAsia="zh-CN"/>
        </w:rPr>
      </w:pPr>
      <w:r>
        <w:rPr>
          <w:rFonts w:hint="default"/>
          <w:color w:val="auto"/>
          <w:lang w:val="en-US" w:eastAsia="zh-CN"/>
        </w:rPr>
        <w:t>3、编制分析结果文件。</w:t>
      </w:r>
    </w:p>
    <w:p w14:paraId="3DA5AEBA">
      <w:pPr>
        <w:bidi w:val="0"/>
        <w:rPr>
          <w:rFonts w:hint="default"/>
          <w:color w:val="auto"/>
          <w:lang w:val="en-US" w:eastAsia="zh-CN"/>
        </w:rPr>
      </w:pPr>
      <w:r>
        <w:rPr>
          <w:rFonts w:hint="default"/>
          <w:color w:val="auto"/>
          <w:lang w:val="en-US" w:eastAsia="zh-CN"/>
        </w:rPr>
        <w:t>评价人员通过确定标准的设计或操作以建立传统的安全检查表，然后用它产生一系列基于缺陷或差异的问题。定性的分析结果随不同的分析对象而变化，但都将作出与标准或规范是否一致的结论。安全检查表分析通常提出一系列的提高安全性的可能途径给管理者考虑。</w:t>
      </w:r>
    </w:p>
    <w:p w14:paraId="393512D5">
      <w:pPr>
        <w:pStyle w:val="6"/>
        <w:bidi w:val="0"/>
        <w:rPr>
          <w:rFonts w:hint="default"/>
          <w:color w:val="auto"/>
          <w:lang w:val="en-US" w:eastAsia="zh-CN"/>
        </w:rPr>
      </w:pPr>
      <w:r>
        <w:rPr>
          <w:rFonts w:hint="default"/>
          <w:color w:val="auto"/>
          <w:lang w:val="en-US" w:eastAsia="zh-CN"/>
        </w:rPr>
        <w:t>4.2.3 事故树（FTA）分析方法</w:t>
      </w:r>
    </w:p>
    <w:p w14:paraId="3037E1E2">
      <w:pPr>
        <w:bidi w:val="0"/>
        <w:rPr>
          <w:rFonts w:hint="default"/>
          <w:color w:val="auto"/>
          <w:lang w:val="en-US" w:eastAsia="zh-CN"/>
        </w:rPr>
      </w:pPr>
      <w:r>
        <w:rPr>
          <w:rFonts w:hint="default"/>
          <w:color w:val="auto"/>
          <w:lang w:val="en-US" w:eastAsia="zh-CN"/>
        </w:rPr>
        <w:t>事故树分析法又称故障树分析，是一种逻辑演绎系统安全分析方法。它是从要分析的特定事故或故障开始，层层分析其发生原因，一直分析到不能再分解为止；将特定的事故和各层原因（危险因素）之间用逻辑门符号连接起来，得到形象、简洁地表达其逻辑关系（因果关系）的逻辑树图形，即事故树。通过对事故树简化、计算达到分析、评价的目的。</w:t>
      </w:r>
    </w:p>
    <w:p w14:paraId="04245F90">
      <w:pPr>
        <w:bidi w:val="0"/>
        <w:rPr>
          <w:rFonts w:hint="default"/>
          <w:color w:val="auto"/>
          <w:lang w:val="en-US" w:eastAsia="zh-CN"/>
        </w:rPr>
      </w:pPr>
      <w:r>
        <w:rPr>
          <w:rFonts w:hint="default"/>
          <w:color w:val="auto"/>
          <w:lang w:val="en-US" w:eastAsia="zh-CN"/>
        </w:rPr>
        <w:t>该方法的基本步骤如下：</w:t>
      </w:r>
    </w:p>
    <w:p w14:paraId="421077A8">
      <w:pPr>
        <w:bidi w:val="0"/>
        <w:rPr>
          <w:rFonts w:hint="default"/>
          <w:color w:val="auto"/>
          <w:lang w:val="en-US" w:eastAsia="zh-CN"/>
        </w:rPr>
      </w:pPr>
      <w:r>
        <w:rPr>
          <w:rFonts w:hint="default"/>
          <w:color w:val="auto"/>
          <w:lang w:val="en-US" w:eastAsia="zh-CN"/>
        </w:rPr>
        <w:t>1、确定分析对象系统和要分析的各对象事件（顶上事件）；</w:t>
      </w:r>
    </w:p>
    <w:p w14:paraId="5DB0AA27">
      <w:pPr>
        <w:bidi w:val="0"/>
        <w:rPr>
          <w:rFonts w:hint="default"/>
          <w:color w:val="auto"/>
          <w:lang w:val="en-US" w:eastAsia="zh-CN"/>
        </w:rPr>
      </w:pPr>
      <w:r>
        <w:rPr>
          <w:rFonts w:hint="default"/>
          <w:color w:val="auto"/>
          <w:lang w:val="en-US" w:eastAsia="zh-CN"/>
        </w:rPr>
        <w:t>2、确定系统事故发生概率、事故损失的安全目标值；</w:t>
      </w:r>
    </w:p>
    <w:p w14:paraId="227242A7">
      <w:pPr>
        <w:bidi w:val="0"/>
        <w:rPr>
          <w:rFonts w:hint="default"/>
          <w:color w:val="auto"/>
          <w:lang w:val="en-US" w:eastAsia="zh-CN"/>
        </w:rPr>
      </w:pPr>
      <w:r>
        <w:rPr>
          <w:rFonts w:hint="default"/>
          <w:color w:val="auto"/>
          <w:lang w:val="en-US" w:eastAsia="zh-CN"/>
        </w:rPr>
        <w:t>3、调查与事故有关的所有直接原因和各种因素（设备故障、人员失误和环境不良反应因素）；</w:t>
      </w:r>
    </w:p>
    <w:p w14:paraId="1DE16F08">
      <w:pPr>
        <w:bidi w:val="0"/>
        <w:rPr>
          <w:rFonts w:hint="default"/>
          <w:color w:val="auto"/>
          <w:lang w:val="en-US" w:eastAsia="zh-CN"/>
        </w:rPr>
      </w:pPr>
      <w:r>
        <w:rPr>
          <w:rFonts w:hint="default"/>
          <w:color w:val="auto"/>
          <w:lang w:val="en-US" w:eastAsia="zh-CN"/>
        </w:rPr>
        <w:t>4、编制事故树：从顶上事件起，一级一级往下找出所有原因事件为止，按其逻辑关系画出事故树；</w:t>
      </w:r>
    </w:p>
    <w:p w14:paraId="1BDD36AD">
      <w:pPr>
        <w:bidi w:val="0"/>
        <w:rPr>
          <w:rFonts w:hint="default"/>
          <w:color w:val="auto"/>
          <w:lang w:val="en-US" w:eastAsia="zh-CN"/>
        </w:rPr>
      </w:pPr>
      <w:r>
        <w:rPr>
          <w:rFonts w:hint="default"/>
          <w:color w:val="auto"/>
          <w:lang w:val="en-US" w:eastAsia="zh-CN"/>
        </w:rPr>
        <w:t>5、定性分析：按事故树结构进行简化，求出最小割集和最小径集，确定各基本事件的结构重要度；</w:t>
      </w:r>
    </w:p>
    <w:p w14:paraId="032279E9">
      <w:pPr>
        <w:bidi w:val="0"/>
        <w:rPr>
          <w:rFonts w:hint="default"/>
          <w:color w:val="auto"/>
          <w:lang w:val="en-US" w:eastAsia="zh-CN"/>
        </w:rPr>
      </w:pPr>
      <w:r>
        <w:rPr>
          <w:rFonts w:hint="default"/>
          <w:color w:val="auto"/>
          <w:lang w:val="en-US" w:eastAsia="zh-CN"/>
        </w:rPr>
        <w:t>6、定量分析：找出各基本事故的发生概率，计算出顶上事件的发生概率，求出概率重要度和临界重要度；</w:t>
      </w:r>
    </w:p>
    <w:p w14:paraId="57781B1F">
      <w:pPr>
        <w:bidi w:val="0"/>
        <w:rPr>
          <w:rFonts w:hint="default"/>
          <w:color w:val="auto"/>
          <w:lang w:val="en-US" w:eastAsia="zh-CN"/>
        </w:rPr>
      </w:pPr>
      <w:r>
        <w:rPr>
          <w:rFonts w:hint="default"/>
          <w:color w:val="auto"/>
          <w:lang w:val="en-US" w:eastAsia="zh-CN"/>
        </w:rPr>
        <w:t>7、结果分析：当事故发生概率超过预定目标值时，从最小割集着手研究降低事故发生概率的所有可能方案，利用最小径集找出消除事故的最佳方案；通过重要度（重要度系数）分析确定采取对策措施的重点和先后顺序；从而得出分析、评价的结论。</w:t>
      </w:r>
    </w:p>
    <w:p w14:paraId="6799B4DE">
      <w:pPr>
        <w:rPr>
          <w:rFonts w:hint="default"/>
          <w:color w:val="auto"/>
          <w:lang w:val="en-US" w:eastAsia="zh-CN"/>
        </w:rPr>
      </w:pPr>
      <w:r>
        <w:rPr>
          <w:rFonts w:hint="default"/>
          <w:color w:val="auto"/>
          <w:lang w:val="en-US" w:eastAsia="zh-CN"/>
        </w:rPr>
        <w:br w:type="page"/>
      </w:r>
    </w:p>
    <w:p w14:paraId="68522923">
      <w:pPr>
        <w:pStyle w:val="4"/>
        <w:bidi w:val="0"/>
        <w:rPr>
          <w:rFonts w:hint="default"/>
          <w:color w:val="auto"/>
          <w:lang w:val="en-US" w:eastAsia="zh-CN"/>
        </w:rPr>
      </w:pPr>
      <w:bookmarkStart w:id="28" w:name="_Toc3751"/>
      <w:r>
        <w:rPr>
          <w:rFonts w:hint="default"/>
          <w:color w:val="auto"/>
          <w:lang w:val="en-US" w:eastAsia="zh-CN"/>
        </w:rPr>
        <w:t>5 定性定量评价</w:t>
      </w:r>
      <w:bookmarkEnd w:id="28"/>
    </w:p>
    <w:p w14:paraId="4D7583F1">
      <w:pPr>
        <w:pStyle w:val="5"/>
        <w:bidi w:val="0"/>
        <w:rPr>
          <w:rFonts w:hint="default"/>
          <w:color w:val="auto"/>
          <w:lang w:val="en-US" w:eastAsia="zh-CN"/>
        </w:rPr>
      </w:pPr>
      <w:bookmarkStart w:id="29" w:name="_Toc25237"/>
      <w:r>
        <w:rPr>
          <w:rFonts w:hint="default"/>
          <w:color w:val="auto"/>
          <w:lang w:val="en-US" w:eastAsia="zh-CN"/>
        </w:rPr>
        <w:t>5.1 厂址及总平面布置单元</w:t>
      </w:r>
      <w:bookmarkEnd w:id="29"/>
    </w:p>
    <w:p w14:paraId="05A41BDB">
      <w:pPr>
        <w:pStyle w:val="6"/>
        <w:bidi w:val="0"/>
        <w:rPr>
          <w:rFonts w:hint="default"/>
          <w:color w:val="auto"/>
          <w:lang w:val="en-US" w:eastAsia="zh-CN"/>
        </w:rPr>
      </w:pPr>
      <w:r>
        <w:rPr>
          <w:rFonts w:hint="default"/>
          <w:color w:val="auto"/>
          <w:lang w:val="en-US" w:eastAsia="zh-CN"/>
        </w:rPr>
        <w:t>5.1.1 项目周边环境评价分析</w:t>
      </w:r>
    </w:p>
    <w:p w14:paraId="2A9EEB22">
      <w:pPr>
        <w:bidi w:val="0"/>
        <w:rPr>
          <w:rFonts w:hint="default"/>
          <w:color w:val="auto"/>
          <w:lang w:val="en-US" w:eastAsia="zh-CN"/>
        </w:rPr>
      </w:pPr>
      <w:r>
        <w:rPr>
          <w:rFonts w:hint="default"/>
          <w:color w:val="auto"/>
          <w:lang w:val="en-US" w:eastAsia="zh-CN"/>
        </w:rPr>
        <w:t>项目位于乐朗村与猴街村之间属于寻甸县柯渡镇，项目浓缩车间位于寻甸金林钛矿有限公司选厂内，浓缩车间距离西侧24m和南侧31m为选厂建筑，东南侧189m为其纳海村，东侧距离13m为尾矿库，北侧为山地。压滤车间北侧距离725m为乐朗村，西侧距离249m为旧村，南侧和东侧为山地。</w:t>
      </w:r>
    </w:p>
    <w:p w14:paraId="49A68E0C">
      <w:pPr>
        <w:bidi w:val="0"/>
        <w:rPr>
          <w:color w:val="auto"/>
        </w:rPr>
      </w:pPr>
      <w:r>
        <w:rPr>
          <w:rFonts w:hint="default"/>
          <w:color w:val="auto"/>
          <w:lang w:val="en-US" w:eastAsia="zh-CN"/>
        </w:rPr>
        <w:t>若厂区道路修建不规范或限速、限重等安全警示标志缺失，则可能发生车辆伤害事故。</w:t>
      </w:r>
    </w:p>
    <w:p w14:paraId="2EC10325">
      <w:pPr>
        <w:bidi w:val="0"/>
        <w:rPr>
          <w:rFonts w:hint="default"/>
          <w:color w:val="auto"/>
          <w:lang w:val="en-US" w:eastAsia="zh-CN"/>
        </w:rPr>
      </w:pPr>
      <w:r>
        <w:rPr>
          <w:rFonts w:hint="default"/>
          <w:color w:val="auto"/>
          <w:lang w:val="en-US" w:eastAsia="zh-CN"/>
        </w:rPr>
        <w:t>若周边发生滑坡、坍塌，可能引发本厂发生滑坡、坍塌事故。</w:t>
      </w:r>
    </w:p>
    <w:p w14:paraId="593F9CAA">
      <w:pPr>
        <w:pStyle w:val="6"/>
        <w:bidi w:val="0"/>
        <w:rPr>
          <w:rFonts w:hint="default"/>
          <w:color w:val="auto"/>
          <w:lang w:val="en-US" w:eastAsia="zh-CN"/>
        </w:rPr>
      </w:pPr>
      <w:r>
        <w:rPr>
          <w:rFonts w:hint="default"/>
          <w:color w:val="auto"/>
          <w:lang w:val="en-US" w:eastAsia="zh-CN"/>
        </w:rPr>
        <w:t>5.1.2 厂址及总平面布置预先危险性分析（PHA）</w:t>
      </w:r>
    </w:p>
    <w:p w14:paraId="7876E8DD">
      <w:pPr>
        <w:bidi w:val="0"/>
        <w:rPr>
          <w:rFonts w:hint="default"/>
          <w:color w:val="auto"/>
          <w:lang w:val="en-US" w:eastAsia="zh-CN"/>
        </w:rPr>
      </w:pPr>
      <w:r>
        <w:rPr>
          <w:rFonts w:hint="default"/>
          <w:color w:val="auto"/>
          <w:lang w:val="en-US" w:eastAsia="zh-CN"/>
        </w:rPr>
        <w:t>本单元根据总平面布置危险有害因素辨识和分析结果进行PHA分析，预测事故出现对作业人员及生产过程产生的影响，判定已识别的危险性等级，并提出消除或控制危险性的措施。PHA分析见表5</w:t>
      </w:r>
      <w:r>
        <w:rPr>
          <w:rFonts w:hint="eastAsia"/>
          <w:color w:val="auto"/>
          <w:lang w:val="en-US" w:eastAsia="zh-CN"/>
        </w:rPr>
        <w:t>.1</w:t>
      </w:r>
      <w:r>
        <w:rPr>
          <w:rFonts w:hint="default"/>
          <w:color w:val="auto"/>
          <w:lang w:val="en-US" w:eastAsia="zh-CN"/>
        </w:rPr>
        <w:t>-1。</w:t>
      </w:r>
    </w:p>
    <w:p w14:paraId="6AF1B35C">
      <w:pPr>
        <w:pStyle w:val="29"/>
        <w:bidi w:val="0"/>
        <w:rPr>
          <w:rFonts w:hint="default"/>
          <w:color w:val="auto"/>
          <w:lang w:val="en-US" w:eastAsia="zh-CN"/>
        </w:rPr>
      </w:pPr>
      <w:r>
        <w:rPr>
          <w:rFonts w:hint="default"/>
          <w:color w:val="auto"/>
          <w:lang w:val="en-US" w:eastAsia="zh-CN"/>
        </w:rPr>
        <w:t>表5</w:t>
      </w:r>
      <w:r>
        <w:rPr>
          <w:rFonts w:hint="eastAsia"/>
          <w:color w:val="auto"/>
          <w:lang w:val="en-US" w:eastAsia="zh-CN"/>
        </w:rPr>
        <w:t>.1</w:t>
      </w:r>
      <w:r>
        <w:rPr>
          <w:rFonts w:hint="default"/>
          <w:color w:val="auto"/>
          <w:lang w:val="en-US" w:eastAsia="zh-CN"/>
        </w:rPr>
        <w:t>-1  厂址及总平面布置预先危险性分析表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2339"/>
        <w:gridCol w:w="1878"/>
        <w:gridCol w:w="848"/>
        <w:gridCol w:w="1070"/>
        <w:gridCol w:w="2598"/>
      </w:tblGrid>
      <w:tr w14:paraId="33BC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53" w:type="pct"/>
            <w:noWrap w:val="0"/>
            <w:vAlign w:val="center"/>
          </w:tcPr>
          <w:p w14:paraId="28DD0F86">
            <w:pPr>
              <w:pStyle w:val="30"/>
              <w:bidi w:val="0"/>
              <w:rPr>
                <w:rFonts w:hint="default"/>
                <w:b/>
                <w:bCs/>
                <w:color w:val="auto"/>
              </w:rPr>
            </w:pPr>
            <w:r>
              <w:rPr>
                <w:rFonts w:hint="default"/>
                <w:b/>
                <w:bCs/>
                <w:color w:val="auto"/>
              </w:rPr>
              <w:t>事故</w:t>
            </w:r>
          </w:p>
          <w:p w14:paraId="0B914508">
            <w:pPr>
              <w:pStyle w:val="30"/>
              <w:bidi w:val="0"/>
              <w:rPr>
                <w:rFonts w:hint="default"/>
                <w:b/>
                <w:bCs/>
                <w:color w:val="auto"/>
              </w:rPr>
            </w:pPr>
            <w:r>
              <w:rPr>
                <w:rFonts w:hint="default"/>
                <w:b/>
                <w:bCs/>
                <w:color w:val="auto"/>
              </w:rPr>
              <w:t>类型</w:t>
            </w:r>
          </w:p>
        </w:tc>
        <w:tc>
          <w:tcPr>
            <w:tcW w:w="1244" w:type="pct"/>
            <w:noWrap w:val="0"/>
            <w:vAlign w:val="center"/>
          </w:tcPr>
          <w:p w14:paraId="3955570E">
            <w:pPr>
              <w:pStyle w:val="30"/>
              <w:bidi w:val="0"/>
              <w:rPr>
                <w:rFonts w:hint="default"/>
                <w:b/>
                <w:bCs/>
                <w:color w:val="auto"/>
              </w:rPr>
            </w:pPr>
            <w:r>
              <w:rPr>
                <w:rFonts w:hint="default"/>
                <w:b/>
                <w:bCs/>
                <w:color w:val="auto"/>
              </w:rPr>
              <w:t>事故原因</w:t>
            </w:r>
          </w:p>
        </w:tc>
        <w:tc>
          <w:tcPr>
            <w:tcW w:w="999" w:type="pct"/>
            <w:noWrap w:val="0"/>
            <w:vAlign w:val="center"/>
          </w:tcPr>
          <w:p w14:paraId="61A876C9">
            <w:pPr>
              <w:pStyle w:val="30"/>
              <w:bidi w:val="0"/>
              <w:rPr>
                <w:rFonts w:hint="default"/>
                <w:b/>
                <w:bCs/>
                <w:color w:val="auto"/>
              </w:rPr>
            </w:pPr>
            <w:r>
              <w:rPr>
                <w:rFonts w:hint="default"/>
                <w:b/>
                <w:bCs/>
                <w:color w:val="auto"/>
              </w:rPr>
              <w:t>事故后果</w:t>
            </w:r>
          </w:p>
        </w:tc>
        <w:tc>
          <w:tcPr>
            <w:tcW w:w="451" w:type="pct"/>
            <w:noWrap w:val="0"/>
            <w:vAlign w:val="center"/>
          </w:tcPr>
          <w:p w14:paraId="3AAAE4E3">
            <w:pPr>
              <w:pStyle w:val="30"/>
              <w:bidi w:val="0"/>
              <w:rPr>
                <w:rFonts w:hint="default"/>
                <w:b/>
                <w:bCs/>
                <w:color w:val="auto"/>
              </w:rPr>
            </w:pPr>
            <w:r>
              <w:rPr>
                <w:rFonts w:hint="default"/>
                <w:b/>
                <w:bCs/>
                <w:color w:val="auto"/>
              </w:rPr>
              <w:t>危险等级</w:t>
            </w:r>
          </w:p>
        </w:tc>
        <w:tc>
          <w:tcPr>
            <w:tcW w:w="569" w:type="pct"/>
            <w:noWrap w:val="0"/>
            <w:vAlign w:val="center"/>
          </w:tcPr>
          <w:p w14:paraId="2B91B778">
            <w:pPr>
              <w:pStyle w:val="30"/>
              <w:bidi w:val="0"/>
              <w:rPr>
                <w:rFonts w:hint="default"/>
                <w:b/>
                <w:bCs/>
                <w:color w:val="auto"/>
              </w:rPr>
            </w:pPr>
            <w:r>
              <w:rPr>
                <w:rFonts w:hint="default"/>
                <w:b/>
                <w:bCs/>
                <w:color w:val="auto"/>
              </w:rPr>
              <w:t>发生事故的概率等级</w:t>
            </w:r>
          </w:p>
        </w:tc>
        <w:tc>
          <w:tcPr>
            <w:tcW w:w="1382" w:type="pct"/>
            <w:noWrap w:val="0"/>
            <w:vAlign w:val="center"/>
          </w:tcPr>
          <w:p w14:paraId="7987E1EA">
            <w:pPr>
              <w:pStyle w:val="30"/>
              <w:bidi w:val="0"/>
              <w:rPr>
                <w:rFonts w:hint="default"/>
                <w:b/>
                <w:bCs/>
                <w:color w:val="auto"/>
              </w:rPr>
            </w:pPr>
            <w:r>
              <w:rPr>
                <w:rFonts w:hint="default"/>
                <w:b/>
                <w:bCs/>
                <w:color w:val="auto"/>
              </w:rPr>
              <w:t>对策措施</w:t>
            </w:r>
          </w:p>
        </w:tc>
      </w:tr>
      <w:tr w14:paraId="1688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353" w:type="pct"/>
            <w:noWrap w:val="0"/>
            <w:vAlign w:val="center"/>
          </w:tcPr>
          <w:p w14:paraId="1A2D6954">
            <w:pPr>
              <w:pStyle w:val="30"/>
              <w:bidi w:val="0"/>
              <w:rPr>
                <w:rFonts w:hint="default"/>
                <w:color w:val="auto"/>
              </w:rPr>
            </w:pPr>
            <w:r>
              <w:rPr>
                <w:rFonts w:hint="default"/>
                <w:color w:val="auto"/>
              </w:rPr>
              <w:t>坍塌</w:t>
            </w:r>
          </w:p>
        </w:tc>
        <w:tc>
          <w:tcPr>
            <w:tcW w:w="1244" w:type="pct"/>
            <w:noWrap w:val="0"/>
            <w:vAlign w:val="center"/>
          </w:tcPr>
          <w:p w14:paraId="2DF8DE35">
            <w:pPr>
              <w:pStyle w:val="30"/>
              <w:bidi w:val="0"/>
              <w:jc w:val="both"/>
              <w:rPr>
                <w:rFonts w:hint="default"/>
                <w:color w:val="auto"/>
              </w:rPr>
            </w:pPr>
            <w:r>
              <w:rPr>
                <w:rFonts w:hint="default"/>
                <w:color w:val="auto"/>
              </w:rPr>
              <w:t>厂址不良工程地质情况未查明；建（构）筑物选址于不良工程地质地段；建构筑物区存在不良工程地质现象，地基处理方法不当；场地开挖边坡参数设计不当、未按设计开挖或缺乏有效支护。</w:t>
            </w:r>
          </w:p>
        </w:tc>
        <w:tc>
          <w:tcPr>
            <w:tcW w:w="999" w:type="pct"/>
            <w:noWrap w:val="0"/>
            <w:vAlign w:val="center"/>
          </w:tcPr>
          <w:p w14:paraId="22AA3881">
            <w:pPr>
              <w:pStyle w:val="30"/>
              <w:bidi w:val="0"/>
              <w:rPr>
                <w:rFonts w:hint="default"/>
                <w:color w:val="auto"/>
              </w:rPr>
            </w:pPr>
            <w:r>
              <w:rPr>
                <w:rFonts w:hint="default"/>
                <w:color w:val="auto"/>
              </w:rPr>
              <w:t>人员严重伤亡、财产巨大损失</w:t>
            </w:r>
          </w:p>
        </w:tc>
        <w:tc>
          <w:tcPr>
            <w:tcW w:w="451" w:type="pct"/>
            <w:noWrap w:val="0"/>
            <w:vAlign w:val="center"/>
          </w:tcPr>
          <w:p w14:paraId="244889F5">
            <w:pPr>
              <w:pStyle w:val="30"/>
              <w:bidi w:val="0"/>
              <w:rPr>
                <w:rFonts w:hint="default"/>
                <w:color w:val="auto"/>
              </w:rPr>
            </w:pPr>
            <w:r>
              <w:rPr>
                <w:rFonts w:hint="default"/>
                <w:color w:val="auto"/>
              </w:rPr>
              <w:t>IV</w:t>
            </w:r>
          </w:p>
        </w:tc>
        <w:tc>
          <w:tcPr>
            <w:tcW w:w="569" w:type="pct"/>
            <w:noWrap w:val="0"/>
            <w:vAlign w:val="center"/>
          </w:tcPr>
          <w:p w14:paraId="240BA5BB">
            <w:pPr>
              <w:pStyle w:val="30"/>
              <w:bidi w:val="0"/>
              <w:rPr>
                <w:rFonts w:hint="default"/>
                <w:color w:val="auto"/>
                <w:lang w:val="en-US" w:eastAsia="zh-CN"/>
              </w:rPr>
            </w:pPr>
            <w:r>
              <w:rPr>
                <w:rFonts w:hint="default"/>
                <w:color w:val="auto"/>
                <w:lang w:val="en-US" w:eastAsia="zh-CN"/>
              </w:rPr>
              <w:t>B</w:t>
            </w:r>
          </w:p>
        </w:tc>
        <w:tc>
          <w:tcPr>
            <w:tcW w:w="1382" w:type="pct"/>
            <w:noWrap w:val="0"/>
            <w:vAlign w:val="center"/>
          </w:tcPr>
          <w:p w14:paraId="0CCF9C5D">
            <w:pPr>
              <w:pStyle w:val="30"/>
              <w:bidi w:val="0"/>
              <w:jc w:val="both"/>
              <w:rPr>
                <w:rFonts w:hint="default"/>
                <w:color w:val="auto"/>
              </w:rPr>
            </w:pPr>
            <w:r>
              <w:rPr>
                <w:rFonts w:hint="default"/>
                <w:color w:val="auto"/>
              </w:rPr>
              <w:t>厂址选址应重视工程地质条件；建构筑物宜避开不良工程地质地段；设计、施工中应根据工程地质的变化情况，采取措施及时进行调整，开挖时严格按设计施工，场地边坡采取加固措施，确保边坡稳固。</w:t>
            </w:r>
          </w:p>
        </w:tc>
      </w:tr>
      <w:tr w14:paraId="1059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53" w:type="pct"/>
            <w:noWrap w:val="0"/>
            <w:vAlign w:val="center"/>
          </w:tcPr>
          <w:p w14:paraId="6AFFEA1F">
            <w:pPr>
              <w:pStyle w:val="30"/>
              <w:bidi w:val="0"/>
              <w:rPr>
                <w:rFonts w:hint="default"/>
                <w:color w:val="auto"/>
              </w:rPr>
            </w:pPr>
            <w:r>
              <w:rPr>
                <w:rFonts w:hint="default"/>
                <w:color w:val="auto"/>
              </w:rPr>
              <w:t>车辆</w:t>
            </w:r>
          </w:p>
          <w:p w14:paraId="71CFC277">
            <w:pPr>
              <w:pStyle w:val="30"/>
              <w:bidi w:val="0"/>
              <w:rPr>
                <w:rFonts w:hint="default"/>
                <w:color w:val="auto"/>
              </w:rPr>
            </w:pPr>
            <w:r>
              <w:rPr>
                <w:rFonts w:hint="default"/>
                <w:color w:val="auto"/>
              </w:rPr>
              <w:t>伤害</w:t>
            </w:r>
          </w:p>
        </w:tc>
        <w:tc>
          <w:tcPr>
            <w:tcW w:w="1244" w:type="pct"/>
            <w:noWrap w:val="0"/>
            <w:vAlign w:val="center"/>
          </w:tcPr>
          <w:p w14:paraId="1518940A">
            <w:pPr>
              <w:pStyle w:val="30"/>
              <w:bidi w:val="0"/>
              <w:jc w:val="both"/>
              <w:rPr>
                <w:rFonts w:hint="default"/>
                <w:color w:val="auto"/>
              </w:rPr>
            </w:pPr>
            <w:r>
              <w:rPr>
                <w:rFonts w:hint="default"/>
                <w:color w:val="auto"/>
              </w:rPr>
              <w:t>道路坡度大、弯道大、路面窄、缺乏安全防护及警示；车辆驾驶员违章驾车；车辆驾驶员人员生理、心理不良，操作失误；车况不良，维护修理不及时，带“病”行驶；道路路况不良、气候条件恶劣；管理规章制度或操作规程不健全。</w:t>
            </w:r>
          </w:p>
        </w:tc>
        <w:tc>
          <w:tcPr>
            <w:tcW w:w="999" w:type="pct"/>
            <w:noWrap w:val="0"/>
            <w:vAlign w:val="center"/>
          </w:tcPr>
          <w:p w14:paraId="073260D8">
            <w:pPr>
              <w:pStyle w:val="30"/>
              <w:bidi w:val="0"/>
              <w:rPr>
                <w:rFonts w:hint="default"/>
                <w:color w:val="auto"/>
              </w:rPr>
            </w:pPr>
            <w:r>
              <w:rPr>
                <w:rFonts w:hint="default"/>
                <w:color w:val="auto"/>
              </w:rPr>
              <w:t>人员伤亡、财产损失</w:t>
            </w:r>
          </w:p>
        </w:tc>
        <w:tc>
          <w:tcPr>
            <w:tcW w:w="451" w:type="pct"/>
            <w:noWrap w:val="0"/>
            <w:vAlign w:val="center"/>
          </w:tcPr>
          <w:p w14:paraId="5983734A">
            <w:pPr>
              <w:pStyle w:val="30"/>
              <w:bidi w:val="0"/>
              <w:rPr>
                <w:rFonts w:hint="default"/>
                <w:color w:val="auto"/>
              </w:rPr>
            </w:pPr>
            <w:r>
              <w:rPr>
                <w:rFonts w:hint="default"/>
                <w:color w:val="auto"/>
              </w:rPr>
              <w:t>Ⅲ</w:t>
            </w:r>
          </w:p>
        </w:tc>
        <w:tc>
          <w:tcPr>
            <w:tcW w:w="569" w:type="pct"/>
            <w:noWrap w:val="0"/>
            <w:vAlign w:val="center"/>
          </w:tcPr>
          <w:p w14:paraId="45408025">
            <w:pPr>
              <w:pStyle w:val="30"/>
              <w:bidi w:val="0"/>
              <w:rPr>
                <w:rFonts w:hint="default"/>
                <w:color w:val="auto"/>
                <w:lang w:val="en-US" w:eastAsia="zh-CN"/>
              </w:rPr>
            </w:pPr>
            <w:r>
              <w:rPr>
                <w:rFonts w:hint="default"/>
                <w:color w:val="auto"/>
                <w:lang w:val="en-US" w:eastAsia="zh-CN"/>
              </w:rPr>
              <w:t>C</w:t>
            </w:r>
          </w:p>
        </w:tc>
        <w:tc>
          <w:tcPr>
            <w:tcW w:w="1382" w:type="pct"/>
            <w:noWrap w:val="0"/>
            <w:vAlign w:val="center"/>
          </w:tcPr>
          <w:p w14:paraId="152D8B80">
            <w:pPr>
              <w:pStyle w:val="30"/>
              <w:bidi w:val="0"/>
              <w:jc w:val="both"/>
              <w:rPr>
                <w:rFonts w:hint="default"/>
                <w:color w:val="auto"/>
              </w:rPr>
            </w:pPr>
            <w:r>
              <w:rPr>
                <w:rFonts w:hint="default"/>
                <w:color w:val="auto"/>
              </w:rPr>
              <w:t>按厂矿道路设计规范进行道路设计；设置防护设施及警示标牌；加强车辆维护保养；杜绝违章驾驶；完善管理制度和操作规程。</w:t>
            </w:r>
          </w:p>
        </w:tc>
      </w:tr>
      <w:tr w14:paraId="6B28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53" w:type="pct"/>
            <w:noWrap w:val="0"/>
            <w:vAlign w:val="center"/>
          </w:tcPr>
          <w:p w14:paraId="20CE89A4">
            <w:pPr>
              <w:pStyle w:val="30"/>
              <w:bidi w:val="0"/>
              <w:rPr>
                <w:rFonts w:hint="default"/>
                <w:color w:val="auto"/>
              </w:rPr>
            </w:pPr>
            <w:r>
              <w:rPr>
                <w:rFonts w:hint="default"/>
                <w:color w:val="auto"/>
              </w:rPr>
              <w:t>物体</w:t>
            </w:r>
          </w:p>
          <w:p w14:paraId="6C6ED228">
            <w:pPr>
              <w:pStyle w:val="30"/>
              <w:bidi w:val="0"/>
              <w:rPr>
                <w:rFonts w:hint="default"/>
                <w:color w:val="auto"/>
              </w:rPr>
            </w:pPr>
            <w:r>
              <w:rPr>
                <w:rFonts w:hint="default"/>
                <w:color w:val="auto"/>
              </w:rPr>
              <w:t>打击</w:t>
            </w:r>
          </w:p>
        </w:tc>
        <w:tc>
          <w:tcPr>
            <w:tcW w:w="1244" w:type="pct"/>
            <w:noWrap w:val="0"/>
            <w:vAlign w:val="center"/>
          </w:tcPr>
          <w:p w14:paraId="10E3D617">
            <w:pPr>
              <w:pStyle w:val="30"/>
              <w:bidi w:val="0"/>
              <w:jc w:val="both"/>
              <w:rPr>
                <w:rFonts w:hint="default"/>
                <w:color w:val="auto"/>
              </w:rPr>
            </w:pPr>
            <w:r>
              <w:rPr>
                <w:rFonts w:hint="default"/>
                <w:color w:val="auto"/>
              </w:rPr>
              <w:t>高处作业工器具无防坠措施，人员进入作业现场未佩戴安全帽；未设置安全警示标志或标志不明显。</w:t>
            </w:r>
          </w:p>
        </w:tc>
        <w:tc>
          <w:tcPr>
            <w:tcW w:w="999" w:type="pct"/>
            <w:noWrap w:val="0"/>
            <w:vAlign w:val="center"/>
          </w:tcPr>
          <w:p w14:paraId="307164C7">
            <w:pPr>
              <w:pStyle w:val="30"/>
              <w:bidi w:val="0"/>
              <w:rPr>
                <w:rFonts w:hint="default"/>
                <w:color w:val="auto"/>
              </w:rPr>
            </w:pPr>
            <w:r>
              <w:rPr>
                <w:rFonts w:hint="default"/>
                <w:color w:val="auto"/>
              </w:rPr>
              <w:t>人员伤亡、财产损失</w:t>
            </w:r>
          </w:p>
        </w:tc>
        <w:tc>
          <w:tcPr>
            <w:tcW w:w="451" w:type="pct"/>
            <w:noWrap w:val="0"/>
            <w:vAlign w:val="center"/>
          </w:tcPr>
          <w:p w14:paraId="54D399F3">
            <w:pPr>
              <w:pStyle w:val="30"/>
              <w:bidi w:val="0"/>
              <w:rPr>
                <w:rFonts w:hint="default"/>
                <w:color w:val="auto"/>
              </w:rPr>
            </w:pPr>
            <w:r>
              <w:rPr>
                <w:rFonts w:hint="default"/>
                <w:color w:val="auto"/>
              </w:rPr>
              <w:t>Ⅲ</w:t>
            </w:r>
          </w:p>
        </w:tc>
        <w:tc>
          <w:tcPr>
            <w:tcW w:w="569" w:type="pct"/>
            <w:noWrap w:val="0"/>
            <w:vAlign w:val="center"/>
          </w:tcPr>
          <w:p w14:paraId="65F9C5EC">
            <w:pPr>
              <w:pStyle w:val="30"/>
              <w:bidi w:val="0"/>
              <w:rPr>
                <w:rFonts w:hint="default"/>
                <w:color w:val="auto"/>
                <w:lang w:val="en-US" w:eastAsia="zh-CN"/>
              </w:rPr>
            </w:pPr>
            <w:r>
              <w:rPr>
                <w:rFonts w:hint="default"/>
                <w:color w:val="auto"/>
                <w:lang w:val="en-US" w:eastAsia="zh-CN"/>
              </w:rPr>
              <w:t>B</w:t>
            </w:r>
          </w:p>
        </w:tc>
        <w:tc>
          <w:tcPr>
            <w:tcW w:w="1382" w:type="pct"/>
            <w:noWrap w:val="0"/>
            <w:vAlign w:val="center"/>
          </w:tcPr>
          <w:p w14:paraId="15A38CC6">
            <w:pPr>
              <w:pStyle w:val="30"/>
              <w:bidi w:val="0"/>
              <w:jc w:val="both"/>
              <w:rPr>
                <w:rFonts w:hint="default"/>
                <w:color w:val="auto"/>
              </w:rPr>
            </w:pPr>
            <w:r>
              <w:rPr>
                <w:rFonts w:hint="default"/>
                <w:color w:val="auto"/>
              </w:rPr>
              <w:t>作业人员进入施工现场必须戴安全帽，高处作业时工器具应采取防坠措施，作业现场设置安全警示标识。</w:t>
            </w:r>
          </w:p>
        </w:tc>
      </w:tr>
      <w:tr w14:paraId="21CF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353" w:type="pct"/>
            <w:noWrap w:val="0"/>
            <w:vAlign w:val="center"/>
          </w:tcPr>
          <w:p w14:paraId="0DE7DAFC">
            <w:pPr>
              <w:pStyle w:val="30"/>
              <w:bidi w:val="0"/>
              <w:rPr>
                <w:rFonts w:hint="default"/>
                <w:color w:val="auto"/>
              </w:rPr>
            </w:pPr>
            <w:r>
              <w:rPr>
                <w:rFonts w:hint="default"/>
                <w:color w:val="auto"/>
              </w:rPr>
              <w:t>高处坠落</w:t>
            </w:r>
          </w:p>
        </w:tc>
        <w:tc>
          <w:tcPr>
            <w:tcW w:w="1244" w:type="pct"/>
            <w:noWrap w:val="0"/>
            <w:vAlign w:val="center"/>
          </w:tcPr>
          <w:p w14:paraId="13792D9F">
            <w:pPr>
              <w:pStyle w:val="30"/>
              <w:bidi w:val="0"/>
              <w:jc w:val="both"/>
              <w:rPr>
                <w:rFonts w:hint="default"/>
                <w:color w:val="auto"/>
              </w:rPr>
            </w:pPr>
            <w:r>
              <w:rPr>
                <w:rFonts w:hint="default"/>
                <w:color w:val="auto"/>
              </w:rPr>
              <w:t>作业人员生理、心理健康状况不良，高处作业未佩戴安全防护用品，操作平台、临边等危险部位未设置安全设施或设施不完善，未设置安全警示标志或标志不明显，违章作业，制度不完善。</w:t>
            </w:r>
          </w:p>
        </w:tc>
        <w:tc>
          <w:tcPr>
            <w:tcW w:w="999" w:type="pct"/>
            <w:noWrap w:val="0"/>
            <w:vAlign w:val="center"/>
          </w:tcPr>
          <w:p w14:paraId="7FDE7A71">
            <w:pPr>
              <w:pStyle w:val="30"/>
              <w:bidi w:val="0"/>
              <w:rPr>
                <w:rFonts w:hint="default"/>
                <w:color w:val="auto"/>
              </w:rPr>
            </w:pPr>
            <w:r>
              <w:rPr>
                <w:rFonts w:hint="default"/>
                <w:color w:val="auto"/>
              </w:rPr>
              <w:t>人员伤亡、财产损失</w:t>
            </w:r>
          </w:p>
        </w:tc>
        <w:tc>
          <w:tcPr>
            <w:tcW w:w="451" w:type="pct"/>
            <w:noWrap w:val="0"/>
            <w:vAlign w:val="center"/>
          </w:tcPr>
          <w:p w14:paraId="6AD7678D">
            <w:pPr>
              <w:pStyle w:val="30"/>
              <w:bidi w:val="0"/>
              <w:rPr>
                <w:rFonts w:hint="default"/>
                <w:color w:val="auto"/>
              </w:rPr>
            </w:pPr>
            <w:r>
              <w:rPr>
                <w:rFonts w:hint="default"/>
                <w:color w:val="auto"/>
              </w:rPr>
              <w:t>Ⅲ</w:t>
            </w:r>
          </w:p>
        </w:tc>
        <w:tc>
          <w:tcPr>
            <w:tcW w:w="569" w:type="pct"/>
            <w:noWrap w:val="0"/>
            <w:vAlign w:val="center"/>
          </w:tcPr>
          <w:p w14:paraId="0ECC10FE">
            <w:pPr>
              <w:pStyle w:val="30"/>
              <w:bidi w:val="0"/>
              <w:rPr>
                <w:rFonts w:hint="default"/>
                <w:color w:val="auto"/>
                <w:lang w:val="en-US" w:eastAsia="zh-CN"/>
              </w:rPr>
            </w:pPr>
            <w:r>
              <w:rPr>
                <w:rFonts w:hint="default"/>
                <w:color w:val="auto"/>
                <w:lang w:val="en-US" w:eastAsia="zh-CN"/>
              </w:rPr>
              <w:t>B</w:t>
            </w:r>
          </w:p>
        </w:tc>
        <w:tc>
          <w:tcPr>
            <w:tcW w:w="1382" w:type="pct"/>
            <w:noWrap w:val="0"/>
            <w:vAlign w:val="center"/>
          </w:tcPr>
          <w:p w14:paraId="40B4AF99">
            <w:pPr>
              <w:pStyle w:val="30"/>
              <w:bidi w:val="0"/>
              <w:jc w:val="both"/>
              <w:rPr>
                <w:rFonts w:hint="default"/>
                <w:color w:val="auto"/>
              </w:rPr>
            </w:pPr>
            <w:r>
              <w:rPr>
                <w:rFonts w:hint="default"/>
                <w:color w:val="auto"/>
              </w:rPr>
              <w:t>对作业人员进行安全培训，使之掌握一定的安全技能；完善安全管理规章制度，杜绝违章指挥、违规作业；危险部位按规范设置安全设施，作业现场设置安全警示标志等。</w:t>
            </w:r>
          </w:p>
        </w:tc>
      </w:tr>
      <w:tr w14:paraId="71D4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353" w:type="pct"/>
            <w:noWrap w:val="0"/>
            <w:vAlign w:val="center"/>
          </w:tcPr>
          <w:p w14:paraId="2A767DEA">
            <w:pPr>
              <w:pStyle w:val="30"/>
              <w:bidi w:val="0"/>
              <w:rPr>
                <w:rFonts w:hint="default"/>
                <w:color w:val="auto"/>
              </w:rPr>
            </w:pPr>
            <w:r>
              <w:rPr>
                <w:rFonts w:hint="default"/>
                <w:color w:val="auto"/>
              </w:rPr>
              <w:t>火灾</w:t>
            </w:r>
          </w:p>
        </w:tc>
        <w:tc>
          <w:tcPr>
            <w:tcW w:w="1244" w:type="pct"/>
            <w:noWrap w:val="0"/>
            <w:vAlign w:val="center"/>
          </w:tcPr>
          <w:p w14:paraId="29968B7D">
            <w:pPr>
              <w:pStyle w:val="30"/>
              <w:bidi w:val="0"/>
              <w:jc w:val="both"/>
              <w:rPr>
                <w:rFonts w:hint="default"/>
                <w:color w:val="auto"/>
              </w:rPr>
            </w:pPr>
            <w:r>
              <w:rPr>
                <w:rFonts w:hint="default"/>
                <w:color w:val="auto"/>
              </w:rPr>
              <w:t>动火作业管理不善；建（构）筑物防火间距不足，材料不满足防火等级要求；电器设施线路老化，氧气、乙炔等易燃易爆物品储存方式不当；消防设施、器材配置满足规范要求；消防通道阻塞。</w:t>
            </w:r>
          </w:p>
        </w:tc>
        <w:tc>
          <w:tcPr>
            <w:tcW w:w="999" w:type="pct"/>
            <w:noWrap w:val="0"/>
            <w:vAlign w:val="center"/>
          </w:tcPr>
          <w:p w14:paraId="65E10AEC">
            <w:pPr>
              <w:pStyle w:val="30"/>
              <w:bidi w:val="0"/>
              <w:rPr>
                <w:rFonts w:hint="default"/>
                <w:color w:val="auto"/>
              </w:rPr>
            </w:pPr>
            <w:r>
              <w:rPr>
                <w:rFonts w:hint="default"/>
                <w:color w:val="auto"/>
              </w:rPr>
              <w:t>人员伤亡、财产损失</w:t>
            </w:r>
          </w:p>
        </w:tc>
        <w:tc>
          <w:tcPr>
            <w:tcW w:w="451" w:type="pct"/>
            <w:noWrap w:val="0"/>
            <w:vAlign w:val="center"/>
          </w:tcPr>
          <w:p w14:paraId="4A881BFE">
            <w:pPr>
              <w:pStyle w:val="30"/>
              <w:bidi w:val="0"/>
              <w:rPr>
                <w:rFonts w:hint="default"/>
                <w:color w:val="auto"/>
              </w:rPr>
            </w:pPr>
            <w:r>
              <w:rPr>
                <w:rFonts w:hint="default"/>
                <w:color w:val="auto"/>
              </w:rPr>
              <w:t>Ⅲ</w:t>
            </w:r>
          </w:p>
        </w:tc>
        <w:tc>
          <w:tcPr>
            <w:tcW w:w="569" w:type="pct"/>
            <w:noWrap w:val="0"/>
            <w:vAlign w:val="center"/>
          </w:tcPr>
          <w:p w14:paraId="3DDEEE48">
            <w:pPr>
              <w:pStyle w:val="30"/>
              <w:bidi w:val="0"/>
              <w:rPr>
                <w:rFonts w:hint="default"/>
                <w:color w:val="auto"/>
                <w:lang w:val="en-US" w:eastAsia="zh-CN"/>
              </w:rPr>
            </w:pPr>
            <w:r>
              <w:rPr>
                <w:rFonts w:hint="default"/>
                <w:color w:val="auto"/>
                <w:lang w:val="en-US" w:eastAsia="zh-CN"/>
              </w:rPr>
              <w:t>B</w:t>
            </w:r>
          </w:p>
        </w:tc>
        <w:tc>
          <w:tcPr>
            <w:tcW w:w="1382" w:type="pct"/>
            <w:noWrap w:val="0"/>
            <w:vAlign w:val="center"/>
          </w:tcPr>
          <w:p w14:paraId="43B4E7E7">
            <w:pPr>
              <w:pStyle w:val="30"/>
              <w:bidi w:val="0"/>
              <w:jc w:val="both"/>
              <w:rPr>
                <w:rFonts w:hint="default"/>
                <w:color w:val="auto"/>
              </w:rPr>
            </w:pPr>
            <w:r>
              <w:rPr>
                <w:rFonts w:hint="default"/>
                <w:color w:val="auto"/>
              </w:rPr>
              <w:t>完善动火管理制度，筑物严格按设计施工，使用的材料须满足防火等级要求；规范易燃易爆物品的使用、储存，易燃易爆物仓库禁烟、禁火，加强电气线路的维护；按规范设置消防设施，配置符合要求的消防器材，保证消防通道畅通。</w:t>
            </w:r>
          </w:p>
        </w:tc>
      </w:tr>
      <w:tr w14:paraId="67D1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53" w:type="pct"/>
            <w:noWrap w:val="0"/>
            <w:vAlign w:val="center"/>
          </w:tcPr>
          <w:p w14:paraId="2D115CC3">
            <w:pPr>
              <w:pStyle w:val="30"/>
              <w:bidi w:val="0"/>
              <w:rPr>
                <w:rFonts w:hint="eastAsia" w:eastAsia="宋体"/>
                <w:color w:val="auto"/>
                <w:lang w:val="en-US" w:eastAsia="zh-CN"/>
              </w:rPr>
            </w:pPr>
            <w:r>
              <w:rPr>
                <w:rFonts w:hint="eastAsia"/>
                <w:color w:val="auto"/>
                <w:lang w:val="en-US" w:eastAsia="zh-CN"/>
              </w:rPr>
              <w:t>滑坡</w:t>
            </w:r>
          </w:p>
        </w:tc>
        <w:tc>
          <w:tcPr>
            <w:tcW w:w="1244" w:type="pct"/>
            <w:noWrap w:val="0"/>
            <w:vAlign w:val="center"/>
          </w:tcPr>
          <w:p w14:paraId="32A8758D">
            <w:pPr>
              <w:pStyle w:val="30"/>
              <w:bidi w:val="0"/>
              <w:jc w:val="both"/>
              <w:rPr>
                <w:rFonts w:hint="default"/>
                <w:color w:val="auto"/>
              </w:rPr>
            </w:pPr>
            <w:r>
              <w:rPr>
                <w:rFonts w:hint="default"/>
                <w:color w:val="auto"/>
              </w:rPr>
              <w:t>厂址存在相对高差，雨季可能发生滑坡事故。原矿堆场的原矿堆高过高、尾矿堆场尾矿堆积过高。</w:t>
            </w:r>
          </w:p>
        </w:tc>
        <w:tc>
          <w:tcPr>
            <w:tcW w:w="999" w:type="pct"/>
            <w:noWrap w:val="0"/>
            <w:vAlign w:val="center"/>
          </w:tcPr>
          <w:p w14:paraId="04C35AB2">
            <w:pPr>
              <w:pStyle w:val="30"/>
              <w:bidi w:val="0"/>
              <w:rPr>
                <w:rFonts w:hint="default"/>
                <w:color w:val="auto"/>
              </w:rPr>
            </w:pPr>
            <w:r>
              <w:rPr>
                <w:rFonts w:hint="default"/>
                <w:color w:val="auto"/>
              </w:rPr>
              <w:t>人员伤亡、财产损失</w:t>
            </w:r>
          </w:p>
        </w:tc>
        <w:tc>
          <w:tcPr>
            <w:tcW w:w="451" w:type="pct"/>
            <w:noWrap w:val="0"/>
            <w:vAlign w:val="center"/>
          </w:tcPr>
          <w:p w14:paraId="2E1323C1">
            <w:pPr>
              <w:pStyle w:val="30"/>
              <w:bidi w:val="0"/>
              <w:rPr>
                <w:rFonts w:hint="default"/>
                <w:color w:val="auto"/>
              </w:rPr>
            </w:pPr>
            <w:r>
              <w:rPr>
                <w:rFonts w:hint="default"/>
                <w:color w:val="auto"/>
              </w:rPr>
              <w:t>IV</w:t>
            </w:r>
          </w:p>
        </w:tc>
        <w:tc>
          <w:tcPr>
            <w:tcW w:w="569" w:type="pct"/>
            <w:noWrap w:val="0"/>
            <w:vAlign w:val="center"/>
          </w:tcPr>
          <w:p w14:paraId="7041FE44">
            <w:pPr>
              <w:pStyle w:val="30"/>
              <w:bidi w:val="0"/>
              <w:rPr>
                <w:rFonts w:hint="default"/>
                <w:color w:val="auto"/>
                <w:lang w:val="en-US" w:eastAsia="zh-CN"/>
              </w:rPr>
            </w:pPr>
            <w:r>
              <w:rPr>
                <w:rFonts w:hint="eastAsia"/>
                <w:color w:val="auto"/>
                <w:lang w:val="en-US" w:eastAsia="zh-CN"/>
              </w:rPr>
              <w:t>B</w:t>
            </w:r>
          </w:p>
        </w:tc>
        <w:tc>
          <w:tcPr>
            <w:tcW w:w="1382" w:type="pct"/>
            <w:noWrap w:val="0"/>
            <w:vAlign w:val="center"/>
          </w:tcPr>
          <w:p w14:paraId="162A7D11">
            <w:pPr>
              <w:pStyle w:val="30"/>
              <w:bidi w:val="0"/>
              <w:jc w:val="both"/>
              <w:rPr>
                <w:rFonts w:hint="default"/>
                <w:color w:val="auto"/>
              </w:rPr>
            </w:pPr>
            <w:r>
              <w:rPr>
                <w:rFonts w:hint="eastAsia"/>
                <w:color w:val="auto"/>
                <w:lang w:val="en-US" w:eastAsia="zh-CN"/>
              </w:rPr>
              <w:t>完善排水设施。</w:t>
            </w:r>
            <w:r>
              <w:rPr>
                <w:rFonts w:hint="default"/>
                <w:color w:val="auto"/>
              </w:rPr>
              <w:t>各堆场堆高不宜过高，在醒目位置设置安全警示标志，严格控制堆置外坡比，无关人员禁止进入。</w:t>
            </w:r>
          </w:p>
        </w:tc>
      </w:tr>
      <w:tr w14:paraId="3885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53" w:type="pct"/>
            <w:noWrap w:val="0"/>
            <w:vAlign w:val="center"/>
          </w:tcPr>
          <w:p w14:paraId="723F5999">
            <w:pPr>
              <w:pStyle w:val="30"/>
              <w:bidi w:val="0"/>
              <w:rPr>
                <w:rFonts w:hint="eastAsia" w:eastAsia="宋体"/>
                <w:color w:val="auto"/>
                <w:lang w:val="en-US" w:eastAsia="zh-CN"/>
              </w:rPr>
            </w:pPr>
            <w:r>
              <w:rPr>
                <w:rFonts w:hint="eastAsia"/>
                <w:color w:val="auto"/>
                <w:lang w:val="en-US" w:eastAsia="zh-CN"/>
              </w:rPr>
              <w:t>淹溺</w:t>
            </w:r>
          </w:p>
        </w:tc>
        <w:tc>
          <w:tcPr>
            <w:tcW w:w="1244" w:type="pct"/>
            <w:noWrap w:val="0"/>
            <w:vAlign w:val="center"/>
          </w:tcPr>
          <w:p w14:paraId="05EFB832">
            <w:pPr>
              <w:pStyle w:val="30"/>
              <w:bidi w:val="0"/>
              <w:jc w:val="both"/>
              <w:rPr>
                <w:rFonts w:hint="default"/>
                <w:color w:val="auto"/>
              </w:rPr>
            </w:pPr>
            <w:r>
              <w:rPr>
                <w:rFonts w:hint="default"/>
                <w:color w:val="auto"/>
              </w:rPr>
              <w:t>该厂设有</w:t>
            </w:r>
            <w:r>
              <w:rPr>
                <w:rFonts w:hint="eastAsia"/>
                <w:color w:val="auto"/>
                <w:lang w:val="en-US" w:eastAsia="zh-CN"/>
              </w:rPr>
              <w:t>新水池、回水池、事故池、浓缩机等</w:t>
            </w:r>
            <w:r>
              <w:rPr>
                <w:rFonts w:hint="default"/>
                <w:color w:val="auto"/>
              </w:rPr>
              <w:t>，由于常有蓄水，蓄水能力较大，其四周缺少安全警示标志、护栏或照明不足，人员可能不慎坠入，可能造成淹溺事故。</w:t>
            </w:r>
          </w:p>
        </w:tc>
        <w:tc>
          <w:tcPr>
            <w:tcW w:w="999" w:type="pct"/>
            <w:noWrap w:val="0"/>
            <w:vAlign w:val="center"/>
          </w:tcPr>
          <w:p w14:paraId="1F703A3C">
            <w:pPr>
              <w:pStyle w:val="30"/>
              <w:bidi w:val="0"/>
              <w:rPr>
                <w:rFonts w:hint="default"/>
                <w:color w:val="auto"/>
              </w:rPr>
            </w:pPr>
            <w:r>
              <w:rPr>
                <w:rFonts w:hint="default"/>
                <w:color w:val="auto"/>
              </w:rPr>
              <w:t>人员伤亡</w:t>
            </w:r>
          </w:p>
        </w:tc>
        <w:tc>
          <w:tcPr>
            <w:tcW w:w="451" w:type="pct"/>
            <w:noWrap w:val="0"/>
            <w:vAlign w:val="center"/>
          </w:tcPr>
          <w:p w14:paraId="03DAA97D">
            <w:pPr>
              <w:pStyle w:val="30"/>
              <w:bidi w:val="0"/>
              <w:rPr>
                <w:rFonts w:hint="default"/>
                <w:color w:val="auto"/>
              </w:rPr>
            </w:pPr>
            <w:r>
              <w:rPr>
                <w:rFonts w:hint="default"/>
                <w:color w:val="auto"/>
              </w:rPr>
              <w:t>Ⅲ</w:t>
            </w:r>
          </w:p>
        </w:tc>
        <w:tc>
          <w:tcPr>
            <w:tcW w:w="569" w:type="pct"/>
            <w:noWrap w:val="0"/>
            <w:vAlign w:val="center"/>
          </w:tcPr>
          <w:p w14:paraId="68B0B94C">
            <w:pPr>
              <w:pStyle w:val="30"/>
              <w:bidi w:val="0"/>
              <w:rPr>
                <w:rFonts w:hint="default"/>
                <w:color w:val="auto"/>
                <w:lang w:val="en-US" w:eastAsia="zh-CN"/>
              </w:rPr>
            </w:pPr>
            <w:r>
              <w:rPr>
                <w:rFonts w:hint="eastAsia"/>
                <w:color w:val="auto"/>
                <w:lang w:val="en-US" w:eastAsia="zh-CN"/>
              </w:rPr>
              <w:t>B</w:t>
            </w:r>
          </w:p>
        </w:tc>
        <w:tc>
          <w:tcPr>
            <w:tcW w:w="1382" w:type="pct"/>
            <w:noWrap w:val="0"/>
            <w:vAlign w:val="center"/>
          </w:tcPr>
          <w:p w14:paraId="7F5FD26C">
            <w:pPr>
              <w:pStyle w:val="30"/>
              <w:bidi w:val="0"/>
              <w:jc w:val="both"/>
              <w:rPr>
                <w:rFonts w:hint="default"/>
                <w:color w:val="auto"/>
              </w:rPr>
            </w:pPr>
            <w:r>
              <w:rPr>
                <w:rFonts w:hint="default"/>
                <w:color w:val="auto"/>
              </w:rPr>
              <w:t>新水池、回水池、事故池、浓缩机等按相关规范设置安全防护设施并悬挂警示牌；加强员工安全知识培训，严禁违章作业，严禁酒后作业。</w:t>
            </w:r>
          </w:p>
        </w:tc>
      </w:tr>
    </w:tbl>
    <w:p w14:paraId="5C8171C1">
      <w:pPr>
        <w:bidi w:val="0"/>
        <w:rPr>
          <w:rFonts w:hint="default"/>
          <w:color w:val="auto"/>
          <w:lang w:val="en-US" w:eastAsia="zh-CN"/>
        </w:rPr>
      </w:pPr>
      <w:r>
        <w:rPr>
          <w:rFonts w:hint="default"/>
          <w:color w:val="auto"/>
          <w:lang w:val="en-US" w:eastAsia="zh-CN"/>
        </w:rPr>
        <w:t>通过PHA分析，Ⅲ级或Ⅲ级以上是危险的，会造成人员伤亡和系统损坏。车辆伤害、物体打击、高处坠落、火灾、坍塌、滑坡、淹溺危险等级为Ⅲ-IV级，是主要的危险、有害因素，需要采取防范对策措施。</w:t>
      </w:r>
    </w:p>
    <w:p w14:paraId="63BD1810">
      <w:pPr>
        <w:bidi w:val="0"/>
        <w:rPr>
          <w:rFonts w:hint="default"/>
          <w:color w:val="auto"/>
          <w:lang w:val="en-US" w:eastAsia="zh-CN"/>
        </w:rPr>
      </w:pPr>
      <w:r>
        <w:rPr>
          <w:rFonts w:hint="default"/>
          <w:color w:val="auto"/>
          <w:lang w:val="en-US" w:eastAsia="zh-CN"/>
        </w:rPr>
        <w:t>本单元预先危险性等级系数按下式确定：</w:t>
      </w:r>
    </w:p>
    <w:p w14:paraId="1BB339F8">
      <w:pPr>
        <w:bidi w:val="0"/>
        <w:rPr>
          <w:rFonts w:hint="default"/>
          <w:color w:val="auto"/>
          <w:lang w:val="en-US" w:eastAsia="zh-CN"/>
        </w:rPr>
      </w:pPr>
      <w:r>
        <w:rPr>
          <w:rFonts w:hint="default"/>
          <w:color w:val="auto"/>
          <w:lang w:val="en-US" w:eastAsia="zh-CN"/>
        </w:rPr>
        <w:t>W=∑（P×K）/∑K</w:t>
      </w:r>
    </w:p>
    <w:p w14:paraId="3155190D">
      <w:pPr>
        <w:bidi w:val="0"/>
        <w:rPr>
          <w:rFonts w:hint="default"/>
          <w:color w:val="auto"/>
          <w:lang w:val="en-US" w:eastAsia="zh-CN"/>
        </w:rPr>
      </w:pPr>
      <w:r>
        <w:rPr>
          <w:rFonts w:hint="default"/>
          <w:color w:val="auto"/>
          <w:lang w:val="en-US" w:eastAsia="zh-CN"/>
        </w:rPr>
        <w:t>式中：W—系统（单元）预先危险性等级系数；</w:t>
      </w:r>
    </w:p>
    <w:p w14:paraId="516D12AD">
      <w:pPr>
        <w:bidi w:val="0"/>
        <w:rPr>
          <w:rFonts w:hint="default"/>
          <w:color w:val="auto"/>
          <w:lang w:val="en-US" w:eastAsia="zh-CN"/>
        </w:rPr>
      </w:pPr>
      <w:r>
        <w:rPr>
          <w:rFonts w:hint="default"/>
          <w:color w:val="auto"/>
          <w:lang w:val="en-US" w:eastAsia="zh-CN"/>
        </w:rPr>
        <w:t>P—分析项目的危险性等级系数；</w:t>
      </w:r>
    </w:p>
    <w:p w14:paraId="3CDC9C8E">
      <w:pPr>
        <w:bidi w:val="0"/>
        <w:rPr>
          <w:rFonts w:hint="default"/>
          <w:color w:val="auto"/>
          <w:lang w:val="en-US" w:eastAsia="zh-CN"/>
        </w:rPr>
      </w:pPr>
      <w:r>
        <w:rPr>
          <w:rFonts w:hint="default"/>
          <w:color w:val="auto"/>
          <w:lang w:val="en-US" w:eastAsia="zh-CN"/>
        </w:rPr>
        <w:t>K—分析项目发生事故的概率系数。</w:t>
      </w:r>
    </w:p>
    <w:p w14:paraId="494538AB">
      <w:pPr>
        <w:bidi w:val="0"/>
        <w:rPr>
          <w:rFonts w:hint="default"/>
          <w:color w:val="auto"/>
          <w:lang w:val="en-US" w:eastAsia="zh-CN"/>
        </w:rPr>
      </w:pPr>
      <w:r>
        <w:rPr>
          <w:rFonts w:hint="default"/>
          <w:color w:val="auto"/>
          <w:lang w:val="en-US" w:eastAsia="zh-CN"/>
        </w:rPr>
        <w:t>W=（8×0.10+4×0.20+4×0.10+4×0.10+4×0.10+8×0.10+4×0.10）/（0.10+0.20+0.10+0.10+0.10+0.10+0.10）=5</w:t>
      </w:r>
    </w:p>
    <w:p w14:paraId="315EC42C">
      <w:pPr>
        <w:bidi w:val="0"/>
        <w:rPr>
          <w:rFonts w:hint="default"/>
          <w:color w:val="auto"/>
          <w:lang w:val="en-US" w:eastAsia="zh-CN"/>
        </w:rPr>
      </w:pPr>
      <w:r>
        <w:rPr>
          <w:rFonts w:hint="default"/>
          <w:color w:val="auto"/>
          <w:lang w:val="en-US" w:eastAsia="zh-CN"/>
        </w:rPr>
        <w:t>预先危险性分析结论：本单元预先危险性等级系数为Ⅲ级，系统危险程度为很危险。</w:t>
      </w:r>
    </w:p>
    <w:p w14:paraId="755ED763">
      <w:pPr>
        <w:pStyle w:val="6"/>
        <w:bidi w:val="0"/>
        <w:rPr>
          <w:rFonts w:hint="default"/>
          <w:color w:val="auto"/>
          <w:lang w:val="en-US" w:eastAsia="zh-CN"/>
        </w:rPr>
      </w:pPr>
      <w:r>
        <w:rPr>
          <w:rFonts w:hint="default"/>
          <w:color w:val="auto"/>
          <w:lang w:val="en-US" w:eastAsia="zh-CN"/>
        </w:rPr>
        <w:t>5.1.3 厂址及总平面布置安全检查表</w:t>
      </w:r>
    </w:p>
    <w:p w14:paraId="4F28B2A6">
      <w:pPr>
        <w:bidi w:val="0"/>
        <w:rPr>
          <w:rFonts w:hint="default"/>
          <w:color w:val="auto"/>
          <w:lang w:val="en-US" w:eastAsia="zh-CN"/>
        </w:rPr>
      </w:pPr>
      <w:r>
        <w:rPr>
          <w:rFonts w:hint="default"/>
          <w:color w:val="auto"/>
          <w:lang w:val="en-US" w:eastAsia="zh-CN"/>
        </w:rPr>
        <w:t>本单元通过安全检查表检查评价厂区与相关法律、法规、标准和规范相符合的程度，分析和预测该单元存在的危险、有害因素及危险、危害程度，提出合理可行的对策措施，指导危险源监控和事故预防。</w:t>
      </w:r>
    </w:p>
    <w:p w14:paraId="4922CCE7">
      <w:pPr>
        <w:pStyle w:val="29"/>
        <w:bidi w:val="0"/>
        <w:rPr>
          <w:rFonts w:hint="default"/>
          <w:color w:val="auto"/>
          <w:lang w:val="en-US" w:eastAsia="zh-CN"/>
        </w:rPr>
      </w:pPr>
      <w:r>
        <w:rPr>
          <w:rFonts w:hint="default"/>
          <w:color w:val="auto"/>
          <w:lang w:val="en-US" w:eastAsia="zh-CN"/>
        </w:rPr>
        <w:t>表5</w:t>
      </w:r>
      <w:r>
        <w:rPr>
          <w:rFonts w:hint="eastAsia"/>
          <w:color w:val="auto"/>
          <w:lang w:val="en-US" w:eastAsia="zh-CN"/>
        </w:rPr>
        <w:t>.1</w:t>
      </w:r>
      <w:r>
        <w:rPr>
          <w:rFonts w:hint="default"/>
          <w:color w:val="auto"/>
          <w:lang w:val="en-US" w:eastAsia="zh-CN"/>
        </w:rPr>
        <w:t>-2  厂址及总平面布置安全检查表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543"/>
        <w:gridCol w:w="2664"/>
        <w:gridCol w:w="1654"/>
        <w:gridCol w:w="848"/>
      </w:tblGrid>
      <w:tr w14:paraId="196A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blHeader/>
          <w:jc w:val="center"/>
        </w:trPr>
        <w:tc>
          <w:tcPr>
            <w:tcW w:w="691" w:type="dxa"/>
            <w:noWrap w:val="0"/>
            <w:vAlign w:val="center"/>
          </w:tcPr>
          <w:p w14:paraId="19F1D1C4">
            <w:pPr>
              <w:pStyle w:val="30"/>
              <w:bidi w:val="0"/>
              <w:rPr>
                <w:rFonts w:hint="default"/>
                <w:b/>
                <w:bCs/>
                <w:color w:val="auto"/>
              </w:rPr>
            </w:pPr>
            <w:r>
              <w:rPr>
                <w:rFonts w:hint="default"/>
                <w:b/>
                <w:bCs/>
                <w:color w:val="auto"/>
              </w:rPr>
              <w:t>序</w:t>
            </w:r>
          </w:p>
          <w:p w14:paraId="05912D19">
            <w:pPr>
              <w:pStyle w:val="30"/>
              <w:bidi w:val="0"/>
              <w:rPr>
                <w:rFonts w:hint="default"/>
                <w:b/>
                <w:bCs/>
                <w:color w:val="auto"/>
              </w:rPr>
            </w:pPr>
            <w:r>
              <w:rPr>
                <w:rFonts w:hint="default"/>
                <w:b/>
                <w:bCs/>
                <w:color w:val="auto"/>
              </w:rPr>
              <w:t>号</w:t>
            </w:r>
          </w:p>
        </w:tc>
        <w:tc>
          <w:tcPr>
            <w:tcW w:w="3543" w:type="dxa"/>
            <w:noWrap w:val="0"/>
            <w:vAlign w:val="center"/>
          </w:tcPr>
          <w:p w14:paraId="3E085C46">
            <w:pPr>
              <w:pStyle w:val="30"/>
              <w:bidi w:val="0"/>
              <w:rPr>
                <w:rFonts w:hint="default"/>
                <w:b/>
                <w:bCs/>
                <w:color w:val="auto"/>
              </w:rPr>
            </w:pPr>
            <w:r>
              <w:rPr>
                <w:rFonts w:hint="default"/>
                <w:b/>
                <w:bCs/>
                <w:color w:val="auto"/>
              </w:rPr>
              <w:t>检查内容</w:t>
            </w:r>
          </w:p>
        </w:tc>
        <w:tc>
          <w:tcPr>
            <w:tcW w:w="2664" w:type="dxa"/>
            <w:noWrap w:val="0"/>
            <w:vAlign w:val="center"/>
          </w:tcPr>
          <w:p w14:paraId="0EB7B897">
            <w:pPr>
              <w:pStyle w:val="30"/>
              <w:bidi w:val="0"/>
              <w:rPr>
                <w:rFonts w:hint="default"/>
                <w:b/>
                <w:bCs/>
                <w:color w:val="auto"/>
              </w:rPr>
            </w:pPr>
            <w:r>
              <w:rPr>
                <w:rFonts w:hint="default"/>
                <w:b/>
                <w:bCs/>
                <w:color w:val="auto"/>
              </w:rPr>
              <w:t>检查依据</w:t>
            </w:r>
          </w:p>
        </w:tc>
        <w:tc>
          <w:tcPr>
            <w:tcW w:w="1654" w:type="dxa"/>
            <w:noWrap w:val="0"/>
            <w:vAlign w:val="center"/>
          </w:tcPr>
          <w:p w14:paraId="50190AD8">
            <w:pPr>
              <w:pStyle w:val="30"/>
              <w:bidi w:val="0"/>
              <w:rPr>
                <w:rFonts w:hint="default"/>
                <w:b/>
                <w:bCs/>
                <w:color w:val="auto"/>
              </w:rPr>
            </w:pPr>
            <w:r>
              <w:rPr>
                <w:rFonts w:hint="default"/>
                <w:b/>
                <w:bCs/>
                <w:color w:val="auto"/>
              </w:rPr>
              <w:t>检查</w:t>
            </w:r>
          </w:p>
          <w:p w14:paraId="44B07B41">
            <w:pPr>
              <w:pStyle w:val="30"/>
              <w:bidi w:val="0"/>
              <w:rPr>
                <w:rFonts w:hint="default"/>
                <w:b/>
                <w:bCs/>
                <w:color w:val="auto"/>
              </w:rPr>
            </w:pPr>
            <w:r>
              <w:rPr>
                <w:rFonts w:hint="default"/>
                <w:b/>
                <w:bCs/>
                <w:color w:val="auto"/>
              </w:rPr>
              <w:t>结果</w:t>
            </w:r>
          </w:p>
        </w:tc>
        <w:tc>
          <w:tcPr>
            <w:tcW w:w="848" w:type="dxa"/>
            <w:noWrap w:val="0"/>
            <w:vAlign w:val="center"/>
          </w:tcPr>
          <w:p w14:paraId="604DB74C">
            <w:pPr>
              <w:pStyle w:val="30"/>
              <w:bidi w:val="0"/>
              <w:rPr>
                <w:rFonts w:hint="default"/>
                <w:b/>
                <w:bCs/>
                <w:color w:val="auto"/>
              </w:rPr>
            </w:pPr>
            <w:r>
              <w:rPr>
                <w:rFonts w:hint="default"/>
                <w:b/>
                <w:bCs/>
                <w:color w:val="auto"/>
              </w:rPr>
              <w:t>检查</w:t>
            </w:r>
          </w:p>
          <w:p w14:paraId="4338271E">
            <w:pPr>
              <w:pStyle w:val="30"/>
              <w:bidi w:val="0"/>
              <w:rPr>
                <w:rFonts w:hint="default"/>
                <w:b/>
                <w:bCs/>
                <w:color w:val="auto"/>
              </w:rPr>
            </w:pPr>
            <w:r>
              <w:rPr>
                <w:rFonts w:hint="default"/>
                <w:b/>
                <w:bCs/>
                <w:color w:val="auto"/>
              </w:rPr>
              <w:t>情况</w:t>
            </w:r>
          </w:p>
        </w:tc>
      </w:tr>
      <w:tr w14:paraId="578D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9400" w:type="dxa"/>
            <w:gridSpan w:val="5"/>
            <w:noWrap w:val="0"/>
            <w:vAlign w:val="center"/>
          </w:tcPr>
          <w:p w14:paraId="268F2C2B">
            <w:pPr>
              <w:pStyle w:val="30"/>
              <w:bidi w:val="0"/>
              <w:rPr>
                <w:rFonts w:hint="default"/>
                <w:color w:val="auto"/>
              </w:rPr>
            </w:pPr>
            <w:r>
              <w:rPr>
                <w:rFonts w:hint="default"/>
                <w:color w:val="auto"/>
              </w:rPr>
              <w:t>一、项目选址</w:t>
            </w:r>
          </w:p>
        </w:tc>
      </w:tr>
      <w:tr w14:paraId="22B2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dxa"/>
            <w:noWrap w:val="0"/>
            <w:vAlign w:val="center"/>
          </w:tcPr>
          <w:p w14:paraId="0F051FAB">
            <w:pPr>
              <w:pStyle w:val="30"/>
              <w:bidi w:val="0"/>
              <w:rPr>
                <w:rFonts w:hint="default"/>
                <w:color w:val="auto"/>
              </w:rPr>
            </w:pPr>
            <w:r>
              <w:rPr>
                <w:rFonts w:hint="default"/>
                <w:color w:val="auto"/>
              </w:rPr>
              <w:t>1</w:t>
            </w:r>
          </w:p>
        </w:tc>
        <w:tc>
          <w:tcPr>
            <w:tcW w:w="3543" w:type="dxa"/>
            <w:noWrap w:val="0"/>
            <w:vAlign w:val="center"/>
          </w:tcPr>
          <w:p w14:paraId="260160CB">
            <w:pPr>
              <w:pStyle w:val="30"/>
              <w:bidi w:val="0"/>
              <w:rPr>
                <w:rFonts w:hint="default"/>
                <w:color w:val="auto"/>
              </w:rPr>
            </w:pPr>
            <w:r>
              <w:rPr>
                <w:rFonts w:hint="default"/>
                <w:color w:val="auto"/>
              </w:rPr>
              <w:t>厂址选择应符合国家的工业布局、城镇（乡）总体规划及土地利用总体规划的要求。</w:t>
            </w:r>
          </w:p>
        </w:tc>
        <w:tc>
          <w:tcPr>
            <w:tcW w:w="2664" w:type="dxa"/>
            <w:noWrap w:val="0"/>
            <w:vAlign w:val="center"/>
          </w:tcPr>
          <w:p w14:paraId="628265FF">
            <w:pPr>
              <w:pStyle w:val="30"/>
              <w:bidi w:val="0"/>
              <w:rPr>
                <w:rFonts w:hint="default"/>
                <w:color w:val="auto"/>
              </w:rPr>
            </w:pPr>
            <w:r>
              <w:rPr>
                <w:rFonts w:hint="default"/>
                <w:color w:val="auto"/>
              </w:rPr>
              <w:t>《工业企业总平面设计规范》GB50187-2012第3.0.1条</w:t>
            </w:r>
          </w:p>
        </w:tc>
        <w:tc>
          <w:tcPr>
            <w:tcW w:w="1654" w:type="dxa"/>
            <w:noWrap w:val="0"/>
            <w:vAlign w:val="center"/>
          </w:tcPr>
          <w:p w14:paraId="66B63B41">
            <w:pPr>
              <w:pStyle w:val="30"/>
              <w:bidi w:val="0"/>
              <w:rPr>
                <w:rFonts w:hint="default"/>
                <w:color w:val="auto"/>
              </w:rPr>
            </w:pPr>
            <w:r>
              <w:rPr>
                <w:rFonts w:hint="default"/>
                <w:color w:val="auto"/>
              </w:rPr>
              <w:t>厂址选址符合工业布局。</w:t>
            </w:r>
          </w:p>
        </w:tc>
        <w:tc>
          <w:tcPr>
            <w:tcW w:w="848" w:type="dxa"/>
            <w:noWrap w:val="0"/>
            <w:vAlign w:val="center"/>
          </w:tcPr>
          <w:p w14:paraId="638EF432">
            <w:pPr>
              <w:pStyle w:val="30"/>
              <w:bidi w:val="0"/>
              <w:rPr>
                <w:rFonts w:hint="default"/>
                <w:color w:val="auto"/>
              </w:rPr>
            </w:pPr>
            <w:r>
              <w:rPr>
                <w:rFonts w:hint="default"/>
                <w:color w:val="auto"/>
              </w:rPr>
              <w:t>符合</w:t>
            </w:r>
          </w:p>
        </w:tc>
      </w:tr>
      <w:tr w14:paraId="09BD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691" w:type="dxa"/>
            <w:noWrap w:val="0"/>
            <w:vAlign w:val="center"/>
          </w:tcPr>
          <w:p w14:paraId="54E0CA48">
            <w:pPr>
              <w:pStyle w:val="30"/>
              <w:bidi w:val="0"/>
              <w:rPr>
                <w:rFonts w:hint="default"/>
                <w:color w:val="auto"/>
              </w:rPr>
            </w:pPr>
            <w:r>
              <w:rPr>
                <w:rFonts w:hint="default"/>
                <w:color w:val="auto"/>
              </w:rPr>
              <w:t>2</w:t>
            </w:r>
          </w:p>
        </w:tc>
        <w:tc>
          <w:tcPr>
            <w:tcW w:w="3543" w:type="dxa"/>
            <w:noWrap w:val="0"/>
            <w:vAlign w:val="center"/>
          </w:tcPr>
          <w:p w14:paraId="58E208D4">
            <w:pPr>
              <w:pStyle w:val="30"/>
              <w:bidi w:val="0"/>
              <w:rPr>
                <w:rFonts w:hint="default"/>
                <w:color w:val="auto"/>
              </w:rPr>
            </w:pPr>
            <w:r>
              <w:rPr>
                <w:rFonts w:hint="default"/>
                <w:color w:val="auto"/>
              </w:rPr>
              <w:t>配套和服务工业企业的居住区、交通运输、动力公用设施、废料场及环境保护工程、施工基地等用地，应与厂区用地同时选择。</w:t>
            </w:r>
          </w:p>
        </w:tc>
        <w:tc>
          <w:tcPr>
            <w:tcW w:w="2664" w:type="dxa"/>
            <w:noWrap w:val="0"/>
            <w:vAlign w:val="center"/>
          </w:tcPr>
          <w:p w14:paraId="480B17FA">
            <w:pPr>
              <w:pStyle w:val="30"/>
              <w:bidi w:val="0"/>
              <w:rPr>
                <w:rFonts w:hint="default"/>
                <w:color w:val="auto"/>
              </w:rPr>
            </w:pPr>
            <w:r>
              <w:rPr>
                <w:rFonts w:hint="default"/>
                <w:color w:val="auto"/>
              </w:rPr>
              <w:t>《工业企业总平面设计规范》GB50187-2012第3.0.2条</w:t>
            </w:r>
          </w:p>
        </w:tc>
        <w:tc>
          <w:tcPr>
            <w:tcW w:w="1654" w:type="dxa"/>
            <w:noWrap w:val="0"/>
            <w:vAlign w:val="center"/>
          </w:tcPr>
          <w:p w14:paraId="03969C45">
            <w:pPr>
              <w:pStyle w:val="30"/>
              <w:bidi w:val="0"/>
              <w:rPr>
                <w:rFonts w:hint="default"/>
                <w:color w:val="auto"/>
              </w:rPr>
            </w:pPr>
            <w:r>
              <w:rPr>
                <w:rFonts w:hint="default"/>
                <w:color w:val="auto"/>
              </w:rPr>
              <w:t>拟建厂址居住区、交通运输、动力公用设施完备。</w:t>
            </w:r>
          </w:p>
        </w:tc>
        <w:tc>
          <w:tcPr>
            <w:tcW w:w="848" w:type="dxa"/>
            <w:noWrap w:val="0"/>
            <w:vAlign w:val="center"/>
          </w:tcPr>
          <w:p w14:paraId="2282AD4B">
            <w:pPr>
              <w:pStyle w:val="30"/>
              <w:bidi w:val="0"/>
              <w:rPr>
                <w:rFonts w:hint="default"/>
                <w:color w:val="auto"/>
              </w:rPr>
            </w:pPr>
            <w:r>
              <w:rPr>
                <w:rFonts w:hint="default"/>
                <w:color w:val="auto"/>
              </w:rPr>
              <w:t>符合</w:t>
            </w:r>
          </w:p>
        </w:tc>
      </w:tr>
      <w:tr w14:paraId="1365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0" w:hRule="atLeast"/>
          <w:jc w:val="center"/>
        </w:trPr>
        <w:tc>
          <w:tcPr>
            <w:tcW w:w="691" w:type="dxa"/>
            <w:noWrap w:val="0"/>
            <w:vAlign w:val="center"/>
          </w:tcPr>
          <w:p w14:paraId="7E3F15E6">
            <w:pPr>
              <w:pStyle w:val="30"/>
              <w:bidi w:val="0"/>
              <w:rPr>
                <w:rFonts w:hint="default"/>
                <w:color w:val="auto"/>
              </w:rPr>
            </w:pPr>
            <w:r>
              <w:rPr>
                <w:rFonts w:hint="default"/>
                <w:color w:val="auto"/>
              </w:rPr>
              <w:t>3</w:t>
            </w:r>
          </w:p>
        </w:tc>
        <w:tc>
          <w:tcPr>
            <w:tcW w:w="3543" w:type="dxa"/>
            <w:noWrap w:val="0"/>
            <w:vAlign w:val="center"/>
          </w:tcPr>
          <w:p w14:paraId="0B98E27E">
            <w:pPr>
              <w:pStyle w:val="30"/>
              <w:bidi w:val="0"/>
              <w:rPr>
                <w:rFonts w:hint="default"/>
                <w:color w:val="auto"/>
              </w:rPr>
            </w:pPr>
            <w:r>
              <w:rPr>
                <w:rFonts w:hint="default"/>
                <w:color w:val="auto"/>
              </w:rPr>
              <w:t>厂址应有便利和经济的交通运输条件，与厂外铁路、公路的连接，应便捷、工程量小。临近江、河、湖、海的厂址，通航条件满足企业运输要求时，应尽量利用水运，且厂址宜靠近适合建设码头的地段。</w:t>
            </w:r>
          </w:p>
        </w:tc>
        <w:tc>
          <w:tcPr>
            <w:tcW w:w="2664" w:type="dxa"/>
            <w:noWrap w:val="0"/>
            <w:vAlign w:val="center"/>
          </w:tcPr>
          <w:p w14:paraId="41773FBC">
            <w:pPr>
              <w:pStyle w:val="30"/>
              <w:bidi w:val="0"/>
              <w:rPr>
                <w:rFonts w:hint="default"/>
                <w:color w:val="auto"/>
              </w:rPr>
            </w:pPr>
            <w:r>
              <w:rPr>
                <w:rFonts w:hint="default"/>
                <w:color w:val="auto"/>
              </w:rPr>
              <w:t>《工业企业总平面设计规范》GB50187-2012第3.0.5条</w:t>
            </w:r>
          </w:p>
        </w:tc>
        <w:tc>
          <w:tcPr>
            <w:tcW w:w="1654" w:type="dxa"/>
            <w:noWrap w:val="0"/>
            <w:vAlign w:val="center"/>
          </w:tcPr>
          <w:p w14:paraId="05418D11">
            <w:pPr>
              <w:pStyle w:val="30"/>
              <w:bidi w:val="0"/>
              <w:rPr>
                <w:rFonts w:hint="default"/>
                <w:color w:val="auto"/>
                <w:lang w:eastAsia="zh-CN"/>
              </w:rPr>
            </w:pPr>
            <w:r>
              <w:rPr>
                <w:rFonts w:hint="default"/>
                <w:color w:val="auto"/>
              </w:rPr>
              <w:t>拟建场地交通运输便利</w:t>
            </w:r>
            <w:r>
              <w:rPr>
                <w:rFonts w:hint="default"/>
                <w:color w:val="auto"/>
                <w:lang w:eastAsia="zh-CN"/>
              </w:rPr>
              <w:t>。</w:t>
            </w:r>
          </w:p>
        </w:tc>
        <w:tc>
          <w:tcPr>
            <w:tcW w:w="848" w:type="dxa"/>
            <w:noWrap w:val="0"/>
            <w:vAlign w:val="center"/>
          </w:tcPr>
          <w:p w14:paraId="0773F7AC">
            <w:pPr>
              <w:pStyle w:val="30"/>
              <w:bidi w:val="0"/>
              <w:rPr>
                <w:rFonts w:hint="default"/>
                <w:color w:val="auto"/>
              </w:rPr>
            </w:pPr>
            <w:r>
              <w:rPr>
                <w:rFonts w:hint="default"/>
                <w:color w:val="auto"/>
              </w:rPr>
              <w:t>符合</w:t>
            </w:r>
          </w:p>
        </w:tc>
      </w:tr>
      <w:tr w14:paraId="0163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5" w:hRule="atLeast"/>
          <w:jc w:val="center"/>
        </w:trPr>
        <w:tc>
          <w:tcPr>
            <w:tcW w:w="691" w:type="dxa"/>
            <w:noWrap w:val="0"/>
            <w:vAlign w:val="center"/>
          </w:tcPr>
          <w:p w14:paraId="786C4B35">
            <w:pPr>
              <w:pStyle w:val="30"/>
              <w:bidi w:val="0"/>
              <w:rPr>
                <w:rFonts w:hint="default"/>
                <w:color w:val="auto"/>
              </w:rPr>
            </w:pPr>
            <w:r>
              <w:rPr>
                <w:rFonts w:hint="default"/>
                <w:color w:val="auto"/>
              </w:rPr>
              <w:t>4</w:t>
            </w:r>
          </w:p>
        </w:tc>
        <w:tc>
          <w:tcPr>
            <w:tcW w:w="3543" w:type="dxa"/>
            <w:noWrap w:val="0"/>
            <w:vAlign w:val="center"/>
          </w:tcPr>
          <w:p w14:paraId="21A06B6A">
            <w:pPr>
              <w:pStyle w:val="30"/>
              <w:bidi w:val="0"/>
              <w:rPr>
                <w:rFonts w:hint="default"/>
                <w:color w:val="auto"/>
              </w:rPr>
            </w:pPr>
            <w:r>
              <w:rPr>
                <w:rFonts w:hint="default"/>
                <w:color w:val="auto"/>
              </w:rPr>
              <w:t>厂址应具有满足生产、生活及发展所必需的水源和电源。水源和电源与厂址之间的管线连接应尽量短捷，且用水、用电量（特别）大的工业企业宜靠近水源及电源地。</w:t>
            </w:r>
          </w:p>
        </w:tc>
        <w:tc>
          <w:tcPr>
            <w:tcW w:w="2664" w:type="dxa"/>
            <w:noWrap w:val="0"/>
            <w:vAlign w:val="center"/>
          </w:tcPr>
          <w:p w14:paraId="34726069">
            <w:pPr>
              <w:pStyle w:val="30"/>
              <w:bidi w:val="0"/>
              <w:rPr>
                <w:rFonts w:hint="default"/>
                <w:color w:val="auto"/>
              </w:rPr>
            </w:pPr>
            <w:r>
              <w:rPr>
                <w:rFonts w:hint="default"/>
                <w:color w:val="auto"/>
              </w:rPr>
              <w:t>《工业企业总平面设计规范》GB50187-2012第3.0.6条</w:t>
            </w:r>
          </w:p>
        </w:tc>
        <w:tc>
          <w:tcPr>
            <w:tcW w:w="1654" w:type="dxa"/>
            <w:noWrap w:val="0"/>
            <w:vAlign w:val="center"/>
          </w:tcPr>
          <w:p w14:paraId="1704C6B0">
            <w:pPr>
              <w:pStyle w:val="30"/>
              <w:bidi w:val="0"/>
              <w:rPr>
                <w:rFonts w:hint="default"/>
                <w:color w:val="auto"/>
                <w:lang w:eastAsia="zh-CN"/>
              </w:rPr>
            </w:pPr>
            <w:r>
              <w:rPr>
                <w:rFonts w:hint="default"/>
                <w:color w:val="auto"/>
              </w:rPr>
              <w:t>水源、电源供应有保障</w:t>
            </w:r>
            <w:r>
              <w:rPr>
                <w:rFonts w:hint="default"/>
                <w:color w:val="auto"/>
                <w:lang w:eastAsia="zh-CN"/>
              </w:rPr>
              <w:t>。</w:t>
            </w:r>
          </w:p>
        </w:tc>
        <w:tc>
          <w:tcPr>
            <w:tcW w:w="848" w:type="dxa"/>
            <w:noWrap w:val="0"/>
            <w:vAlign w:val="center"/>
          </w:tcPr>
          <w:p w14:paraId="71CB84FC">
            <w:pPr>
              <w:pStyle w:val="30"/>
              <w:bidi w:val="0"/>
              <w:rPr>
                <w:rFonts w:hint="default"/>
                <w:color w:val="auto"/>
              </w:rPr>
            </w:pPr>
            <w:r>
              <w:rPr>
                <w:rFonts w:hint="default"/>
                <w:color w:val="auto"/>
              </w:rPr>
              <w:t>符合</w:t>
            </w:r>
          </w:p>
        </w:tc>
      </w:tr>
      <w:tr w14:paraId="7ED8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dxa"/>
            <w:noWrap w:val="0"/>
            <w:vAlign w:val="center"/>
          </w:tcPr>
          <w:p w14:paraId="174C91F7">
            <w:pPr>
              <w:pStyle w:val="30"/>
              <w:bidi w:val="0"/>
              <w:rPr>
                <w:rFonts w:hint="default"/>
                <w:color w:val="auto"/>
              </w:rPr>
            </w:pPr>
            <w:r>
              <w:rPr>
                <w:rFonts w:hint="default"/>
                <w:color w:val="auto"/>
              </w:rPr>
              <w:t>5</w:t>
            </w:r>
          </w:p>
        </w:tc>
        <w:tc>
          <w:tcPr>
            <w:tcW w:w="3543" w:type="dxa"/>
            <w:noWrap w:val="0"/>
            <w:vAlign w:val="center"/>
          </w:tcPr>
          <w:p w14:paraId="053E3DB0">
            <w:pPr>
              <w:pStyle w:val="30"/>
              <w:bidi w:val="0"/>
              <w:rPr>
                <w:rFonts w:hint="default"/>
                <w:color w:val="auto"/>
              </w:rPr>
            </w:pPr>
            <w:r>
              <w:rPr>
                <w:rFonts w:hint="default"/>
                <w:color w:val="auto"/>
              </w:rPr>
              <w:t>厂址应具有满足建设工程需要的工程地质条件和水文地质条件。</w:t>
            </w:r>
          </w:p>
        </w:tc>
        <w:tc>
          <w:tcPr>
            <w:tcW w:w="2664" w:type="dxa"/>
            <w:noWrap w:val="0"/>
            <w:vAlign w:val="center"/>
          </w:tcPr>
          <w:p w14:paraId="688AF9ED">
            <w:pPr>
              <w:pStyle w:val="30"/>
              <w:bidi w:val="0"/>
              <w:rPr>
                <w:rFonts w:hint="default"/>
                <w:color w:val="auto"/>
              </w:rPr>
            </w:pPr>
            <w:r>
              <w:rPr>
                <w:rFonts w:hint="default"/>
                <w:color w:val="auto"/>
              </w:rPr>
              <w:t>《工业企业总平面设计规范》GB50187-2012第3.0.8条</w:t>
            </w:r>
          </w:p>
        </w:tc>
        <w:tc>
          <w:tcPr>
            <w:tcW w:w="1654" w:type="dxa"/>
            <w:noWrap w:val="0"/>
            <w:vAlign w:val="center"/>
          </w:tcPr>
          <w:p w14:paraId="44DEFED2">
            <w:pPr>
              <w:pStyle w:val="30"/>
              <w:bidi w:val="0"/>
              <w:rPr>
                <w:rFonts w:hint="default"/>
                <w:color w:val="auto"/>
                <w:lang w:eastAsia="zh-CN"/>
              </w:rPr>
            </w:pPr>
            <w:r>
              <w:rPr>
                <w:rFonts w:hint="default"/>
                <w:color w:val="auto"/>
              </w:rPr>
              <w:t>工程地质、水文地质符合要求</w:t>
            </w:r>
            <w:r>
              <w:rPr>
                <w:rFonts w:hint="default"/>
                <w:color w:val="auto"/>
                <w:lang w:eastAsia="zh-CN"/>
              </w:rPr>
              <w:t>。</w:t>
            </w:r>
          </w:p>
        </w:tc>
        <w:tc>
          <w:tcPr>
            <w:tcW w:w="848" w:type="dxa"/>
            <w:noWrap w:val="0"/>
            <w:vAlign w:val="center"/>
          </w:tcPr>
          <w:p w14:paraId="0E3EA648">
            <w:pPr>
              <w:pStyle w:val="30"/>
              <w:bidi w:val="0"/>
              <w:rPr>
                <w:rFonts w:hint="default"/>
                <w:color w:val="auto"/>
              </w:rPr>
            </w:pPr>
            <w:r>
              <w:rPr>
                <w:rFonts w:hint="default"/>
                <w:color w:val="auto"/>
              </w:rPr>
              <w:t>符合</w:t>
            </w:r>
          </w:p>
        </w:tc>
      </w:tr>
      <w:tr w14:paraId="6708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5" w:hRule="atLeast"/>
          <w:jc w:val="center"/>
        </w:trPr>
        <w:tc>
          <w:tcPr>
            <w:tcW w:w="691" w:type="dxa"/>
            <w:noWrap w:val="0"/>
            <w:vAlign w:val="center"/>
          </w:tcPr>
          <w:p w14:paraId="38F84221">
            <w:pPr>
              <w:pStyle w:val="30"/>
              <w:bidi w:val="0"/>
              <w:rPr>
                <w:rFonts w:hint="default"/>
                <w:color w:val="auto"/>
              </w:rPr>
            </w:pPr>
            <w:r>
              <w:rPr>
                <w:rFonts w:hint="default"/>
                <w:color w:val="auto"/>
              </w:rPr>
              <w:t>6</w:t>
            </w:r>
          </w:p>
        </w:tc>
        <w:tc>
          <w:tcPr>
            <w:tcW w:w="3543" w:type="dxa"/>
            <w:noWrap w:val="0"/>
            <w:vAlign w:val="center"/>
          </w:tcPr>
          <w:p w14:paraId="53710C40">
            <w:pPr>
              <w:pStyle w:val="30"/>
              <w:bidi w:val="0"/>
              <w:rPr>
                <w:rFonts w:hint="default"/>
                <w:color w:val="auto"/>
              </w:rPr>
            </w:pPr>
            <w:r>
              <w:rPr>
                <w:rFonts w:hint="default"/>
                <w:color w:val="auto"/>
              </w:rPr>
              <w:t>厂址不应选择在地下采空区塌落界限和露天爆破危险区以内，也不应选择在炸药加工厂、爆破器材库及油库最小安全距离范围内。</w:t>
            </w:r>
          </w:p>
        </w:tc>
        <w:tc>
          <w:tcPr>
            <w:tcW w:w="2664" w:type="dxa"/>
            <w:noWrap w:val="0"/>
            <w:vAlign w:val="center"/>
          </w:tcPr>
          <w:p w14:paraId="200A9854">
            <w:pPr>
              <w:pStyle w:val="30"/>
              <w:bidi w:val="0"/>
              <w:rPr>
                <w:rFonts w:hint="default"/>
                <w:color w:val="auto"/>
              </w:rPr>
            </w:pPr>
            <w:r>
              <w:rPr>
                <w:rFonts w:hint="default"/>
                <w:color w:val="auto"/>
              </w:rPr>
              <w:t>《选矿安全规程》（GB18152-2000）5.1.3条</w:t>
            </w:r>
          </w:p>
        </w:tc>
        <w:tc>
          <w:tcPr>
            <w:tcW w:w="1654" w:type="dxa"/>
            <w:noWrap w:val="0"/>
            <w:vAlign w:val="center"/>
          </w:tcPr>
          <w:p w14:paraId="4E707BBB">
            <w:pPr>
              <w:pStyle w:val="30"/>
              <w:bidi w:val="0"/>
              <w:rPr>
                <w:rFonts w:hint="default"/>
                <w:color w:val="auto"/>
              </w:rPr>
            </w:pPr>
            <w:r>
              <w:rPr>
                <w:rFonts w:hint="default"/>
                <w:color w:val="auto"/>
              </w:rPr>
              <w:t>厂址选择合理，未在上述危险区内。</w:t>
            </w:r>
          </w:p>
        </w:tc>
        <w:tc>
          <w:tcPr>
            <w:tcW w:w="848" w:type="dxa"/>
            <w:noWrap w:val="0"/>
            <w:vAlign w:val="center"/>
          </w:tcPr>
          <w:p w14:paraId="224314F3">
            <w:pPr>
              <w:pStyle w:val="30"/>
              <w:bidi w:val="0"/>
              <w:rPr>
                <w:rFonts w:hint="default"/>
                <w:color w:val="auto"/>
              </w:rPr>
            </w:pPr>
            <w:r>
              <w:rPr>
                <w:rFonts w:hint="default"/>
                <w:color w:val="auto"/>
              </w:rPr>
              <w:t>符合</w:t>
            </w:r>
          </w:p>
        </w:tc>
      </w:tr>
      <w:tr w14:paraId="29B2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5" w:hRule="atLeast"/>
          <w:jc w:val="center"/>
        </w:trPr>
        <w:tc>
          <w:tcPr>
            <w:tcW w:w="691" w:type="dxa"/>
            <w:noWrap w:val="0"/>
            <w:vAlign w:val="center"/>
          </w:tcPr>
          <w:p w14:paraId="4FBDF338">
            <w:pPr>
              <w:pStyle w:val="30"/>
              <w:bidi w:val="0"/>
              <w:rPr>
                <w:rFonts w:hint="default"/>
                <w:color w:val="auto"/>
              </w:rPr>
            </w:pPr>
            <w:r>
              <w:rPr>
                <w:rFonts w:hint="default"/>
                <w:color w:val="auto"/>
              </w:rPr>
              <w:t>7</w:t>
            </w:r>
          </w:p>
        </w:tc>
        <w:tc>
          <w:tcPr>
            <w:tcW w:w="3543" w:type="dxa"/>
            <w:noWrap w:val="0"/>
            <w:vAlign w:val="center"/>
          </w:tcPr>
          <w:p w14:paraId="7460DAB5">
            <w:pPr>
              <w:pStyle w:val="30"/>
              <w:bidi w:val="0"/>
              <w:rPr>
                <w:rFonts w:hint="default"/>
                <w:color w:val="auto"/>
              </w:rPr>
            </w:pPr>
            <w:r>
              <w:rPr>
                <w:rFonts w:hint="default"/>
                <w:color w:val="auto"/>
              </w:rPr>
              <w:t>厂址应避免选在地震断层带和基本烈度高于9度的地区；否则应按国家有关抗震规定进行设防。</w:t>
            </w:r>
          </w:p>
        </w:tc>
        <w:tc>
          <w:tcPr>
            <w:tcW w:w="2664" w:type="dxa"/>
            <w:noWrap w:val="0"/>
            <w:vAlign w:val="center"/>
          </w:tcPr>
          <w:p w14:paraId="7ECC4100">
            <w:pPr>
              <w:pStyle w:val="30"/>
              <w:bidi w:val="0"/>
              <w:rPr>
                <w:rFonts w:hint="default"/>
                <w:color w:val="auto"/>
              </w:rPr>
            </w:pPr>
            <w:r>
              <w:rPr>
                <w:rFonts w:hint="default"/>
                <w:color w:val="auto"/>
              </w:rPr>
              <w:t>《选矿安全规程》（GB18152-2000）5.1.4条</w:t>
            </w:r>
          </w:p>
        </w:tc>
        <w:tc>
          <w:tcPr>
            <w:tcW w:w="1654" w:type="dxa"/>
            <w:noWrap w:val="0"/>
            <w:vAlign w:val="center"/>
          </w:tcPr>
          <w:p w14:paraId="0D8FA21A">
            <w:pPr>
              <w:pStyle w:val="30"/>
              <w:bidi w:val="0"/>
              <w:rPr>
                <w:rFonts w:hint="default"/>
                <w:color w:val="auto"/>
              </w:rPr>
            </w:pPr>
            <w:r>
              <w:rPr>
                <w:rFonts w:hint="default"/>
                <w:color w:val="auto"/>
              </w:rPr>
              <w:t>厂区所在地区为</w:t>
            </w:r>
            <w:r>
              <w:rPr>
                <w:rFonts w:hint="eastAsia"/>
                <w:color w:val="auto"/>
                <w:lang w:val="en-US" w:eastAsia="zh-CN"/>
              </w:rPr>
              <w:t>8</w:t>
            </w:r>
            <w:r>
              <w:rPr>
                <w:rFonts w:hint="default"/>
                <w:color w:val="auto"/>
              </w:rPr>
              <w:t>度设防地区。</w:t>
            </w:r>
          </w:p>
        </w:tc>
        <w:tc>
          <w:tcPr>
            <w:tcW w:w="848" w:type="dxa"/>
            <w:noWrap w:val="0"/>
            <w:vAlign w:val="center"/>
          </w:tcPr>
          <w:p w14:paraId="12C77842">
            <w:pPr>
              <w:pStyle w:val="30"/>
              <w:bidi w:val="0"/>
              <w:rPr>
                <w:rFonts w:hint="default"/>
                <w:color w:val="auto"/>
              </w:rPr>
            </w:pPr>
            <w:r>
              <w:rPr>
                <w:rFonts w:hint="default"/>
                <w:color w:val="auto"/>
              </w:rPr>
              <w:t>符合</w:t>
            </w:r>
          </w:p>
        </w:tc>
      </w:tr>
      <w:tr w14:paraId="414E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jc w:val="center"/>
        </w:trPr>
        <w:tc>
          <w:tcPr>
            <w:tcW w:w="691" w:type="dxa"/>
            <w:noWrap w:val="0"/>
            <w:vAlign w:val="center"/>
          </w:tcPr>
          <w:p w14:paraId="20850BB0">
            <w:pPr>
              <w:pStyle w:val="30"/>
              <w:bidi w:val="0"/>
              <w:rPr>
                <w:rFonts w:hint="default"/>
                <w:color w:val="auto"/>
              </w:rPr>
            </w:pPr>
            <w:r>
              <w:rPr>
                <w:rFonts w:hint="default"/>
                <w:color w:val="auto"/>
              </w:rPr>
              <w:t>8</w:t>
            </w:r>
          </w:p>
        </w:tc>
        <w:tc>
          <w:tcPr>
            <w:tcW w:w="3543" w:type="dxa"/>
            <w:noWrap w:val="0"/>
            <w:vAlign w:val="center"/>
          </w:tcPr>
          <w:p w14:paraId="02F532FE">
            <w:pPr>
              <w:pStyle w:val="30"/>
              <w:bidi w:val="0"/>
              <w:rPr>
                <w:rFonts w:hint="default"/>
                <w:color w:val="auto"/>
              </w:rPr>
            </w:pPr>
            <w:r>
              <w:rPr>
                <w:rFonts w:hint="default"/>
                <w:color w:val="auto"/>
              </w:rPr>
              <w:t>选择厂址，应有完整的地形、工程地质、水文地质、地震、气象及环境影响评价等方面的资料作依据。</w:t>
            </w:r>
          </w:p>
        </w:tc>
        <w:tc>
          <w:tcPr>
            <w:tcW w:w="2664" w:type="dxa"/>
            <w:noWrap w:val="0"/>
            <w:vAlign w:val="center"/>
          </w:tcPr>
          <w:p w14:paraId="37F918C3">
            <w:pPr>
              <w:pStyle w:val="30"/>
              <w:bidi w:val="0"/>
              <w:rPr>
                <w:rFonts w:hint="default"/>
                <w:color w:val="auto"/>
              </w:rPr>
            </w:pPr>
            <w:r>
              <w:rPr>
                <w:rFonts w:hint="default"/>
                <w:color w:val="auto"/>
              </w:rPr>
              <w:t>《选矿安全规程》（GB18152-2000）5.1.1条</w:t>
            </w:r>
          </w:p>
        </w:tc>
        <w:tc>
          <w:tcPr>
            <w:tcW w:w="1654" w:type="dxa"/>
            <w:noWrap w:val="0"/>
            <w:vAlign w:val="center"/>
          </w:tcPr>
          <w:p w14:paraId="0B24B9CC">
            <w:pPr>
              <w:pStyle w:val="30"/>
              <w:bidi w:val="0"/>
              <w:rPr>
                <w:rFonts w:hint="default"/>
                <w:color w:val="auto"/>
                <w:lang w:eastAsia="zh-CN"/>
              </w:rPr>
            </w:pPr>
            <w:r>
              <w:rPr>
                <w:rFonts w:hint="eastAsia"/>
                <w:color w:val="auto"/>
                <w:lang w:val="en-US" w:eastAsia="zh-CN"/>
              </w:rPr>
              <w:t>云南省曲靖市设计研究院有限责任公司2023年2月编制了《浓密机基础岩土工程详细勘察报告》</w:t>
            </w:r>
            <w:r>
              <w:rPr>
                <w:rFonts w:hint="eastAsia"/>
                <w:color w:val="auto"/>
                <w:lang w:eastAsia="zh-CN"/>
              </w:rPr>
              <w:t>，</w:t>
            </w:r>
            <w:r>
              <w:rPr>
                <w:rFonts w:hint="eastAsia"/>
                <w:color w:val="auto"/>
                <w:lang w:val="en-US" w:eastAsia="zh-CN"/>
              </w:rPr>
              <w:t>云南省曲靖市设计研究院有限责任公司2024年7月编制了</w:t>
            </w:r>
            <w:r>
              <w:rPr>
                <w:rFonts w:hint="eastAsia"/>
                <w:color w:val="auto"/>
                <w:lang w:eastAsia="zh-CN"/>
              </w:rPr>
              <w:t>《寻甸金林钛矿有限公司尾矿处理技改升级建设项目详细勘察报告》</w:t>
            </w:r>
            <w:r>
              <w:rPr>
                <w:rFonts w:hint="default"/>
                <w:color w:val="auto"/>
                <w:lang w:eastAsia="zh-CN"/>
              </w:rPr>
              <w:t>。</w:t>
            </w:r>
          </w:p>
        </w:tc>
        <w:tc>
          <w:tcPr>
            <w:tcW w:w="848" w:type="dxa"/>
            <w:noWrap w:val="0"/>
            <w:vAlign w:val="center"/>
          </w:tcPr>
          <w:p w14:paraId="5099DB8D">
            <w:pPr>
              <w:pStyle w:val="30"/>
              <w:bidi w:val="0"/>
              <w:rPr>
                <w:rFonts w:hint="default"/>
                <w:color w:val="auto"/>
              </w:rPr>
            </w:pPr>
            <w:r>
              <w:rPr>
                <w:rFonts w:hint="default"/>
                <w:color w:val="auto"/>
              </w:rPr>
              <w:t>符合</w:t>
            </w:r>
          </w:p>
        </w:tc>
      </w:tr>
      <w:tr w14:paraId="5154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00" w:type="dxa"/>
            <w:gridSpan w:val="5"/>
            <w:noWrap w:val="0"/>
            <w:vAlign w:val="center"/>
          </w:tcPr>
          <w:p w14:paraId="7F474B38">
            <w:pPr>
              <w:pStyle w:val="30"/>
              <w:bidi w:val="0"/>
              <w:rPr>
                <w:rFonts w:hint="default"/>
                <w:color w:val="auto"/>
              </w:rPr>
            </w:pPr>
            <w:r>
              <w:rPr>
                <w:rFonts w:hint="default"/>
                <w:color w:val="auto"/>
              </w:rPr>
              <w:t>二、总平面布置</w:t>
            </w:r>
          </w:p>
        </w:tc>
      </w:tr>
      <w:tr w14:paraId="05B6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5" w:hRule="atLeast"/>
          <w:jc w:val="center"/>
        </w:trPr>
        <w:tc>
          <w:tcPr>
            <w:tcW w:w="691" w:type="dxa"/>
            <w:noWrap w:val="0"/>
            <w:vAlign w:val="center"/>
          </w:tcPr>
          <w:p w14:paraId="31D9BCFA">
            <w:pPr>
              <w:pStyle w:val="30"/>
              <w:bidi w:val="0"/>
              <w:rPr>
                <w:rFonts w:hint="default"/>
                <w:color w:val="auto"/>
              </w:rPr>
            </w:pPr>
            <w:r>
              <w:rPr>
                <w:rFonts w:hint="default"/>
                <w:color w:val="auto"/>
              </w:rPr>
              <w:t>1</w:t>
            </w:r>
          </w:p>
        </w:tc>
        <w:tc>
          <w:tcPr>
            <w:tcW w:w="3543" w:type="dxa"/>
            <w:noWrap w:val="0"/>
            <w:vAlign w:val="center"/>
          </w:tcPr>
          <w:p w14:paraId="76EFE373">
            <w:pPr>
              <w:pStyle w:val="30"/>
              <w:bidi w:val="0"/>
              <w:rPr>
                <w:rFonts w:hint="default"/>
                <w:color w:val="auto"/>
              </w:rPr>
            </w:pPr>
            <w:r>
              <w:rPr>
                <w:rFonts w:hint="default"/>
                <w:color w:val="auto"/>
              </w:rPr>
              <w:t>总平面布置应节约集约用地，提高土地利用率。布置时并应符合下列要求：1、在符合生产流程、操作要求和使用功能的前提下，建筑物、构筑物等设施，应采用联合、集中、多层布置；2、应按企业规模和功能分区，合理地确定通道宽度；3、厂区功能分区及建筑物、构筑物的外形宜规整；4、功能分区内各项设施的布置，应紧凑、合理。</w:t>
            </w:r>
          </w:p>
        </w:tc>
        <w:tc>
          <w:tcPr>
            <w:tcW w:w="2664" w:type="dxa"/>
            <w:noWrap w:val="0"/>
            <w:vAlign w:val="center"/>
          </w:tcPr>
          <w:p w14:paraId="61A65B16">
            <w:pPr>
              <w:pStyle w:val="30"/>
              <w:bidi w:val="0"/>
              <w:rPr>
                <w:rFonts w:hint="default"/>
                <w:color w:val="auto"/>
              </w:rPr>
            </w:pPr>
            <w:r>
              <w:rPr>
                <w:rFonts w:hint="default"/>
                <w:color w:val="auto"/>
              </w:rPr>
              <w:t>《工业企业总平面设计规范》GB50187-2012第5.1.2条</w:t>
            </w:r>
          </w:p>
        </w:tc>
        <w:tc>
          <w:tcPr>
            <w:tcW w:w="1654" w:type="dxa"/>
            <w:noWrap w:val="0"/>
            <w:vAlign w:val="center"/>
          </w:tcPr>
          <w:p w14:paraId="71B92D6A">
            <w:pPr>
              <w:pStyle w:val="30"/>
              <w:bidi w:val="0"/>
              <w:rPr>
                <w:rFonts w:hint="default"/>
                <w:color w:val="auto"/>
                <w:lang w:eastAsia="zh-CN"/>
              </w:rPr>
            </w:pPr>
            <w:r>
              <w:rPr>
                <w:rFonts w:hint="default"/>
                <w:color w:val="auto"/>
              </w:rPr>
              <w:t>根据功能区进行划分</w:t>
            </w:r>
            <w:r>
              <w:rPr>
                <w:rFonts w:hint="default"/>
                <w:color w:val="auto"/>
                <w:lang w:eastAsia="zh-CN"/>
              </w:rPr>
              <w:t>。</w:t>
            </w:r>
          </w:p>
        </w:tc>
        <w:tc>
          <w:tcPr>
            <w:tcW w:w="848" w:type="dxa"/>
            <w:noWrap w:val="0"/>
            <w:vAlign w:val="center"/>
          </w:tcPr>
          <w:p w14:paraId="395D5343">
            <w:pPr>
              <w:pStyle w:val="30"/>
              <w:bidi w:val="0"/>
              <w:rPr>
                <w:rFonts w:hint="default"/>
                <w:color w:val="auto"/>
              </w:rPr>
            </w:pPr>
            <w:r>
              <w:rPr>
                <w:rFonts w:hint="default"/>
                <w:color w:val="auto"/>
              </w:rPr>
              <w:t>符合</w:t>
            </w:r>
          </w:p>
        </w:tc>
      </w:tr>
      <w:tr w14:paraId="54BA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35" w:hRule="atLeast"/>
          <w:jc w:val="center"/>
        </w:trPr>
        <w:tc>
          <w:tcPr>
            <w:tcW w:w="691" w:type="dxa"/>
            <w:noWrap w:val="0"/>
            <w:vAlign w:val="center"/>
          </w:tcPr>
          <w:p w14:paraId="39ADCCBF">
            <w:pPr>
              <w:pStyle w:val="30"/>
              <w:bidi w:val="0"/>
              <w:rPr>
                <w:rFonts w:hint="default"/>
                <w:color w:val="auto"/>
              </w:rPr>
            </w:pPr>
            <w:r>
              <w:rPr>
                <w:rFonts w:hint="default"/>
                <w:color w:val="auto"/>
              </w:rPr>
              <w:t>2</w:t>
            </w:r>
          </w:p>
        </w:tc>
        <w:tc>
          <w:tcPr>
            <w:tcW w:w="3543" w:type="dxa"/>
            <w:noWrap w:val="0"/>
            <w:vAlign w:val="center"/>
          </w:tcPr>
          <w:p w14:paraId="622327EC">
            <w:pPr>
              <w:pStyle w:val="30"/>
              <w:bidi w:val="0"/>
              <w:rPr>
                <w:rFonts w:hint="default"/>
                <w:color w:val="auto"/>
              </w:rPr>
            </w:pPr>
            <w:r>
              <w:rPr>
                <w:rFonts w:hint="default"/>
                <w:color w:val="auto"/>
              </w:rPr>
              <w:t>厂区的通道宽度，应符合下列要求：1、应符合通道两侧建筑物、构筑物及露天设施对防火、安全与卫生间距的要求；2、应符合铁路、道路与带式输送机通廊等工业运输线路的布置要求；3、应符合各种工程管线的布置要求；4、应符合绿化布置的要求；5、应符合施工、安装与检修的要求；6、应符合竖向设计的要求；7、应符合预留发展用地的要求。</w:t>
            </w:r>
          </w:p>
        </w:tc>
        <w:tc>
          <w:tcPr>
            <w:tcW w:w="2664" w:type="dxa"/>
            <w:noWrap w:val="0"/>
            <w:vAlign w:val="center"/>
          </w:tcPr>
          <w:p w14:paraId="534FF3F7">
            <w:pPr>
              <w:pStyle w:val="30"/>
              <w:bidi w:val="0"/>
              <w:rPr>
                <w:rFonts w:hint="default"/>
                <w:color w:val="auto"/>
              </w:rPr>
            </w:pPr>
            <w:r>
              <w:rPr>
                <w:rFonts w:hint="default"/>
                <w:color w:val="auto"/>
              </w:rPr>
              <w:t>《工业企业总平面设计规范》GB50187-2012第5.1.4条</w:t>
            </w:r>
          </w:p>
        </w:tc>
        <w:tc>
          <w:tcPr>
            <w:tcW w:w="1654" w:type="dxa"/>
            <w:noWrap w:val="0"/>
            <w:vAlign w:val="center"/>
          </w:tcPr>
          <w:p w14:paraId="5CBA1CF9">
            <w:pPr>
              <w:pStyle w:val="30"/>
              <w:bidi w:val="0"/>
              <w:rPr>
                <w:rFonts w:hint="default"/>
                <w:color w:val="auto"/>
                <w:lang w:eastAsia="zh-CN"/>
              </w:rPr>
            </w:pPr>
            <w:r>
              <w:rPr>
                <w:rFonts w:hint="default"/>
                <w:color w:val="auto"/>
              </w:rPr>
              <w:t>项目各生产车间运输、检修及消防道路通过运输主干道连接至各生产车间，通过车间引道连接</w:t>
            </w:r>
            <w:r>
              <w:rPr>
                <w:rFonts w:hint="default"/>
                <w:color w:val="auto"/>
                <w:lang w:eastAsia="zh-CN"/>
              </w:rPr>
              <w:t>。</w:t>
            </w:r>
          </w:p>
        </w:tc>
        <w:tc>
          <w:tcPr>
            <w:tcW w:w="848" w:type="dxa"/>
            <w:noWrap w:val="0"/>
            <w:vAlign w:val="center"/>
          </w:tcPr>
          <w:p w14:paraId="0B83EDEB">
            <w:pPr>
              <w:pStyle w:val="30"/>
              <w:bidi w:val="0"/>
              <w:rPr>
                <w:rFonts w:hint="default"/>
                <w:color w:val="auto"/>
              </w:rPr>
            </w:pPr>
            <w:r>
              <w:rPr>
                <w:rFonts w:hint="default"/>
                <w:color w:val="auto"/>
              </w:rPr>
              <w:t>符合</w:t>
            </w:r>
          </w:p>
        </w:tc>
      </w:tr>
      <w:tr w14:paraId="663C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5" w:hRule="atLeast"/>
          <w:jc w:val="center"/>
        </w:trPr>
        <w:tc>
          <w:tcPr>
            <w:tcW w:w="691" w:type="dxa"/>
            <w:noWrap w:val="0"/>
            <w:vAlign w:val="center"/>
          </w:tcPr>
          <w:p w14:paraId="19F92970">
            <w:pPr>
              <w:pStyle w:val="30"/>
              <w:bidi w:val="0"/>
              <w:rPr>
                <w:rFonts w:hint="default"/>
                <w:color w:val="auto"/>
              </w:rPr>
            </w:pPr>
            <w:r>
              <w:rPr>
                <w:rFonts w:hint="default"/>
                <w:color w:val="auto"/>
              </w:rPr>
              <w:t>3</w:t>
            </w:r>
          </w:p>
        </w:tc>
        <w:tc>
          <w:tcPr>
            <w:tcW w:w="3543" w:type="dxa"/>
            <w:noWrap w:val="0"/>
            <w:vAlign w:val="center"/>
          </w:tcPr>
          <w:p w14:paraId="0B3ED405">
            <w:pPr>
              <w:pStyle w:val="30"/>
              <w:bidi w:val="0"/>
              <w:rPr>
                <w:rFonts w:hint="default"/>
                <w:color w:val="auto"/>
              </w:rPr>
            </w:pPr>
            <w:r>
              <w:rPr>
                <w:rFonts w:hint="default"/>
                <w:color w:val="auto"/>
              </w:rPr>
              <w:t>总平面布置，应合理地组织货流和人流，并应符合下列要求：1、运输线路的布置，应保证物流顺畅、径路短捷、不折返；2、应避免运输繁忙的铁路与道路平面交叉；3、应使人、货分流，应避免运输繁忙的货流与人流交叉；4、应避免进出厂的主要货流与企业外部交通干线的平面交叉。</w:t>
            </w:r>
          </w:p>
        </w:tc>
        <w:tc>
          <w:tcPr>
            <w:tcW w:w="2664" w:type="dxa"/>
            <w:noWrap w:val="0"/>
            <w:vAlign w:val="center"/>
          </w:tcPr>
          <w:p w14:paraId="6EF3D742">
            <w:pPr>
              <w:pStyle w:val="30"/>
              <w:bidi w:val="0"/>
              <w:rPr>
                <w:rFonts w:hint="default"/>
                <w:color w:val="auto"/>
              </w:rPr>
            </w:pPr>
            <w:r>
              <w:rPr>
                <w:rFonts w:hint="default"/>
                <w:color w:val="auto"/>
              </w:rPr>
              <w:t>《工业企业总平面设计规范》GB50187-2012第5.1.8条</w:t>
            </w:r>
          </w:p>
        </w:tc>
        <w:tc>
          <w:tcPr>
            <w:tcW w:w="1654" w:type="dxa"/>
            <w:noWrap w:val="0"/>
            <w:vAlign w:val="center"/>
          </w:tcPr>
          <w:p w14:paraId="2BEC99FC">
            <w:pPr>
              <w:pStyle w:val="30"/>
              <w:bidi w:val="0"/>
              <w:rPr>
                <w:rFonts w:hint="default"/>
                <w:color w:val="auto"/>
                <w:lang w:val="en-US" w:eastAsia="zh-CN"/>
              </w:rPr>
            </w:pPr>
            <w:r>
              <w:rPr>
                <w:rFonts w:hint="default"/>
                <w:color w:val="auto"/>
              </w:rPr>
              <w:t>人流与物流分开，明确</w:t>
            </w:r>
            <w:r>
              <w:rPr>
                <w:rFonts w:hint="default"/>
                <w:color w:val="auto"/>
                <w:lang w:val="en-US" w:eastAsia="zh-CN"/>
              </w:rPr>
              <w:t>原料</w:t>
            </w:r>
            <w:r>
              <w:rPr>
                <w:rFonts w:hint="default"/>
                <w:color w:val="auto"/>
              </w:rPr>
              <w:t>、辅料</w:t>
            </w:r>
            <w:r>
              <w:rPr>
                <w:rFonts w:hint="default"/>
                <w:color w:val="auto"/>
                <w:lang w:eastAsia="zh-CN"/>
              </w:rPr>
              <w:t>、</w:t>
            </w:r>
            <w:r>
              <w:rPr>
                <w:rFonts w:hint="default"/>
                <w:color w:val="auto"/>
                <w:lang w:val="en-US" w:eastAsia="zh-CN"/>
              </w:rPr>
              <w:t>成品</w:t>
            </w:r>
            <w:r>
              <w:rPr>
                <w:rFonts w:hint="default"/>
                <w:color w:val="auto"/>
              </w:rPr>
              <w:t>运输方案</w:t>
            </w:r>
            <w:r>
              <w:rPr>
                <w:rFonts w:hint="default"/>
                <w:color w:val="auto"/>
                <w:lang w:val="en-US" w:eastAsia="zh-CN"/>
              </w:rPr>
              <w:t>及人流出入口。</w:t>
            </w:r>
          </w:p>
        </w:tc>
        <w:tc>
          <w:tcPr>
            <w:tcW w:w="848" w:type="dxa"/>
            <w:noWrap w:val="0"/>
            <w:vAlign w:val="center"/>
          </w:tcPr>
          <w:p w14:paraId="2F83CC33">
            <w:pPr>
              <w:pStyle w:val="30"/>
              <w:bidi w:val="0"/>
              <w:rPr>
                <w:rFonts w:hint="default"/>
                <w:color w:val="auto"/>
              </w:rPr>
            </w:pPr>
            <w:r>
              <w:rPr>
                <w:rFonts w:hint="default"/>
                <w:color w:val="auto"/>
              </w:rPr>
              <w:t>符合</w:t>
            </w:r>
          </w:p>
        </w:tc>
      </w:tr>
      <w:tr w14:paraId="2643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691" w:type="dxa"/>
            <w:noWrap w:val="0"/>
            <w:vAlign w:val="center"/>
          </w:tcPr>
          <w:p w14:paraId="14F88531">
            <w:pPr>
              <w:pStyle w:val="30"/>
              <w:bidi w:val="0"/>
              <w:rPr>
                <w:rFonts w:hint="default"/>
                <w:color w:val="auto"/>
              </w:rPr>
            </w:pPr>
            <w:r>
              <w:rPr>
                <w:rFonts w:hint="default"/>
                <w:color w:val="auto"/>
              </w:rPr>
              <w:t>4</w:t>
            </w:r>
          </w:p>
        </w:tc>
        <w:tc>
          <w:tcPr>
            <w:tcW w:w="3543" w:type="dxa"/>
            <w:noWrap w:val="0"/>
            <w:vAlign w:val="center"/>
          </w:tcPr>
          <w:p w14:paraId="2C13ACAD">
            <w:pPr>
              <w:pStyle w:val="30"/>
              <w:bidi w:val="0"/>
              <w:rPr>
                <w:rFonts w:hint="default"/>
                <w:color w:val="auto"/>
              </w:rPr>
            </w:pPr>
            <w:r>
              <w:rPr>
                <w:rFonts w:hint="default"/>
                <w:color w:val="auto"/>
              </w:rPr>
              <w:t>总平面布置应使建筑群体的平面布置与空间景观相协调，并应结合城镇规划及厂区绿化，提高环境质量，创造良好的生产条件和整洁友好的工作环境。</w:t>
            </w:r>
          </w:p>
        </w:tc>
        <w:tc>
          <w:tcPr>
            <w:tcW w:w="2664" w:type="dxa"/>
            <w:noWrap w:val="0"/>
            <w:vAlign w:val="center"/>
          </w:tcPr>
          <w:p w14:paraId="5696F334">
            <w:pPr>
              <w:pStyle w:val="30"/>
              <w:bidi w:val="0"/>
              <w:rPr>
                <w:rFonts w:hint="default"/>
                <w:color w:val="auto"/>
              </w:rPr>
            </w:pPr>
            <w:r>
              <w:rPr>
                <w:rFonts w:hint="default"/>
                <w:color w:val="auto"/>
              </w:rPr>
              <w:t>《工业企业总平面设计规范》GB50187-2012第5.1.9条</w:t>
            </w:r>
          </w:p>
        </w:tc>
        <w:tc>
          <w:tcPr>
            <w:tcW w:w="1654" w:type="dxa"/>
            <w:noWrap w:val="0"/>
            <w:vAlign w:val="center"/>
          </w:tcPr>
          <w:p w14:paraId="1DB6157A">
            <w:pPr>
              <w:pStyle w:val="30"/>
              <w:bidi w:val="0"/>
              <w:rPr>
                <w:rFonts w:hint="default"/>
                <w:color w:val="auto"/>
              </w:rPr>
            </w:pPr>
            <w:r>
              <w:rPr>
                <w:rFonts w:hint="default"/>
                <w:color w:val="auto"/>
              </w:rPr>
              <w:t>项目拟在选矿厂范围内进行一定的环境绿化。</w:t>
            </w:r>
          </w:p>
        </w:tc>
        <w:tc>
          <w:tcPr>
            <w:tcW w:w="848" w:type="dxa"/>
            <w:noWrap w:val="0"/>
            <w:vAlign w:val="center"/>
          </w:tcPr>
          <w:p w14:paraId="326DB2E0">
            <w:pPr>
              <w:pStyle w:val="30"/>
              <w:bidi w:val="0"/>
              <w:rPr>
                <w:rFonts w:hint="default"/>
                <w:color w:val="auto"/>
              </w:rPr>
            </w:pPr>
            <w:r>
              <w:rPr>
                <w:rFonts w:hint="default"/>
                <w:color w:val="auto"/>
              </w:rPr>
              <w:t>符合</w:t>
            </w:r>
          </w:p>
        </w:tc>
      </w:tr>
      <w:tr w14:paraId="34C3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5" w:hRule="atLeast"/>
          <w:jc w:val="center"/>
        </w:trPr>
        <w:tc>
          <w:tcPr>
            <w:tcW w:w="691" w:type="dxa"/>
            <w:noWrap w:val="0"/>
            <w:vAlign w:val="center"/>
          </w:tcPr>
          <w:p w14:paraId="4F890F0A">
            <w:pPr>
              <w:pStyle w:val="30"/>
              <w:bidi w:val="0"/>
              <w:rPr>
                <w:rFonts w:hint="default"/>
                <w:color w:val="auto"/>
              </w:rPr>
            </w:pPr>
            <w:r>
              <w:rPr>
                <w:rFonts w:hint="default"/>
                <w:color w:val="auto"/>
              </w:rPr>
              <w:t>5</w:t>
            </w:r>
          </w:p>
        </w:tc>
        <w:tc>
          <w:tcPr>
            <w:tcW w:w="3543" w:type="dxa"/>
            <w:noWrap w:val="0"/>
            <w:vAlign w:val="center"/>
          </w:tcPr>
          <w:p w14:paraId="59991C7F">
            <w:pPr>
              <w:pStyle w:val="30"/>
              <w:bidi w:val="0"/>
              <w:rPr>
                <w:rFonts w:hint="eastAsia" w:eastAsia="宋体"/>
                <w:color w:val="auto"/>
                <w:lang w:eastAsia="zh-CN"/>
              </w:rPr>
            </w:pPr>
            <w:r>
              <w:rPr>
                <w:rFonts w:hint="default"/>
                <w:color w:val="auto"/>
              </w:rPr>
              <w:t>工业企业的建筑物、构筑物之间及其与铁路、道路之间的防火间距，以及消防通道的设置，应执行现行国家《建筑设计防火规范》GB50016等有关的规定</w:t>
            </w:r>
            <w:r>
              <w:rPr>
                <w:rFonts w:hint="eastAsia"/>
                <w:color w:val="auto"/>
                <w:lang w:eastAsia="zh-CN"/>
              </w:rPr>
              <w:t>。</w:t>
            </w:r>
          </w:p>
        </w:tc>
        <w:tc>
          <w:tcPr>
            <w:tcW w:w="2664" w:type="dxa"/>
            <w:noWrap w:val="0"/>
            <w:vAlign w:val="center"/>
          </w:tcPr>
          <w:p w14:paraId="34599B79">
            <w:pPr>
              <w:pStyle w:val="30"/>
              <w:bidi w:val="0"/>
              <w:rPr>
                <w:rFonts w:hint="default"/>
                <w:color w:val="auto"/>
              </w:rPr>
            </w:pPr>
            <w:r>
              <w:rPr>
                <w:rFonts w:hint="default"/>
                <w:color w:val="auto"/>
              </w:rPr>
              <w:t>《工业企业总平面设计规范》GB50187-2012第5.1.10条</w:t>
            </w:r>
          </w:p>
        </w:tc>
        <w:tc>
          <w:tcPr>
            <w:tcW w:w="1654" w:type="dxa"/>
            <w:noWrap w:val="0"/>
            <w:vAlign w:val="center"/>
          </w:tcPr>
          <w:p w14:paraId="1BDF9C41">
            <w:pPr>
              <w:pStyle w:val="30"/>
              <w:bidi w:val="0"/>
              <w:rPr>
                <w:rFonts w:hint="default"/>
                <w:color w:val="auto"/>
                <w:lang w:eastAsia="zh-CN"/>
              </w:rPr>
            </w:pPr>
            <w:r>
              <w:rPr>
                <w:rFonts w:hint="default"/>
                <w:color w:val="auto"/>
              </w:rPr>
              <w:t>厂区内主要道路路面宽6.0m</w:t>
            </w:r>
            <w:r>
              <w:rPr>
                <w:rFonts w:hint="default"/>
                <w:color w:val="auto"/>
                <w:lang w:eastAsia="zh-CN"/>
              </w:rPr>
              <w:t>，</w:t>
            </w:r>
            <w:r>
              <w:rPr>
                <w:rFonts w:hint="default"/>
                <w:color w:val="auto"/>
              </w:rPr>
              <w:t>厂区</w:t>
            </w:r>
            <w:r>
              <w:rPr>
                <w:rFonts w:hint="eastAsia"/>
                <w:color w:val="auto"/>
                <w:lang w:val="en-US" w:eastAsia="zh-CN"/>
              </w:rPr>
              <w:t>西</w:t>
            </w:r>
            <w:r>
              <w:rPr>
                <w:rFonts w:hint="default"/>
                <w:color w:val="auto"/>
              </w:rPr>
              <w:t>侧有6.00m宽的对外通道与厂外公路相接，能够满足消防车出入需要</w:t>
            </w:r>
            <w:r>
              <w:rPr>
                <w:rFonts w:hint="default"/>
                <w:color w:val="auto"/>
                <w:lang w:eastAsia="zh-CN"/>
              </w:rPr>
              <w:t>。</w:t>
            </w:r>
          </w:p>
        </w:tc>
        <w:tc>
          <w:tcPr>
            <w:tcW w:w="848" w:type="dxa"/>
            <w:noWrap w:val="0"/>
            <w:vAlign w:val="center"/>
          </w:tcPr>
          <w:p w14:paraId="36BE3924">
            <w:pPr>
              <w:pStyle w:val="30"/>
              <w:bidi w:val="0"/>
              <w:rPr>
                <w:rFonts w:hint="default"/>
                <w:color w:val="auto"/>
              </w:rPr>
            </w:pPr>
            <w:r>
              <w:rPr>
                <w:rFonts w:hint="default"/>
                <w:color w:val="auto"/>
              </w:rPr>
              <w:t>符合</w:t>
            </w:r>
          </w:p>
        </w:tc>
      </w:tr>
      <w:tr w14:paraId="0E8C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5" w:hRule="atLeast"/>
          <w:jc w:val="center"/>
        </w:trPr>
        <w:tc>
          <w:tcPr>
            <w:tcW w:w="691" w:type="dxa"/>
            <w:noWrap w:val="0"/>
            <w:vAlign w:val="center"/>
          </w:tcPr>
          <w:p w14:paraId="63805C74">
            <w:pPr>
              <w:pStyle w:val="30"/>
              <w:bidi w:val="0"/>
              <w:rPr>
                <w:rFonts w:hint="eastAsia" w:eastAsia="宋体"/>
                <w:color w:val="auto"/>
                <w:lang w:val="en-US" w:eastAsia="zh-CN"/>
              </w:rPr>
            </w:pPr>
            <w:r>
              <w:rPr>
                <w:rFonts w:hint="eastAsia"/>
                <w:color w:val="auto"/>
                <w:lang w:val="en-US" w:eastAsia="zh-CN"/>
              </w:rPr>
              <w:t>6</w:t>
            </w:r>
          </w:p>
        </w:tc>
        <w:tc>
          <w:tcPr>
            <w:tcW w:w="3543" w:type="dxa"/>
            <w:noWrap w:val="0"/>
            <w:vAlign w:val="center"/>
          </w:tcPr>
          <w:p w14:paraId="2B280FF6">
            <w:pPr>
              <w:pStyle w:val="30"/>
              <w:bidi w:val="0"/>
              <w:rPr>
                <w:rFonts w:hint="default"/>
                <w:color w:val="auto"/>
              </w:rPr>
            </w:pPr>
            <w:r>
              <w:rPr>
                <w:rFonts w:hint="default"/>
                <w:color w:val="auto"/>
              </w:rPr>
              <w:t>行政办公及生活服务设施的布置，应位于厂区全年最小频率风向的下风侧，并应符合下列要求：</w:t>
            </w:r>
          </w:p>
          <w:p w14:paraId="33A7653A">
            <w:pPr>
              <w:pStyle w:val="30"/>
              <w:bidi w:val="0"/>
              <w:rPr>
                <w:rFonts w:hint="default"/>
                <w:color w:val="auto"/>
              </w:rPr>
            </w:pPr>
            <w:r>
              <w:rPr>
                <w:rFonts w:hint="default"/>
                <w:color w:val="auto"/>
              </w:rPr>
              <w:t>1 应布置在便于行政办公、环境洁净、靠近主要人流出入口、与城镇和居住区联系方便的位置；</w:t>
            </w:r>
          </w:p>
          <w:p w14:paraId="15C84589">
            <w:pPr>
              <w:pStyle w:val="30"/>
              <w:bidi w:val="0"/>
              <w:rPr>
                <w:rFonts w:hint="default"/>
                <w:color w:val="auto"/>
              </w:rPr>
            </w:pPr>
            <w:r>
              <w:rPr>
                <w:rFonts w:hint="default"/>
                <w:color w:val="auto"/>
              </w:rPr>
              <w:t>2 行政办公及生活服务设施的用地面积，不得超过工业项目总用地面积的7%。</w:t>
            </w:r>
          </w:p>
        </w:tc>
        <w:tc>
          <w:tcPr>
            <w:tcW w:w="2664" w:type="dxa"/>
            <w:noWrap w:val="0"/>
            <w:vAlign w:val="center"/>
          </w:tcPr>
          <w:p w14:paraId="2088C374">
            <w:pPr>
              <w:pStyle w:val="30"/>
              <w:bidi w:val="0"/>
              <w:rPr>
                <w:rFonts w:hint="default"/>
                <w:color w:val="auto"/>
              </w:rPr>
            </w:pPr>
            <w:r>
              <w:rPr>
                <w:rFonts w:hint="default"/>
                <w:color w:val="auto"/>
              </w:rPr>
              <w:t>《工业企业总平面设计规范》GB50187-2012第5.</w:t>
            </w:r>
            <w:r>
              <w:rPr>
                <w:rFonts w:hint="eastAsia"/>
                <w:color w:val="auto"/>
                <w:lang w:val="en-US" w:eastAsia="zh-CN"/>
              </w:rPr>
              <w:t>7.1</w:t>
            </w:r>
            <w:r>
              <w:rPr>
                <w:rFonts w:hint="default"/>
                <w:color w:val="auto"/>
              </w:rPr>
              <w:t>条</w:t>
            </w:r>
          </w:p>
        </w:tc>
        <w:tc>
          <w:tcPr>
            <w:tcW w:w="1654" w:type="dxa"/>
            <w:noWrap w:val="0"/>
            <w:vAlign w:val="center"/>
          </w:tcPr>
          <w:p w14:paraId="3BEF9E44">
            <w:pPr>
              <w:pStyle w:val="30"/>
              <w:bidi w:val="0"/>
              <w:rPr>
                <w:rFonts w:hint="default" w:eastAsia="宋体"/>
                <w:color w:val="auto"/>
                <w:lang w:val="en-US" w:eastAsia="zh-CN"/>
              </w:rPr>
            </w:pPr>
            <w:r>
              <w:rPr>
                <w:rFonts w:hint="eastAsia"/>
                <w:color w:val="auto"/>
                <w:lang w:val="en-US" w:eastAsia="zh-CN"/>
              </w:rPr>
              <w:t>生活区位于厂区的东北方向，处于主导风向（西南风）的下风侧，但本项目生产不涉及有毒有害气体，项目选矿采用水洗，产生的粉尘较少。</w:t>
            </w:r>
          </w:p>
        </w:tc>
        <w:tc>
          <w:tcPr>
            <w:tcW w:w="848" w:type="dxa"/>
            <w:noWrap w:val="0"/>
            <w:vAlign w:val="center"/>
          </w:tcPr>
          <w:p w14:paraId="684E6E53">
            <w:pPr>
              <w:pStyle w:val="30"/>
              <w:bidi w:val="0"/>
              <w:rPr>
                <w:rFonts w:hint="default" w:eastAsia="宋体"/>
                <w:color w:val="auto"/>
                <w:lang w:val="en-US" w:eastAsia="zh-CN"/>
              </w:rPr>
            </w:pPr>
            <w:r>
              <w:rPr>
                <w:rFonts w:hint="eastAsia"/>
                <w:color w:val="auto"/>
                <w:lang w:val="en-US" w:eastAsia="zh-CN"/>
              </w:rPr>
              <w:t>基本符合</w:t>
            </w:r>
          </w:p>
        </w:tc>
      </w:tr>
      <w:tr w14:paraId="0964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dxa"/>
            <w:noWrap w:val="0"/>
            <w:vAlign w:val="center"/>
          </w:tcPr>
          <w:p w14:paraId="1A22B50C">
            <w:pPr>
              <w:pStyle w:val="30"/>
              <w:bidi w:val="0"/>
              <w:rPr>
                <w:rFonts w:hint="eastAsia" w:eastAsia="宋体"/>
                <w:color w:val="auto"/>
                <w:lang w:eastAsia="zh-CN"/>
              </w:rPr>
            </w:pPr>
            <w:r>
              <w:rPr>
                <w:rFonts w:hint="eastAsia"/>
                <w:color w:val="auto"/>
                <w:lang w:val="en-US" w:eastAsia="zh-CN"/>
              </w:rPr>
              <w:t>7</w:t>
            </w:r>
          </w:p>
        </w:tc>
        <w:tc>
          <w:tcPr>
            <w:tcW w:w="3543" w:type="dxa"/>
            <w:noWrap w:val="0"/>
            <w:vAlign w:val="center"/>
          </w:tcPr>
          <w:p w14:paraId="403E3424">
            <w:pPr>
              <w:pStyle w:val="30"/>
              <w:bidi w:val="0"/>
              <w:rPr>
                <w:rFonts w:hint="eastAsia" w:eastAsia="宋体"/>
                <w:color w:val="auto"/>
                <w:lang w:eastAsia="zh-CN"/>
              </w:rPr>
            </w:pPr>
            <w:r>
              <w:rPr>
                <w:rFonts w:hint="default"/>
                <w:color w:val="auto"/>
              </w:rPr>
              <w:t>确定建构筑物位置时，遵守下列规定：1荷载较大的建构筑物（破碎间、磨矿间、精矿仓），布置在地质条件较好的地段</w:t>
            </w:r>
            <w:r>
              <w:rPr>
                <w:rFonts w:hint="eastAsia"/>
                <w:color w:val="auto"/>
                <w:lang w:eastAsia="zh-CN"/>
              </w:rPr>
              <w:t>。</w:t>
            </w:r>
          </w:p>
        </w:tc>
        <w:tc>
          <w:tcPr>
            <w:tcW w:w="2664" w:type="dxa"/>
            <w:noWrap w:val="0"/>
            <w:vAlign w:val="center"/>
          </w:tcPr>
          <w:p w14:paraId="5F819B28">
            <w:pPr>
              <w:pStyle w:val="30"/>
              <w:bidi w:val="0"/>
              <w:rPr>
                <w:rFonts w:hint="default"/>
                <w:color w:val="auto"/>
              </w:rPr>
            </w:pPr>
            <w:r>
              <w:rPr>
                <w:rFonts w:hint="default"/>
                <w:color w:val="auto"/>
              </w:rPr>
              <w:t>《选矿安全规程》（GB18152-2000）5.2.1条</w:t>
            </w:r>
          </w:p>
        </w:tc>
        <w:tc>
          <w:tcPr>
            <w:tcW w:w="1654" w:type="dxa"/>
            <w:noWrap w:val="0"/>
            <w:vAlign w:val="center"/>
          </w:tcPr>
          <w:p w14:paraId="49A58045">
            <w:pPr>
              <w:pStyle w:val="30"/>
              <w:bidi w:val="0"/>
              <w:rPr>
                <w:rFonts w:hint="default"/>
                <w:color w:val="auto"/>
              </w:rPr>
            </w:pPr>
            <w:r>
              <w:rPr>
                <w:rFonts w:hint="default"/>
                <w:color w:val="auto"/>
              </w:rPr>
              <w:t>厂区内车间按台阶布置，原料堆场设置在高处平台，产品堆场设置在最底部平台。</w:t>
            </w:r>
          </w:p>
        </w:tc>
        <w:tc>
          <w:tcPr>
            <w:tcW w:w="848" w:type="dxa"/>
            <w:noWrap w:val="0"/>
            <w:vAlign w:val="center"/>
          </w:tcPr>
          <w:p w14:paraId="30E06DD7">
            <w:pPr>
              <w:pStyle w:val="30"/>
              <w:bidi w:val="0"/>
              <w:rPr>
                <w:rFonts w:hint="default"/>
                <w:color w:val="auto"/>
              </w:rPr>
            </w:pPr>
            <w:r>
              <w:rPr>
                <w:rFonts w:hint="default"/>
                <w:color w:val="auto"/>
              </w:rPr>
              <w:t>符合</w:t>
            </w:r>
          </w:p>
        </w:tc>
      </w:tr>
      <w:tr w14:paraId="3D6A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691" w:type="dxa"/>
            <w:noWrap w:val="0"/>
            <w:vAlign w:val="center"/>
          </w:tcPr>
          <w:p w14:paraId="5233252F">
            <w:pPr>
              <w:pStyle w:val="30"/>
              <w:bidi w:val="0"/>
              <w:rPr>
                <w:rFonts w:hint="eastAsia" w:eastAsia="宋体"/>
                <w:color w:val="auto"/>
                <w:lang w:eastAsia="zh-CN"/>
              </w:rPr>
            </w:pPr>
            <w:r>
              <w:rPr>
                <w:rFonts w:hint="eastAsia"/>
                <w:color w:val="auto"/>
                <w:lang w:val="en-US" w:eastAsia="zh-CN"/>
              </w:rPr>
              <w:t>8</w:t>
            </w:r>
          </w:p>
        </w:tc>
        <w:tc>
          <w:tcPr>
            <w:tcW w:w="3543" w:type="dxa"/>
            <w:noWrap w:val="0"/>
            <w:vAlign w:val="center"/>
          </w:tcPr>
          <w:p w14:paraId="57D461E1">
            <w:pPr>
              <w:pStyle w:val="30"/>
              <w:bidi w:val="0"/>
              <w:rPr>
                <w:rFonts w:hint="default"/>
                <w:color w:val="auto"/>
              </w:rPr>
            </w:pPr>
            <w:r>
              <w:rPr>
                <w:rFonts w:hint="default"/>
                <w:color w:val="auto"/>
              </w:rPr>
              <w:t>建构筑物之间的防火间距和消防车道的布置，应符合GBJ16的有关规定。</w:t>
            </w:r>
          </w:p>
        </w:tc>
        <w:tc>
          <w:tcPr>
            <w:tcW w:w="2664" w:type="dxa"/>
            <w:noWrap w:val="0"/>
            <w:vAlign w:val="center"/>
          </w:tcPr>
          <w:p w14:paraId="700BCB30">
            <w:pPr>
              <w:pStyle w:val="30"/>
              <w:bidi w:val="0"/>
              <w:rPr>
                <w:rFonts w:hint="default"/>
                <w:color w:val="auto"/>
              </w:rPr>
            </w:pPr>
            <w:r>
              <w:rPr>
                <w:rFonts w:hint="default"/>
                <w:color w:val="auto"/>
              </w:rPr>
              <w:t>《选矿安全规程》（GB18152-2000）5.2.2条</w:t>
            </w:r>
          </w:p>
        </w:tc>
        <w:tc>
          <w:tcPr>
            <w:tcW w:w="1654" w:type="dxa"/>
            <w:noWrap w:val="0"/>
            <w:vAlign w:val="center"/>
          </w:tcPr>
          <w:p w14:paraId="060F888C">
            <w:pPr>
              <w:pStyle w:val="30"/>
              <w:bidi w:val="0"/>
              <w:rPr>
                <w:rFonts w:hint="default"/>
                <w:color w:val="auto"/>
                <w:lang w:eastAsia="zh-CN"/>
              </w:rPr>
            </w:pPr>
            <w:r>
              <w:rPr>
                <w:rFonts w:hint="default"/>
                <w:color w:val="auto"/>
              </w:rPr>
              <w:t>场地内各段运输道路宽度均不小于4.0m</w:t>
            </w:r>
            <w:r>
              <w:rPr>
                <w:rFonts w:hint="default"/>
                <w:color w:val="auto"/>
                <w:lang w:eastAsia="zh-CN"/>
              </w:rPr>
              <w:t>。</w:t>
            </w:r>
          </w:p>
        </w:tc>
        <w:tc>
          <w:tcPr>
            <w:tcW w:w="848" w:type="dxa"/>
            <w:noWrap w:val="0"/>
            <w:vAlign w:val="center"/>
          </w:tcPr>
          <w:p w14:paraId="1336ECDB">
            <w:pPr>
              <w:pStyle w:val="30"/>
              <w:bidi w:val="0"/>
              <w:rPr>
                <w:rFonts w:hint="default"/>
                <w:color w:val="auto"/>
              </w:rPr>
            </w:pPr>
            <w:r>
              <w:rPr>
                <w:rFonts w:hint="default"/>
                <w:color w:val="auto"/>
              </w:rPr>
              <w:t>符合</w:t>
            </w:r>
          </w:p>
        </w:tc>
      </w:tr>
      <w:tr w14:paraId="0B71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691" w:type="dxa"/>
            <w:noWrap w:val="0"/>
            <w:vAlign w:val="center"/>
          </w:tcPr>
          <w:p w14:paraId="19A915CF">
            <w:pPr>
              <w:pStyle w:val="30"/>
              <w:bidi w:val="0"/>
              <w:rPr>
                <w:rFonts w:hint="eastAsia" w:eastAsia="宋体"/>
                <w:color w:val="auto"/>
                <w:lang w:eastAsia="zh-CN"/>
              </w:rPr>
            </w:pPr>
            <w:r>
              <w:rPr>
                <w:rFonts w:hint="eastAsia"/>
                <w:color w:val="auto"/>
                <w:lang w:val="en-US" w:eastAsia="zh-CN"/>
              </w:rPr>
              <w:t>9</w:t>
            </w:r>
          </w:p>
        </w:tc>
        <w:tc>
          <w:tcPr>
            <w:tcW w:w="3543" w:type="dxa"/>
            <w:noWrap w:val="0"/>
            <w:vAlign w:val="center"/>
          </w:tcPr>
          <w:p w14:paraId="3D5E41AD">
            <w:pPr>
              <w:pStyle w:val="30"/>
              <w:bidi w:val="0"/>
              <w:rPr>
                <w:rFonts w:hint="default"/>
                <w:color w:val="auto"/>
              </w:rPr>
            </w:pPr>
            <w:r>
              <w:rPr>
                <w:rFonts w:hint="default"/>
                <w:color w:val="auto"/>
              </w:rPr>
              <w:t>应设置通达厂房、仓库和可燃原料堆场的消防通道（也可利用交通运输），其宽度应不小于3.5m。尽头式消防车道，应设回车道或不小于12m×12m的回车场。</w:t>
            </w:r>
          </w:p>
        </w:tc>
        <w:tc>
          <w:tcPr>
            <w:tcW w:w="2664" w:type="dxa"/>
            <w:noWrap w:val="0"/>
            <w:vAlign w:val="center"/>
          </w:tcPr>
          <w:p w14:paraId="427891CB">
            <w:pPr>
              <w:pStyle w:val="30"/>
              <w:bidi w:val="0"/>
              <w:rPr>
                <w:rFonts w:hint="default"/>
                <w:color w:val="auto"/>
              </w:rPr>
            </w:pPr>
            <w:r>
              <w:rPr>
                <w:rFonts w:hint="default"/>
                <w:color w:val="auto"/>
              </w:rPr>
              <w:t>《选矿安全规程》（GB18152-2000）5.2.3条</w:t>
            </w:r>
          </w:p>
        </w:tc>
        <w:tc>
          <w:tcPr>
            <w:tcW w:w="1654" w:type="dxa"/>
            <w:noWrap w:val="0"/>
            <w:vAlign w:val="center"/>
          </w:tcPr>
          <w:p w14:paraId="0720A2ED">
            <w:pPr>
              <w:pStyle w:val="30"/>
              <w:bidi w:val="0"/>
              <w:rPr>
                <w:rFonts w:hint="default"/>
                <w:color w:val="auto"/>
                <w:lang w:eastAsia="zh-CN"/>
              </w:rPr>
            </w:pPr>
            <w:r>
              <w:rPr>
                <w:rFonts w:hint="default"/>
                <w:color w:val="auto"/>
              </w:rPr>
              <w:t>场地内各段运输道路宽度均不小于4.0m</w:t>
            </w:r>
            <w:r>
              <w:rPr>
                <w:rFonts w:hint="default"/>
                <w:color w:val="auto"/>
                <w:lang w:eastAsia="zh-CN"/>
              </w:rPr>
              <w:t>。</w:t>
            </w:r>
          </w:p>
        </w:tc>
        <w:tc>
          <w:tcPr>
            <w:tcW w:w="848" w:type="dxa"/>
            <w:noWrap w:val="0"/>
            <w:vAlign w:val="center"/>
          </w:tcPr>
          <w:p w14:paraId="47E2A6A7">
            <w:pPr>
              <w:pStyle w:val="30"/>
              <w:bidi w:val="0"/>
              <w:rPr>
                <w:rFonts w:hint="default"/>
                <w:color w:val="auto"/>
              </w:rPr>
            </w:pPr>
            <w:r>
              <w:rPr>
                <w:rFonts w:hint="default"/>
                <w:color w:val="auto"/>
              </w:rPr>
              <w:t>符合</w:t>
            </w:r>
          </w:p>
        </w:tc>
      </w:tr>
      <w:tr w14:paraId="27B6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691" w:type="dxa"/>
            <w:noWrap w:val="0"/>
            <w:vAlign w:val="center"/>
          </w:tcPr>
          <w:p w14:paraId="1869CAC3">
            <w:pPr>
              <w:pStyle w:val="30"/>
              <w:bidi w:val="0"/>
              <w:rPr>
                <w:rFonts w:hint="default" w:eastAsia="宋体"/>
                <w:color w:val="auto"/>
                <w:lang w:val="en-US" w:eastAsia="zh-CN"/>
              </w:rPr>
            </w:pPr>
            <w:r>
              <w:rPr>
                <w:rFonts w:hint="eastAsia"/>
                <w:color w:val="auto"/>
                <w:lang w:val="en-US" w:eastAsia="zh-CN"/>
              </w:rPr>
              <w:t>10</w:t>
            </w:r>
          </w:p>
        </w:tc>
        <w:tc>
          <w:tcPr>
            <w:tcW w:w="3543" w:type="dxa"/>
            <w:noWrap w:val="0"/>
            <w:vAlign w:val="center"/>
          </w:tcPr>
          <w:p w14:paraId="61154F2A">
            <w:pPr>
              <w:pStyle w:val="30"/>
              <w:bidi w:val="0"/>
              <w:rPr>
                <w:rFonts w:hint="default"/>
                <w:color w:val="auto"/>
              </w:rPr>
            </w:pPr>
            <w:r>
              <w:rPr>
                <w:rFonts w:hint="default"/>
                <w:color w:val="auto"/>
              </w:rPr>
              <w:t>厂区铁路、道路的布置，应符合GB4837、GB146.1、GB146.2、GBJ12和GBJ22的有关规定。</w:t>
            </w:r>
          </w:p>
        </w:tc>
        <w:tc>
          <w:tcPr>
            <w:tcW w:w="2664" w:type="dxa"/>
            <w:noWrap w:val="0"/>
            <w:vAlign w:val="center"/>
          </w:tcPr>
          <w:p w14:paraId="01850754">
            <w:pPr>
              <w:pStyle w:val="30"/>
              <w:bidi w:val="0"/>
              <w:rPr>
                <w:rFonts w:hint="default"/>
                <w:color w:val="auto"/>
              </w:rPr>
            </w:pPr>
            <w:r>
              <w:rPr>
                <w:rFonts w:hint="default"/>
                <w:color w:val="auto"/>
              </w:rPr>
              <w:t>《选矿安全规程》（GB18152-2000）5.2.5条</w:t>
            </w:r>
          </w:p>
        </w:tc>
        <w:tc>
          <w:tcPr>
            <w:tcW w:w="1654" w:type="dxa"/>
            <w:noWrap w:val="0"/>
            <w:vAlign w:val="center"/>
          </w:tcPr>
          <w:p w14:paraId="6A301366">
            <w:pPr>
              <w:pStyle w:val="30"/>
              <w:bidi w:val="0"/>
              <w:rPr>
                <w:rFonts w:hint="default"/>
                <w:color w:val="auto"/>
              </w:rPr>
            </w:pPr>
            <w:r>
              <w:rPr>
                <w:rFonts w:hint="default"/>
                <w:color w:val="auto"/>
              </w:rPr>
              <w:t>拟建场地交通便利，道路布置符合要求。</w:t>
            </w:r>
          </w:p>
        </w:tc>
        <w:tc>
          <w:tcPr>
            <w:tcW w:w="848" w:type="dxa"/>
            <w:noWrap w:val="0"/>
            <w:vAlign w:val="center"/>
          </w:tcPr>
          <w:p w14:paraId="45BD2739">
            <w:pPr>
              <w:pStyle w:val="30"/>
              <w:bidi w:val="0"/>
              <w:rPr>
                <w:rFonts w:hint="default"/>
                <w:color w:val="auto"/>
              </w:rPr>
            </w:pPr>
            <w:r>
              <w:rPr>
                <w:rFonts w:hint="default"/>
                <w:color w:val="auto"/>
              </w:rPr>
              <w:t>符合</w:t>
            </w:r>
          </w:p>
        </w:tc>
      </w:tr>
      <w:tr w14:paraId="3C44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691" w:type="dxa"/>
            <w:noWrap w:val="0"/>
            <w:vAlign w:val="center"/>
          </w:tcPr>
          <w:p w14:paraId="29FBC3DC">
            <w:pPr>
              <w:pStyle w:val="30"/>
              <w:bidi w:val="0"/>
              <w:rPr>
                <w:rFonts w:hint="default"/>
                <w:color w:val="auto"/>
                <w:lang w:val="en-US" w:eastAsia="zh-CN"/>
              </w:rPr>
            </w:pPr>
            <w:r>
              <w:rPr>
                <w:rFonts w:hint="eastAsia"/>
                <w:color w:val="auto"/>
                <w:lang w:val="en-US" w:eastAsia="zh-CN"/>
              </w:rPr>
              <w:t>11</w:t>
            </w:r>
          </w:p>
        </w:tc>
        <w:tc>
          <w:tcPr>
            <w:tcW w:w="3543" w:type="dxa"/>
            <w:noWrap w:val="0"/>
            <w:vAlign w:val="center"/>
          </w:tcPr>
          <w:p w14:paraId="4AF70ADB">
            <w:pPr>
              <w:pStyle w:val="30"/>
              <w:bidi w:val="0"/>
              <w:rPr>
                <w:rFonts w:hint="default"/>
                <w:color w:val="auto"/>
              </w:rPr>
            </w:pPr>
            <w:r>
              <w:rPr>
                <w:rFonts w:hint="default"/>
                <w:color w:val="auto"/>
              </w:rPr>
              <w:t>厂房、库房、站房、地下室，应按国家有关规定设立适当数量的安全出口。安全疏散距离和楼梯、走道及门的宽度应符合防火规范，安全疏散门应向外启动。</w:t>
            </w:r>
          </w:p>
        </w:tc>
        <w:tc>
          <w:tcPr>
            <w:tcW w:w="2664" w:type="dxa"/>
            <w:noWrap w:val="0"/>
            <w:vAlign w:val="center"/>
          </w:tcPr>
          <w:p w14:paraId="62B37EF4">
            <w:pPr>
              <w:pStyle w:val="30"/>
              <w:bidi w:val="0"/>
              <w:rPr>
                <w:rFonts w:hint="default"/>
                <w:color w:val="auto"/>
              </w:rPr>
            </w:pPr>
            <w:r>
              <w:rPr>
                <w:rFonts w:hint="default"/>
                <w:color w:val="auto"/>
              </w:rPr>
              <w:t>《选矿安全规程》（GB18152-2000）</w:t>
            </w:r>
            <w:r>
              <w:rPr>
                <w:rFonts w:hint="eastAsia"/>
                <w:color w:val="auto"/>
                <w:lang w:val="en-US" w:eastAsia="zh-CN"/>
              </w:rPr>
              <w:t>11.3</w:t>
            </w:r>
            <w:r>
              <w:rPr>
                <w:rFonts w:hint="default"/>
                <w:color w:val="auto"/>
              </w:rPr>
              <w:t>条</w:t>
            </w:r>
          </w:p>
        </w:tc>
        <w:tc>
          <w:tcPr>
            <w:tcW w:w="1654" w:type="dxa"/>
            <w:noWrap w:val="0"/>
            <w:vAlign w:val="center"/>
          </w:tcPr>
          <w:p w14:paraId="50EF9789">
            <w:pPr>
              <w:pStyle w:val="30"/>
              <w:bidi w:val="0"/>
              <w:rPr>
                <w:rFonts w:hint="default"/>
                <w:color w:val="auto"/>
              </w:rPr>
            </w:pPr>
            <w:r>
              <w:rPr>
                <w:rFonts w:hint="eastAsia"/>
                <w:color w:val="auto"/>
                <w:lang w:val="en-US" w:eastAsia="zh-CN"/>
              </w:rPr>
              <w:t>本项目</w:t>
            </w:r>
            <w:r>
              <w:rPr>
                <w:rFonts w:hint="eastAsia"/>
                <w:color w:val="auto"/>
              </w:rPr>
              <w:t>主要生产厂房设两个以上的安全出口，并执行《建筑设计防火规范》的相应规定。厂房每层的疏散楼梯、走道、门的宽度均执行《建筑设计防火规范》的相应规定。</w:t>
            </w:r>
          </w:p>
        </w:tc>
        <w:tc>
          <w:tcPr>
            <w:tcW w:w="848" w:type="dxa"/>
            <w:noWrap w:val="0"/>
            <w:vAlign w:val="center"/>
          </w:tcPr>
          <w:p w14:paraId="1F002AD5">
            <w:pPr>
              <w:pStyle w:val="30"/>
              <w:bidi w:val="0"/>
              <w:rPr>
                <w:rFonts w:hint="eastAsia"/>
                <w:color w:val="auto"/>
                <w:lang w:val="en-US" w:eastAsia="zh-CN"/>
              </w:rPr>
            </w:pPr>
            <w:r>
              <w:rPr>
                <w:rFonts w:hint="eastAsia"/>
                <w:color w:val="auto"/>
                <w:lang w:val="en-US" w:eastAsia="zh-CN"/>
              </w:rPr>
              <w:t>符合</w:t>
            </w:r>
          </w:p>
        </w:tc>
      </w:tr>
    </w:tbl>
    <w:p w14:paraId="4428D281">
      <w:pPr>
        <w:pStyle w:val="5"/>
        <w:bidi w:val="0"/>
        <w:rPr>
          <w:rFonts w:hint="default"/>
          <w:color w:val="auto"/>
          <w:lang w:val="en-US" w:eastAsia="zh-CN"/>
        </w:rPr>
      </w:pPr>
      <w:bookmarkStart w:id="30" w:name="_Toc26185"/>
      <w:r>
        <w:rPr>
          <w:rFonts w:hint="eastAsia"/>
          <w:color w:val="auto"/>
          <w:lang w:val="en-US" w:eastAsia="zh-CN"/>
        </w:rPr>
        <w:t>5.2 设备</w:t>
      </w:r>
      <w:r>
        <w:rPr>
          <w:rFonts w:hint="default"/>
          <w:color w:val="auto"/>
          <w:lang w:val="en-US" w:eastAsia="zh-CN"/>
        </w:rPr>
        <w:t>工艺单元</w:t>
      </w:r>
      <w:bookmarkEnd w:id="30"/>
    </w:p>
    <w:p w14:paraId="0C630B9C">
      <w:pPr>
        <w:bidi w:val="0"/>
        <w:rPr>
          <w:rFonts w:hint="default"/>
          <w:color w:val="auto"/>
          <w:lang w:val="en-US" w:eastAsia="zh-CN"/>
        </w:rPr>
      </w:pPr>
      <w:r>
        <w:rPr>
          <w:rFonts w:hint="default"/>
          <w:color w:val="auto"/>
          <w:lang w:val="en-US" w:eastAsia="zh-CN"/>
        </w:rPr>
        <w:t>本单元可能发生的安全生产事故类型有：机械伤害、高处坠落、触电、物体打击。</w:t>
      </w:r>
    </w:p>
    <w:p w14:paraId="03ABFB41">
      <w:pPr>
        <w:bidi w:val="0"/>
        <w:rPr>
          <w:rFonts w:hint="default"/>
          <w:color w:val="auto"/>
          <w:lang w:val="en-US" w:eastAsia="zh-CN"/>
        </w:rPr>
      </w:pPr>
      <w:r>
        <w:rPr>
          <w:rFonts w:hint="default"/>
          <w:color w:val="auto"/>
          <w:lang w:val="en-US" w:eastAsia="zh-CN"/>
        </w:rPr>
        <w:t>机械伤害：压滤机</w:t>
      </w:r>
      <w:r>
        <w:rPr>
          <w:rFonts w:hint="eastAsia"/>
          <w:color w:val="auto"/>
          <w:lang w:val="en-US" w:eastAsia="zh-CN"/>
        </w:rPr>
        <w:t>等</w:t>
      </w:r>
      <w:r>
        <w:rPr>
          <w:rFonts w:hint="default"/>
          <w:color w:val="auto"/>
          <w:lang w:val="en-US" w:eastAsia="zh-CN"/>
        </w:rPr>
        <w:t>传动部位，无防护装置。</w:t>
      </w:r>
    </w:p>
    <w:p w14:paraId="60BF075A">
      <w:pPr>
        <w:bidi w:val="0"/>
        <w:rPr>
          <w:rFonts w:hint="default"/>
          <w:color w:val="auto"/>
          <w:lang w:val="en-US" w:eastAsia="zh-CN"/>
        </w:rPr>
      </w:pPr>
      <w:r>
        <w:rPr>
          <w:rFonts w:hint="default"/>
          <w:color w:val="auto"/>
          <w:lang w:val="en-US" w:eastAsia="zh-CN"/>
        </w:rPr>
        <w:t>高处坠落：作业地点有一定高度又未设防护拦，或防护栏杆不符合GB4053.3的规定，将会造成高处坠落。</w:t>
      </w:r>
    </w:p>
    <w:p w14:paraId="085B1097">
      <w:pPr>
        <w:bidi w:val="0"/>
        <w:rPr>
          <w:rFonts w:hint="default"/>
          <w:color w:val="auto"/>
          <w:lang w:val="en-US" w:eastAsia="zh-CN"/>
        </w:rPr>
      </w:pPr>
      <w:r>
        <w:rPr>
          <w:rFonts w:hint="default"/>
          <w:color w:val="auto"/>
          <w:lang w:val="en-US" w:eastAsia="zh-CN"/>
        </w:rPr>
        <w:t>触电：厂区电气线路布置及电控制板摆设不规范，电线接头裸露，易发生触电及火灾事故；配电室低压配电柜未标识，可能因误操作导致触电和设备事故；低压架空线及电气设备及装置不按规定进行定期检测；运转的电动机未按规定安装接地保护，如遇雷击、漏电、短路情况，易发生设备损坏和触电事故。</w:t>
      </w:r>
    </w:p>
    <w:p w14:paraId="06107252">
      <w:pPr>
        <w:bidi w:val="0"/>
        <w:rPr>
          <w:rFonts w:hint="default"/>
          <w:color w:val="auto"/>
          <w:lang w:val="en-US" w:eastAsia="zh-CN"/>
        </w:rPr>
      </w:pPr>
      <w:r>
        <w:rPr>
          <w:rFonts w:hint="default"/>
          <w:color w:val="auto"/>
          <w:lang w:val="en-US" w:eastAsia="zh-CN"/>
        </w:rPr>
        <w:t>物体打击：作业地点有一定高度，检维修设备时工器具、物件无防坠措施或摆放不稳；平台、临边安全防护设施不完善；进入作业现场没有按要求安全帽等可能发生物体打击事故。</w:t>
      </w:r>
    </w:p>
    <w:p w14:paraId="73BEC1C6">
      <w:pPr>
        <w:pStyle w:val="6"/>
        <w:bidi w:val="0"/>
        <w:rPr>
          <w:rFonts w:hint="default"/>
          <w:color w:val="auto"/>
          <w:lang w:val="en-US" w:eastAsia="zh-CN"/>
        </w:rPr>
      </w:pPr>
      <w:r>
        <w:rPr>
          <w:rFonts w:hint="eastAsia"/>
          <w:color w:val="auto"/>
          <w:lang w:val="en-US" w:eastAsia="zh-CN"/>
        </w:rPr>
        <w:t>5.2.1</w:t>
      </w:r>
      <w:r>
        <w:rPr>
          <w:rFonts w:hint="default"/>
          <w:color w:val="auto"/>
          <w:lang w:val="en-US" w:eastAsia="zh-CN"/>
        </w:rPr>
        <w:t xml:space="preserve"> 预先危险性分析（PHA）</w:t>
      </w:r>
    </w:p>
    <w:p w14:paraId="683B2B7A">
      <w:pPr>
        <w:pStyle w:val="29"/>
        <w:bidi w:val="0"/>
        <w:rPr>
          <w:rFonts w:hint="default"/>
          <w:color w:val="auto"/>
          <w:lang w:val="en-US" w:eastAsia="zh-CN"/>
        </w:rPr>
      </w:pPr>
      <w:r>
        <w:rPr>
          <w:rFonts w:hint="default"/>
          <w:color w:val="auto"/>
          <w:lang w:val="en-US" w:eastAsia="zh-CN"/>
        </w:rPr>
        <w:t>表5</w:t>
      </w:r>
      <w:r>
        <w:rPr>
          <w:rFonts w:hint="eastAsia"/>
          <w:color w:val="auto"/>
          <w:lang w:val="en-US" w:eastAsia="zh-CN"/>
        </w:rPr>
        <w:t>.2-1</w:t>
      </w:r>
      <w:r>
        <w:rPr>
          <w:rFonts w:hint="default"/>
          <w:color w:val="auto"/>
          <w:lang w:val="en-US" w:eastAsia="zh-CN"/>
        </w:rPr>
        <w:t xml:space="preserve">  </w:t>
      </w:r>
      <w:r>
        <w:rPr>
          <w:rFonts w:hint="eastAsia"/>
          <w:color w:val="auto"/>
          <w:lang w:val="en-US" w:eastAsia="zh-CN"/>
        </w:rPr>
        <w:t>尾矿处理</w:t>
      </w:r>
      <w:r>
        <w:rPr>
          <w:rFonts w:hint="default"/>
          <w:color w:val="auto"/>
          <w:lang w:val="en-US" w:eastAsia="zh-CN"/>
        </w:rPr>
        <w:t>预先危险性分析表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090"/>
        <w:gridCol w:w="1912"/>
        <w:gridCol w:w="717"/>
        <w:gridCol w:w="832"/>
        <w:gridCol w:w="666"/>
        <w:gridCol w:w="916"/>
        <w:gridCol w:w="2537"/>
      </w:tblGrid>
      <w:tr w14:paraId="2C85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8" w:type="pct"/>
            <w:noWrap w:val="0"/>
            <w:vAlign w:val="center"/>
          </w:tcPr>
          <w:p w14:paraId="5450EC07">
            <w:pPr>
              <w:pStyle w:val="30"/>
              <w:bidi w:val="0"/>
              <w:rPr>
                <w:rFonts w:hint="default"/>
                <w:b/>
                <w:bCs/>
                <w:color w:val="auto"/>
              </w:rPr>
            </w:pPr>
            <w:r>
              <w:rPr>
                <w:rFonts w:hint="default"/>
                <w:b/>
                <w:bCs/>
                <w:color w:val="auto"/>
              </w:rPr>
              <w:t>危险有害因素</w:t>
            </w:r>
          </w:p>
        </w:tc>
        <w:tc>
          <w:tcPr>
            <w:tcW w:w="579" w:type="pct"/>
            <w:noWrap w:val="0"/>
            <w:vAlign w:val="center"/>
          </w:tcPr>
          <w:p w14:paraId="26C49350">
            <w:pPr>
              <w:pStyle w:val="30"/>
              <w:bidi w:val="0"/>
              <w:rPr>
                <w:rFonts w:hint="default"/>
                <w:b/>
                <w:bCs/>
                <w:color w:val="auto"/>
              </w:rPr>
            </w:pPr>
            <w:r>
              <w:rPr>
                <w:rFonts w:hint="default"/>
                <w:b/>
                <w:bCs/>
                <w:color w:val="auto"/>
              </w:rPr>
              <w:t>触发事件</w:t>
            </w:r>
          </w:p>
        </w:tc>
        <w:tc>
          <w:tcPr>
            <w:tcW w:w="1016" w:type="pct"/>
            <w:noWrap w:val="0"/>
            <w:vAlign w:val="center"/>
          </w:tcPr>
          <w:p w14:paraId="7C11A00B">
            <w:pPr>
              <w:pStyle w:val="30"/>
              <w:bidi w:val="0"/>
              <w:rPr>
                <w:rFonts w:hint="default"/>
                <w:b/>
                <w:bCs/>
                <w:color w:val="auto"/>
              </w:rPr>
            </w:pPr>
            <w:r>
              <w:rPr>
                <w:rFonts w:hint="default"/>
                <w:b/>
                <w:bCs/>
                <w:color w:val="auto"/>
              </w:rPr>
              <w:t>形成事故原因</w:t>
            </w:r>
          </w:p>
        </w:tc>
        <w:tc>
          <w:tcPr>
            <w:tcW w:w="381" w:type="pct"/>
            <w:noWrap w:val="0"/>
            <w:vAlign w:val="center"/>
          </w:tcPr>
          <w:p w14:paraId="7B88EB92">
            <w:pPr>
              <w:pStyle w:val="30"/>
              <w:bidi w:val="0"/>
              <w:rPr>
                <w:rFonts w:hint="default"/>
                <w:b/>
                <w:bCs/>
                <w:color w:val="auto"/>
              </w:rPr>
            </w:pPr>
            <w:r>
              <w:rPr>
                <w:rFonts w:hint="default"/>
                <w:b/>
                <w:bCs/>
                <w:color w:val="auto"/>
              </w:rPr>
              <w:t>事故模式</w:t>
            </w:r>
          </w:p>
        </w:tc>
        <w:tc>
          <w:tcPr>
            <w:tcW w:w="442" w:type="pct"/>
            <w:noWrap w:val="0"/>
            <w:vAlign w:val="center"/>
          </w:tcPr>
          <w:p w14:paraId="53AC9779">
            <w:pPr>
              <w:pStyle w:val="30"/>
              <w:bidi w:val="0"/>
              <w:rPr>
                <w:rFonts w:hint="default"/>
                <w:b/>
                <w:bCs/>
                <w:color w:val="auto"/>
              </w:rPr>
            </w:pPr>
            <w:r>
              <w:rPr>
                <w:rFonts w:hint="default"/>
                <w:b/>
                <w:bCs/>
                <w:color w:val="auto"/>
              </w:rPr>
              <w:t>事故后果</w:t>
            </w:r>
          </w:p>
        </w:tc>
        <w:tc>
          <w:tcPr>
            <w:tcW w:w="354" w:type="pct"/>
            <w:noWrap w:val="0"/>
            <w:vAlign w:val="center"/>
          </w:tcPr>
          <w:p w14:paraId="557AD60B">
            <w:pPr>
              <w:pStyle w:val="30"/>
              <w:bidi w:val="0"/>
              <w:rPr>
                <w:rFonts w:hint="default"/>
                <w:b/>
                <w:bCs/>
                <w:color w:val="auto"/>
              </w:rPr>
            </w:pPr>
            <w:r>
              <w:rPr>
                <w:rFonts w:hint="default"/>
                <w:b/>
                <w:bCs/>
                <w:color w:val="auto"/>
              </w:rPr>
              <w:t>危险等级</w:t>
            </w:r>
          </w:p>
        </w:tc>
        <w:tc>
          <w:tcPr>
            <w:tcW w:w="487" w:type="pct"/>
            <w:noWrap w:val="0"/>
            <w:vAlign w:val="center"/>
          </w:tcPr>
          <w:p w14:paraId="0D9FC994">
            <w:pPr>
              <w:pStyle w:val="30"/>
              <w:bidi w:val="0"/>
              <w:rPr>
                <w:rFonts w:hint="default"/>
                <w:b/>
                <w:bCs/>
                <w:color w:val="auto"/>
              </w:rPr>
            </w:pPr>
            <w:r>
              <w:rPr>
                <w:rFonts w:hint="default"/>
                <w:b/>
                <w:bCs/>
                <w:color w:val="auto"/>
              </w:rPr>
              <w:t>发生事故的概率等级</w:t>
            </w:r>
          </w:p>
        </w:tc>
        <w:tc>
          <w:tcPr>
            <w:tcW w:w="1348" w:type="pct"/>
            <w:noWrap w:val="0"/>
            <w:vAlign w:val="center"/>
          </w:tcPr>
          <w:p w14:paraId="0265B5D1">
            <w:pPr>
              <w:pStyle w:val="30"/>
              <w:bidi w:val="0"/>
              <w:rPr>
                <w:rFonts w:hint="default"/>
                <w:b/>
                <w:bCs/>
                <w:color w:val="auto"/>
              </w:rPr>
            </w:pPr>
            <w:r>
              <w:rPr>
                <w:rFonts w:hint="default"/>
                <w:b/>
                <w:bCs/>
                <w:color w:val="auto"/>
              </w:rPr>
              <w:t>对策措施</w:t>
            </w:r>
          </w:p>
        </w:tc>
      </w:tr>
      <w:tr w14:paraId="308E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center"/>
          </w:tcPr>
          <w:p w14:paraId="232437BC">
            <w:pPr>
              <w:pStyle w:val="30"/>
              <w:bidi w:val="0"/>
              <w:rPr>
                <w:rFonts w:hint="default"/>
                <w:color w:val="auto"/>
              </w:rPr>
            </w:pPr>
            <w:r>
              <w:rPr>
                <w:rFonts w:hint="default"/>
                <w:color w:val="auto"/>
              </w:rPr>
              <w:t>机械伤害</w:t>
            </w:r>
          </w:p>
        </w:tc>
        <w:tc>
          <w:tcPr>
            <w:tcW w:w="579" w:type="pct"/>
            <w:noWrap w:val="0"/>
            <w:vAlign w:val="center"/>
          </w:tcPr>
          <w:p w14:paraId="36DE41F5">
            <w:pPr>
              <w:pStyle w:val="30"/>
              <w:bidi w:val="0"/>
              <w:rPr>
                <w:rFonts w:hint="default"/>
                <w:color w:val="auto"/>
              </w:rPr>
            </w:pPr>
            <w:r>
              <w:rPr>
                <w:rFonts w:hint="default"/>
                <w:color w:val="auto"/>
              </w:rPr>
              <w:t>人员接触机械设备运转部位</w:t>
            </w:r>
          </w:p>
        </w:tc>
        <w:tc>
          <w:tcPr>
            <w:tcW w:w="1016" w:type="pct"/>
            <w:noWrap w:val="0"/>
            <w:vAlign w:val="center"/>
          </w:tcPr>
          <w:p w14:paraId="0F688D6E">
            <w:pPr>
              <w:pStyle w:val="30"/>
              <w:bidi w:val="0"/>
              <w:jc w:val="both"/>
              <w:rPr>
                <w:rFonts w:hint="default"/>
                <w:color w:val="auto"/>
              </w:rPr>
            </w:pPr>
            <w:r>
              <w:rPr>
                <w:rFonts w:hint="default"/>
                <w:color w:val="auto"/>
              </w:rPr>
              <w:t>1、操作地点不安全；</w:t>
            </w:r>
          </w:p>
          <w:p w14:paraId="46A04247">
            <w:pPr>
              <w:pStyle w:val="30"/>
              <w:bidi w:val="0"/>
              <w:jc w:val="both"/>
              <w:rPr>
                <w:rFonts w:hint="default"/>
                <w:color w:val="auto"/>
              </w:rPr>
            </w:pPr>
            <w:r>
              <w:rPr>
                <w:rFonts w:hint="default"/>
                <w:color w:val="auto"/>
              </w:rPr>
              <w:t>2、作业前安全检查、处理不到位；</w:t>
            </w:r>
          </w:p>
          <w:p w14:paraId="2AB40300">
            <w:pPr>
              <w:pStyle w:val="30"/>
              <w:bidi w:val="0"/>
              <w:jc w:val="both"/>
              <w:rPr>
                <w:rFonts w:hint="default"/>
                <w:color w:val="auto"/>
              </w:rPr>
            </w:pPr>
            <w:r>
              <w:rPr>
                <w:rFonts w:hint="default"/>
                <w:color w:val="auto"/>
              </w:rPr>
              <w:t>3、安全防护装置(罩)不全；</w:t>
            </w:r>
          </w:p>
          <w:p w14:paraId="40D1A204">
            <w:pPr>
              <w:pStyle w:val="30"/>
              <w:bidi w:val="0"/>
              <w:jc w:val="both"/>
              <w:rPr>
                <w:rFonts w:hint="default"/>
                <w:color w:val="auto"/>
              </w:rPr>
            </w:pPr>
            <w:r>
              <w:rPr>
                <w:rFonts w:hint="default"/>
                <w:color w:val="auto"/>
              </w:rPr>
              <w:t>4、操作不熟练；</w:t>
            </w:r>
          </w:p>
          <w:p w14:paraId="1EDC82EB">
            <w:pPr>
              <w:pStyle w:val="30"/>
              <w:bidi w:val="0"/>
              <w:jc w:val="both"/>
              <w:rPr>
                <w:rFonts w:hint="default"/>
                <w:color w:val="auto"/>
              </w:rPr>
            </w:pPr>
            <w:r>
              <w:rPr>
                <w:rFonts w:hint="default"/>
                <w:color w:val="auto"/>
              </w:rPr>
              <w:t>5、狂风和低温。</w:t>
            </w:r>
          </w:p>
        </w:tc>
        <w:tc>
          <w:tcPr>
            <w:tcW w:w="381" w:type="pct"/>
            <w:noWrap w:val="0"/>
            <w:vAlign w:val="center"/>
          </w:tcPr>
          <w:p w14:paraId="3B98F56B">
            <w:pPr>
              <w:pStyle w:val="30"/>
              <w:bidi w:val="0"/>
              <w:rPr>
                <w:rFonts w:hint="default"/>
                <w:color w:val="auto"/>
              </w:rPr>
            </w:pPr>
            <w:r>
              <w:rPr>
                <w:rFonts w:hint="default"/>
                <w:color w:val="auto"/>
              </w:rPr>
              <w:t>夹击碰撞剪切卷入绞等</w:t>
            </w:r>
          </w:p>
        </w:tc>
        <w:tc>
          <w:tcPr>
            <w:tcW w:w="442" w:type="pct"/>
            <w:noWrap w:val="0"/>
            <w:vAlign w:val="center"/>
          </w:tcPr>
          <w:p w14:paraId="5B345BDC">
            <w:pPr>
              <w:pStyle w:val="30"/>
              <w:bidi w:val="0"/>
              <w:rPr>
                <w:rFonts w:hint="default"/>
                <w:color w:val="auto"/>
              </w:rPr>
            </w:pPr>
            <w:r>
              <w:rPr>
                <w:rFonts w:hint="default"/>
                <w:color w:val="auto"/>
              </w:rPr>
              <w:t>人员受伤或死亡</w:t>
            </w:r>
          </w:p>
        </w:tc>
        <w:tc>
          <w:tcPr>
            <w:tcW w:w="354" w:type="pct"/>
            <w:noWrap w:val="0"/>
            <w:vAlign w:val="center"/>
          </w:tcPr>
          <w:p w14:paraId="07696294">
            <w:pPr>
              <w:pStyle w:val="30"/>
              <w:bidi w:val="0"/>
              <w:rPr>
                <w:rFonts w:hint="default"/>
                <w:color w:val="auto"/>
              </w:rPr>
            </w:pPr>
            <w:r>
              <w:rPr>
                <w:rFonts w:hint="default"/>
                <w:color w:val="auto"/>
              </w:rPr>
              <w:t>Ⅲ</w:t>
            </w:r>
          </w:p>
        </w:tc>
        <w:tc>
          <w:tcPr>
            <w:tcW w:w="487" w:type="pct"/>
            <w:noWrap w:val="0"/>
            <w:vAlign w:val="center"/>
          </w:tcPr>
          <w:p w14:paraId="46E0238A">
            <w:pPr>
              <w:pStyle w:val="30"/>
              <w:bidi w:val="0"/>
              <w:rPr>
                <w:rFonts w:hint="default"/>
                <w:color w:val="auto"/>
                <w:lang w:val="en-US" w:eastAsia="zh-CN"/>
              </w:rPr>
            </w:pPr>
            <w:r>
              <w:rPr>
                <w:rFonts w:hint="default"/>
                <w:color w:val="auto"/>
                <w:lang w:val="en-US" w:eastAsia="zh-CN"/>
              </w:rPr>
              <w:t>B</w:t>
            </w:r>
          </w:p>
        </w:tc>
        <w:tc>
          <w:tcPr>
            <w:tcW w:w="1348" w:type="pct"/>
            <w:noWrap w:val="0"/>
            <w:vAlign w:val="center"/>
          </w:tcPr>
          <w:p w14:paraId="7DF2576F">
            <w:pPr>
              <w:pStyle w:val="30"/>
              <w:bidi w:val="0"/>
              <w:jc w:val="both"/>
              <w:rPr>
                <w:rFonts w:hint="default"/>
                <w:color w:val="auto"/>
              </w:rPr>
            </w:pPr>
            <w:r>
              <w:rPr>
                <w:rFonts w:hint="default"/>
                <w:color w:val="auto"/>
              </w:rPr>
              <w:t>1、严格执行操作规程；</w:t>
            </w:r>
          </w:p>
          <w:p w14:paraId="4DF9F89A">
            <w:pPr>
              <w:pStyle w:val="30"/>
              <w:bidi w:val="0"/>
              <w:jc w:val="both"/>
              <w:rPr>
                <w:rFonts w:hint="default"/>
                <w:color w:val="auto"/>
              </w:rPr>
            </w:pPr>
            <w:r>
              <w:rPr>
                <w:rFonts w:hint="default"/>
                <w:color w:val="auto"/>
              </w:rPr>
              <w:t>2、树立先安全后生产的观念，坚持工作前对工作面的安全处理；</w:t>
            </w:r>
          </w:p>
          <w:p w14:paraId="19D5D55D">
            <w:pPr>
              <w:pStyle w:val="30"/>
              <w:bidi w:val="0"/>
              <w:jc w:val="both"/>
              <w:rPr>
                <w:rFonts w:hint="default"/>
                <w:color w:val="auto"/>
              </w:rPr>
            </w:pPr>
            <w:r>
              <w:rPr>
                <w:rFonts w:hint="default"/>
                <w:color w:val="auto"/>
              </w:rPr>
              <w:t>3、加强个人防护措施；</w:t>
            </w:r>
          </w:p>
          <w:p w14:paraId="33AFB661">
            <w:pPr>
              <w:pStyle w:val="30"/>
              <w:bidi w:val="0"/>
              <w:jc w:val="both"/>
              <w:rPr>
                <w:rFonts w:hint="default"/>
                <w:color w:val="auto"/>
              </w:rPr>
            </w:pPr>
            <w:r>
              <w:rPr>
                <w:rFonts w:hint="default"/>
                <w:color w:val="auto"/>
              </w:rPr>
              <w:t>4、完善配备机械安全装置；</w:t>
            </w:r>
          </w:p>
          <w:p w14:paraId="2D689583">
            <w:pPr>
              <w:pStyle w:val="30"/>
              <w:bidi w:val="0"/>
              <w:jc w:val="both"/>
              <w:rPr>
                <w:rFonts w:hint="default"/>
                <w:color w:val="auto"/>
              </w:rPr>
            </w:pPr>
            <w:r>
              <w:rPr>
                <w:rFonts w:hint="default"/>
                <w:color w:val="auto"/>
              </w:rPr>
              <w:t>5、采取防风和保温措施。</w:t>
            </w:r>
          </w:p>
        </w:tc>
      </w:tr>
      <w:tr w14:paraId="1EAE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center"/>
          </w:tcPr>
          <w:p w14:paraId="1246111F">
            <w:pPr>
              <w:pStyle w:val="30"/>
              <w:bidi w:val="0"/>
              <w:rPr>
                <w:rFonts w:hint="default"/>
                <w:color w:val="auto"/>
              </w:rPr>
            </w:pPr>
            <w:r>
              <w:rPr>
                <w:rFonts w:hint="default"/>
                <w:color w:val="auto"/>
              </w:rPr>
              <w:t>高处坠落</w:t>
            </w:r>
          </w:p>
        </w:tc>
        <w:tc>
          <w:tcPr>
            <w:tcW w:w="579" w:type="pct"/>
            <w:noWrap w:val="0"/>
            <w:vAlign w:val="center"/>
          </w:tcPr>
          <w:p w14:paraId="3DDDECB3">
            <w:pPr>
              <w:pStyle w:val="30"/>
              <w:bidi w:val="0"/>
              <w:rPr>
                <w:rFonts w:hint="default"/>
                <w:color w:val="auto"/>
              </w:rPr>
            </w:pPr>
            <w:r>
              <w:rPr>
                <w:rFonts w:hint="default"/>
                <w:color w:val="auto"/>
              </w:rPr>
              <w:t>人体失稳、防护栏杆失效</w:t>
            </w:r>
          </w:p>
        </w:tc>
        <w:tc>
          <w:tcPr>
            <w:tcW w:w="1016" w:type="pct"/>
            <w:noWrap w:val="0"/>
            <w:vAlign w:val="center"/>
          </w:tcPr>
          <w:p w14:paraId="3E2B9A4E">
            <w:pPr>
              <w:pStyle w:val="30"/>
              <w:bidi w:val="0"/>
              <w:jc w:val="both"/>
              <w:rPr>
                <w:rFonts w:hint="default"/>
                <w:color w:val="auto"/>
              </w:rPr>
            </w:pPr>
            <w:r>
              <w:rPr>
                <w:rFonts w:hint="default"/>
                <w:color w:val="auto"/>
              </w:rPr>
              <w:t>1、管理、防护不到位；</w:t>
            </w:r>
          </w:p>
          <w:p w14:paraId="11ADE118">
            <w:pPr>
              <w:pStyle w:val="30"/>
              <w:bidi w:val="0"/>
              <w:jc w:val="both"/>
              <w:rPr>
                <w:rFonts w:hint="default"/>
                <w:color w:val="auto"/>
              </w:rPr>
            </w:pPr>
            <w:r>
              <w:rPr>
                <w:rFonts w:hint="default"/>
                <w:color w:val="auto"/>
              </w:rPr>
              <w:t>2、操作地点不安全；</w:t>
            </w:r>
          </w:p>
          <w:p w14:paraId="727B619D">
            <w:pPr>
              <w:pStyle w:val="30"/>
              <w:bidi w:val="0"/>
              <w:jc w:val="both"/>
              <w:rPr>
                <w:rFonts w:hint="default"/>
                <w:color w:val="auto"/>
              </w:rPr>
            </w:pPr>
            <w:r>
              <w:rPr>
                <w:rFonts w:hint="default"/>
                <w:color w:val="auto"/>
              </w:rPr>
              <w:t>3、狂风和低温。</w:t>
            </w:r>
          </w:p>
        </w:tc>
        <w:tc>
          <w:tcPr>
            <w:tcW w:w="381" w:type="pct"/>
            <w:noWrap w:val="0"/>
            <w:vAlign w:val="center"/>
          </w:tcPr>
          <w:p w14:paraId="274C633E">
            <w:pPr>
              <w:pStyle w:val="30"/>
              <w:bidi w:val="0"/>
              <w:rPr>
                <w:rFonts w:hint="default"/>
                <w:color w:val="auto"/>
              </w:rPr>
            </w:pPr>
            <w:r>
              <w:rPr>
                <w:rFonts w:hint="default"/>
                <w:color w:val="auto"/>
              </w:rPr>
              <w:t>坠落摔倒</w:t>
            </w:r>
          </w:p>
        </w:tc>
        <w:tc>
          <w:tcPr>
            <w:tcW w:w="442" w:type="pct"/>
            <w:noWrap w:val="0"/>
            <w:vAlign w:val="center"/>
          </w:tcPr>
          <w:p w14:paraId="105CB649">
            <w:pPr>
              <w:pStyle w:val="30"/>
              <w:bidi w:val="0"/>
              <w:rPr>
                <w:rFonts w:hint="default"/>
                <w:color w:val="auto"/>
              </w:rPr>
            </w:pPr>
            <w:r>
              <w:rPr>
                <w:rFonts w:hint="default"/>
                <w:color w:val="auto"/>
              </w:rPr>
              <w:t>人员受伤或死亡</w:t>
            </w:r>
          </w:p>
        </w:tc>
        <w:tc>
          <w:tcPr>
            <w:tcW w:w="354" w:type="pct"/>
            <w:noWrap w:val="0"/>
            <w:vAlign w:val="center"/>
          </w:tcPr>
          <w:p w14:paraId="2CA8CE97">
            <w:pPr>
              <w:pStyle w:val="30"/>
              <w:bidi w:val="0"/>
              <w:rPr>
                <w:rFonts w:hint="default"/>
                <w:color w:val="auto"/>
              </w:rPr>
            </w:pPr>
            <w:r>
              <w:rPr>
                <w:rFonts w:hint="default"/>
                <w:color w:val="auto"/>
              </w:rPr>
              <w:t>Ⅱ</w:t>
            </w:r>
          </w:p>
        </w:tc>
        <w:tc>
          <w:tcPr>
            <w:tcW w:w="487" w:type="pct"/>
            <w:noWrap w:val="0"/>
            <w:vAlign w:val="center"/>
          </w:tcPr>
          <w:p w14:paraId="2158CC8A">
            <w:pPr>
              <w:pStyle w:val="30"/>
              <w:bidi w:val="0"/>
              <w:rPr>
                <w:rFonts w:hint="default"/>
                <w:color w:val="auto"/>
                <w:lang w:val="en-US" w:eastAsia="zh-CN"/>
              </w:rPr>
            </w:pPr>
            <w:r>
              <w:rPr>
                <w:rFonts w:hint="default"/>
                <w:color w:val="auto"/>
                <w:lang w:val="en-US" w:eastAsia="zh-CN"/>
              </w:rPr>
              <w:t>C</w:t>
            </w:r>
          </w:p>
        </w:tc>
        <w:tc>
          <w:tcPr>
            <w:tcW w:w="1348" w:type="pct"/>
            <w:noWrap w:val="0"/>
            <w:vAlign w:val="center"/>
          </w:tcPr>
          <w:p w14:paraId="19A997A7">
            <w:pPr>
              <w:pStyle w:val="30"/>
              <w:bidi w:val="0"/>
              <w:jc w:val="both"/>
              <w:rPr>
                <w:rFonts w:hint="default"/>
                <w:color w:val="auto"/>
              </w:rPr>
            </w:pPr>
            <w:r>
              <w:rPr>
                <w:rFonts w:hint="default"/>
                <w:color w:val="auto"/>
              </w:rPr>
              <w:t>1、增强安全意识，加强个体防护；</w:t>
            </w:r>
          </w:p>
          <w:p w14:paraId="59B3D210">
            <w:pPr>
              <w:pStyle w:val="30"/>
              <w:bidi w:val="0"/>
              <w:jc w:val="both"/>
              <w:rPr>
                <w:rFonts w:hint="default"/>
                <w:color w:val="auto"/>
              </w:rPr>
            </w:pPr>
            <w:r>
              <w:rPr>
                <w:rFonts w:hint="default"/>
                <w:color w:val="auto"/>
              </w:rPr>
              <w:t>2、检查作业场所的管理和防护措施；</w:t>
            </w:r>
          </w:p>
          <w:p w14:paraId="7CCBEA1A">
            <w:pPr>
              <w:pStyle w:val="30"/>
              <w:bidi w:val="0"/>
              <w:jc w:val="both"/>
              <w:rPr>
                <w:rFonts w:hint="default"/>
                <w:color w:val="auto"/>
              </w:rPr>
            </w:pPr>
            <w:r>
              <w:rPr>
                <w:rFonts w:hint="default"/>
                <w:color w:val="auto"/>
              </w:rPr>
              <w:t>3、设置警示标志，遵守操作规程；</w:t>
            </w:r>
          </w:p>
          <w:p w14:paraId="2A17643A">
            <w:pPr>
              <w:pStyle w:val="30"/>
              <w:bidi w:val="0"/>
              <w:jc w:val="both"/>
              <w:rPr>
                <w:rFonts w:hint="default"/>
                <w:color w:val="auto"/>
              </w:rPr>
            </w:pPr>
            <w:r>
              <w:rPr>
                <w:rFonts w:hint="default"/>
                <w:color w:val="auto"/>
              </w:rPr>
              <w:t>4、梯子、平台和易滑倒操作通道地面应有防滑措施；</w:t>
            </w:r>
          </w:p>
          <w:p w14:paraId="3CE9EB47">
            <w:pPr>
              <w:pStyle w:val="30"/>
              <w:bidi w:val="0"/>
              <w:jc w:val="both"/>
              <w:rPr>
                <w:rFonts w:hint="default"/>
                <w:color w:val="auto"/>
              </w:rPr>
            </w:pPr>
            <w:r>
              <w:rPr>
                <w:rFonts w:hint="default"/>
                <w:color w:val="auto"/>
              </w:rPr>
              <w:t>5、采取防风和保温措施。</w:t>
            </w:r>
          </w:p>
        </w:tc>
      </w:tr>
      <w:tr w14:paraId="6836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center"/>
          </w:tcPr>
          <w:p w14:paraId="442D0932">
            <w:pPr>
              <w:pStyle w:val="30"/>
              <w:bidi w:val="0"/>
              <w:rPr>
                <w:rFonts w:hint="default"/>
                <w:color w:val="auto"/>
              </w:rPr>
            </w:pPr>
            <w:r>
              <w:rPr>
                <w:rFonts w:hint="default"/>
                <w:color w:val="auto"/>
              </w:rPr>
              <w:t>触电</w:t>
            </w:r>
          </w:p>
        </w:tc>
        <w:tc>
          <w:tcPr>
            <w:tcW w:w="579" w:type="pct"/>
            <w:noWrap w:val="0"/>
            <w:vAlign w:val="center"/>
          </w:tcPr>
          <w:p w14:paraId="5A028E9C">
            <w:pPr>
              <w:pStyle w:val="30"/>
              <w:bidi w:val="0"/>
              <w:rPr>
                <w:rFonts w:hint="default"/>
                <w:color w:val="auto"/>
              </w:rPr>
            </w:pPr>
            <w:r>
              <w:rPr>
                <w:rFonts w:hint="default"/>
                <w:color w:val="auto"/>
              </w:rPr>
              <w:t>接触漏电设备；电气短路、老化，无接地、接零保护；违章作业，未穿戴劳动防护用品</w:t>
            </w:r>
          </w:p>
        </w:tc>
        <w:tc>
          <w:tcPr>
            <w:tcW w:w="1016" w:type="pct"/>
            <w:noWrap w:val="0"/>
            <w:vAlign w:val="center"/>
          </w:tcPr>
          <w:p w14:paraId="1A697651">
            <w:pPr>
              <w:pStyle w:val="30"/>
              <w:bidi w:val="0"/>
              <w:jc w:val="both"/>
              <w:rPr>
                <w:rFonts w:hint="default"/>
                <w:color w:val="auto"/>
              </w:rPr>
            </w:pPr>
            <w:r>
              <w:rPr>
                <w:rFonts w:hint="default"/>
                <w:color w:val="auto"/>
              </w:rPr>
              <w:t>1、电气安全工作规程不完善；</w:t>
            </w:r>
          </w:p>
          <w:p w14:paraId="7194B75A">
            <w:pPr>
              <w:pStyle w:val="30"/>
              <w:bidi w:val="0"/>
              <w:jc w:val="both"/>
              <w:rPr>
                <w:rFonts w:hint="default"/>
                <w:color w:val="auto"/>
              </w:rPr>
            </w:pPr>
            <w:r>
              <w:rPr>
                <w:rFonts w:hint="default"/>
                <w:color w:val="auto"/>
              </w:rPr>
              <w:t>2、电工无证上岗，操作不熟练；</w:t>
            </w:r>
          </w:p>
          <w:p w14:paraId="07271E4F">
            <w:pPr>
              <w:pStyle w:val="30"/>
              <w:bidi w:val="0"/>
              <w:jc w:val="both"/>
              <w:rPr>
                <w:rFonts w:hint="default"/>
                <w:color w:val="auto"/>
              </w:rPr>
            </w:pPr>
            <w:r>
              <w:rPr>
                <w:rFonts w:hint="default"/>
                <w:color w:val="auto"/>
              </w:rPr>
              <w:t>3、个人防护用品穿戴不齐全，或防护用品绝缘性能不良；</w:t>
            </w:r>
          </w:p>
          <w:p w14:paraId="623B6664">
            <w:pPr>
              <w:pStyle w:val="30"/>
              <w:bidi w:val="0"/>
              <w:jc w:val="both"/>
              <w:rPr>
                <w:rFonts w:hint="eastAsia" w:eastAsia="宋体"/>
                <w:color w:val="auto"/>
                <w:lang w:eastAsia="zh-CN"/>
              </w:rPr>
            </w:pPr>
            <w:r>
              <w:rPr>
                <w:rFonts w:hint="default"/>
                <w:color w:val="auto"/>
              </w:rPr>
              <w:t>4、电气线路无接地、接零保护，线路老化、绝缘不良未及时维护；</w:t>
            </w:r>
          </w:p>
          <w:p w14:paraId="034BDD2D">
            <w:pPr>
              <w:pStyle w:val="30"/>
              <w:bidi w:val="0"/>
              <w:jc w:val="both"/>
              <w:rPr>
                <w:rFonts w:hint="default"/>
                <w:color w:val="auto"/>
              </w:rPr>
            </w:pPr>
            <w:r>
              <w:rPr>
                <w:rFonts w:hint="default"/>
                <w:color w:val="auto"/>
              </w:rPr>
              <w:t>5、线路停送电不严格，检修未严格执行工作票制度；</w:t>
            </w:r>
          </w:p>
          <w:p w14:paraId="1CF17B8B">
            <w:pPr>
              <w:pStyle w:val="30"/>
              <w:bidi w:val="0"/>
              <w:jc w:val="both"/>
              <w:rPr>
                <w:rFonts w:hint="default"/>
                <w:color w:val="auto"/>
              </w:rPr>
            </w:pPr>
            <w:r>
              <w:rPr>
                <w:rFonts w:hint="default"/>
                <w:color w:val="auto"/>
              </w:rPr>
              <w:t>6、作业人员违章作业。</w:t>
            </w:r>
          </w:p>
        </w:tc>
        <w:tc>
          <w:tcPr>
            <w:tcW w:w="381" w:type="pct"/>
            <w:noWrap w:val="0"/>
            <w:vAlign w:val="center"/>
          </w:tcPr>
          <w:p w14:paraId="1B7909F2">
            <w:pPr>
              <w:pStyle w:val="30"/>
              <w:bidi w:val="0"/>
              <w:rPr>
                <w:rFonts w:hint="default"/>
                <w:color w:val="auto"/>
              </w:rPr>
            </w:pPr>
            <w:r>
              <w:rPr>
                <w:rFonts w:hint="default"/>
                <w:color w:val="auto"/>
              </w:rPr>
              <w:t>电击电伤</w:t>
            </w:r>
          </w:p>
        </w:tc>
        <w:tc>
          <w:tcPr>
            <w:tcW w:w="442" w:type="pct"/>
            <w:noWrap w:val="0"/>
            <w:vAlign w:val="center"/>
          </w:tcPr>
          <w:p w14:paraId="72288A7F">
            <w:pPr>
              <w:pStyle w:val="30"/>
              <w:bidi w:val="0"/>
              <w:rPr>
                <w:rFonts w:hint="default"/>
                <w:color w:val="auto"/>
              </w:rPr>
            </w:pPr>
            <w:r>
              <w:rPr>
                <w:rFonts w:hint="default"/>
                <w:color w:val="auto"/>
              </w:rPr>
              <w:t>人员伤亡</w:t>
            </w:r>
          </w:p>
        </w:tc>
        <w:tc>
          <w:tcPr>
            <w:tcW w:w="354" w:type="pct"/>
            <w:noWrap w:val="0"/>
            <w:vAlign w:val="center"/>
          </w:tcPr>
          <w:p w14:paraId="6CEE723C">
            <w:pPr>
              <w:pStyle w:val="30"/>
              <w:bidi w:val="0"/>
              <w:rPr>
                <w:rFonts w:hint="default"/>
                <w:color w:val="auto"/>
              </w:rPr>
            </w:pPr>
            <w:r>
              <w:rPr>
                <w:rFonts w:hint="default"/>
                <w:color w:val="auto"/>
              </w:rPr>
              <w:t>Ⅲ</w:t>
            </w:r>
          </w:p>
        </w:tc>
        <w:tc>
          <w:tcPr>
            <w:tcW w:w="487" w:type="pct"/>
            <w:noWrap w:val="0"/>
            <w:vAlign w:val="center"/>
          </w:tcPr>
          <w:p w14:paraId="0A388B56">
            <w:pPr>
              <w:pStyle w:val="30"/>
              <w:bidi w:val="0"/>
              <w:rPr>
                <w:rFonts w:hint="default"/>
                <w:color w:val="auto"/>
                <w:lang w:val="en-US" w:eastAsia="zh-CN"/>
              </w:rPr>
            </w:pPr>
            <w:r>
              <w:rPr>
                <w:rFonts w:hint="default"/>
                <w:color w:val="auto"/>
                <w:lang w:val="en-US" w:eastAsia="zh-CN"/>
              </w:rPr>
              <w:t>C</w:t>
            </w:r>
          </w:p>
        </w:tc>
        <w:tc>
          <w:tcPr>
            <w:tcW w:w="1348" w:type="pct"/>
            <w:noWrap w:val="0"/>
            <w:vAlign w:val="center"/>
          </w:tcPr>
          <w:p w14:paraId="25497688">
            <w:pPr>
              <w:pStyle w:val="30"/>
              <w:bidi w:val="0"/>
              <w:jc w:val="both"/>
              <w:rPr>
                <w:rFonts w:hint="default"/>
                <w:color w:val="auto"/>
              </w:rPr>
            </w:pPr>
            <w:r>
              <w:rPr>
                <w:rFonts w:hint="default"/>
                <w:color w:val="auto"/>
              </w:rPr>
              <w:t>1、严格执行作业规程；</w:t>
            </w:r>
          </w:p>
          <w:p w14:paraId="6FB8E2F9">
            <w:pPr>
              <w:pStyle w:val="30"/>
              <w:bidi w:val="0"/>
              <w:jc w:val="both"/>
              <w:rPr>
                <w:rFonts w:hint="default"/>
                <w:color w:val="auto"/>
              </w:rPr>
            </w:pPr>
            <w:r>
              <w:rPr>
                <w:rFonts w:hint="default"/>
                <w:color w:val="auto"/>
              </w:rPr>
              <w:t>2、作业人员100%持证上岗；</w:t>
            </w:r>
          </w:p>
          <w:p w14:paraId="3D812C29">
            <w:pPr>
              <w:pStyle w:val="30"/>
              <w:bidi w:val="0"/>
              <w:jc w:val="both"/>
              <w:rPr>
                <w:rFonts w:hint="default"/>
                <w:color w:val="auto"/>
              </w:rPr>
            </w:pPr>
            <w:r>
              <w:rPr>
                <w:rFonts w:hint="default"/>
                <w:color w:val="auto"/>
              </w:rPr>
              <w:t>3、防护用品定期检验，穿戴齐全；</w:t>
            </w:r>
          </w:p>
          <w:p w14:paraId="28628033">
            <w:pPr>
              <w:pStyle w:val="30"/>
              <w:bidi w:val="0"/>
              <w:jc w:val="both"/>
              <w:rPr>
                <w:rFonts w:hint="default"/>
                <w:color w:val="auto"/>
              </w:rPr>
            </w:pPr>
            <w:r>
              <w:rPr>
                <w:rFonts w:hint="default"/>
                <w:color w:val="auto"/>
              </w:rPr>
              <w:t>4、定期检查电气线路及设备；</w:t>
            </w:r>
          </w:p>
          <w:p w14:paraId="2710CE97">
            <w:pPr>
              <w:pStyle w:val="30"/>
              <w:bidi w:val="0"/>
              <w:jc w:val="both"/>
              <w:rPr>
                <w:rFonts w:hint="default"/>
                <w:color w:val="auto"/>
              </w:rPr>
            </w:pPr>
            <w:r>
              <w:rPr>
                <w:rFonts w:hint="default"/>
                <w:color w:val="auto"/>
              </w:rPr>
              <w:t>5、作业点悬挂显明的警示标志，落实动电工作票制度。</w:t>
            </w:r>
          </w:p>
          <w:p w14:paraId="4ED81AB9">
            <w:pPr>
              <w:pStyle w:val="30"/>
              <w:bidi w:val="0"/>
              <w:jc w:val="both"/>
              <w:rPr>
                <w:rFonts w:hint="default"/>
                <w:color w:val="auto"/>
                <w:lang w:eastAsia="zh-CN"/>
              </w:rPr>
            </w:pPr>
            <w:r>
              <w:rPr>
                <w:rFonts w:hint="default"/>
                <w:color w:val="auto"/>
              </w:rPr>
              <w:t>6、加强职工安全教育，不断提高职工安全素质，严禁无证上岗，严禁违章作业</w:t>
            </w:r>
            <w:r>
              <w:rPr>
                <w:rFonts w:hint="default"/>
                <w:color w:val="auto"/>
                <w:lang w:eastAsia="zh-CN"/>
              </w:rPr>
              <w:t>。</w:t>
            </w:r>
          </w:p>
        </w:tc>
      </w:tr>
      <w:tr w14:paraId="6C9F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center"/>
          </w:tcPr>
          <w:p w14:paraId="2695BC24">
            <w:pPr>
              <w:pStyle w:val="30"/>
              <w:bidi w:val="0"/>
              <w:rPr>
                <w:rFonts w:hint="default" w:eastAsia="宋体"/>
                <w:color w:val="auto"/>
                <w:lang w:val="en-US" w:eastAsia="zh-CN"/>
              </w:rPr>
            </w:pPr>
            <w:r>
              <w:rPr>
                <w:rFonts w:hint="eastAsia"/>
                <w:color w:val="auto"/>
                <w:lang w:val="en-US" w:eastAsia="zh-CN"/>
              </w:rPr>
              <w:t>物体打击</w:t>
            </w:r>
          </w:p>
        </w:tc>
        <w:tc>
          <w:tcPr>
            <w:tcW w:w="579" w:type="pct"/>
            <w:noWrap w:val="0"/>
            <w:vAlign w:val="center"/>
          </w:tcPr>
          <w:p w14:paraId="30D97AD4">
            <w:pPr>
              <w:pStyle w:val="30"/>
              <w:ind w:firstLine="0" w:firstLineChars="0"/>
              <w:jc w:val="both"/>
              <w:rPr>
                <w:rFonts w:hint="default"/>
                <w:color w:val="auto"/>
              </w:rPr>
            </w:pPr>
            <w:r>
              <w:rPr>
                <w:rFonts w:hint="eastAsia" w:ascii="Times New Roman" w:hAnsi="Times New Roman" w:eastAsia="宋体" w:cs="Times New Roman"/>
                <w:color w:val="auto"/>
                <w:kern w:val="2"/>
                <w:sz w:val="21"/>
                <w:szCs w:val="24"/>
                <w:lang w:val="en-US" w:eastAsia="zh-CN" w:bidi="ar-SA"/>
              </w:rPr>
              <w:t>高处作业检维修物料、工具坠落打击人体</w:t>
            </w:r>
          </w:p>
        </w:tc>
        <w:tc>
          <w:tcPr>
            <w:tcW w:w="1016" w:type="pct"/>
            <w:noWrap w:val="0"/>
            <w:vAlign w:val="center"/>
          </w:tcPr>
          <w:p w14:paraId="1D65C85C">
            <w:pPr>
              <w:pStyle w:val="30"/>
              <w:jc w:val="both"/>
              <w:rPr>
                <w:rFonts w:hint="default"/>
                <w:color w:val="auto"/>
              </w:rPr>
            </w:pPr>
            <w:r>
              <w:rPr>
                <w:rFonts w:hint="default"/>
                <w:color w:val="auto"/>
              </w:rPr>
              <w:t>1、</w:t>
            </w:r>
            <w:r>
              <w:rPr>
                <w:rFonts w:hint="eastAsia"/>
                <w:color w:val="auto"/>
                <w:lang w:eastAsia="zh-CN"/>
              </w:rPr>
              <w:t>高处作业</w:t>
            </w:r>
            <w:r>
              <w:rPr>
                <w:rFonts w:hint="default"/>
                <w:color w:val="auto"/>
              </w:rPr>
              <w:t>，人员作业疏忽；</w:t>
            </w:r>
          </w:p>
          <w:p w14:paraId="53964ABD">
            <w:pPr>
              <w:pStyle w:val="30"/>
              <w:jc w:val="both"/>
              <w:rPr>
                <w:rFonts w:hint="default"/>
                <w:color w:val="auto"/>
              </w:rPr>
            </w:pPr>
            <w:r>
              <w:rPr>
                <w:rFonts w:hint="default"/>
                <w:color w:val="auto"/>
              </w:rPr>
              <w:t>2、无安全警示标志</w:t>
            </w:r>
            <w:r>
              <w:rPr>
                <w:rFonts w:hint="eastAsia"/>
                <w:color w:val="auto"/>
                <w:lang w:eastAsia="zh-CN"/>
              </w:rPr>
              <w:t>及安全隔离装置；</w:t>
            </w:r>
          </w:p>
          <w:p w14:paraId="4309E6A8">
            <w:pPr>
              <w:pStyle w:val="30"/>
              <w:ind w:firstLine="0" w:firstLineChars="0"/>
              <w:jc w:val="both"/>
              <w:rPr>
                <w:rFonts w:hint="default" w:eastAsia="宋体"/>
                <w:color w:val="auto"/>
                <w:lang w:val="en-US" w:eastAsia="zh-CN"/>
              </w:rPr>
            </w:pPr>
            <w:r>
              <w:rPr>
                <w:rFonts w:hint="eastAsia"/>
                <w:color w:val="auto"/>
                <w:lang w:val="en-US" w:eastAsia="zh-CN"/>
              </w:rPr>
              <w:t>3、作业人员未佩戴安全帽；</w:t>
            </w:r>
          </w:p>
          <w:p w14:paraId="591A5C82">
            <w:pPr>
              <w:pStyle w:val="30"/>
              <w:ind w:firstLine="0" w:firstLineChars="0"/>
              <w:jc w:val="both"/>
              <w:rPr>
                <w:rFonts w:hint="default"/>
                <w:color w:val="auto"/>
              </w:rPr>
            </w:pPr>
            <w:r>
              <w:rPr>
                <w:rFonts w:hint="eastAsia"/>
                <w:color w:val="auto"/>
                <w:lang w:val="en-US" w:eastAsia="zh-CN"/>
              </w:rPr>
              <w:t>4</w:t>
            </w:r>
            <w:r>
              <w:rPr>
                <w:rFonts w:hint="default"/>
                <w:color w:val="auto"/>
              </w:rPr>
              <w:t>、</w:t>
            </w:r>
            <w:r>
              <w:rPr>
                <w:rFonts w:hint="eastAsia"/>
                <w:color w:val="auto"/>
                <w:lang w:eastAsia="zh-CN"/>
              </w:rPr>
              <w:t>高</w:t>
            </w:r>
            <w:r>
              <w:rPr>
                <w:rFonts w:hint="default"/>
                <w:color w:val="auto"/>
              </w:rPr>
              <w:t>临边未设置安全设施。</w:t>
            </w:r>
          </w:p>
        </w:tc>
        <w:tc>
          <w:tcPr>
            <w:tcW w:w="381" w:type="pct"/>
            <w:noWrap w:val="0"/>
            <w:vAlign w:val="center"/>
          </w:tcPr>
          <w:p w14:paraId="4D22EA04">
            <w:pPr>
              <w:pStyle w:val="30"/>
              <w:ind w:firstLine="0" w:firstLineChars="0"/>
              <w:rPr>
                <w:rFonts w:hint="default"/>
                <w:color w:val="auto"/>
              </w:rPr>
            </w:pPr>
            <w:r>
              <w:rPr>
                <w:rFonts w:hint="eastAsia" w:ascii="Times New Roman" w:hAnsi="Times New Roman" w:eastAsia="宋体" w:cs="Times New Roman"/>
                <w:color w:val="auto"/>
                <w:kern w:val="2"/>
                <w:sz w:val="21"/>
                <w:szCs w:val="24"/>
                <w:lang w:val="en-US" w:eastAsia="zh-CN" w:bidi="ar-SA"/>
              </w:rPr>
              <w:t>高速物体打击人体</w:t>
            </w:r>
          </w:p>
        </w:tc>
        <w:tc>
          <w:tcPr>
            <w:tcW w:w="442" w:type="pct"/>
            <w:noWrap w:val="0"/>
            <w:vAlign w:val="center"/>
          </w:tcPr>
          <w:p w14:paraId="3A996ECC">
            <w:pPr>
              <w:pStyle w:val="30"/>
              <w:ind w:firstLine="0" w:firstLineChars="0"/>
              <w:rPr>
                <w:rFonts w:hint="default"/>
                <w:color w:val="auto"/>
              </w:rPr>
            </w:pPr>
            <w:r>
              <w:rPr>
                <w:rFonts w:hint="default"/>
                <w:color w:val="auto"/>
              </w:rPr>
              <w:t>人员伤亡</w:t>
            </w:r>
          </w:p>
        </w:tc>
        <w:tc>
          <w:tcPr>
            <w:tcW w:w="354" w:type="pct"/>
            <w:noWrap w:val="0"/>
            <w:vAlign w:val="center"/>
          </w:tcPr>
          <w:p w14:paraId="76A8C53C">
            <w:pPr>
              <w:pStyle w:val="30"/>
              <w:ind w:firstLine="0" w:firstLineChars="0"/>
              <w:rPr>
                <w:rFonts w:hint="default"/>
                <w:color w:val="auto"/>
              </w:rPr>
            </w:pPr>
            <w:r>
              <w:rPr>
                <w:rFonts w:hint="default"/>
                <w:color w:val="auto"/>
              </w:rPr>
              <w:t>Ⅱ</w:t>
            </w:r>
          </w:p>
        </w:tc>
        <w:tc>
          <w:tcPr>
            <w:tcW w:w="487" w:type="pct"/>
            <w:noWrap w:val="0"/>
            <w:vAlign w:val="center"/>
          </w:tcPr>
          <w:p w14:paraId="13C77C47">
            <w:pPr>
              <w:pStyle w:val="30"/>
              <w:ind w:firstLine="0" w:firstLineChars="0"/>
              <w:rPr>
                <w:rFonts w:hint="default"/>
                <w:color w:val="auto"/>
                <w:lang w:val="en-US" w:eastAsia="zh-CN"/>
              </w:rPr>
            </w:pPr>
            <w:r>
              <w:rPr>
                <w:rFonts w:hint="default"/>
                <w:color w:val="auto"/>
              </w:rPr>
              <w:t>C</w:t>
            </w:r>
          </w:p>
        </w:tc>
        <w:tc>
          <w:tcPr>
            <w:tcW w:w="1348" w:type="pct"/>
            <w:noWrap w:val="0"/>
            <w:vAlign w:val="center"/>
          </w:tcPr>
          <w:p w14:paraId="3EF308AE">
            <w:pPr>
              <w:pStyle w:val="30"/>
              <w:jc w:val="both"/>
              <w:rPr>
                <w:rFonts w:hint="default"/>
                <w:color w:val="auto"/>
              </w:rPr>
            </w:pPr>
            <w:r>
              <w:rPr>
                <w:rFonts w:hint="default"/>
                <w:color w:val="auto"/>
              </w:rPr>
              <w:t>1、</w:t>
            </w:r>
            <w:r>
              <w:rPr>
                <w:rFonts w:hint="eastAsia"/>
                <w:color w:val="auto"/>
                <w:lang w:eastAsia="zh-CN"/>
              </w:rPr>
              <w:t>高平台</w:t>
            </w:r>
            <w:r>
              <w:rPr>
                <w:rFonts w:hint="default"/>
                <w:color w:val="auto"/>
              </w:rPr>
              <w:t>过程中，作业人员要专心作业；</w:t>
            </w:r>
          </w:p>
          <w:p w14:paraId="00B07812">
            <w:pPr>
              <w:pStyle w:val="30"/>
              <w:jc w:val="both"/>
              <w:rPr>
                <w:rFonts w:hint="default"/>
                <w:color w:val="auto"/>
              </w:rPr>
            </w:pPr>
            <w:r>
              <w:rPr>
                <w:rFonts w:hint="default"/>
                <w:color w:val="auto"/>
              </w:rPr>
              <w:t>2、</w:t>
            </w:r>
            <w:r>
              <w:rPr>
                <w:rFonts w:hint="eastAsia"/>
                <w:color w:val="auto"/>
                <w:lang w:eastAsia="zh-CN"/>
              </w:rPr>
              <w:t>高处作业下</w:t>
            </w:r>
            <w:r>
              <w:rPr>
                <w:rFonts w:hint="default"/>
                <w:color w:val="auto"/>
              </w:rPr>
              <w:t>部设置明显安全警示标志</w:t>
            </w:r>
            <w:r>
              <w:rPr>
                <w:rFonts w:hint="eastAsia"/>
                <w:color w:val="auto"/>
                <w:lang w:eastAsia="zh-CN"/>
              </w:rPr>
              <w:t>及隔离装置</w:t>
            </w:r>
            <w:r>
              <w:rPr>
                <w:rFonts w:hint="default"/>
                <w:color w:val="auto"/>
              </w:rPr>
              <w:t>；</w:t>
            </w:r>
          </w:p>
          <w:p w14:paraId="1FC575E6">
            <w:pPr>
              <w:pStyle w:val="30"/>
              <w:ind w:firstLine="0" w:firstLineChars="0"/>
              <w:jc w:val="both"/>
              <w:rPr>
                <w:rFonts w:hint="eastAsia" w:eastAsia="宋体"/>
                <w:color w:val="auto"/>
                <w:lang w:eastAsia="zh-CN"/>
              </w:rPr>
            </w:pPr>
            <w:r>
              <w:rPr>
                <w:rFonts w:hint="eastAsia"/>
                <w:color w:val="auto"/>
                <w:lang w:val="en-US" w:eastAsia="zh-CN"/>
              </w:rPr>
              <w:t>3、</w:t>
            </w:r>
            <w:r>
              <w:rPr>
                <w:rFonts w:hint="default"/>
                <w:color w:val="auto"/>
              </w:rPr>
              <w:t>作业人员佩戴安全帽</w:t>
            </w:r>
            <w:r>
              <w:rPr>
                <w:rFonts w:hint="eastAsia"/>
                <w:color w:val="auto"/>
                <w:lang w:eastAsia="zh-CN"/>
              </w:rPr>
              <w:t>；</w:t>
            </w:r>
          </w:p>
          <w:p w14:paraId="2058CC75">
            <w:pPr>
              <w:pStyle w:val="30"/>
              <w:ind w:firstLine="0" w:firstLineChars="0"/>
              <w:jc w:val="both"/>
              <w:rPr>
                <w:rFonts w:hint="default"/>
                <w:color w:val="auto"/>
              </w:rPr>
            </w:pPr>
            <w:r>
              <w:rPr>
                <w:rFonts w:hint="eastAsia"/>
                <w:color w:val="auto"/>
                <w:lang w:val="en-US" w:eastAsia="zh-CN"/>
              </w:rPr>
              <w:t>4</w:t>
            </w:r>
            <w:r>
              <w:rPr>
                <w:rFonts w:hint="default"/>
                <w:color w:val="auto"/>
              </w:rPr>
              <w:t>、</w:t>
            </w:r>
            <w:r>
              <w:rPr>
                <w:rFonts w:hint="eastAsia"/>
                <w:color w:val="auto"/>
                <w:lang w:eastAsia="zh-CN"/>
              </w:rPr>
              <w:t>高临边处设置踢脚板或其他安全设施</w:t>
            </w:r>
            <w:r>
              <w:rPr>
                <w:rFonts w:hint="default"/>
                <w:color w:val="auto"/>
              </w:rPr>
              <w:t>。</w:t>
            </w:r>
          </w:p>
        </w:tc>
      </w:tr>
      <w:tr w14:paraId="00ED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center"/>
          </w:tcPr>
          <w:p w14:paraId="02B2950B">
            <w:pPr>
              <w:pStyle w:val="30"/>
              <w:bidi w:val="0"/>
              <w:rPr>
                <w:rFonts w:hint="default"/>
                <w:color w:val="auto"/>
                <w:lang w:val="en-US" w:eastAsia="zh-CN"/>
              </w:rPr>
            </w:pPr>
            <w:r>
              <w:rPr>
                <w:rFonts w:hint="eastAsia"/>
                <w:color w:val="auto"/>
                <w:lang w:val="en-US" w:eastAsia="zh-CN"/>
              </w:rPr>
              <w:t>起重伤害</w:t>
            </w:r>
          </w:p>
        </w:tc>
        <w:tc>
          <w:tcPr>
            <w:tcW w:w="579" w:type="pct"/>
            <w:noWrap w:val="0"/>
            <w:vAlign w:val="center"/>
          </w:tcPr>
          <w:p w14:paraId="543F0984">
            <w:pPr>
              <w:pStyle w:val="30"/>
              <w:ind w:firstLine="0" w:firstLineChars="0"/>
              <w:jc w:val="both"/>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未带安全帽；在起重作业区域作业或逗留；在高处有浮物或设施不牢固</w:t>
            </w:r>
          </w:p>
        </w:tc>
        <w:tc>
          <w:tcPr>
            <w:tcW w:w="1016" w:type="pct"/>
            <w:noWrap w:val="0"/>
            <w:vAlign w:val="center"/>
          </w:tcPr>
          <w:p w14:paraId="5BEDD76E">
            <w:pPr>
              <w:pStyle w:val="30"/>
              <w:ind w:firstLine="0" w:firstLineChars="0"/>
              <w:jc w:val="both"/>
              <w:rPr>
                <w:rFonts w:hint="eastAsia"/>
                <w:color w:val="auto"/>
                <w:lang w:val="en-US" w:eastAsia="zh-CN"/>
              </w:rPr>
            </w:pPr>
            <w:r>
              <w:rPr>
                <w:rFonts w:hint="eastAsia"/>
                <w:color w:val="auto"/>
                <w:lang w:val="en-US" w:eastAsia="zh-CN"/>
              </w:rPr>
              <w:t>‌人为因素‌：</w:t>
            </w:r>
          </w:p>
          <w:p w14:paraId="0552B7A6">
            <w:pPr>
              <w:pStyle w:val="30"/>
              <w:ind w:firstLine="0" w:firstLineChars="0"/>
              <w:jc w:val="both"/>
              <w:rPr>
                <w:rFonts w:hint="eastAsia"/>
                <w:color w:val="auto"/>
                <w:lang w:val="en-US" w:eastAsia="zh-CN"/>
              </w:rPr>
            </w:pPr>
            <w:r>
              <w:rPr>
                <w:rFonts w:hint="eastAsia"/>
                <w:color w:val="auto"/>
                <w:lang w:val="en-US" w:eastAsia="zh-CN"/>
              </w:rPr>
              <w:t>1、‌操作失误‌：如指挥信号不明或乱指挥，导致起重人员操作错误‌。</w:t>
            </w:r>
          </w:p>
          <w:p w14:paraId="2AFE35AF">
            <w:pPr>
              <w:pStyle w:val="30"/>
              <w:ind w:firstLine="0" w:firstLineChars="0"/>
              <w:jc w:val="both"/>
              <w:rPr>
                <w:rFonts w:hint="eastAsia"/>
                <w:color w:val="auto"/>
                <w:lang w:val="en-US" w:eastAsia="zh-CN"/>
              </w:rPr>
            </w:pPr>
            <w:r>
              <w:rPr>
                <w:rFonts w:hint="eastAsia"/>
                <w:color w:val="auto"/>
                <w:lang w:val="en-US" w:eastAsia="zh-CN"/>
              </w:rPr>
              <w:t>2、‌安全规程不遵守‌：挂吊人员未严格遵守起重作业安全规程，违章作业、冒险作业‌。</w:t>
            </w:r>
          </w:p>
          <w:p w14:paraId="56CFC00B">
            <w:pPr>
              <w:pStyle w:val="30"/>
              <w:ind w:firstLine="0" w:firstLineChars="0"/>
              <w:jc w:val="both"/>
              <w:rPr>
                <w:rFonts w:hint="eastAsia"/>
                <w:color w:val="auto"/>
                <w:lang w:val="en-US" w:eastAsia="zh-CN"/>
              </w:rPr>
            </w:pPr>
            <w:r>
              <w:rPr>
                <w:rFonts w:hint="eastAsia"/>
                <w:color w:val="auto"/>
                <w:lang w:val="en-US" w:eastAsia="zh-CN"/>
              </w:rPr>
              <w:t>3、‌技能和注意力问题‌：行车司机操作技能欠佳，责任心不强，注意力不集中‌。</w:t>
            </w:r>
          </w:p>
          <w:p w14:paraId="017A97C0">
            <w:pPr>
              <w:pStyle w:val="30"/>
              <w:ind w:firstLine="0" w:firstLineChars="0"/>
              <w:jc w:val="both"/>
              <w:rPr>
                <w:rFonts w:hint="eastAsia"/>
                <w:color w:val="auto"/>
                <w:lang w:val="en-US" w:eastAsia="zh-CN"/>
              </w:rPr>
            </w:pPr>
            <w:r>
              <w:rPr>
                <w:rFonts w:hint="eastAsia"/>
                <w:color w:val="auto"/>
                <w:lang w:val="en-US" w:eastAsia="zh-CN"/>
              </w:rPr>
              <w:t>4、‌安全检查不足‌：工作前未对行车及吊具进行安全检查‌。</w:t>
            </w:r>
          </w:p>
          <w:p w14:paraId="0A111601">
            <w:pPr>
              <w:pStyle w:val="30"/>
              <w:ind w:firstLine="0" w:firstLineChars="0"/>
              <w:jc w:val="both"/>
              <w:rPr>
                <w:rFonts w:hint="eastAsia"/>
                <w:color w:val="auto"/>
                <w:lang w:val="en-US" w:eastAsia="zh-CN"/>
              </w:rPr>
            </w:pPr>
            <w:r>
              <w:rPr>
                <w:rFonts w:hint="eastAsia"/>
                <w:color w:val="auto"/>
                <w:lang w:val="en-US" w:eastAsia="zh-CN"/>
              </w:rPr>
              <w:t>‌设备因素‌：</w:t>
            </w:r>
          </w:p>
          <w:p w14:paraId="5B478046">
            <w:pPr>
              <w:pStyle w:val="30"/>
              <w:ind w:firstLine="0" w:firstLineChars="0"/>
              <w:jc w:val="both"/>
              <w:rPr>
                <w:rFonts w:hint="eastAsia"/>
                <w:color w:val="auto"/>
                <w:lang w:val="en-US" w:eastAsia="zh-CN"/>
              </w:rPr>
            </w:pPr>
            <w:r>
              <w:rPr>
                <w:rFonts w:hint="eastAsia"/>
                <w:color w:val="auto"/>
                <w:lang w:val="en-US" w:eastAsia="zh-CN"/>
              </w:rPr>
              <w:t>1、‌设备缺陷‌：安全装置缺乏或失灵，如制动器、缓冲器、行程限位器、起重量限制器、防护罩等不完备或失效‌。</w:t>
            </w:r>
          </w:p>
          <w:p w14:paraId="3A93190F">
            <w:pPr>
              <w:pStyle w:val="30"/>
              <w:ind w:firstLine="0" w:firstLineChars="0"/>
              <w:jc w:val="both"/>
              <w:rPr>
                <w:rFonts w:hint="eastAsia"/>
                <w:color w:val="auto"/>
                <w:lang w:val="en-US" w:eastAsia="zh-CN"/>
              </w:rPr>
            </w:pPr>
            <w:r>
              <w:rPr>
                <w:rFonts w:hint="eastAsia"/>
                <w:color w:val="auto"/>
                <w:lang w:val="en-US" w:eastAsia="zh-CN"/>
              </w:rPr>
              <w:t>2、‌设备老化‌：钢丝绳未及时更换，导致折断风险增加‌。</w:t>
            </w:r>
          </w:p>
          <w:p w14:paraId="68DAC7B5">
            <w:pPr>
              <w:pStyle w:val="30"/>
              <w:ind w:firstLine="0" w:firstLineChars="0"/>
              <w:jc w:val="both"/>
              <w:rPr>
                <w:rFonts w:hint="eastAsia"/>
                <w:color w:val="auto"/>
                <w:lang w:val="en-US" w:eastAsia="zh-CN"/>
              </w:rPr>
            </w:pPr>
            <w:r>
              <w:rPr>
                <w:rFonts w:hint="eastAsia"/>
                <w:color w:val="auto"/>
                <w:lang w:val="en-US" w:eastAsia="zh-CN"/>
              </w:rPr>
              <w:t>3、‌超负荷运作‌：吊运时严重超负荷，导致设备损坏或重物坠落‌。</w:t>
            </w:r>
          </w:p>
          <w:p w14:paraId="28F46B52">
            <w:pPr>
              <w:pStyle w:val="30"/>
              <w:ind w:firstLine="0" w:firstLineChars="0"/>
              <w:jc w:val="both"/>
              <w:rPr>
                <w:rFonts w:hint="eastAsia"/>
                <w:color w:val="auto"/>
                <w:lang w:val="en-US" w:eastAsia="zh-CN"/>
              </w:rPr>
            </w:pPr>
            <w:r>
              <w:rPr>
                <w:rFonts w:hint="eastAsia"/>
                <w:color w:val="auto"/>
                <w:lang w:val="en-US" w:eastAsia="zh-CN"/>
              </w:rPr>
              <w:t>4、‌设计缺陷‌：起重机械的设计缺陷，如轨道强度和刚度不足，稳定性差‌。</w:t>
            </w:r>
          </w:p>
        </w:tc>
        <w:tc>
          <w:tcPr>
            <w:tcW w:w="381" w:type="pct"/>
            <w:noWrap w:val="0"/>
            <w:vAlign w:val="center"/>
          </w:tcPr>
          <w:p w14:paraId="79BF1305">
            <w:pPr>
              <w:pStyle w:val="30"/>
              <w:ind w:firstLine="0" w:firstLineChars="0"/>
              <w:rPr>
                <w:rFonts w:hint="default"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坠落物击中人体</w:t>
            </w:r>
          </w:p>
        </w:tc>
        <w:tc>
          <w:tcPr>
            <w:tcW w:w="442" w:type="pct"/>
            <w:noWrap w:val="0"/>
            <w:vAlign w:val="center"/>
          </w:tcPr>
          <w:p w14:paraId="3F2A8631">
            <w:pPr>
              <w:pStyle w:val="30"/>
              <w:ind w:firstLine="0" w:firstLineChars="0"/>
              <w:rPr>
                <w:rFonts w:hint="default"/>
                <w:color w:val="auto"/>
              </w:rPr>
            </w:pPr>
            <w:r>
              <w:rPr>
                <w:rFonts w:hint="default"/>
                <w:color w:val="auto"/>
              </w:rPr>
              <w:t>人员伤亡</w:t>
            </w:r>
          </w:p>
        </w:tc>
        <w:tc>
          <w:tcPr>
            <w:tcW w:w="666" w:type="dxa"/>
            <w:noWrap w:val="0"/>
            <w:vAlign w:val="center"/>
          </w:tcPr>
          <w:p w14:paraId="5DC62332">
            <w:pPr>
              <w:pStyle w:val="30"/>
              <w:bidi w:val="0"/>
              <w:ind w:firstLine="0" w:firstLineChars="0"/>
              <w:rPr>
                <w:rFonts w:hint="default"/>
                <w:color w:val="auto"/>
              </w:rPr>
            </w:pPr>
            <w:r>
              <w:rPr>
                <w:rFonts w:hint="default"/>
                <w:color w:val="auto"/>
              </w:rPr>
              <w:t>Ⅱ</w:t>
            </w:r>
          </w:p>
        </w:tc>
        <w:tc>
          <w:tcPr>
            <w:tcW w:w="916" w:type="dxa"/>
            <w:noWrap w:val="0"/>
            <w:vAlign w:val="center"/>
          </w:tcPr>
          <w:p w14:paraId="1CAAD94A">
            <w:pPr>
              <w:pStyle w:val="30"/>
              <w:bidi w:val="0"/>
              <w:ind w:firstLine="0" w:firstLineChars="0"/>
              <w:rPr>
                <w:rFonts w:hint="default"/>
                <w:color w:val="auto"/>
              </w:rPr>
            </w:pPr>
            <w:r>
              <w:rPr>
                <w:rFonts w:hint="default"/>
                <w:color w:val="auto"/>
                <w:lang w:val="en-US" w:eastAsia="zh-CN"/>
              </w:rPr>
              <w:t>C</w:t>
            </w:r>
          </w:p>
        </w:tc>
        <w:tc>
          <w:tcPr>
            <w:tcW w:w="1348" w:type="pct"/>
            <w:noWrap w:val="0"/>
            <w:vAlign w:val="center"/>
          </w:tcPr>
          <w:p w14:paraId="2AE1FC2B">
            <w:pPr>
              <w:pStyle w:val="30"/>
              <w:ind w:firstLine="0" w:firstLineChars="0"/>
              <w:jc w:val="both"/>
              <w:rPr>
                <w:rFonts w:hint="eastAsia"/>
                <w:color w:val="auto"/>
                <w:lang w:val="en-US" w:eastAsia="zh-CN"/>
              </w:rPr>
            </w:pPr>
            <w:r>
              <w:rPr>
                <w:rFonts w:hint="eastAsia"/>
                <w:color w:val="auto"/>
                <w:lang w:val="en-US" w:eastAsia="zh-CN"/>
              </w:rPr>
              <w:t>1、严格遵守安全操作规程，加强员工培训，提高操作技能和安全意识。</w:t>
            </w:r>
          </w:p>
          <w:p w14:paraId="70014080">
            <w:pPr>
              <w:pStyle w:val="30"/>
              <w:ind w:firstLine="0" w:firstLineChars="0"/>
              <w:jc w:val="both"/>
              <w:rPr>
                <w:rFonts w:hint="eastAsia"/>
                <w:color w:val="auto"/>
                <w:lang w:val="en-US" w:eastAsia="zh-CN"/>
              </w:rPr>
            </w:pPr>
            <w:r>
              <w:rPr>
                <w:rFonts w:hint="eastAsia"/>
                <w:color w:val="auto"/>
                <w:lang w:val="en-US" w:eastAsia="zh-CN"/>
              </w:rPr>
              <w:t>2、定期检查和维护起重设备，确保所有安全装置处于良好状态。</w:t>
            </w:r>
          </w:p>
          <w:p w14:paraId="20854F77">
            <w:pPr>
              <w:pStyle w:val="30"/>
              <w:ind w:firstLine="0" w:firstLineChars="0"/>
              <w:jc w:val="both"/>
              <w:rPr>
                <w:rFonts w:hint="eastAsia"/>
                <w:color w:val="auto"/>
                <w:lang w:val="en-US" w:eastAsia="zh-CN"/>
              </w:rPr>
            </w:pPr>
            <w:r>
              <w:rPr>
                <w:rFonts w:hint="eastAsia"/>
                <w:color w:val="auto"/>
                <w:lang w:val="en-US" w:eastAsia="zh-CN"/>
              </w:rPr>
              <w:t>3、对钢丝绳等易损件进行定期更换，避免超负荷运作。</w:t>
            </w:r>
          </w:p>
          <w:p w14:paraId="66FB136B">
            <w:pPr>
              <w:pStyle w:val="30"/>
              <w:ind w:firstLine="0" w:firstLineChars="0"/>
              <w:jc w:val="both"/>
              <w:rPr>
                <w:rFonts w:hint="eastAsia"/>
                <w:color w:val="auto"/>
                <w:lang w:val="en-US" w:eastAsia="zh-CN"/>
              </w:rPr>
            </w:pPr>
            <w:r>
              <w:rPr>
                <w:rFonts w:hint="eastAsia"/>
                <w:color w:val="auto"/>
                <w:lang w:val="en-US" w:eastAsia="zh-CN"/>
              </w:rPr>
              <w:t>4、在关键区域设置安全标志，提醒人员注意安全。</w:t>
            </w:r>
          </w:p>
          <w:p w14:paraId="5C457D55">
            <w:pPr>
              <w:pStyle w:val="30"/>
              <w:ind w:firstLine="0" w:firstLineChars="0"/>
              <w:jc w:val="both"/>
              <w:rPr>
                <w:rFonts w:hint="eastAsia"/>
                <w:color w:val="auto"/>
                <w:lang w:val="en-US" w:eastAsia="zh-CN"/>
              </w:rPr>
            </w:pPr>
            <w:r>
              <w:rPr>
                <w:rFonts w:hint="eastAsia"/>
                <w:color w:val="auto"/>
                <w:lang w:val="en-US" w:eastAsia="zh-CN"/>
              </w:rPr>
              <w:t>5、制定应急措施，一旦发生事故能够迅速应对，减少伤害‌。</w:t>
            </w:r>
          </w:p>
        </w:tc>
      </w:tr>
    </w:tbl>
    <w:p w14:paraId="412F2B3B">
      <w:pPr>
        <w:bidi w:val="0"/>
        <w:rPr>
          <w:rFonts w:hint="default"/>
          <w:color w:val="auto"/>
          <w:lang w:val="en-US" w:eastAsia="zh-CN"/>
        </w:rPr>
      </w:pPr>
      <w:r>
        <w:rPr>
          <w:rFonts w:hint="default"/>
          <w:color w:val="auto"/>
          <w:lang w:val="en-US" w:eastAsia="zh-CN"/>
        </w:rPr>
        <w:t>本单元预先危险性等级系数按下式确定：</w:t>
      </w:r>
    </w:p>
    <w:p w14:paraId="3D03C45D">
      <w:pPr>
        <w:bidi w:val="0"/>
        <w:rPr>
          <w:rFonts w:hint="default"/>
          <w:color w:val="auto"/>
          <w:lang w:val="en-US" w:eastAsia="zh-CN"/>
        </w:rPr>
      </w:pPr>
      <w:r>
        <w:rPr>
          <w:rFonts w:hint="default"/>
          <w:color w:val="auto"/>
          <w:lang w:val="en-US" w:eastAsia="zh-CN"/>
        </w:rPr>
        <w:t>W=∑（P×K）/∑K</w:t>
      </w:r>
    </w:p>
    <w:p w14:paraId="67FF1116">
      <w:pPr>
        <w:bidi w:val="0"/>
        <w:rPr>
          <w:rFonts w:hint="default"/>
          <w:color w:val="auto"/>
          <w:lang w:val="en-US" w:eastAsia="zh-CN"/>
        </w:rPr>
      </w:pPr>
      <w:r>
        <w:rPr>
          <w:rFonts w:hint="default"/>
          <w:color w:val="auto"/>
          <w:lang w:val="en-US" w:eastAsia="zh-CN"/>
        </w:rPr>
        <w:t>式中：W—系统（单元）预先危险性等级系数；</w:t>
      </w:r>
    </w:p>
    <w:p w14:paraId="402969E8">
      <w:pPr>
        <w:bidi w:val="0"/>
        <w:rPr>
          <w:rFonts w:hint="default"/>
          <w:color w:val="auto"/>
          <w:lang w:val="en-US" w:eastAsia="zh-CN"/>
        </w:rPr>
      </w:pPr>
      <w:r>
        <w:rPr>
          <w:rFonts w:hint="default"/>
          <w:color w:val="auto"/>
          <w:lang w:val="en-US" w:eastAsia="zh-CN"/>
        </w:rPr>
        <w:t>P—分析项目的危险性等级系数；</w:t>
      </w:r>
    </w:p>
    <w:p w14:paraId="3BE00B0F">
      <w:pPr>
        <w:bidi w:val="0"/>
        <w:rPr>
          <w:rFonts w:hint="default"/>
          <w:color w:val="auto"/>
          <w:lang w:val="en-US" w:eastAsia="zh-CN"/>
        </w:rPr>
      </w:pPr>
      <w:r>
        <w:rPr>
          <w:rFonts w:hint="default"/>
          <w:color w:val="auto"/>
          <w:lang w:val="en-US" w:eastAsia="zh-CN"/>
        </w:rPr>
        <w:t>K—分析项目发生事故的概率系数。</w:t>
      </w:r>
    </w:p>
    <w:p w14:paraId="5C7C64BE">
      <w:pPr>
        <w:bidi w:val="0"/>
        <w:rPr>
          <w:rFonts w:hint="default"/>
          <w:color w:val="auto"/>
          <w:lang w:val="en-US" w:eastAsia="zh-CN"/>
        </w:rPr>
      </w:pPr>
      <w:r>
        <w:rPr>
          <w:rFonts w:hint="default"/>
          <w:color w:val="auto"/>
          <w:lang w:val="en-US" w:eastAsia="zh-CN"/>
        </w:rPr>
        <w:t>W=（</w:t>
      </w:r>
      <w:r>
        <w:rPr>
          <w:rFonts w:hint="eastAsia"/>
          <w:color w:val="auto"/>
          <w:lang w:val="en-US" w:eastAsia="zh-CN"/>
        </w:rPr>
        <w:t>4</w:t>
      </w:r>
      <w:r>
        <w:rPr>
          <w:rFonts w:hint="default"/>
          <w:color w:val="auto"/>
          <w:lang w:val="en-US" w:eastAsia="zh-CN"/>
        </w:rPr>
        <w:t>×0.10+</w:t>
      </w:r>
      <w:r>
        <w:rPr>
          <w:rFonts w:hint="eastAsia"/>
          <w:color w:val="auto"/>
          <w:lang w:val="en-US" w:eastAsia="zh-CN"/>
        </w:rPr>
        <w:t>2</w:t>
      </w:r>
      <w:r>
        <w:rPr>
          <w:rFonts w:hint="default"/>
          <w:color w:val="auto"/>
          <w:lang w:val="en-US" w:eastAsia="zh-CN"/>
        </w:rPr>
        <w:t>×0.20</w:t>
      </w:r>
      <w:r>
        <w:rPr>
          <w:rFonts w:hint="eastAsia"/>
          <w:color w:val="auto"/>
          <w:lang w:val="en-US" w:eastAsia="zh-CN"/>
        </w:rPr>
        <w:t>+4</w:t>
      </w:r>
      <w:r>
        <w:rPr>
          <w:rFonts w:hint="default"/>
          <w:color w:val="auto"/>
          <w:lang w:val="en-US" w:eastAsia="zh-CN"/>
        </w:rPr>
        <w:t>×</w:t>
      </w:r>
      <w:r>
        <w:rPr>
          <w:rFonts w:hint="eastAsia"/>
          <w:color w:val="auto"/>
          <w:lang w:val="en-US" w:eastAsia="zh-CN"/>
        </w:rPr>
        <w:t>0.20+2</w:t>
      </w:r>
      <w:r>
        <w:rPr>
          <w:rFonts w:hint="default"/>
          <w:color w:val="auto"/>
          <w:lang w:val="en-US" w:eastAsia="zh-CN"/>
        </w:rPr>
        <w:t>×</w:t>
      </w:r>
      <w:r>
        <w:rPr>
          <w:rFonts w:hint="eastAsia"/>
          <w:color w:val="auto"/>
          <w:lang w:val="en-US" w:eastAsia="zh-CN"/>
        </w:rPr>
        <w:t>0.20+2</w:t>
      </w:r>
      <w:r>
        <w:rPr>
          <w:rFonts w:hint="default"/>
          <w:color w:val="auto"/>
          <w:lang w:val="en-US" w:eastAsia="zh-CN"/>
        </w:rPr>
        <w:t>×0.20）/（0.10+0.20</w:t>
      </w:r>
      <w:r>
        <w:rPr>
          <w:rFonts w:hint="eastAsia"/>
          <w:color w:val="auto"/>
          <w:lang w:val="en-US" w:eastAsia="zh-CN"/>
        </w:rPr>
        <w:t>+0.20+0.20+0.2</w:t>
      </w:r>
      <w:r>
        <w:rPr>
          <w:rFonts w:hint="default"/>
          <w:color w:val="auto"/>
          <w:lang w:val="en-US" w:eastAsia="zh-CN"/>
        </w:rPr>
        <w:t>）=</w:t>
      </w:r>
      <w:r>
        <w:rPr>
          <w:rFonts w:hint="eastAsia"/>
          <w:color w:val="auto"/>
          <w:lang w:val="en-US" w:eastAsia="zh-CN"/>
        </w:rPr>
        <w:t>2.67</w:t>
      </w:r>
    </w:p>
    <w:p w14:paraId="3A7B7374">
      <w:pPr>
        <w:bidi w:val="0"/>
        <w:rPr>
          <w:rFonts w:hint="default"/>
          <w:color w:val="auto"/>
          <w:lang w:val="en-US" w:eastAsia="zh-CN"/>
        </w:rPr>
      </w:pPr>
      <w:r>
        <w:rPr>
          <w:rFonts w:hint="default"/>
          <w:color w:val="auto"/>
          <w:lang w:val="en-US" w:eastAsia="zh-CN"/>
        </w:rPr>
        <w:t>预先危险性分析结论：本单元预先危险性等级系数为</w:t>
      </w:r>
      <w:r>
        <w:rPr>
          <w:rFonts w:hint="default"/>
          <w:color w:val="auto"/>
        </w:rPr>
        <w:t>Ⅱ</w:t>
      </w:r>
      <w:r>
        <w:rPr>
          <w:rFonts w:hint="default"/>
          <w:color w:val="auto"/>
          <w:lang w:val="en-US" w:eastAsia="zh-CN"/>
        </w:rPr>
        <w:t>级，系统危险程度为</w:t>
      </w:r>
      <w:r>
        <w:rPr>
          <w:rFonts w:hint="eastAsia"/>
          <w:color w:val="auto"/>
          <w:lang w:val="en-US" w:eastAsia="zh-CN"/>
        </w:rPr>
        <w:t>比较</w:t>
      </w:r>
      <w:r>
        <w:rPr>
          <w:rFonts w:hint="default"/>
          <w:color w:val="auto"/>
          <w:lang w:val="en-US" w:eastAsia="zh-CN"/>
        </w:rPr>
        <w:t>危险。</w:t>
      </w:r>
    </w:p>
    <w:p w14:paraId="7B4049F0">
      <w:pPr>
        <w:pStyle w:val="6"/>
        <w:bidi w:val="0"/>
        <w:rPr>
          <w:rFonts w:hint="default"/>
          <w:color w:val="auto"/>
          <w:lang w:val="en-US" w:eastAsia="zh-CN"/>
        </w:rPr>
      </w:pPr>
      <w:r>
        <w:rPr>
          <w:rFonts w:hint="default"/>
          <w:color w:val="auto"/>
          <w:lang w:val="en-US" w:eastAsia="zh-CN"/>
        </w:rPr>
        <w:t>5.2.</w:t>
      </w:r>
      <w:r>
        <w:rPr>
          <w:rFonts w:hint="eastAsia"/>
          <w:color w:val="auto"/>
          <w:lang w:val="en-US" w:eastAsia="zh-CN"/>
        </w:rPr>
        <w:t>2</w:t>
      </w:r>
      <w:r>
        <w:rPr>
          <w:rFonts w:hint="default"/>
          <w:color w:val="auto"/>
          <w:lang w:val="en-US" w:eastAsia="zh-CN"/>
        </w:rPr>
        <w:t xml:space="preserve"> 机械伤害事故树分析</w:t>
      </w:r>
    </w:p>
    <w:p w14:paraId="060D8F9B">
      <w:pPr>
        <w:bidi w:val="0"/>
        <w:rPr>
          <w:rFonts w:hint="default"/>
          <w:color w:val="auto"/>
          <w:lang w:val="en-US" w:eastAsia="zh-CN"/>
        </w:rPr>
      </w:pPr>
      <w:r>
        <w:rPr>
          <w:rFonts w:hint="default"/>
          <w:color w:val="auto"/>
          <w:lang w:val="en-US" w:eastAsia="zh-CN"/>
        </w:rPr>
        <w:t>1、机械伤害事故的分析及预防</w:t>
      </w:r>
    </w:p>
    <w:p w14:paraId="3486BF3B">
      <w:pPr>
        <w:bidi w:val="0"/>
        <w:rPr>
          <w:rFonts w:hint="default"/>
          <w:color w:val="auto"/>
          <w:lang w:val="en-US" w:eastAsia="zh-CN"/>
        </w:rPr>
      </w:pPr>
      <w:r>
        <w:rPr>
          <w:rFonts w:hint="default"/>
          <w:color w:val="auto"/>
          <w:lang w:val="en-US" w:eastAsia="zh-CN"/>
        </w:rPr>
        <w:t>机械伤害是机械设备运行过程中常见的事故之一，指机械设备与工具引起的绞、碾、碰、割、戳、切等伤害，即刀具飞出伤人，手或身体其他部位卷入，手或其他部位被刀具碰伤，被设备的转动机构缠住等造成的伤害。已列入其他事故类别的机械设备造成的机械伤害除外，如车辆、起重设备和压力容器等造成的伤害。</w:t>
      </w:r>
    </w:p>
    <w:p w14:paraId="57BA0989">
      <w:pPr>
        <w:bidi w:val="0"/>
        <w:rPr>
          <w:rFonts w:hint="default"/>
          <w:color w:val="auto"/>
          <w:lang w:val="en-US" w:eastAsia="zh-CN"/>
        </w:rPr>
      </w:pPr>
      <w:r>
        <w:rPr>
          <w:rFonts w:hint="eastAsia"/>
          <w:color w:val="auto"/>
          <w:lang w:val="en-US" w:eastAsia="zh-CN"/>
        </w:rPr>
        <w:t>本项目</w:t>
      </w:r>
      <w:r>
        <w:rPr>
          <w:rFonts w:hint="default"/>
          <w:color w:val="auto"/>
          <w:lang w:val="en-US" w:eastAsia="zh-CN"/>
        </w:rPr>
        <w:t>机械设备使用较多且密集，因此有针对性地对机械设备操作过程中出现的事故进行分析，采取有效的措施进行预防，大大改善机械设备操作的安全状况，可避免或减少机械伤害事故的发生，加强对从业人员的人身保护，促进企业的健康发展。</w:t>
      </w:r>
    </w:p>
    <w:p w14:paraId="04FE1F2C">
      <w:pPr>
        <w:bidi w:val="0"/>
        <w:rPr>
          <w:rFonts w:hint="default"/>
          <w:color w:val="auto"/>
          <w:lang w:val="en-US" w:eastAsia="zh-CN"/>
        </w:rPr>
      </w:pPr>
      <w:r>
        <w:rPr>
          <w:rFonts w:hint="default"/>
          <w:color w:val="auto"/>
          <w:lang w:val="en-US" w:eastAsia="zh-CN"/>
        </w:rPr>
        <w:t>2、机械伤害事故的事故树的确定</w:t>
      </w:r>
    </w:p>
    <w:p w14:paraId="61ED4E45">
      <w:pPr>
        <w:bidi w:val="0"/>
        <w:rPr>
          <w:rFonts w:hint="default"/>
          <w:color w:val="auto"/>
          <w:lang w:val="en-US" w:eastAsia="zh-CN"/>
        </w:rPr>
      </w:pPr>
      <w:r>
        <w:rPr>
          <w:rFonts w:hint="default"/>
          <w:color w:val="auto"/>
          <w:lang w:val="en-US" w:eastAsia="zh-CN"/>
        </w:rPr>
        <w:t>从安全系统工程学的角度来看，造成机械伤害的原因可以从人、机、环境3个方面进行分析。人、机、环境3个方面中的任何1个出现缺陷，都有可能引起机械伤害事故。</w:t>
      </w:r>
    </w:p>
    <w:p w14:paraId="66C2A525">
      <w:pPr>
        <w:bidi w:val="0"/>
        <w:rPr>
          <w:rFonts w:hint="default"/>
          <w:color w:val="auto"/>
          <w:lang w:val="en-US" w:eastAsia="zh-CN"/>
        </w:rPr>
      </w:pPr>
      <w:r>
        <w:rPr>
          <w:rFonts w:hint="default"/>
          <w:color w:val="auto"/>
          <w:lang w:val="en-US" w:eastAsia="zh-CN"/>
        </w:rPr>
        <w:t>下面采用事故树分析方法，对机械伤害事故的影响因素进行分析。分析以作业人员遭受机械伤害作为事故树的顶上事件T，发生机械伤害事故的基本影响因素为X，根据事件间的逻辑关系，构造出机械伤害事故的事故树，该事故树共包含10个基本事件。详见图5-1机械伤害事故的事故树图。</w:t>
      </w:r>
    </w:p>
    <w:p w14:paraId="1308C4F7">
      <w:pPr>
        <w:bidi w:val="0"/>
        <w:rPr>
          <w:rFonts w:hint="default"/>
          <w:color w:val="auto"/>
          <w:lang w:val="en-US" w:eastAsia="zh-CN"/>
        </w:rPr>
      </w:pPr>
      <w:r>
        <w:rPr>
          <w:rFonts w:hint="eastAsia"/>
          <w:color w:val="auto"/>
        </w:rPr>
        <w:t>T=ABC=(X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w:t>
      </w:r>
    </w:p>
    <w:p w14:paraId="63E38BC3">
      <w:pPr>
        <w:bidi w:val="0"/>
        <w:rPr>
          <w:rFonts w:hint="default"/>
          <w:color w:val="auto"/>
          <w:lang w:val="en-US" w:eastAsia="zh-CN"/>
        </w:rPr>
      </w:pPr>
      <w:r>
        <w:rPr>
          <w:rFonts w:hint="default"/>
          <w:color w:val="auto"/>
          <w:lang w:val="en-US" w:eastAsia="zh-CN"/>
        </w:rPr>
        <w:t>将上式展开后，可以得到36组最小割集，整理如下表所示：</w:t>
      </w:r>
    </w:p>
    <w:p w14:paraId="008A5BED">
      <w:pPr>
        <w:pStyle w:val="29"/>
        <w:bidi w:val="0"/>
        <w:rPr>
          <w:rFonts w:hint="default"/>
          <w:color w:val="auto"/>
          <w:lang w:val="en-US" w:eastAsia="zh-CN"/>
        </w:rPr>
      </w:pPr>
    </w:p>
    <w:p w14:paraId="37F10533">
      <w:pPr>
        <w:pStyle w:val="29"/>
        <w:bidi w:val="0"/>
        <w:rPr>
          <w:rFonts w:hint="default"/>
          <w:color w:val="auto"/>
          <w:lang w:val="en-US" w:eastAsia="zh-CN"/>
        </w:rPr>
      </w:pPr>
      <w:r>
        <w:rPr>
          <w:rFonts w:hint="default"/>
          <w:color w:val="auto"/>
          <w:lang w:val="en-US" w:eastAsia="zh-CN"/>
        </w:rPr>
        <w:t>表5</w:t>
      </w:r>
      <w:r>
        <w:rPr>
          <w:rFonts w:hint="eastAsia"/>
          <w:color w:val="auto"/>
          <w:lang w:val="en-US" w:eastAsia="zh-CN"/>
        </w:rPr>
        <w:t>.2</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机械伤害事故树最小割集表</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2467"/>
        <w:gridCol w:w="2326"/>
        <w:gridCol w:w="2283"/>
      </w:tblGrid>
      <w:tr w14:paraId="4DE7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77A1B2D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52D8AA1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237" w:type="pct"/>
            <w:noWrap w:val="0"/>
            <w:vAlign w:val="center"/>
          </w:tcPr>
          <w:p w14:paraId="533F4662">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19</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14" w:type="pct"/>
            <w:noWrap w:val="0"/>
            <w:vAlign w:val="center"/>
          </w:tcPr>
          <w:p w14:paraId="0FBB2C1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28</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r w14:paraId="49D3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1F8EFB0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20C7F98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237" w:type="pct"/>
            <w:noWrap w:val="0"/>
            <w:vAlign w:val="center"/>
          </w:tcPr>
          <w:p w14:paraId="72CD4A7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20</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14" w:type="pct"/>
            <w:noWrap w:val="0"/>
            <w:vAlign w:val="center"/>
          </w:tcPr>
          <w:p w14:paraId="466C022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29</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r w14:paraId="5513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2A00A42C">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43828E0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237" w:type="pct"/>
            <w:noWrap w:val="0"/>
            <w:vAlign w:val="center"/>
          </w:tcPr>
          <w:p w14:paraId="7186925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14" w:type="pct"/>
            <w:noWrap w:val="0"/>
            <w:vAlign w:val="center"/>
          </w:tcPr>
          <w:p w14:paraId="24B7676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30</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r w14:paraId="7375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3141235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3ED0C06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37" w:type="pct"/>
            <w:noWrap w:val="0"/>
            <w:vAlign w:val="center"/>
          </w:tcPr>
          <w:p w14:paraId="3F3C0C52">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14" w:type="pct"/>
            <w:noWrap w:val="0"/>
            <w:vAlign w:val="center"/>
          </w:tcPr>
          <w:p w14:paraId="540CB9BE">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31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r w14:paraId="3D9D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6EB1436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2E2B882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37" w:type="pct"/>
            <w:noWrap w:val="0"/>
            <w:vAlign w:val="center"/>
          </w:tcPr>
          <w:p w14:paraId="3E474CBF">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14" w:type="pct"/>
            <w:noWrap w:val="0"/>
            <w:vAlign w:val="center"/>
          </w:tcPr>
          <w:p w14:paraId="65554F9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32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r w14:paraId="7F8F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7D6732B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1191DB3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37" w:type="pct"/>
            <w:noWrap w:val="0"/>
            <w:vAlign w:val="center"/>
          </w:tcPr>
          <w:p w14:paraId="1B5383B7">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14" w:type="pct"/>
            <w:noWrap w:val="0"/>
            <w:vAlign w:val="center"/>
          </w:tcPr>
          <w:p w14:paraId="3D0AE991">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33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r w14:paraId="066C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4A82F7AC">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292FA70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37" w:type="pct"/>
            <w:noWrap w:val="0"/>
            <w:vAlign w:val="center"/>
          </w:tcPr>
          <w:p w14:paraId="4C9AF77C">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c>
          <w:tcPr>
            <w:tcW w:w="1214" w:type="pct"/>
            <w:noWrap w:val="0"/>
            <w:vAlign w:val="center"/>
          </w:tcPr>
          <w:p w14:paraId="7DE919A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33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r w14:paraId="5DCF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6D2BE90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1F6428BD">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37" w:type="pct"/>
            <w:noWrap w:val="0"/>
            <w:vAlign w:val="center"/>
          </w:tcPr>
          <w:p w14:paraId="7F7FAE43">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c>
          <w:tcPr>
            <w:tcW w:w="1214" w:type="pct"/>
            <w:noWrap w:val="0"/>
            <w:vAlign w:val="center"/>
          </w:tcPr>
          <w:p w14:paraId="431B4B00">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33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r w14:paraId="2D37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pct"/>
            <w:noWrap w:val="0"/>
            <w:vAlign w:val="center"/>
          </w:tcPr>
          <w:p w14:paraId="291B2B58">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4</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8</w:t>
            </w:r>
            <w:r>
              <w:rPr>
                <w:rFonts w:hint="default" w:ascii="Times New Roman" w:hAnsi="Times New Roman" w:cs="Times New Roman"/>
                <w:color w:val="auto"/>
                <w:kern w:val="0"/>
                <w:sz w:val="21"/>
                <w:szCs w:val="21"/>
                <w:lang w:val="fr-FR"/>
              </w:rPr>
              <w:t>}</w:t>
            </w:r>
          </w:p>
        </w:tc>
        <w:tc>
          <w:tcPr>
            <w:tcW w:w="1312" w:type="pct"/>
            <w:noWrap w:val="0"/>
            <w:vAlign w:val="center"/>
          </w:tcPr>
          <w:p w14:paraId="48C71A0A">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18</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2</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5</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9</w:t>
            </w:r>
            <w:r>
              <w:rPr>
                <w:rFonts w:hint="default" w:ascii="Times New Roman" w:hAnsi="Times New Roman" w:cs="Times New Roman"/>
                <w:color w:val="auto"/>
                <w:kern w:val="0"/>
                <w:sz w:val="21"/>
                <w:szCs w:val="21"/>
                <w:lang w:val="fr-FR"/>
              </w:rPr>
              <w:t>}</w:t>
            </w:r>
          </w:p>
        </w:tc>
        <w:tc>
          <w:tcPr>
            <w:tcW w:w="1237" w:type="pct"/>
            <w:noWrap w:val="0"/>
            <w:vAlign w:val="center"/>
          </w:tcPr>
          <w:p w14:paraId="4572CA72">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27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6</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c>
          <w:tcPr>
            <w:tcW w:w="1214" w:type="pct"/>
            <w:noWrap w:val="0"/>
            <w:vAlign w:val="center"/>
          </w:tcPr>
          <w:p w14:paraId="2B3E74B9">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firstLine="0" w:firstLineChars="0"/>
              <w:jc w:val="center"/>
              <w:rPr>
                <w:rFonts w:hint="default" w:ascii="Times New Roman" w:hAnsi="Times New Roman" w:cs="Times New Roman"/>
                <w:color w:val="auto"/>
                <w:kern w:val="0"/>
                <w:sz w:val="21"/>
                <w:szCs w:val="21"/>
                <w:lang w:val="fr-FR"/>
              </w:rPr>
            </w:pPr>
            <w:r>
              <w:rPr>
                <w:rFonts w:hint="default" w:ascii="Times New Roman" w:hAnsi="Times New Roman" w:cs="Times New Roman"/>
                <w:color w:val="auto"/>
                <w:kern w:val="0"/>
                <w:sz w:val="21"/>
                <w:szCs w:val="21"/>
                <w:lang w:val="fr-FR"/>
              </w:rPr>
              <w:t>K</w:t>
            </w:r>
            <w:r>
              <w:rPr>
                <w:rFonts w:hint="default" w:ascii="Times New Roman" w:hAnsi="Times New Roman" w:cs="Times New Roman"/>
                <w:color w:val="auto"/>
                <w:kern w:val="0"/>
                <w:sz w:val="21"/>
                <w:szCs w:val="21"/>
                <w:vertAlign w:val="subscript"/>
                <w:lang w:val="fr-FR"/>
              </w:rPr>
              <w:t>33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3</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7</w:t>
            </w:r>
            <w:r>
              <w:rPr>
                <w:rFonts w:hint="default" w:ascii="Times New Roman" w:hAnsi="Times New Roman" w:cs="Times New Roman"/>
                <w:color w:val="auto"/>
                <w:kern w:val="0"/>
                <w:sz w:val="21"/>
                <w:szCs w:val="21"/>
                <w:lang w:val="fr-FR"/>
              </w:rPr>
              <w:t>，X</w:t>
            </w:r>
            <w:r>
              <w:rPr>
                <w:rFonts w:hint="default" w:ascii="Times New Roman" w:hAnsi="Times New Roman" w:cs="Times New Roman"/>
                <w:color w:val="auto"/>
                <w:kern w:val="0"/>
                <w:sz w:val="21"/>
                <w:szCs w:val="21"/>
                <w:vertAlign w:val="subscript"/>
                <w:lang w:val="fr-FR"/>
              </w:rPr>
              <w:t>10</w:t>
            </w:r>
            <w:r>
              <w:rPr>
                <w:rFonts w:hint="default" w:ascii="Times New Roman" w:hAnsi="Times New Roman" w:cs="Times New Roman"/>
                <w:color w:val="auto"/>
                <w:kern w:val="0"/>
                <w:sz w:val="21"/>
                <w:szCs w:val="21"/>
                <w:lang w:val="fr-FR"/>
              </w:rPr>
              <w:t>}</w:t>
            </w:r>
          </w:p>
        </w:tc>
      </w:tr>
    </w:tbl>
    <w:p w14:paraId="4519B63D">
      <w:pPr>
        <w:bidi w:val="0"/>
        <w:rPr>
          <w:rFonts w:hint="default"/>
          <w:color w:val="auto"/>
          <w:lang w:val="en-US" w:eastAsia="zh-CN"/>
        </w:rPr>
      </w:pPr>
      <w:r>
        <w:rPr>
          <w:rFonts w:hint="default"/>
          <w:color w:val="auto"/>
          <w:lang w:val="en-US" w:eastAsia="zh-CN"/>
        </w:rPr>
        <w:t>最小割集代表了顶上事件（机械伤害）发生的路径数量，每1组最小割集由不同的基本事件组成。不同的基本事件在36组割集中出现的频率大小反映了该基本事件在机械伤害事故中的重要程度。</w:t>
      </w:r>
    </w:p>
    <w:p w14:paraId="08CE7110">
      <w:pPr>
        <w:bidi w:val="0"/>
        <w:ind w:left="0" w:leftChars="0" w:firstLine="0" w:firstLineChars="0"/>
        <w:jc w:val="center"/>
        <w:rPr>
          <w:rFonts w:hint="default"/>
          <w:color w:val="auto"/>
          <w:lang w:val="en-US" w:eastAsia="zh-CN"/>
        </w:rPr>
      </w:pPr>
      <w:r>
        <w:rPr>
          <w:rFonts w:hint="default" w:ascii="Times New Roman" w:hAnsi="Times New Roman" w:cs="Times New Roman"/>
          <w:color w:val="auto"/>
          <w:kern w:val="0"/>
          <w:sz w:val="21"/>
          <w:szCs w:val="21"/>
        </w:rPr>
        <w:drawing>
          <wp:inline distT="0" distB="0" distL="114300" distR="114300">
            <wp:extent cx="5604510" cy="4404360"/>
            <wp:effectExtent l="0" t="0" r="15240" b="1524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6"/>
                    <a:stretch>
                      <a:fillRect/>
                    </a:stretch>
                  </pic:blipFill>
                  <pic:spPr>
                    <a:xfrm>
                      <a:off x="0" y="0"/>
                      <a:ext cx="5604510" cy="4404360"/>
                    </a:xfrm>
                    <a:prstGeom prst="rect">
                      <a:avLst/>
                    </a:prstGeom>
                    <a:noFill/>
                    <a:ln w="12700">
                      <a:noFill/>
                    </a:ln>
                  </pic:spPr>
                </pic:pic>
              </a:graphicData>
            </a:graphic>
          </wp:inline>
        </w:drawing>
      </w:r>
    </w:p>
    <w:p w14:paraId="25FF9140">
      <w:pPr>
        <w:pStyle w:val="29"/>
        <w:bidi w:val="0"/>
        <w:rPr>
          <w:rFonts w:hint="default"/>
          <w:color w:val="auto"/>
          <w:lang w:val="en-US" w:eastAsia="zh-CN"/>
        </w:rPr>
      </w:pPr>
      <w:r>
        <w:rPr>
          <w:rFonts w:hint="default"/>
          <w:color w:val="auto"/>
          <w:lang w:val="en-US" w:eastAsia="zh-CN"/>
        </w:rPr>
        <w:t>图5</w:t>
      </w:r>
      <w:r>
        <w:rPr>
          <w:rFonts w:hint="eastAsia"/>
          <w:color w:val="auto"/>
          <w:lang w:val="en-US" w:eastAsia="zh-CN"/>
        </w:rPr>
        <w:t>.2</w:t>
      </w:r>
      <w:r>
        <w:rPr>
          <w:rFonts w:hint="default"/>
          <w:color w:val="auto"/>
          <w:lang w:val="en-US" w:eastAsia="zh-CN"/>
        </w:rPr>
        <w:t>-1  机械伤害事故的事故树图</w:t>
      </w:r>
    </w:p>
    <w:p w14:paraId="7BAA3B94">
      <w:pPr>
        <w:bidi w:val="0"/>
        <w:rPr>
          <w:rFonts w:hint="default"/>
          <w:color w:val="auto"/>
          <w:lang w:val="en-US" w:eastAsia="zh-CN"/>
        </w:rPr>
      </w:pPr>
      <w:r>
        <w:rPr>
          <w:rFonts w:hint="default"/>
          <w:color w:val="auto"/>
          <w:lang w:val="en-US" w:eastAsia="zh-CN"/>
        </w:rPr>
        <w:t>1、最小径集的计算</w:t>
      </w:r>
    </w:p>
    <w:p w14:paraId="361E3E2E">
      <w:pPr>
        <w:bidi w:val="0"/>
        <w:rPr>
          <w:rFonts w:hint="default"/>
          <w:color w:val="auto"/>
          <w:lang w:val="en-US" w:eastAsia="zh-CN"/>
        </w:rPr>
      </w:pPr>
      <w:r>
        <w:rPr>
          <w:rFonts w:hint="default"/>
          <w:color w:val="auto"/>
          <w:lang w:val="en-US" w:eastAsia="zh-CN"/>
        </w:rPr>
        <w:t>将事故树中的逻辑与门变成逻辑或门、逻辑或门变成逻辑与门，并将全部事件符号加上，这样事故树就变成了防止机械伤害事故的成功树。求出成功树的最小割集，即是所求事故树的最小径集。</w:t>
      </w:r>
    </w:p>
    <w:p w14:paraId="41EAA3FD">
      <w:pPr>
        <w:bidi w:val="0"/>
        <w:rPr>
          <w:rFonts w:hint="default"/>
          <w:color w:val="auto"/>
          <w:lang w:val="en-US" w:eastAsia="zh-CN"/>
        </w:rPr>
      </w:pPr>
      <w:r>
        <w:rPr>
          <w:rFonts w:hint="default"/>
          <w:color w:val="auto"/>
          <w:lang w:val="en-US" w:eastAsia="zh-CN"/>
        </w:rPr>
        <w:t>成功树的最小割集求解如下</w:t>
      </w:r>
      <w:r>
        <w:rPr>
          <w:rFonts w:hint="eastAsia"/>
          <w:color w:val="auto"/>
          <w:lang w:val="en-US" w:eastAsia="zh-CN"/>
        </w:rPr>
        <w:t>：</w:t>
      </w:r>
    </w:p>
    <w:p w14:paraId="2063BA43">
      <w:pPr>
        <w:bidi w:val="0"/>
        <w:rPr>
          <w:rFonts w:hint="eastAsia"/>
          <w:color w:val="auto"/>
        </w:rPr>
      </w:pPr>
      <w:r>
        <w:rPr>
          <w:rFonts w:hint="eastAsia"/>
          <w:color w:val="auto"/>
        </w:rPr>
        <w:t>T´=A´+B´+C´=X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w:t>
      </w:r>
    </w:p>
    <w:p w14:paraId="52B4E87E">
      <w:pPr>
        <w:bidi w:val="0"/>
        <w:rPr>
          <w:rFonts w:hint="default"/>
          <w:color w:val="auto"/>
          <w:lang w:val="en-US" w:eastAsia="zh-CN"/>
        </w:rPr>
      </w:pPr>
      <w:r>
        <w:rPr>
          <w:rFonts w:hint="default"/>
          <w:color w:val="auto"/>
          <w:lang w:val="en-US" w:eastAsia="zh-CN"/>
        </w:rPr>
        <w:t>由上式可得，机械伤害事故的成功树的最小径集有3组；</w:t>
      </w:r>
    </w:p>
    <w:p w14:paraId="5B6CA6FE">
      <w:pPr>
        <w:bidi w:val="0"/>
        <w:rPr>
          <w:rFonts w:hint="default"/>
          <w:color w:val="auto"/>
          <w:lang w:val="en-US" w:eastAsia="zh-CN"/>
        </w:rPr>
      </w:pPr>
      <w:r>
        <w:rPr>
          <w:rFonts w:hint="default"/>
          <w:color w:val="auto"/>
          <w:lang w:val="en-US" w:eastAsia="zh-CN"/>
        </w:rPr>
        <w:t>2、最小割集的计算</w:t>
      </w:r>
    </w:p>
    <w:p w14:paraId="1CEAFA5D">
      <w:pPr>
        <w:bidi w:val="0"/>
        <w:rPr>
          <w:rFonts w:hint="default"/>
          <w:color w:val="auto"/>
          <w:lang w:val="en-US" w:eastAsia="zh-CN"/>
        </w:rPr>
      </w:pPr>
      <w:r>
        <w:rPr>
          <w:rFonts w:hint="default"/>
          <w:color w:val="auto"/>
          <w:lang w:val="en-US" w:eastAsia="zh-CN"/>
        </w:rPr>
        <w:t>事故树表明了影响顶上事件T的10个基本事件的相互逻辑关系。根据事故树分析方法，通过求其最小割集，可以定性地确定基本事件对顶上事件的影响程度。</w:t>
      </w:r>
    </w:p>
    <w:p w14:paraId="30576B79">
      <w:pPr>
        <w:bidi w:val="0"/>
        <w:rPr>
          <w:rFonts w:hint="default"/>
          <w:color w:val="auto"/>
          <w:lang w:val="en-US" w:eastAsia="zh-CN"/>
        </w:rPr>
      </w:pPr>
      <w:r>
        <w:rPr>
          <w:rFonts w:hint="default"/>
          <w:color w:val="auto"/>
          <w:lang w:val="en-US" w:eastAsia="zh-CN"/>
        </w:rPr>
        <w:t>事故树的最小割集求解如下</w:t>
      </w:r>
      <w:r>
        <w:rPr>
          <w:rFonts w:hint="eastAsia"/>
          <w:color w:val="auto"/>
          <w:lang w:val="en-US" w:eastAsia="zh-CN"/>
        </w:rPr>
        <w:t>：</w:t>
      </w:r>
    </w:p>
    <w:p w14:paraId="1FA2F58B">
      <w:pPr>
        <w:bidi w:val="0"/>
        <w:rPr>
          <w:rFonts w:hint="eastAsia"/>
          <w:color w:val="auto"/>
        </w:rPr>
      </w:pPr>
      <w:r>
        <w:rPr>
          <w:rFonts w:hint="eastAsia"/>
          <w:color w:val="auto"/>
        </w:rPr>
        <w:t>P</w:t>
      </w:r>
      <w:r>
        <w:rPr>
          <w:rFonts w:hint="eastAsia"/>
          <w:color w:val="auto"/>
          <w:vertAlign w:val="subscript"/>
        </w:rPr>
        <w:t>1</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w:t>
      </w:r>
    </w:p>
    <w:p w14:paraId="19467789">
      <w:pPr>
        <w:bidi w:val="0"/>
        <w:rPr>
          <w:rFonts w:hint="eastAsia"/>
          <w:color w:val="auto"/>
        </w:rPr>
      </w:pPr>
      <w:r>
        <w:rPr>
          <w:rFonts w:hint="eastAsia"/>
          <w:color w:val="auto"/>
        </w:rPr>
        <w:t>P</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w:t>
      </w:r>
    </w:p>
    <w:p w14:paraId="4043413B">
      <w:pPr>
        <w:bidi w:val="0"/>
        <w:rPr>
          <w:rFonts w:hint="eastAsia"/>
          <w:color w:val="auto"/>
        </w:rPr>
      </w:pPr>
      <w:r>
        <w:rPr>
          <w:rFonts w:hint="eastAsia"/>
          <w:color w:val="auto"/>
        </w:rPr>
        <w:t>P</w:t>
      </w:r>
      <w:r>
        <w:rPr>
          <w:rFonts w:hint="eastAsia"/>
          <w:color w:val="auto"/>
          <w:vertAlign w:val="subscript"/>
        </w:rPr>
        <w:t>3</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w:t>
      </w:r>
    </w:p>
    <w:p w14:paraId="310ED818">
      <w:pPr>
        <w:bidi w:val="0"/>
        <w:rPr>
          <w:rFonts w:hint="default"/>
          <w:color w:val="auto"/>
          <w:lang w:val="en-US" w:eastAsia="zh-CN"/>
        </w:rPr>
      </w:pPr>
      <w:r>
        <w:rPr>
          <w:rFonts w:hint="default"/>
          <w:color w:val="auto"/>
          <w:lang w:val="en-US" w:eastAsia="zh-CN"/>
        </w:rPr>
        <w:t>3、结构重要度的计算</w:t>
      </w:r>
    </w:p>
    <w:p w14:paraId="631249BB">
      <w:pPr>
        <w:bidi w:val="0"/>
        <w:rPr>
          <w:rFonts w:hint="default"/>
          <w:color w:val="auto"/>
          <w:lang w:val="en-US" w:eastAsia="zh-CN"/>
        </w:rPr>
      </w:pPr>
      <w:r>
        <w:rPr>
          <w:rFonts w:hint="default"/>
          <w:color w:val="auto"/>
          <w:lang w:val="en-US" w:eastAsia="zh-CN"/>
        </w:rPr>
        <w:t>结构重要度分析是分析基本事件对顶事件的影响程度，为改进系统安全性提供了重要的信息。利用基本事件的结构重要度系数可以较准确地判定基本事件的结构重要度顺序，但较繁琐。一般利用事故树的最小割集或最小径集来判断基本事件的结构重要度。</w:t>
      </w:r>
    </w:p>
    <w:p w14:paraId="15451638">
      <w:pPr>
        <w:bidi w:val="0"/>
        <w:rPr>
          <w:rFonts w:hint="default"/>
          <w:color w:val="auto"/>
          <w:lang w:val="en-US" w:eastAsia="zh-CN"/>
        </w:rPr>
      </w:pPr>
      <w:r>
        <w:rPr>
          <w:rFonts w:hint="default"/>
          <w:color w:val="auto"/>
          <w:lang w:val="en-US" w:eastAsia="zh-CN"/>
        </w:rPr>
        <w:t>对机械伤害事故树的36个最小割集进行分析，可知基本事件的结构重要度排序是：</w:t>
      </w:r>
    </w:p>
    <w:p w14:paraId="45E74FE0">
      <w:pPr>
        <w:bidi w:val="0"/>
        <w:rPr>
          <w:rFonts w:hint="default"/>
          <w:color w:val="auto"/>
          <w:lang w:val="en-US" w:eastAsia="zh-CN"/>
        </w:rPr>
      </w:pPr>
      <w:r>
        <w:rPr>
          <w:rFonts w:hint="default"/>
          <w:color w:val="auto"/>
          <w:lang w:val="en-US" w:eastAsia="zh-CN"/>
        </w:rPr>
        <w:t>I(1)=I(2)=I(3)=I(8)=I(9)=I(10)&gt;I(4)=I(5)=I(6)=I(7)</w:t>
      </w:r>
    </w:p>
    <w:p w14:paraId="569A2674">
      <w:pPr>
        <w:bidi w:val="0"/>
        <w:rPr>
          <w:rFonts w:hint="default"/>
          <w:color w:val="auto"/>
          <w:lang w:val="en-US" w:eastAsia="zh-CN"/>
        </w:rPr>
      </w:pPr>
      <w:r>
        <w:rPr>
          <w:rFonts w:hint="default"/>
          <w:color w:val="auto"/>
          <w:lang w:val="en-US" w:eastAsia="zh-CN"/>
        </w:rPr>
        <w:t>4、机械伤害事故发生的原因及预防措施</w:t>
      </w:r>
    </w:p>
    <w:p w14:paraId="1CAF2EAD">
      <w:pPr>
        <w:bidi w:val="0"/>
        <w:rPr>
          <w:rFonts w:hint="default"/>
          <w:color w:val="auto"/>
          <w:lang w:val="en-US" w:eastAsia="zh-CN"/>
        </w:rPr>
      </w:pPr>
      <w:r>
        <w:rPr>
          <w:rFonts w:hint="default"/>
          <w:color w:val="auto"/>
          <w:lang w:val="en-US" w:eastAsia="zh-CN"/>
        </w:rPr>
        <w:t>机械伤害事故的原因分析：</w:t>
      </w:r>
    </w:p>
    <w:p w14:paraId="71A768EB">
      <w:pPr>
        <w:bidi w:val="0"/>
        <w:rPr>
          <w:rFonts w:hint="default"/>
          <w:color w:val="auto"/>
          <w:lang w:val="en-US" w:eastAsia="zh-CN"/>
        </w:rPr>
      </w:pPr>
      <w:r>
        <w:rPr>
          <w:rFonts w:hint="default"/>
          <w:color w:val="auto"/>
          <w:lang w:val="en-US" w:eastAsia="zh-CN"/>
        </w:rPr>
        <w:t>每1个最小割集都表示顶上事件发生的一种可能。综合机械伤害事故的36组最小割集，可以得出机械伤害事故的原因有如下几方面：</w:t>
      </w:r>
    </w:p>
    <w:p w14:paraId="013F0674">
      <w:pPr>
        <w:bidi w:val="0"/>
        <w:rPr>
          <w:rFonts w:hint="default"/>
          <w:color w:val="auto"/>
          <w:lang w:val="en-US" w:eastAsia="zh-CN"/>
        </w:rPr>
      </w:pPr>
      <w:r>
        <w:rPr>
          <w:rFonts w:hint="default"/>
          <w:color w:val="auto"/>
          <w:lang w:val="en-US" w:eastAsia="zh-CN"/>
        </w:rPr>
        <w:t>（1）违章作业，操作者不按规程进行操作。违章作业一般都是因作业人员缺乏安全知识，心存侥幸造成的，认为一次违章不一定会造成事故。检修、检查机械时，忽视安全措施；在线检修时，未采取必要的预防措施，如未断电作业、电源处未悬挂警示牌等；不小心进入机械危险部位或是未与操作人员联系，盲目接触机械危险部位。</w:t>
      </w:r>
    </w:p>
    <w:p w14:paraId="124CFB72">
      <w:pPr>
        <w:bidi w:val="0"/>
        <w:rPr>
          <w:rFonts w:hint="default"/>
          <w:color w:val="auto"/>
          <w:lang w:val="en-US" w:eastAsia="zh-CN"/>
        </w:rPr>
      </w:pPr>
      <w:r>
        <w:rPr>
          <w:rFonts w:hint="default"/>
          <w:color w:val="auto"/>
          <w:lang w:val="en-US" w:eastAsia="zh-CN"/>
        </w:rPr>
        <w:t>（2）安全防护设施不健全或形同虚设，主要有以下几种情况：一是无安全防护设施；二是机械设备安全防护设施损坏；三是机械设备安全防护设施被拆除；四是作业人员未按要求使用劳动防护用品。</w:t>
      </w:r>
    </w:p>
    <w:p w14:paraId="12C00143">
      <w:pPr>
        <w:bidi w:val="0"/>
        <w:rPr>
          <w:rFonts w:hint="default"/>
          <w:color w:val="auto"/>
          <w:lang w:val="en-US" w:eastAsia="zh-CN"/>
        </w:rPr>
      </w:pPr>
      <w:r>
        <w:rPr>
          <w:rFonts w:hint="default"/>
          <w:color w:val="auto"/>
          <w:lang w:val="en-US" w:eastAsia="zh-CN"/>
        </w:rPr>
        <w:t>（3）误触开关或违章开机。操作者操作时注意力不集中或思想过于紧张而发生误操作，操作者业务技术素质低，操作不熟练，缺乏正规的专业培训以及监督检查不够。</w:t>
      </w:r>
    </w:p>
    <w:p w14:paraId="0A18F429">
      <w:pPr>
        <w:bidi w:val="0"/>
        <w:rPr>
          <w:rFonts w:hint="default"/>
          <w:color w:val="auto"/>
          <w:lang w:val="en-US" w:eastAsia="zh-CN"/>
        </w:rPr>
      </w:pPr>
      <w:r>
        <w:rPr>
          <w:rFonts w:hint="default"/>
          <w:color w:val="auto"/>
          <w:lang w:val="en-US" w:eastAsia="zh-CN"/>
        </w:rPr>
        <w:t>（4）安全生产意识淡薄，安全管理机制不健全。</w:t>
      </w:r>
    </w:p>
    <w:p w14:paraId="2390F725">
      <w:pPr>
        <w:bidi w:val="0"/>
        <w:rPr>
          <w:rFonts w:hint="default"/>
          <w:color w:val="auto"/>
          <w:lang w:val="en-US" w:eastAsia="zh-CN"/>
        </w:rPr>
      </w:pPr>
      <w:r>
        <w:rPr>
          <w:rFonts w:hint="default"/>
          <w:color w:val="auto"/>
          <w:lang w:val="en-US" w:eastAsia="zh-CN"/>
        </w:rPr>
        <w:t>预防措施：</w:t>
      </w:r>
    </w:p>
    <w:p w14:paraId="71A730AD">
      <w:pPr>
        <w:bidi w:val="0"/>
        <w:rPr>
          <w:rFonts w:hint="default"/>
          <w:color w:val="auto"/>
          <w:lang w:val="en-US" w:eastAsia="zh-CN"/>
        </w:rPr>
      </w:pPr>
      <w:r>
        <w:rPr>
          <w:rFonts w:hint="default"/>
          <w:color w:val="auto"/>
          <w:lang w:val="en-US" w:eastAsia="zh-CN"/>
        </w:rPr>
        <w:t>最小径集表明，1个最小径集中所包含的基本事件都不发生，就可以防止顶上事件发生。从机械伤害事故的成功树的3组最小径集，可以得出预防机械伤害事故的有效措施，最大限度地保证机械设备操作的安全。</w:t>
      </w:r>
    </w:p>
    <w:p w14:paraId="64BD2A94">
      <w:pPr>
        <w:bidi w:val="0"/>
        <w:rPr>
          <w:rFonts w:hint="default"/>
          <w:color w:val="auto"/>
          <w:lang w:val="en-US" w:eastAsia="zh-CN"/>
        </w:rPr>
      </w:pPr>
      <w:r>
        <w:rPr>
          <w:rFonts w:hint="default"/>
          <w:color w:val="auto"/>
          <w:lang w:val="en-US" w:eastAsia="zh-CN"/>
        </w:rPr>
        <w:t>（1）检修、检查机械设备时，必须落实各项安全措施。</w:t>
      </w:r>
    </w:p>
    <w:p w14:paraId="56F44370">
      <w:pPr>
        <w:bidi w:val="0"/>
        <w:rPr>
          <w:rFonts w:hint="default"/>
          <w:color w:val="auto"/>
          <w:lang w:val="en-US" w:eastAsia="zh-CN"/>
        </w:rPr>
      </w:pPr>
      <w:r>
        <w:rPr>
          <w:rFonts w:hint="default"/>
          <w:color w:val="auto"/>
          <w:lang w:val="en-US" w:eastAsia="zh-CN"/>
        </w:rPr>
        <w:t>（2）对各种机械的传动带、明齿轮、接近地面的联轴节、皮带轮、飞轮等易伤人体的部位都必须有完好的防护设施。</w:t>
      </w:r>
    </w:p>
    <w:p w14:paraId="09E31F47">
      <w:pPr>
        <w:bidi w:val="0"/>
        <w:rPr>
          <w:rFonts w:hint="default"/>
          <w:color w:val="auto"/>
          <w:lang w:val="en-US" w:eastAsia="zh-CN"/>
        </w:rPr>
      </w:pPr>
      <w:r>
        <w:rPr>
          <w:rFonts w:hint="default"/>
          <w:color w:val="auto"/>
          <w:lang w:val="en-US" w:eastAsia="zh-CN"/>
        </w:rPr>
        <w:t>（</w:t>
      </w:r>
      <w:r>
        <w:rPr>
          <w:rFonts w:hint="eastAsia"/>
          <w:color w:val="auto"/>
          <w:lang w:val="en-US" w:eastAsia="zh-CN"/>
        </w:rPr>
        <w:t>3</w:t>
      </w:r>
      <w:r>
        <w:rPr>
          <w:rFonts w:hint="default"/>
          <w:color w:val="auto"/>
          <w:lang w:val="en-US" w:eastAsia="zh-CN"/>
        </w:rPr>
        <w:t>）提高机械操作人员的技能和增强作业人员的安全意识，必须经过严格的专业技术培训，考试合格后方可岗，严格遵守相关规定。</w:t>
      </w:r>
    </w:p>
    <w:p w14:paraId="2F3A2531">
      <w:pPr>
        <w:pStyle w:val="6"/>
        <w:bidi w:val="0"/>
        <w:rPr>
          <w:rFonts w:hint="default"/>
          <w:color w:val="auto"/>
          <w:lang w:val="en-US" w:eastAsia="zh-CN"/>
        </w:rPr>
      </w:pPr>
      <w:r>
        <w:rPr>
          <w:rFonts w:hint="default"/>
          <w:color w:val="auto"/>
          <w:lang w:val="en-US" w:eastAsia="zh-CN"/>
        </w:rPr>
        <w:t>5.2.</w:t>
      </w:r>
      <w:r>
        <w:rPr>
          <w:rFonts w:hint="eastAsia"/>
          <w:color w:val="auto"/>
          <w:lang w:val="en-US" w:eastAsia="zh-CN"/>
        </w:rPr>
        <w:t>3</w:t>
      </w:r>
      <w:r>
        <w:rPr>
          <w:rFonts w:hint="default"/>
          <w:color w:val="auto"/>
          <w:lang w:val="en-US" w:eastAsia="zh-CN"/>
        </w:rPr>
        <w:t xml:space="preserve"> 起重伤害事故树分析</w:t>
      </w:r>
    </w:p>
    <w:p w14:paraId="0E00C92A">
      <w:pPr>
        <w:bidi w:val="0"/>
        <w:rPr>
          <w:rFonts w:hint="default"/>
          <w:color w:val="auto"/>
          <w:lang w:val="en-US" w:eastAsia="zh-CN"/>
        </w:rPr>
      </w:pPr>
      <w:r>
        <w:rPr>
          <w:rFonts w:hint="default"/>
          <w:color w:val="auto"/>
          <w:lang w:val="en-US" w:eastAsia="zh-CN"/>
        </w:rPr>
        <w:t>该</w:t>
      </w:r>
      <w:r>
        <w:rPr>
          <w:rFonts w:hint="eastAsia"/>
          <w:color w:val="auto"/>
          <w:lang w:val="en-US" w:eastAsia="zh-CN"/>
        </w:rPr>
        <w:t>项目</w:t>
      </w:r>
      <w:r>
        <w:rPr>
          <w:rFonts w:hint="default"/>
          <w:color w:val="auto"/>
          <w:lang w:val="en-US" w:eastAsia="zh-CN"/>
        </w:rPr>
        <w:t>有多台起重设备，如果设计、安装、检修、操作不当等，容易发生起重伤害，以下是对设备钢丝绳断裂进行事故树分析。</w:t>
      </w:r>
    </w:p>
    <w:p w14:paraId="5FBDFA7D">
      <w:pPr>
        <w:bidi w:val="0"/>
        <w:ind w:left="0" w:leftChars="0" w:firstLine="0" w:firstLineChars="0"/>
        <w:jc w:val="center"/>
        <w:rPr>
          <w:rFonts w:hint="default"/>
          <w:color w:val="auto"/>
          <w:lang w:val="en-US" w:eastAsia="zh-CN"/>
        </w:rPr>
      </w:pPr>
      <w:r>
        <w:rPr>
          <w:rFonts w:hint="eastAsia"/>
          <w:color w:val="auto"/>
        </w:rPr>
        <w:drawing>
          <wp:inline distT="0" distB="0" distL="114300" distR="114300">
            <wp:extent cx="5753735" cy="4173220"/>
            <wp:effectExtent l="0" t="0" r="18415" b="1778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7"/>
                    <a:stretch>
                      <a:fillRect/>
                    </a:stretch>
                  </pic:blipFill>
                  <pic:spPr>
                    <a:xfrm>
                      <a:off x="0" y="0"/>
                      <a:ext cx="5753735" cy="4173220"/>
                    </a:xfrm>
                    <a:prstGeom prst="rect">
                      <a:avLst/>
                    </a:prstGeom>
                    <a:noFill/>
                    <a:ln w="12700">
                      <a:noFill/>
                    </a:ln>
                  </pic:spPr>
                </pic:pic>
              </a:graphicData>
            </a:graphic>
          </wp:inline>
        </w:drawing>
      </w:r>
    </w:p>
    <w:p w14:paraId="52023E43">
      <w:pPr>
        <w:pStyle w:val="29"/>
        <w:bidi w:val="0"/>
        <w:rPr>
          <w:rFonts w:hint="default"/>
          <w:color w:val="auto"/>
          <w:lang w:val="en-US" w:eastAsia="zh-CN"/>
        </w:rPr>
      </w:pPr>
      <w:r>
        <w:rPr>
          <w:rFonts w:hint="default"/>
          <w:color w:val="auto"/>
          <w:lang w:val="en-US" w:eastAsia="zh-CN"/>
        </w:rPr>
        <w:t>图5.2-</w:t>
      </w:r>
      <w:r>
        <w:rPr>
          <w:rFonts w:hint="eastAsia"/>
          <w:color w:val="auto"/>
          <w:lang w:val="en-US" w:eastAsia="zh-CN"/>
        </w:rPr>
        <w:t xml:space="preserve">2 </w:t>
      </w:r>
      <w:r>
        <w:rPr>
          <w:rFonts w:hint="default"/>
          <w:color w:val="auto"/>
          <w:lang w:val="en-US" w:eastAsia="zh-CN"/>
        </w:rPr>
        <w:t xml:space="preserve"> 起重钢丝绳断裂事故树</w:t>
      </w:r>
    </w:p>
    <w:p w14:paraId="7FD1C157">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hint="default" w:ascii="Times New Roman" w:hAnsi="Times New Roman" w:eastAsia="宋体" w:cs="Times New Roman"/>
          <w:color w:val="auto"/>
          <w:sz w:val="28"/>
          <w:lang w:val="en-US" w:eastAsia="zh-CN"/>
        </w:rPr>
      </w:pPr>
      <w:r>
        <w:rPr>
          <w:rFonts w:hint="default" w:ascii="Times New Roman" w:hAnsi="Times New Roman" w:eastAsia="宋体" w:cs="Times New Roman"/>
          <w:color w:val="auto"/>
          <w:sz w:val="28"/>
          <w:lang w:val="en-US" w:eastAsia="zh-CN"/>
        </w:rPr>
        <w:t>最小割集计算：</w:t>
      </w:r>
    </w:p>
    <w:p w14:paraId="506455D9">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T=A</w:t>
      </w:r>
      <w:r>
        <w:rPr>
          <w:rFonts w:ascii="Times New Roman" w:hAnsi="Times New Roman" w:eastAsia="宋体" w:cs="Times New Roman"/>
          <w:color w:val="auto"/>
          <w:sz w:val="28"/>
          <w:vertAlign w:val="subscript"/>
        </w:rPr>
        <w:t>1</w:t>
      </w:r>
      <w:r>
        <w:rPr>
          <w:rFonts w:ascii="Times New Roman" w:hAnsi="Times New Roman" w:eastAsia="宋体" w:cs="Times New Roman"/>
          <w:color w:val="auto"/>
          <w:sz w:val="28"/>
        </w:rPr>
        <w:t>+A</w:t>
      </w:r>
      <w:r>
        <w:rPr>
          <w:rFonts w:ascii="Times New Roman" w:hAnsi="Times New Roman" w:eastAsia="宋体" w:cs="Times New Roman"/>
          <w:color w:val="auto"/>
          <w:sz w:val="28"/>
          <w:vertAlign w:val="subscript"/>
        </w:rPr>
        <w:t>2</w:t>
      </w:r>
      <w:r>
        <w:rPr>
          <w:rFonts w:ascii="Times New Roman" w:hAnsi="Times New Roman" w:eastAsia="宋体" w:cs="Times New Roman"/>
          <w:color w:val="auto"/>
          <w:sz w:val="28"/>
        </w:rPr>
        <w:t>+A</w:t>
      </w:r>
      <w:r>
        <w:rPr>
          <w:rFonts w:ascii="Times New Roman" w:hAnsi="Times New Roman" w:eastAsia="宋体" w:cs="Times New Roman"/>
          <w:color w:val="auto"/>
          <w:sz w:val="28"/>
          <w:vertAlign w:val="subscript"/>
        </w:rPr>
        <w:t>3</w:t>
      </w:r>
    </w:p>
    <w:p w14:paraId="5C2072CE">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=B</w:t>
      </w:r>
      <w:r>
        <w:rPr>
          <w:rFonts w:ascii="Times New Roman" w:hAnsi="Times New Roman" w:eastAsia="宋体" w:cs="Times New Roman"/>
          <w:color w:val="auto"/>
          <w:sz w:val="28"/>
          <w:vertAlign w:val="subscript"/>
        </w:rPr>
        <w:t>1</w:t>
      </w:r>
      <w:r>
        <w:rPr>
          <w:rFonts w:ascii="Times New Roman" w:hAnsi="Times New Roman" w:eastAsia="宋体" w:cs="Times New Roman"/>
          <w:color w:val="auto"/>
          <w:sz w:val="28"/>
        </w:rPr>
        <w:t>B</w:t>
      </w:r>
      <w:r>
        <w:rPr>
          <w:rFonts w:ascii="Times New Roman" w:hAnsi="Times New Roman" w:eastAsia="宋体" w:cs="Times New Roman"/>
          <w:color w:val="auto"/>
          <w:sz w:val="28"/>
          <w:vertAlign w:val="subscript"/>
        </w:rPr>
        <w:t>2</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p>
    <w:p w14:paraId="7CDEEB5C">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p>
    <w:p w14:paraId="7EF443B9">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p>
    <w:p w14:paraId="17F40BCB">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则最小割集有</w:t>
      </w:r>
      <w:r>
        <w:rPr>
          <w:rFonts w:ascii="Times New Roman" w:hAnsi="Times New Roman" w:eastAsia="宋体" w:cs="Times New Roman"/>
          <w:color w:val="auto"/>
          <w:sz w:val="28"/>
        </w:rPr>
        <w:t>8</w:t>
      </w:r>
      <w:r>
        <w:rPr>
          <w:rFonts w:hint="eastAsia" w:ascii="Times New Roman" w:hAnsi="Times New Roman" w:eastAsia="宋体" w:cs="Times New Roman"/>
          <w:color w:val="auto"/>
          <w:sz w:val="28"/>
        </w:rPr>
        <w:t>个，即</w:t>
      </w:r>
      <w:r>
        <w:rPr>
          <w:rFonts w:ascii="Times New Roman" w:hAnsi="Times New Roman" w:eastAsia="宋体" w:cs="Times New Roman"/>
          <w:color w:val="auto"/>
          <w:sz w:val="28"/>
        </w:rPr>
        <w:t>K</w:t>
      </w:r>
      <w:r>
        <w:rPr>
          <w:rFonts w:ascii="Times New Roman" w:hAnsi="Times New Roman" w:eastAsia="宋体" w:cs="Times New Roman"/>
          <w:color w:val="auto"/>
          <w:sz w:val="28"/>
          <w:vertAlign w:val="subscript"/>
        </w:rPr>
        <w:t>1</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K</w:t>
      </w:r>
      <w:r>
        <w:rPr>
          <w:rFonts w:ascii="Times New Roman" w:hAnsi="Times New Roman" w:eastAsia="宋体" w:cs="Times New Roman"/>
          <w:color w:val="auto"/>
          <w:sz w:val="28"/>
          <w:vertAlign w:val="subscript"/>
        </w:rPr>
        <w:t>2</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K</w:t>
      </w:r>
      <w:r>
        <w:rPr>
          <w:rFonts w:ascii="Times New Roman" w:hAnsi="Times New Roman" w:eastAsia="宋体" w:cs="Times New Roman"/>
          <w:color w:val="auto"/>
          <w:sz w:val="28"/>
          <w:vertAlign w:val="subscript"/>
        </w:rPr>
        <w:t>3</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K</w:t>
      </w:r>
      <w:r>
        <w:rPr>
          <w:rFonts w:ascii="Times New Roman" w:hAnsi="Times New Roman" w:eastAsia="宋体" w:cs="Times New Roman"/>
          <w:color w:val="auto"/>
          <w:sz w:val="28"/>
          <w:vertAlign w:val="subscript"/>
        </w:rPr>
        <w:t>4</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K</w:t>
      </w:r>
      <w:r>
        <w:rPr>
          <w:rFonts w:ascii="Times New Roman" w:hAnsi="Times New Roman" w:eastAsia="宋体" w:cs="Times New Roman"/>
          <w:color w:val="auto"/>
          <w:sz w:val="28"/>
          <w:vertAlign w:val="subscript"/>
        </w:rPr>
        <w:t>5</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K</w:t>
      </w:r>
      <w:r>
        <w:rPr>
          <w:rFonts w:ascii="Times New Roman" w:hAnsi="Times New Roman" w:eastAsia="宋体" w:cs="Times New Roman"/>
          <w:color w:val="auto"/>
          <w:sz w:val="28"/>
          <w:vertAlign w:val="subscript"/>
        </w:rPr>
        <w:t>6</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K</w:t>
      </w:r>
      <w:r>
        <w:rPr>
          <w:rFonts w:ascii="Times New Roman" w:hAnsi="Times New Roman" w:eastAsia="宋体" w:cs="Times New Roman"/>
          <w:color w:val="auto"/>
          <w:sz w:val="28"/>
          <w:vertAlign w:val="subscript"/>
        </w:rPr>
        <w:t>7</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K</w:t>
      </w:r>
      <w:r>
        <w:rPr>
          <w:rFonts w:ascii="Times New Roman" w:hAnsi="Times New Roman" w:eastAsia="宋体" w:cs="Times New Roman"/>
          <w:color w:val="auto"/>
          <w:sz w:val="28"/>
          <w:vertAlign w:val="subscript"/>
        </w:rPr>
        <w:t>8</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54D21C4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最小径集计算：</w:t>
      </w:r>
    </w:p>
    <w:p w14:paraId="1E250B54">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=A</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A</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A</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p>
    <w:p w14:paraId="7CE09CC3">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B</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+B</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0A31A6E2">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7962C9E2">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4B45AD23">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 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45121DC9">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则故障树的最小径集为</w:t>
      </w:r>
      <w:r>
        <w:rPr>
          <w:rFonts w:ascii="Times New Roman" w:hAnsi="Times New Roman" w:eastAsia="宋体" w:cs="Times New Roman"/>
          <w:color w:val="auto"/>
          <w:sz w:val="28"/>
        </w:rPr>
        <w:t>8</w:t>
      </w:r>
      <w:r>
        <w:rPr>
          <w:rFonts w:hint="eastAsia" w:ascii="Times New Roman" w:hAnsi="Times New Roman" w:eastAsia="宋体" w:cs="Times New Roman"/>
          <w:color w:val="auto"/>
          <w:sz w:val="28"/>
        </w:rPr>
        <w:t>个，即</w:t>
      </w:r>
    </w:p>
    <w:p w14:paraId="49B5F639">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P</w:t>
      </w:r>
      <w:r>
        <w:rPr>
          <w:rFonts w:ascii="Times New Roman" w:hAnsi="Times New Roman" w:eastAsia="宋体" w:cs="Times New Roman"/>
          <w:color w:val="auto"/>
          <w:sz w:val="28"/>
          <w:vertAlign w:val="subscript"/>
        </w:rPr>
        <w:t>1</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p>
    <w:p w14:paraId="4289C5CD">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P</w:t>
      </w:r>
      <w:r>
        <w:rPr>
          <w:rFonts w:ascii="Times New Roman" w:hAnsi="Times New Roman" w:eastAsia="宋体" w:cs="Times New Roman"/>
          <w:color w:val="auto"/>
          <w:sz w:val="28"/>
          <w:vertAlign w:val="subscript"/>
        </w:rPr>
        <w:t>2</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41146B8D">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P</w:t>
      </w:r>
      <w:r>
        <w:rPr>
          <w:rFonts w:ascii="Times New Roman" w:hAnsi="Times New Roman" w:eastAsia="宋体" w:cs="Times New Roman"/>
          <w:color w:val="auto"/>
          <w:sz w:val="28"/>
          <w:vertAlign w:val="subscript"/>
        </w:rPr>
        <w:t>3</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p>
    <w:p w14:paraId="172F7066">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P</w:t>
      </w:r>
      <w:r>
        <w:rPr>
          <w:rFonts w:ascii="Times New Roman" w:hAnsi="Times New Roman" w:eastAsia="宋体" w:cs="Times New Roman"/>
          <w:color w:val="auto"/>
          <w:sz w:val="28"/>
          <w:vertAlign w:val="subscript"/>
        </w:rPr>
        <w:t>4</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3</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23628D50">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P</w:t>
      </w:r>
      <w:r>
        <w:rPr>
          <w:rFonts w:ascii="Times New Roman" w:hAnsi="Times New Roman" w:eastAsia="宋体" w:cs="Times New Roman"/>
          <w:color w:val="auto"/>
          <w:sz w:val="28"/>
          <w:vertAlign w:val="subscript"/>
        </w:rPr>
        <w:t>5</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p>
    <w:p w14:paraId="18490B6D">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P</w:t>
      </w:r>
      <w:r>
        <w:rPr>
          <w:rFonts w:ascii="Times New Roman" w:hAnsi="Times New Roman" w:eastAsia="宋体" w:cs="Times New Roman"/>
          <w:color w:val="auto"/>
          <w:sz w:val="28"/>
          <w:vertAlign w:val="subscript"/>
        </w:rPr>
        <w:t>6</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458F411F">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P</w:t>
      </w:r>
      <w:r>
        <w:rPr>
          <w:rFonts w:ascii="Times New Roman" w:hAnsi="Times New Roman" w:eastAsia="宋体" w:cs="Times New Roman"/>
          <w:color w:val="auto"/>
          <w:sz w:val="28"/>
          <w:vertAlign w:val="subscript"/>
        </w:rPr>
        <w:t>7</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8</w:t>
      </w:r>
      <w:r>
        <w:rPr>
          <w:rFonts w:hint="eastAsia" w:ascii="Times New Roman" w:hAnsi="Times New Roman" w:eastAsia="宋体" w:cs="Times New Roman"/>
          <w:color w:val="auto"/>
          <w:sz w:val="28"/>
        </w:rPr>
        <w:t>｝；</w:t>
      </w:r>
    </w:p>
    <w:p w14:paraId="7FD711DC">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P</w:t>
      </w:r>
      <w:r>
        <w:rPr>
          <w:rFonts w:ascii="Times New Roman" w:hAnsi="Times New Roman" w:eastAsia="宋体" w:cs="Times New Roman"/>
          <w:color w:val="auto"/>
          <w:sz w:val="28"/>
          <w:vertAlign w:val="subscript"/>
        </w:rPr>
        <w:t>8</w:t>
      </w:r>
      <w:r>
        <w:rPr>
          <w:rFonts w:ascii="Times New Roman" w:hAnsi="Times New Roman" w:eastAsia="宋体" w:cs="Times New Roman"/>
          <w:color w:val="auto"/>
          <w:sz w:val="28"/>
        </w:rPr>
        <w:t>=</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X</w:t>
      </w:r>
      <w:r>
        <w:rPr>
          <w:rFonts w:ascii="Times New Roman" w:hAnsi="Times New Roman" w:eastAsia="宋体" w:cs="Times New Roman"/>
          <w:color w:val="auto"/>
          <w:sz w:val="28"/>
          <w:vertAlign w:val="subscript"/>
        </w:rPr>
        <w:t>9</w:t>
      </w:r>
      <w:r>
        <w:rPr>
          <w:rFonts w:hint="eastAsia" w:ascii="Times New Roman" w:hAnsi="Times New Roman" w:eastAsia="宋体" w:cs="Times New Roman"/>
          <w:color w:val="auto"/>
          <w:sz w:val="28"/>
        </w:rPr>
        <w:t>｝；</w:t>
      </w:r>
    </w:p>
    <w:p w14:paraId="04140D77">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结构重要度的确定：</w:t>
      </w:r>
    </w:p>
    <w:p w14:paraId="046B94D5">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同样，依据最小径（割）集判断基本事件结构重要系数的近似判别式：</w:t>
      </w:r>
    </w:p>
    <w:p w14:paraId="2C96719D">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p>
    <w:p w14:paraId="3B5CBAF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drawing>
          <wp:anchor distT="0" distB="0" distL="0" distR="0" simplePos="0" relativeHeight="251659264" behindDoc="0" locked="0" layoutInCell="1" allowOverlap="1">
            <wp:simplePos x="0" y="0"/>
            <wp:positionH relativeFrom="column">
              <wp:posOffset>906780</wp:posOffset>
            </wp:positionH>
            <wp:positionV relativeFrom="paragraph">
              <wp:posOffset>3810</wp:posOffset>
            </wp:positionV>
            <wp:extent cx="2628900" cy="594360"/>
            <wp:effectExtent l="0" t="0" r="0" b="0"/>
            <wp:wrapNone/>
            <wp:docPr id="22" name="_x0000_s1026"/>
            <wp:cNvGraphicFramePr/>
            <a:graphic xmlns:a="http://schemas.openxmlformats.org/drawingml/2006/main">
              <a:graphicData uri="http://schemas.openxmlformats.org/drawingml/2006/picture">
                <pic:pic xmlns:pic="http://schemas.openxmlformats.org/drawingml/2006/picture">
                  <pic:nvPicPr>
                    <pic:cNvPr id="22" name="_x0000_s1026"/>
                    <pic:cNvPicPr/>
                  </pic:nvPicPr>
                  <pic:blipFill>
                    <a:blip r:embed="rId18"/>
                    <a:stretch>
                      <a:fillRect/>
                    </a:stretch>
                  </pic:blipFill>
                  <pic:spPr>
                    <a:xfrm>
                      <a:off x="0" y="0"/>
                      <a:ext cx="2628900" cy="594360"/>
                    </a:xfrm>
                    <a:prstGeom prst="rect">
                      <a:avLst/>
                    </a:prstGeom>
                  </pic:spPr>
                </pic:pic>
              </a:graphicData>
            </a:graphic>
          </wp:anchor>
        </w:drawing>
      </w:r>
    </w:p>
    <w:p w14:paraId="59EE1DFA">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p>
    <w:p w14:paraId="63FD986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rPr>
        <w:t>式中：</w:t>
      </w:r>
    </w:p>
    <w:tbl>
      <w:tblPr>
        <w:tblStyle w:val="21"/>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6660"/>
      </w:tblGrid>
      <w:tr w14:paraId="3A13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42B70FF3">
            <w:pPr>
              <w:pStyle w:val="30"/>
              <w:bidi w:val="0"/>
              <w:rPr>
                <w:color w:val="auto"/>
              </w:rPr>
            </w:pPr>
            <w:r>
              <w:rPr>
                <w:rFonts w:hint="eastAsia"/>
                <w:color w:val="auto"/>
              </w:rPr>
              <w:t>I(i)</w:t>
            </w:r>
          </w:p>
        </w:tc>
        <w:tc>
          <w:tcPr>
            <w:tcW w:w="6660" w:type="dxa"/>
          </w:tcPr>
          <w:p w14:paraId="66068A99">
            <w:pPr>
              <w:pStyle w:val="30"/>
              <w:bidi w:val="0"/>
              <w:rPr>
                <w:color w:val="auto"/>
              </w:rPr>
            </w:pPr>
            <w:r>
              <w:rPr>
                <w:rFonts w:hint="eastAsia"/>
                <w:color w:val="auto"/>
              </w:rPr>
              <w:t>—— 基本事件Xi结构重要系数的近似判别值；</w:t>
            </w:r>
          </w:p>
        </w:tc>
      </w:tr>
      <w:tr w14:paraId="3A2F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47E4D166">
            <w:pPr>
              <w:pStyle w:val="30"/>
              <w:bidi w:val="0"/>
              <w:rPr>
                <w:color w:val="auto"/>
              </w:rPr>
            </w:pPr>
            <w:r>
              <w:rPr>
                <w:rFonts w:hint="eastAsia"/>
                <w:color w:val="auto"/>
              </w:rPr>
              <w:t>Xi∈Kj</w:t>
            </w:r>
          </w:p>
        </w:tc>
        <w:tc>
          <w:tcPr>
            <w:tcW w:w="6660" w:type="dxa"/>
          </w:tcPr>
          <w:p w14:paraId="75389E74">
            <w:pPr>
              <w:pStyle w:val="30"/>
              <w:bidi w:val="0"/>
              <w:rPr>
                <w:color w:val="auto"/>
              </w:rPr>
            </w:pPr>
            <w:r>
              <w:rPr>
                <w:rFonts w:hint="eastAsia"/>
                <w:color w:val="auto"/>
              </w:rPr>
              <w:t>—— 基本事件Xi属于Kj最小径（割）集；</w:t>
            </w:r>
          </w:p>
        </w:tc>
      </w:tr>
      <w:tr w14:paraId="75A1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1ECDC51A">
            <w:pPr>
              <w:pStyle w:val="30"/>
              <w:bidi w:val="0"/>
              <w:rPr>
                <w:color w:val="auto"/>
              </w:rPr>
            </w:pPr>
            <w:r>
              <w:rPr>
                <w:rFonts w:hint="eastAsia"/>
                <w:color w:val="auto"/>
              </w:rPr>
              <w:t>ni</w:t>
            </w:r>
          </w:p>
        </w:tc>
        <w:tc>
          <w:tcPr>
            <w:tcW w:w="6660" w:type="dxa"/>
          </w:tcPr>
          <w:p w14:paraId="5528EBC0">
            <w:pPr>
              <w:pStyle w:val="30"/>
              <w:bidi w:val="0"/>
              <w:rPr>
                <w:color w:val="auto"/>
              </w:rPr>
            </w:pPr>
            <w:r>
              <w:rPr>
                <w:rFonts w:hint="eastAsia"/>
                <w:color w:val="auto"/>
              </w:rPr>
              <w:t>—— 基本事件Xi所在最小径（割）集中包含基本事件的个数。</w:t>
            </w:r>
          </w:p>
        </w:tc>
      </w:tr>
    </w:tbl>
    <w:p w14:paraId="11E40489">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3</w:t>
      </w:r>
      <w:r>
        <w:rPr>
          <w:rFonts w:hint="eastAsia" w:ascii="Times New Roman" w:hAnsi="Times New Roman" w:eastAsia="宋体" w:cs="Times New Roman"/>
          <w:color w:val="auto"/>
          <w:sz w:val="28"/>
        </w:rPr>
        <w:t>）</w:t>
      </w:r>
    </w:p>
    <w:p w14:paraId="49F6D838">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5</w:t>
      </w:r>
      <w:r>
        <w:rPr>
          <w:rFonts w:hint="eastAsia" w:ascii="Times New Roman" w:hAnsi="Times New Roman" w:eastAsia="宋体" w:cs="Times New Roman"/>
          <w:color w:val="auto"/>
          <w:sz w:val="28"/>
        </w:rPr>
        <w:t>）</w:t>
      </w:r>
    </w:p>
    <w:p w14:paraId="2E7CD3CD">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9</w:t>
      </w:r>
      <w:r>
        <w:rPr>
          <w:rFonts w:hint="eastAsia" w:ascii="Times New Roman" w:hAnsi="Times New Roman" w:eastAsia="宋体" w:cs="Times New Roman"/>
          <w:color w:val="auto"/>
          <w:sz w:val="28"/>
        </w:rPr>
        <w:t>）</w:t>
      </w:r>
    </w:p>
    <w:p w14:paraId="30737352">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=0.25</w:t>
      </w:r>
    </w:p>
    <w:p w14:paraId="3BBAA4E8">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=0.5</w:t>
      </w:r>
    </w:p>
    <w:p w14:paraId="02153D63">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=0.375</w:t>
      </w:r>
    </w:p>
    <w:p w14:paraId="02C16CD6">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由此可得出各基本事件的结构重要度顺序为：</w:t>
      </w:r>
    </w:p>
    <w:p w14:paraId="2DB99E83">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4</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5</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6</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7</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8</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9</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1</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2</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=I</w:t>
      </w: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3</w:t>
      </w:r>
      <w:r>
        <w:rPr>
          <w:rFonts w:hint="eastAsia" w:ascii="Times New Roman" w:hAnsi="Times New Roman" w:eastAsia="宋体" w:cs="Times New Roman"/>
          <w:color w:val="auto"/>
          <w:sz w:val="28"/>
        </w:rPr>
        <w:t>）</w:t>
      </w:r>
    </w:p>
    <w:p w14:paraId="3F11FC1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由事故树分析可知，起重机械伤害事故中“日常检查和定期检查”的结构重要度最大，所以企业应重视起重机械的日常检查和定期检测。</w:t>
      </w:r>
    </w:p>
    <w:p w14:paraId="40ABCEAA">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典型起重机械事故及预防：</w:t>
      </w:r>
    </w:p>
    <w:p w14:paraId="5EAA8B4F">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1</w:t>
      </w:r>
      <w:r>
        <w:rPr>
          <w:rFonts w:hint="eastAsia" w:ascii="Times New Roman" w:hAnsi="Times New Roman" w:eastAsia="宋体" w:cs="Times New Roman"/>
          <w:color w:val="auto"/>
          <w:sz w:val="28"/>
        </w:rPr>
        <w:t>、重物失落事故</w:t>
      </w:r>
    </w:p>
    <w:p w14:paraId="522E5127">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1</w:t>
      </w:r>
      <w:r>
        <w:rPr>
          <w:rFonts w:hint="eastAsia" w:ascii="Times New Roman" w:hAnsi="Times New Roman" w:eastAsia="宋体" w:cs="Times New Roman"/>
          <w:color w:val="auto"/>
          <w:sz w:val="28"/>
        </w:rPr>
        <w:t>）脱绳事故</w:t>
      </w:r>
    </w:p>
    <w:p w14:paraId="14C75FAC">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脱绳事故是指重物从捆绑的吊装绳索中脱落、溃散而发生的伤亡毁坏事故。造成脱绳事故的主要原因有：重物的捆绑方法不当，造成重物滑脱；吊装重心选择不当，造成偏载起吊或吊装中心不稳，使重物脱落；吊装遭到碰撞、冲击而摇摆不定，造成重物失落等。</w:t>
      </w:r>
    </w:p>
    <w:p w14:paraId="3D903F08">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2</w:t>
      </w:r>
      <w:r>
        <w:rPr>
          <w:rFonts w:hint="eastAsia" w:ascii="Times New Roman" w:hAnsi="Times New Roman" w:eastAsia="宋体" w:cs="Times New Roman"/>
          <w:color w:val="auto"/>
          <w:sz w:val="28"/>
        </w:rPr>
        <w:t>）脱钩事故</w:t>
      </w:r>
    </w:p>
    <w:p w14:paraId="05591115">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脱钩事故是指重物、吊装绳或专用吊具从吊钩口脱出而引起的重物失落事故。造成脱钩事故的原因有：吊钩缺少护钩装置；护钩装置机能失效；吊装方法不当，吊钩钩口变形引起开口过大等。</w:t>
      </w:r>
    </w:p>
    <w:p w14:paraId="194FB4CE">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3</w:t>
      </w:r>
      <w:r>
        <w:rPr>
          <w:rFonts w:hint="eastAsia" w:ascii="Times New Roman" w:hAnsi="Times New Roman" w:eastAsia="宋体" w:cs="Times New Roman"/>
          <w:color w:val="auto"/>
          <w:sz w:val="28"/>
        </w:rPr>
        <w:t>）断绳事故</w:t>
      </w:r>
    </w:p>
    <w:p w14:paraId="74260E29">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断绳事故是指起升绳和吊装绳破断造成的重物失落事故。</w:t>
      </w:r>
    </w:p>
    <w:p w14:paraId="45B24FB7">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造成起升绳破断的主要原因有：超载起吊拉断钢丝绳；起升限位开关失灵造成过卷拉断钢丝绳；斜吊、斜拉造成乱绳挤伤切断钢丝绳；钢丝绳因长期使用又缺乏维护与保养，造成疲劳变形、磨损损伤；钢丝绳达到或唱过报废标准仍然使用等。</w:t>
      </w:r>
    </w:p>
    <w:p w14:paraId="3B1DC11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造成吊装绳破断的主要原因有：吊钩上吊装绳夹角太大（</w:t>
      </w:r>
      <w:r>
        <w:rPr>
          <w:rFonts w:ascii="Times New Roman" w:hAnsi="Times New Roman" w:eastAsia="宋体" w:cs="Times New Roman"/>
          <w:color w:val="auto"/>
          <w:sz w:val="28"/>
        </w:rPr>
        <w:t>&gt;120</w:t>
      </w:r>
      <w:r>
        <w:rPr>
          <w:rFonts w:hint="eastAsia" w:ascii="Times New Roman" w:hAnsi="Times New Roman" w:eastAsia="宋体" w:cs="Times New Roman"/>
          <w:color w:val="auto"/>
          <w:sz w:val="28"/>
        </w:rPr>
        <w:t>），使吊装绳上的拉力超过极限值而被拉断；吊装钢丝绳品种、规格选择不当，或仍使用已达到报废标准的钢丝绳捆绑吊装重物，造成吊装绳破断；吊装绳与重物接触处无垫片等保护措施，造成棱角而割断钢丝绳。</w:t>
      </w:r>
    </w:p>
    <w:p w14:paraId="2F578969">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4</w:t>
      </w:r>
      <w:r>
        <w:rPr>
          <w:rFonts w:hint="eastAsia" w:ascii="Times New Roman" w:hAnsi="Times New Roman" w:eastAsia="宋体" w:cs="Times New Roman"/>
          <w:color w:val="auto"/>
          <w:sz w:val="28"/>
        </w:rPr>
        <w:t>）吊钩断裂事故</w:t>
      </w:r>
    </w:p>
    <w:p w14:paraId="0AFD4160">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吊钩断裂事故是指吊钩断裂造成的重物失落事故。</w:t>
      </w:r>
    </w:p>
    <w:p w14:paraId="07A482A5">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造成吊钩断裂事故的原因有：吊钩材质有缺陷；吊钩因长期磨损而使断面减小；吊钩已达到报废极限标准却仍然使用或经常超载使用，造成疲劳断裂。</w:t>
      </w:r>
    </w:p>
    <w:p w14:paraId="03D00C1B">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起重机械失落事故主要是发生在起升机构取物缠绕系统中，如脱绳、脱钩、断绳和断钩等。每根起升钢丝绳两端的固定也十分重要，如钢丝绳在卷同上的极限安全圈是否能保证在两圈以上，是否有下降限位保护，钢丝绳在卷筒装置上的压板固定及楔块固定是否安全、可靠。另外，钢丝绳脱槽（脱离卷筒绳槽）或脱轮（脱离滑轮）也会造成失落事故。</w:t>
      </w:r>
    </w:p>
    <w:p w14:paraId="664D63AB">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失落事故是起重机械事故中最常见的，也是较为严重的。</w:t>
      </w:r>
    </w:p>
    <w:p w14:paraId="0539C8F8">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2</w:t>
      </w:r>
      <w:r>
        <w:rPr>
          <w:rFonts w:hint="eastAsia" w:ascii="Times New Roman" w:hAnsi="Times New Roman" w:eastAsia="宋体" w:cs="Times New Roman"/>
          <w:color w:val="auto"/>
          <w:sz w:val="28"/>
        </w:rPr>
        <w:t>、挤伤事故</w:t>
      </w:r>
    </w:p>
    <w:p w14:paraId="01ADA267">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1</w:t>
      </w:r>
      <w:r>
        <w:rPr>
          <w:rFonts w:hint="eastAsia" w:ascii="Times New Roman" w:hAnsi="Times New Roman" w:eastAsia="宋体" w:cs="Times New Roman"/>
          <w:color w:val="auto"/>
          <w:sz w:val="28"/>
        </w:rPr>
        <w:t>）吊具或吊载与地面物体间的挤伤事故</w:t>
      </w:r>
    </w:p>
    <w:p w14:paraId="0807BE9C">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在车间、仓库等室内场所，地面作业人员处于大型吊具或吊载与机器设备、土建墙壁、牛腿立柱等障碍物之间的狭窄地带，在进行吊装、指挥、操作与从事其它作业时，由于指挥失误或误操作，作业人员躲闪不及被挤压在大型吊具（吊载）与各种障碍物之间，造成挤伤事故；或由于吊装不合理，造成吊载剧烈摆动，冲撞作业人员致伤。</w:t>
      </w:r>
    </w:p>
    <w:p w14:paraId="0D436F80">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2</w:t>
      </w:r>
      <w:r>
        <w:rPr>
          <w:rFonts w:hint="eastAsia" w:ascii="Times New Roman" w:hAnsi="Times New Roman" w:eastAsia="宋体" w:cs="Times New Roman"/>
          <w:color w:val="auto"/>
          <w:sz w:val="28"/>
        </w:rPr>
        <w:t>）物体与建筑物见的挤伤事故</w:t>
      </w:r>
    </w:p>
    <w:p w14:paraId="7353C1A5">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机体与建筑物间的挤伤事故多发生在高空从事桥式起重机维护与检修的人员中。人员被挤在起重机端梁与支撑、承轨梁的立柱或墙壁之间，或在高空承轨梁侧通道过时被运行的起重机击伤。</w:t>
      </w:r>
    </w:p>
    <w:p w14:paraId="2D708AEC">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3</w:t>
      </w:r>
      <w:r>
        <w:rPr>
          <w:rFonts w:hint="eastAsia" w:ascii="Times New Roman" w:hAnsi="Times New Roman" w:eastAsia="宋体" w:cs="Times New Roman"/>
          <w:color w:val="auto"/>
          <w:sz w:val="28"/>
        </w:rPr>
        <w:t>、坠落事故</w:t>
      </w:r>
    </w:p>
    <w:p w14:paraId="66B9387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坠落事故主要是指从事起重作业的人员从起重机机体等高空坠落至地面的摔伤事故，也包括维修工具及零部件等从高空坠落，使地面作业人员受伤的事故。</w:t>
      </w:r>
    </w:p>
    <w:p w14:paraId="358F5834">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1</w:t>
      </w:r>
      <w:r>
        <w:rPr>
          <w:rFonts w:hint="eastAsia" w:ascii="Times New Roman" w:hAnsi="Times New Roman" w:eastAsia="宋体" w:cs="Times New Roman"/>
          <w:color w:val="auto"/>
          <w:sz w:val="28"/>
        </w:rPr>
        <w:t>）从机体上滑落摔伤事故</w:t>
      </w:r>
    </w:p>
    <w:p w14:paraId="54D9B4A5">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从机体上滑落摔伤事故多发生于在高空起重机上进行维护、检修的作业中。一些检修作业人员缺乏安全意识，作业时不戴安全带，由于脚下滑动、障碍物绊倒或起重机突然启动造成晃动，使作业人员失稳从高空坠落于地面而受伤。</w:t>
      </w:r>
    </w:p>
    <w:p w14:paraId="6AABF0FA">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2</w:t>
      </w:r>
      <w:r>
        <w:rPr>
          <w:rFonts w:hint="eastAsia" w:ascii="Times New Roman" w:hAnsi="Times New Roman" w:eastAsia="宋体" w:cs="Times New Roman"/>
          <w:color w:val="auto"/>
          <w:sz w:val="28"/>
        </w:rPr>
        <w:t>）机体撞击坠落事故</w:t>
      </w:r>
    </w:p>
    <w:p w14:paraId="543FEF86">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机体撞击坠落事故多发生在检修作业中，因缺乏严格的现场安全监督制度，检修人员遇到其它作业的起重机端梁或悬臂撞击，从高空坠落受伤。</w:t>
      </w:r>
    </w:p>
    <w:p w14:paraId="1FE6F5EA">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3</w:t>
      </w:r>
      <w:r>
        <w:rPr>
          <w:rFonts w:hint="eastAsia" w:ascii="Times New Roman" w:hAnsi="Times New Roman" w:eastAsia="宋体" w:cs="Times New Roman"/>
          <w:color w:val="auto"/>
          <w:sz w:val="28"/>
        </w:rPr>
        <w:t>）维修工具及零部件坠落砸伤事故</w:t>
      </w:r>
    </w:p>
    <w:p w14:paraId="62419D6B">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在高空起重机上从事检修作业的人员常常因不小心，使维修更换的零部件或维护及检修工具从起重机上滑落，造成砸伤地面作业人员或机器、设备等的事故。</w:t>
      </w:r>
    </w:p>
    <w:p w14:paraId="51C16B8F">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4</w:t>
      </w:r>
      <w:r>
        <w:rPr>
          <w:rFonts w:hint="eastAsia" w:ascii="Times New Roman" w:hAnsi="Times New Roman" w:eastAsia="宋体" w:cs="Times New Roman"/>
          <w:color w:val="auto"/>
          <w:sz w:val="28"/>
        </w:rPr>
        <w:t>）振动坠落事故</w:t>
      </w:r>
    </w:p>
    <w:p w14:paraId="0D48FBFE">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起重机个别零部件因安装、连接不牢固。如螺栓未能按要求拧入一定的深度，螺母锁紧装置失效，或因年久失修导致个别连接环节松动，当起重机遇到冲击或振动时，就会因连接松动造成某一零部件基体脱落，砸伤地面作业人员或机器、设备。</w:t>
      </w:r>
    </w:p>
    <w:p w14:paraId="331369C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5</w:t>
      </w:r>
      <w:r>
        <w:rPr>
          <w:rFonts w:hint="eastAsia" w:ascii="Times New Roman" w:hAnsi="Times New Roman" w:eastAsia="宋体" w:cs="Times New Roman"/>
          <w:color w:val="auto"/>
          <w:sz w:val="28"/>
        </w:rPr>
        <w:t>）制动下滑坠落事故</w:t>
      </w:r>
    </w:p>
    <w:p w14:paraId="0461F9DD">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制动下滑坠落事故产生的主要原因是起升机构的制动器性能失效，多为制动器制动环或制动衬料磨损严重而未能及时调整或更换，导致刹车失灵，或制动轴断裂，造成重物急速下滑并坠落于地面，砸伤地面作业人员或机器、设备。</w:t>
      </w:r>
    </w:p>
    <w:p w14:paraId="7C71AAA4">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ascii="Times New Roman" w:hAnsi="Times New Roman" w:eastAsia="宋体" w:cs="Times New Roman"/>
          <w:color w:val="auto"/>
          <w:sz w:val="28"/>
        </w:rPr>
        <w:t>4</w:t>
      </w:r>
      <w:r>
        <w:rPr>
          <w:rFonts w:hint="eastAsia" w:ascii="Times New Roman" w:hAnsi="Times New Roman" w:eastAsia="宋体" w:cs="Times New Roman"/>
          <w:color w:val="auto"/>
          <w:sz w:val="28"/>
        </w:rPr>
        <w:t>、触电事故</w:t>
      </w:r>
    </w:p>
    <w:p w14:paraId="4CE2B4F5">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触电事故是指从事其中操作和检修作业的人员因触电而导致人身伤亡。</w:t>
      </w:r>
    </w:p>
    <w:p w14:paraId="2CDF4A4D">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1</w:t>
      </w:r>
      <w:r>
        <w:rPr>
          <w:rFonts w:hint="eastAsia" w:ascii="Times New Roman" w:hAnsi="Times New Roman" w:eastAsia="宋体" w:cs="Times New Roman"/>
          <w:color w:val="auto"/>
          <w:sz w:val="28"/>
        </w:rPr>
        <w:t>）触电事故原因。起重机的动力电源是电击事故的根源，遭受点击的伤害着多为操作人员和电气检修作业人员。从人的因素分析，产生触电事故的原因多位缺乏起重机基本安全操作规程知识、起重机基本电气控制原理知识、起重机电气安全检查要领，不重视必要的安全保护措施，如不穿绝缘鞋、不带试电笔进行电气检修等；从起重机自身的电气设施角度看，发生触电事故的原因多为起重机电气系统及周围相应环境缺乏必要的触电安全保护。</w:t>
      </w:r>
    </w:p>
    <w:p w14:paraId="7399C1B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w:t>
      </w:r>
      <w:r>
        <w:rPr>
          <w:rFonts w:ascii="Times New Roman" w:hAnsi="Times New Roman" w:eastAsia="宋体" w:cs="Times New Roman"/>
          <w:color w:val="auto"/>
          <w:sz w:val="28"/>
        </w:rPr>
        <w:t>2</w:t>
      </w:r>
      <w:r>
        <w:rPr>
          <w:rFonts w:hint="eastAsia" w:ascii="Times New Roman" w:hAnsi="Times New Roman" w:eastAsia="宋体" w:cs="Times New Roman"/>
          <w:color w:val="auto"/>
          <w:sz w:val="28"/>
        </w:rPr>
        <w:t>）触电安全防护措施</w:t>
      </w:r>
    </w:p>
    <w:p w14:paraId="07AA4531">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①保证安全电压。为保证人体触电不至于造成严重伤害与伤亡，触电的安全电压必须在</w:t>
      </w:r>
      <w:r>
        <w:rPr>
          <w:rFonts w:ascii="Times New Roman" w:hAnsi="Times New Roman" w:eastAsia="宋体" w:cs="Times New Roman"/>
          <w:color w:val="auto"/>
          <w:sz w:val="28"/>
        </w:rPr>
        <w:t>50V</w:t>
      </w:r>
      <w:r>
        <w:rPr>
          <w:rFonts w:hint="eastAsia" w:ascii="Times New Roman" w:hAnsi="Times New Roman" w:eastAsia="宋体" w:cs="Times New Roman"/>
          <w:color w:val="auto"/>
          <w:sz w:val="28"/>
        </w:rPr>
        <w:t>以下，目前起重机应采用低压安全操作，常采用的安全低压操作电压为</w:t>
      </w:r>
      <w:r>
        <w:rPr>
          <w:rFonts w:ascii="Times New Roman" w:hAnsi="Times New Roman" w:eastAsia="宋体" w:cs="Times New Roman"/>
          <w:color w:val="auto"/>
          <w:sz w:val="28"/>
        </w:rPr>
        <w:t>36V</w:t>
      </w:r>
      <w:r>
        <w:rPr>
          <w:rFonts w:hint="eastAsia" w:ascii="Times New Roman" w:hAnsi="Times New Roman" w:eastAsia="宋体" w:cs="Times New Roman"/>
          <w:color w:val="auto"/>
          <w:sz w:val="28"/>
        </w:rPr>
        <w:t>或</w:t>
      </w:r>
      <w:r>
        <w:rPr>
          <w:rFonts w:ascii="Times New Roman" w:hAnsi="Times New Roman" w:eastAsia="宋体" w:cs="Times New Roman"/>
          <w:color w:val="auto"/>
          <w:sz w:val="28"/>
        </w:rPr>
        <w:t>42V</w:t>
      </w:r>
      <w:r>
        <w:rPr>
          <w:rFonts w:hint="eastAsia" w:ascii="Times New Roman" w:hAnsi="Times New Roman" w:eastAsia="宋体" w:cs="Times New Roman"/>
          <w:color w:val="auto"/>
          <w:sz w:val="28"/>
        </w:rPr>
        <w:t>。</w:t>
      </w:r>
    </w:p>
    <w:p w14:paraId="2192FF27">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②保证绝缘的可靠性。起重机电气系统虽有绝缘保护措施，但是环境温度和湿度、化学腐蚀、机械损伤及电压变化等都会使绝缘材料电阻值减小，或者出现因绝缘材料老化造成漏电的现象。因此，必须经常用摇表测量槛车各种绝缘环节的可靠性。</w:t>
      </w:r>
    </w:p>
    <w:p w14:paraId="277135B0">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③加强屏护保护。对起重机上的某些无法加装绝缘装置的部分，如馈电的裸露滑触线等，必须假设护栏、护网等屏护装置。</w:t>
      </w:r>
    </w:p>
    <w:p w14:paraId="4A33B187">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④严格保证配电最小安全距离，起重机的电气系统设计与施工必须按规定保证配电安全的合理距离。</w:t>
      </w:r>
    </w:p>
    <w:p w14:paraId="448DC1C4">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⑤保证接地与接零的可靠性。电气设备一旦漏电，起重机的金属部分就会带有一定电压，作业人员若触及起重机金属部分就可能发生触电事故。如果接地和接零措施安全可靠，就可以防止这类触电事故。</w:t>
      </w:r>
    </w:p>
    <w:p w14:paraId="21E5B02E">
      <w:pPr>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ascii="Times New Roman" w:hAnsi="Times New Roman" w:eastAsia="宋体" w:cs="Times New Roman"/>
          <w:color w:val="auto"/>
          <w:sz w:val="28"/>
        </w:rPr>
      </w:pPr>
      <w:r>
        <w:rPr>
          <w:rFonts w:hint="eastAsia" w:ascii="Times New Roman" w:hAnsi="Times New Roman" w:eastAsia="宋体" w:cs="Times New Roman"/>
          <w:color w:val="auto"/>
          <w:sz w:val="28"/>
        </w:rPr>
        <w:t>⑥加强漏电触电保护。除了在起重机电气系中采用电压型漏电保护装置、零序电流型漏电保护装置和泄漏电流型漏电保护装置来防止漏电之外，还应设有绝缘站台（司机室采用木制或橡胶地板），并规定作业人员穿戴绝缘鞋等进行操作与检修。</w:t>
      </w:r>
    </w:p>
    <w:p w14:paraId="09D5C638">
      <w:pPr>
        <w:pStyle w:val="6"/>
        <w:bidi w:val="0"/>
        <w:rPr>
          <w:rFonts w:hint="default"/>
          <w:color w:val="auto"/>
          <w:lang w:val="en-US" w:eastAsia="zh-CN"/>
        </w:rPr>
      </w:pPr>
      <w:r>
        <w:rPr>
          <w:rFonts w:hint="default"/>
          <w:color w:val="auto"/>
          <w:lang w:val="en-US" w:eastAsia="zh-CN"/>
        </w:rPr>
        <w:t>5.2.</w:t>
      </w:r>
      <w:r>
        <w:rPr>
          <w:rFonts w:hint="eastAsia"/>
          <w:color w:val="auto"/>
          <w:lang w:val="en-US" w:eastAsia="zh-CN"/>
        </w:rPr>
        <w:t>3</w:t>
      </w:r>
      <w:r>
        <w:rPr>
          <w:rFonts w:hint="default"/>
          <w:color w:val="auto"/>
          <w:lang w:val="en-US" w:eastAsia="zh-CN"/>
        </w:rPr>
        <w:t xml:space="preserve"> 评价单元小结</w:t>
      </w:r>
    </w:p>
    <w:p w14:paraId="18EB991A">
      <w:pPr>
        <w:bidi w:val="0"/>
        <w:rPr>
          <w:rFonts w:hint="default"/>
          <w:color w:val="auto"/>
          <w:lang w:val="en-US" w:eastAsia="zh-CN"/>
        </w:rPr>
      </w:pPr>
      <w:r>
        <w:rPr>
          <w:rFonts w:hint="default"/>
          <w:color w:val="auto"/>
          <w:lang w:val="en-US" w:eastAsia="zh-CN"/>
        </w:rPr>
        <w:t>通过危险有害因素的辨识、分析和PHA法分析，本单元无重大危险有害因素，但企业应对本单元存在的机械伤害、高处坠落、触电伤害、物体打击</w:t>
      </w:r>
      <w:r>
        <w:rPr>
          <w:rFonts w:hint="eastAsia"/>
          <w:color w:val="auto"/>
          <w:lang w:val="en-US" w:eastAsia="zh-CN"/>
        </w:rPr>
        <w:t>、起重伤害</w:t>
      </w:r>
      <w:r>
        <w:rPr>
          <w:rFonts w:hint="default"/>
          <w:color w:val="auto"/>
          <w:lang w:val="en-US" w:eastAsia="zh-CN"/>
        </w:rPr>
        <w:t>等危险有害因素予以重视，确保安全生产。</w:t>
      </w:r>
    </w:p>
    <w:p w14:paraId="5BE2F2C7">
      <w:pPr>
        <w:pStyle w:val="5"/>
        <w:bidi w:val="0"/>
        <w:rPr>
          <w:rFonts w:hint="default"/>
          <w:color w:val="auto"/>
          <w:lang w:val="en-US" w:eastAsia="zh-CN"/>
        </w:rPr>
      </w:pPr>
      <w:bookmarkStart w:id="31" w:name="_Toc23657"/>
      <w:r>
        <w:rPr>
          <w:rFonts w:hint="default"/>
          <w:color w:val="auto"/>
          <w:lang w:val="en-US" w:eastAsia="zh-CN"/>
        </w:rPr>
        <w:t xml:space="preserve">5.3 </w:t>
      </w:r>
      <w:r>
        <w:rPr>
          <w:rFonts w:hint="eastAsia"/>
          <w:color w:val="auto"/>
          <w:lang w:val="en-US" w:eastAsia="zh-CN"/>
        </w:rPr>
        <w:t>给排水系统</w:t>
      </w:r>
      <w:r>
        <w:rPr>
          <w:rFonts w:hint="default"/>
          <w:color w:val="auto"/>
          <w:lang w:val="en-US" w:eastAsia="zh-CN"/>
        </w:rPr>
        <w:t>单元</w:t>
      </w:r>
      <w:bookmarkEnd w:id="31"/>
    </w:p>
    <w:p w14:paraId="3675C9BB">
      <w:pPr>
        <w:pStyle w:val="6"/>
        <w:bidi w:val="0"/>
        <w:rPr>
          <w:rFonts w:hint="default"/>
          <w:color w:val="auto"/>
          <w:lang w:val="en-US" w:eastAsia="zh-CN"/>
        </w:rPr>
      </w:pPr>
      <w:r>
        <w:rPr>
          <w:rFonts w:hint="default"/>
          <w:color w:val="auto"/>
          <w:lang w:val="en-US" w:eastAsia="zh-CN"/>
        </w:rPr>
        <w:t>5.3.1 给排水系统预先危险性分析（PHA）</w:t>
      </w:r>
    </w:p>
    <w:p w14:paraId="43F31AD1">
      <w:pPr>
        <w:pStyle w:val="29"/>
        <w:bidi w:val="0"/>
        <w:rPr>
          <w:rFonts w:hint="default"/>
          <w:color w:val="auto"/>
          <w:lang w:val="en-US" w:eastAsia="zh-CN"/>
        </w:rPr>
      </w:pPr>
      <w:r>
        <w:rPr>
          <w:rFonts w:hint="default"/>
          <w:color w:val="auto"/>
          <w:lang w:val="en-US" w:eastAsia="zh-CN"/>
        </w:rPr>
        <w:t>表5</w:t>
      </w:r>
      <w:r>
        <w:rPr>
          <w:rFonts w:hint="eastAsia"/>
          <w:color w:val="auto"/>
          <w:lang w:val="en-US" w:eastAsia="zh-CN"/>
        </w:rPr>
        <w:t>.3</w:t>
      </w:r>
      <w:r>
        <w:rPr>
          <w:rFonts w:hint="default"/>
          <w:color w:val="auto"/>
          <w:lang w:val="en-US" w:eastAsia="zh-CN"/>
        </w:rPr>
        <w:t>-</w:t>
      </w:r>
      <w:r>
        <w:rPr>
          <w:rFonts w:hint="eastAsia"/>
          <w:color w:val="auto"/>
          <w:lang w:val="en-US" w:eastAsia="zh-CN"/>
        </w:rPr>
        <w:t>1</w:t>
      </w:r>
      <w:r>
        <w:rPr>
          <w:rFonts w:hint="default"/>
          <w:color w:val="auto"/>
          <w:lang w:val="en-US" w:eastAsia="zh-CN"/>
        </w:rPr>
        <w:t xml:space="preserve">  给排水系统预先危险性分析</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326"/>
        <w:gridCol w:w="2015"/>
        <w:gridCol w:w="966"/>
        <w:gridCol w:w="671"/>
        <w:gridCol w:w="1057"/>
        <w:gridCol w:w="2525"/>
      </w:tblGrid>
      <w:tr w14:paraId="1867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0" w:type="dxa"/>
            <w:noWrap w:val="0"/>
            <w:vAlign w:val="center"/>
          </w:tcPr>
          <w:p w14:paraId="0DC21CF3">
            <w:pPr>
              <w:pStyle w:val="30"/>
              <w:bidi w:val="0"/>
              <w:rPr>
                <w:rFonts w:hint="default"/>
                <w:b/>
                <w:bCs/>
                <w:color w:val="auto"/>
              </w:rPr>
            </w:pPr>
            <w:r>
              <w:rPr>
                <w:rFonts w:hint="default"/>
                <w:b/>
                <w:bCs/>
                <w:color w:val="auto"/>
              </w:rPr>
              <w:t>工艺、设施</w:t>
            </w:r>
          </w:p>
        </w:tc>
        <w:tc>
          <w:tcPr>
            <w:tcW w:w="1326" w:type="dxa"/>
            <w:noWrap w:val="0"/>
            <w:vAlign w:val="center"/>
          </w:tcPr>
          <w:p w14:paraId="039560BA">
            <w:pPr>
              <w:pStyle w:val="30"/>
              <w:bidi w:val="0"/>
              <w:rPr>
                <w:rFonts w:hint="default"/>
                <w:b/>
                <w:bCs/>
                <w:color w:val="auto"/>
              </w:rPr>
            </w:pPr>
            <w:r>
              <w:rPr>
                <w:rFonts w:hint="default"/>
                <w:b/>
                <w:bCs/>
                <w:color w:val="auto"/>
              </w:rPr>
              <w:t>主要危险</w:t>
            </w:r>
          </w:p>
        </w:tc>
        <w:tc>
          <w:tcPr>
            <w:tcW w:w="2015" w:type="dxa"/>
            <w:noWrap w:val="0"/>
            <w:vAlign w:val="center"/>
          </w:tcPr>
          <w:p w14:paraId="41484152">
            <w:pPr>
              <w:pStyle w:val="30"/>
              <w:bidi w:val="0"/>
              <w:rPr>
                <w:rFonts w:hint="default"/>
                <w:b/>
                <w:bCs/>
                <w:color w:val="auto"/>
              </w:rPr>
            </w:pPr>
            <w:r>
              <w:rPr>
                <w:rFonts w:hint="default"/>
                <w:b/>
                <w:bCs/>
                <w:color w:val="auto"/>
              </w:rPr>
              <w:t>产生原因</w:t>
            </w:r>
          </w:p>
        </w:tc>
        <w:tc>
          <w:tcPr>
            <w:tcW w:w="966" w:type="dxa"/>
            <w:noWrap w:val="0"/>
            <w:vAlign w:val="center"/>
          </w:tcPr>
          <w:p w14:paraId="72103B79">
            <w:pPr>
              <w:pStyle w:val="30"/>
              <w:bidi w:val="0"/>
              <w:rPr>
                <w:rFonts w:hint="default"/>
                <w:b/>
                <w:bCs/>
                <w:color w:val="auto"/>
              </w:rPr>
            </w:pPr>
            <w:r>
              <w:rPr>
                <w:rFonts w:hint="default"/>
                <w:b/>
                <w:bCs/>
                <w:color w:val="auto"/>
              </w:rPr>
              <w:t>事故</w:t>
            </w:r>
          </w:p>
          <w:p w14:paraId="1839A247">
            <w:pPr>
              <w:pStyle w:val="30"/>
              <w:bidi w:val="0"/>
              <w:rPr>
                <w:rFonts w:hint="default"/>
                <w:b/>
                <w:bCs/>
                <w:color w:val="auto"/>
              </w:rPr>
            </w:pPr>
            <w:r>
              <w:rPr>
                <w:rFonts w:hint="default"/>
                <w:b/>
                <w:bCs/>
                <w:color w:val="auto"/>
              </w:rPr>
              <w:t>后果</w:t>
            </w:r>
          </w:p>
        </w:tc>
        <w:tc>
          <w:tcPr>
            <w:tcW w:w="671" w:type="dxa"/>
            <w:noWrap w:val="0"/>
            <w:vAlign w:val="center"/>
          </w:tcPr>
          <w:p w14:paraId="2F8D7AAE">
            <w:pPr>
              <w:pStyle w:val="30"/>
              <w:bidi w:val="0"/>
              <w:rPr>
                <w:rFonts w:hint="default"/>
                <w:b/>
                <w:bCs/>
                <w:color w:val="auto"/>
              </w:rPr>
            </w:pPr>
            <w:r>
              <w:rPr>
                <w:rFonts w:hint="default"/>
                <w:b/>
                <w:bCs/>
                <w:color w:val="auto"/>
              </w:rPr>
              <w:t>危害等级</w:t>
            </w:r>
          </w:p>
        </w:tc>
        <w:tc>
          <w:tcPr>
            <w:tcW w:w="1057" w:type="dxa"/>
            <w:noWrap w:val="0"/>
            <w:vAlign w:val="center"/>
          </w:tcPr>
          <w:p w14:paraId="37EDEC15">
            <w:pPr>
              <w:pStyle w:val="30"/>
              <w:bidi w:val="0"/>
              <w:rPr>
                <w:rFonts w:hint="default"/>
                <w:b/>
                <w:bCs/>
                <w:color w:val="auto"/>
              </w:rPr>
            </w:pPr>
            <w:r>
              <w:rPr>
                <w:rFonts w:hint="default"/>
                <w:b/>
                <w:bCs/>
                <w:color w:val="auto"/>
              </w:rPr>
              <w:t>发生事故的概率等级</w:t>
            </w:r>
          </w:p>
        </w:tc>
        <w:tc>
          <w:tcPr>
            <w:tcW w:w="2525" w:type="dxa"/>
            <w:noWrap w:val="0"/>
            <w:vAlign w:val="center"/>
          </w:tcPr>
          <w:p w14:paraId="40F21281">
            <w:pPr>
              <w:pStyle w:val="30"/>
              <w:bidi w:val="0"/>
              <w:rPr>
                <w:rFonts w:hint="default"/>
                <w:b/>
                <w:bCs/>
                <w:color w:val="auto"/>
              </w:rPr>
            </w:pPr>
            <w:r>
              <w:rPr>
                <w:rFonts w:hint="default"/>
                <w:b/>
                <w:bCs/>
                <w:color w:val="auto"/>
              </w:rPr>
              <w:t>对策措施</w:t>
            </w:r>
          </w:p>
        </w:tc>
      </w:tr>
      <w:tr w14:paraId="508F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40" w:type="dxa"/>
            <w:noWrap w:val="0"/>
            <w:vAlign w:val="center"/>
          </w:tcPr>
          <w:p w14:paraId="253AA135">
            <w:pPr>
              <w:pStyle w:val="30"/>
              <w:bidi w:val="0"/>
              <w:rPr>
                <w:rFonts w:hint="default"/>
                <w:color w:val="auto"/>
              </w:rPr>
            </w:pPr>
            <w:r>
              <w:rPr>
                <w:rFonts w:hint="default"/>
                <w:color w:val="auto"/>
              </w:rPr>
              <w:t>防排水</w:t>
            </w:r>
          </w:p>
        </w:tc>
        <w:tc>
          <w:tcPr>
            <w:tcW w:w="1326" w:type="dxa"/>
            <w:noWrap w:val="0"/>
            <w:vAlign w:val="center"/>
          </w:tcPr>
          <w:p w14:paraId="6BE95C28">
            <w:pPr>
              <w:pStyle w:val="30"/>
              <w:bidi w:val="0"/>
              <w:rPr>
                <w:rFonts w:hint="default"/>
                <w:color w:val="auto"/>
              </w:rPr>
            </w:pPr>
            <w:r>
              <w:rPr>
                <w:rFonts w:hint="default"/>
                <w:color w:val="auto"/>
              </w:rPr>
              <w:t>边坡失稳；水土流失，增加剥离量。</w:t>
            </w:r>
          </w:p>
        </w:tc>
        <w:tc>
          <w:tcPr>
            <w:tcW w:w="2015" w:type="dxa"/>
            <w:noWrap w:val="0"/>
            <w:vAlign w:val="center"/>
          </w:tcPr>
          <w:p w14:paraId="0AF37F48">
            <w:pPr>
              <w:pStyle w:val="30"/>
              <w:bidi w:val="0"/>
              <w:jc w:val="both"/>
              <w:rPr>
                <w:rFonts w:hint="default"/>
                <w:color w:val="auto"/>
              </w:rPr>
            </w:pPr>
            <w:r>
              <w:rPr>
                <w:rFonts w:hint="default"/>
                <w:color w:val="auto"/>
              </w:rPr>
              <w:t>1、厂区建设破坏了原有植被，水土流失量将大于建设前；</w:t>
            </w:r>
          </w:p>
          <w:p w14:paraId="34BD5998">
            <w:pPr>
              <w:pStyle w:val="30"/>
              <w:bidi w:val="0"/>
              <w:jc w:val="both"/>
              <w:rPr>
                <w:rFonts w:hint="default"/>
                <w:color w:val="auto"/>
              </w:rPr>
            </w:pPr>
            <w:r>
              <w:rPr>
                <w:rFonts w:hint="default"/>
                <w:color w:val="auto"/>
              </w:rPr>
              <w:t>2、防排水设施不完善、疏于管理将造成厂内大量积水，淹没厂区设备；</w:t>
            </w:r>
          </w:p>
          <w:p w14:paraId="1997E930">
            <w:pPr>
              <w:pStyle w:val="30"/>
              <w:bidi w:val="0"/>
              <w:jc w:val="both"/>
              <w:rPr>
                <w:rFonts w:hint="default"/>
                <w:color w:val="auto"/>
              </w:rPr>
            </w:pPr>
            <w:r>
              <w:rPr>
                <w:rFonts w:hint="default"/>
                <w:color w:val="auto"/>
              </w:rPr>
              <w:t>3、厂区人工边坡受雨水冲刷、浸蚀易造成边坡失稳；</w:t>
            </w:r>
          </w:p>
          <w:p w14:paraId="77BCE62A">
            <w:pPr>
              <w:pStyle w:val="30"/>
              <w:bidi w:val="0"/>
              <w:jc w:val="both"/>
              <w:rPr>
                <w:rFonts w:hint="default"/>
                <w:color w:val="auto"/>
              </w:rPr>
            </w:pPr>
            <w:r>
              <w:rPr>
                <w:rFonts w:hint="default"/>
                <w:color w:val="auto"/>
              </w:rPr>
              <w:t>4、暴雨冲刷边坡导致大量表土流入厂区。</w:t>
            </w:r>
          </w:p>
        </w:tc>
        <w:tc>
          <w:tcPr>
            <w:tcW w:w="966" w:type="dxa"/>
            <w:noWrap w:val="0"/>
            <w:vAlign w:val="center"/>
          </w:tcPr>
          <w:p w14:paraId="0B177AA2">
            <w:pPr>
              <w:pStyle w:val="30"/>
              <w:bidi w:val="0"/>
              <w:rPr>
                <w:rFonts w:hint="default"/>
                <w:color w:val="auto"/>
              </w:rPr>
            </w:pPr>
            <w:r>
              <w:rPr>
                <w:rFonts w:hint="default"/>
                <w:color w:val="auto"/>
              </w:rPr>
              <w:t>人员伤亡、财产损失、环境污染。</w:t>
            </w:r>
          </w:p>
        </w:tc>
        <w:tc>
          <w:tcPr>
            <w:tcW w:w="671" w:type="dxa"/>
            <w:noWrap w:val="0"/>
            <w:vAlign w:val="center"/>
          </w:tcPr>
          <w:p w14:paraId="44236EA3">
            <w:pPr>
              <w:pStyle w:val="30"/>
              <w:bidi w:val="0"/>
              <w:rPr>
                <w:rFonts w:hint="default"/>
                <w:color w:val="auto"/>
              </w:rPr>
            </w:pPr>
            <w:r>
              <w:rPr>
                <w:rFonts w:hint="default"/>
                <w:color w:val="auto"/>
              </w:rPr>
              <w:t>Ⅳ</w:t>
            </w:r>
          </w:p>
        </w:tc>
        <w:tc>
          <w:tcPr>
            <w:tcW w:w="1057" w:type="dxa"/>
            <w:noWrap w:val="0"/>
            <w:vAlign w:val="center"/>
          </w:tcPr>
          <w:p w14:paraId="7F3EF9EE">
            <w:pPr>
              <w:pStyle w:val="30"/>
              <w:bidi w:val="0"/>
              <w:rPr>
                <w:rFonts w:hint="default"/>
                <w:color w:val="auto"/>
                <w:lang w:val="en-US" w:eastAsia="zh-CN"/>
              </w:rPr>
            </w:pPr>
            <w:r>
              <w:rPr>
                <w:rFonts w:hint="default"/>
                <w:color w:val="auto"/>
                <w:lang w:val="en-US" w:eastAsia="zh-CN"/>
              </w:rPr>
              <w:t>B</w:t>
            </w:r>
          </w:p>
        </w:tc>
        <w:tc>
          <w:tcPr>
            <w:tcW w:w="2525" w:type="dxa"/>
            <w:noWrap w:val="0"/>
            <w:vAlign w:val="center"/>
          </w:tcPr>
          <w:p w14:paraId="39A005F3">
            <w:pPr>
              <w:pStyle w:val="30"/>
              <w:bidi w:val="0"/>
              <w:rPr>
                <w:rFonts w:hint="default"/>
                <w:color w:val="auto"/>
              </w:rPr>
            </w:pPr>
            <w:r>
              <w:rPr>
                <w:rFonts w:hint="default"/>
                <w:color w:val="auto"/>
              </w:rPr>
              <w:t>设计时，应考虑可靠的防排水设施；在暴雨后应对厂区山体边坡等进行安全检查，及时消除隐患。</w:t>
            </w:r>
          </w:p>
        </w:tc>
      </w:tr>
      <w:tr w14:paraId="264C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40" w:type="dxa"/>
            <w:noWrap w:val="0"/>
            <w:vAlign w:val="center"/>
          </w:tcPr>
          <w:p w14:paraId="36D5E9FC">
            <w:pPr>
              <w:pStyle w:val="30"/>
              <w:bidi w:val="0"/>
              <w:rPr>
                <w:rFonts w:hint="default"/>
                <w:color w:val="auto"/>
              </w:rPr>
            </w:pPr>
            <w:r>
              <w:rPr>
                <w:rFonts w:hint="default"/>
                <w:color w:val="auto"/>
              </w:rPr>
              <w:t>防灭火</w:t>
            </w:r>
          </w:p>
        </w:tc>
        <w:tc>
          <w:tcPr>
            <w:tcW w:w="1326" w:type="dxa"/>
            <w:noWrap w:val="0"/>
            <w:vAlign w:val="center"/>
          </w:tcPr>
          <w:p w14:paraId="7BA91195">
            <w:pPr>
              <w:pStyle w:val="30"/>
              <w:bidi w:val="0"/>
              <w:rPr>
                <w:rFonts w:hint="default"/>
                <w:color w:val="auto"/>
              </w:rPr>
            </w:pPr>
            <w:r>
              <w:rPr>
                <w:rFonts w:hint="default"/>
                <w:color w:val="auto"/>
              </w:rPr>
              <w:t>设备及电线电缆着火、厂房火灾</w:t>
            </w:r>
          </w:p>
        </w:tc>
        <w:tc>
          <w:tcPr>
            <w:tcW w:w="2015" w:type="dxa"/>
            <w:noWrap w:val="0"/>
            <w:vAlign w:val="center"/>
          </w:tcPr>
          <w:p w14:paraId="096CE3B3">
            <w:pPr>
              <w:pStyle w:val="30"/>
              <w:bidi w:val="0"/>
              <w:jc w:val="both"/>
              <w:rPr>
                <w:rFonts w:hint="default"/>
                <w:color w:val="auto"/>
              </w:rPr>
            </w:pPr>
            <w:r>
              <w:rPr>
                <w:rFonts w:hint="default"/>
                <w:color w:val="auto"/>
              </w:rPr>
              <w:t>1、电气系统损坏；</w:t>
            </w:r>
          </w:p>
          <w:p w14:paraId="39B406A7">
            <w:pPr>
              <w:pStyle w:val="30"/>
              <w:bidi w:val="0"/>
              <w:jc w:val="both"/>
              <w:rPr>
                <w:rFonts w:hint="default"/>
                <w:color w:val="auto"/>
              </w:rPr>
            </w:pPr>
            <w:r>
              <w:rPr>
                <w:rFonts w:hint="default"/>
                <w:color w:val="auto"/>
              </w:rPr>
              <w:t>2、电气非防爆产生火花；</w:t>
            </w:r>
          </w:p>
          <w:p w14:paraId="5B0F539D">
            <w:pPr>
              <w:pStyle w:val="30"/>
              <w:bidi w:val="0"/>
              <w:jc w:val="both"/>
              <w:rPr>
                <w:rFonts w:hint="default"/>
                <w:color w:val="auto"/>
              </w:rPr>
            </w:pPr>
            <w:r>
              <w:rPr>
                <w:rFonts w:hint="default"/>
                <w:color w:val="auto"/>
              </w:rPr>
              <w:t>3、使用金属工具敲打设备或装置；</w:t>
            </w:r>
          </w:p>
          <w:p w14:paraId="6ECED679">
            <w:pPr>
              <w:pStyle w:val="30"/>
              <w:bidi w:val="0"/>
              <w:jc w:val="both"/>
              <w:rPr>
                <w:rFonts w:hint="default"/>
                <w:color w:val="auto"/>
              </w:rPr>
            </w:pPr>
            <w:r>
              <w:rPr>
                <w:rFonts w:hint="default"/>
                <w:color w:val="auto"/>
              </w:rPr>
              <w:t>4、易燃物蒸气浓度达到极限；</w:t>
            </w:r>
          </w:p>
          <w:p w14:paraId="1B08FB17">
            <w:pPr>
              <w:pStyle w:val="30"/>
              <w:bidi w:val="0"/>
              <w:jc w:val="both"/>
              <w:rPr>
                <w:rFonts w:hint="default"/>
                <w:color w:val="auto"/>
              </w:rPr>
            </w:pPr>
            <w:r>
              <w:rPr>
                <w:rFonts w:hint="default"/>
                <w:color w:val="auto"/>
              </w:rPr>
              <w:t>5、违章操作，违反安全管理制度。</w:t>
            </w:r>
          </w:p>
        </w:tc>
        <w:tc>
          <w:tcPr>
            <w:tcW w:w="966" w:type="dxa"/>
            <w:noWrap w:val="0"/>
            <w:vAlign w:val="center"/>
          </w:tcPr>
          <w:p w14:paraId="47FC8668">
            <w:pPr>
              <w:pStyle w:val="30"/>
              <w:bidi w:val="0"/>
              <w:rPr>
                <w:rFonts w:hint="default"/>
                <w:color w:val="auto"/>
              </w:rPr>
            </w:pPr>
            <w:r>
              <w:rPr>
                <w:rFonts w:hint="default"/>
                <w:color w:val="auto"/>
              </w:rPr>
              <w:t>发生火灾、爆炸</w:t>
            </w:r>
          </w:p>
        </w:tc>
        <w:tc>
          <w:tcPr>
            <w:tcW w:w="671" w:type="dxa"/>
            <w:noWrap w:val="0"/>
            <w:vAlign w:val="center"/>
          </w:tcPr>
          <w:p w14:paraId="2CF006C3">
            <w:pPr>
              <w:pStyle w:val="30"/>
              <w:bidi w:val="0"/>
              <w:rPr>
                <w:rFonts w:hint="default"/>
                <w:color w:val="auto"/>
              </w:rPr>
            </w:pPr>
            <w:r>
              <w:rPr>
                <w:rFonts w:hint="default"/>
                <w:color w:val="auto"/>
              </w:rPr>
              <w:t>Ⅲ</w:t>
            </w:r>
          </w:p>
        </w:tc>
        <w:tc>
          <w:tcPr>
            <w:tcW w:w="1057" w:type="dxa"/>
            <w:noWrap w:val="0"/>
            <w:vAlign w:val="center"/>
          </w:tcPr>
          <w:p w14:paraId="09F2009D">
            <w:pPr>
              <w:pStyle w:val="30"/>
              <w:bidi w:val="0"/>
              <w:rPr>
                <w:rFonts w:hint="default"/>
                <w:color w:val="auto"/>
                <w:lang w:val="en-US" w:eastAsia="zh-CN"/>
              </w:rPr>
            </w:pPr>
            <w:r>
              <w:rPr>
                <w:rFonts w:hint="default"/>
                <w:color w:val="auto"/>
                <w:lang w:val="en-US" w:eastAsia="zh-CN"/>
              </w:rPr>
              <w:t>C</w:t>
            </w:r>
          </w:p>
        </w:tc>
        <w:tc>
          <w:tcPr>
            <w:tcW w:w="2525" w:type="dxa"/>
            <w:noWrap w:val="0"/>
            <w:vAlign w:val="center"/>
          </w:tcPr>
          <w:p w14:paraId="49501BAF">
            <w:pPr>
              <w:pStyle w:val="30"/>
              <w:bidi w:val="0"/>
              <w:rPr>
                <w:rFonts w:hint="default"/>
                <w:color w:val="auto"/>
              </w:rPr>
            </w:pPr>
            <w:r>
              <w:rPr>
                <w:rFonts w:hint="default"/>
                <w:color w:val="auto"/>
              </w:rPr>
              <w:t>加强电气系统的检修、维护；防爆场所使用防爆电气；严格按照操作规程作业。</w:t>
            </w:r>
          </w:p>
        </w:tc>
      </w:tr>
    </w:tbl>
    <w:p w14:paraId="1D6AF74C">
      <w:pPr>
        <w:bidi w:val="0"/>
        <w:rPr>
          <w:rFonts w:hint="default"/>
          <w:color w:val="auto"/>
          <w:lang w:val="en-US" w:eastAsia="zh-CN"/>
        </w:rPr>
      </w:pPr>
      <w:r>
        <w:rPr>
          <w:rFonts w:hint="default"/>
          <w:color w:val="auto"/>
          <w:lang w:val="en-US" w:eastAsia="zh-CN"/>
        </w:rPr>
        <w:t>本单元预先危险性等级系数按下式确定：</w:t>
      </w:r>
    </w:p>
    <w:p w14:paraId="1F142C57">
      <w:pPr>
        <w:bidi w:val="0"/>
        <w:rPr>
          <w:rFonts w:hint="default"/>
          <w:color w:val="auto"/>
          <w:lang w:val="en-US" w:eastAsia="zh-CN"/>
        </w:rPr>
      </w:pPr>
      <w:r>
        <w:rPr>
          <w:rFonts w:hint="default"/>
          <w:color w:val="auto"/>
          <w:lang w:val="en-US" w:eastAsia="zh-CN"/>
        </w:rPr>
        <w:t>W=∑（P×K）/∑K</w:t>
      </w:r>
    </w:p>
    <w:p w14:paraId="6B3900AD">
      <w:pPr>
        <w:bidi w:val="0"/>
        <w:rPr>
          <w:rFonts w:hint="default"/>
          <w:color w:val="auto"/>
          <w:lang w:val="en-US" w:eastAsia="zh-CN"/>
        </w:rPr>
      </w:pPr>
      <w:r>
        <w:rPr>
          <w:rFonts w:hint="default"/>
          <w:color w:val="auto"/>
          <w:lang w:val="en-US" w:eastAsia="zh-CN"/>
        </w:rPr>
        <w:t>式中：W—系统（单元）预先危险性等级系数；</w:t>
      </w:r>
    </w:p>
    <w:p w14:paraId="38EB1E35">
      <w:pPr>
        <w:bidi w:val="0"/>
        <w:rPr>
          <w:rFonts w:hint="default"/>
          <w:color w:val="auto"/>
          <w:lang w:val="en-US" w:eastAsia="zh-CN"/>
        </w:rPr>
      </w:pPr>
      <w:r>
        <w:rPr>
          <w:rFonts w:hint="default"/>
          <w:color w:val="auto"/>
          <w:lang w:val="en-US" w:eastAsia="zh-CN"/>
        </w:rPr>
        <w:t>P—分析项目的危险性等级系数；</w:t>
      </w:r>
    </w:p>
    <w:p w14:paraId="2033528E">
      <w:pPr>
        <w:bidi w:val="0"/>
        <w:rPr>
          <w:rFonts w:hint="default"/>
          <w:color w:val="auto"/>
          <w:lang w:val="en-US" w:eastAsia="zh-CN"/>
        </w:rPr>
      </w:pPr>
      <w:r>
        <w:rPr>
          <w:rFonts w:hint="default"/>
          <w:color w:val="auto"/>
          <w:lang w:val="en-US" w:eastAsia="zh-CN"/>
        </w:rPr>
        <w:t>K—分析项目发生事故的概率系数。</w:t>
      </w:r>
    </w:p>
    <w:p w14:paraId="0C82E98D">
      <w:pPr>
        <w:bidi w:val="0"/>
        <w:rPr>
          <w:rFonts w:hint="default"/>
          <w:color w:val="auto"/>
          <w:lang w:val="en-US" w:eastAsia="zh-CN"/>
        </w:rPr>
      </w:pPr>
      <w:r>
        <w:rPr>
          <w:rFonts w:hint="default"/>
          <w:color w:val="auto"/>
          <w:lang w:val="en-US" w:eastAsia="zh-CN"/>
        </w:rPr>
        <w:t>W=（8×0.10+4×0.20）/（0.10+0.20）=5.33</w:t>
      </w:r>
    </w:p>
    <w:p w14:paraId="7F861972">
      <w:pPr>
        <w:bidi w:val="0"/>
        <w:rPr>
          <w:rFonts w:hint="default"/>
          <w:color w:val="auto"/>
          <w:lang w:val="en-US" w:eastAsia="zh-CN"/>
        </w:rPr>
      </w:pPr>
      <w:r>
        <w:rPr>
          <w:rFonts w:hint="default"/>
          <w:color w:val="auto"/>
          <w:lang w:val="en-US" w:eastAsia="zh-CN"/>
        </w:rPr>
        <w:t>预先危险性分析结论：本单元预先危险性等级系数为Ⅲ级，系统危险程度为很危险。</w:t>
      </w:r>
    </w:p>
    <w:p w14:paraId="03E5951C">
      <w:pPr>
        <w:pStyle w:val="6"/>
        <w:bidi w:val="0"/>
        <w:rPr>
          <w:rFonts w:hint="default"/>
          <w:color w:val="auto"/>
          <w:lang w:val="en-US" w:eastAsia="zh-CN"/>
        </w:rPr>
      </w:pPr>
      <w:r>
        <w:rPr>
          <w:rFonts w:hint="default"/>
          <w:color w:val="auto"/>
          <w:lang w:val="en-US" w:eastAsia="zh-CN"/>
        </w:rPr>
        <w:t>5.3.2 给排水系统检查表</w:t>
      </w:r>
    </w:p>
    <w:p w14:paraId="680AA892">
      <w:pPr>
        <w:pStyle w:val="29"/>
        <w:bidi w:val="0"/>
        <w:rPr>
          <w:rFonts w:hint="default"/>
          <w:color w:val="auto"/>
          <w:lang w:val="en-US" w:eastAsia="zh-CN"/>
        </w:rPr>
      </w:pPr>
      <w:r>
        <w:rPr>
          <w:rFonts w:hint="default"/>
          <w:color w:val="auto"/>
          <w:lang w:val="en-US" w:eastAsia="zh-CN"/>
        </w:rPr>
        <w:t>表5</w:t>
      </w:r>
      <w:r>
        <w:rPr>
          <w:rFonts w:hint="eastAsia"/>
          <w:color w:val="auto"/>
          <w:lang w:val="en-US" w:eastAsia="zh-CN"/>
        </w:rPr>
        <w:t>.3</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给排水系统安全检查表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718"/>
        <w:gridCol w:w="2804"/>
        <w:gridCol w:w="1527"/>
        <w:gridCol w:w="3118"/>
        <w:gridCol w:w="716"/>
      </w:tblGrid>
      <w:tr w14:paraId="5671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blHeader/>
          <w:jc w:val="center"/>
        </w:trPr>
        <w:tc>
          <w:tcPr>
            <w:tcW w:w="517" w:type="dxa"/>
            <w:noWrap w:val="0"/>
            <w:vAlign w:val="center"/>
          </w:tcPr>
          <w:p w14:paraId="40721AC2">
            <w:pPr>
              <w:pStyle w:val="30"/>
              <w:bidi w:val="0"/>
              <w:rPr>
                <w:rFonts w:hint="default"/>
                <w:b/>
                <w:bCs/>
                <w:color w:val="auto"/>
              </w:rPr>
            </w:pPr>
            <w:r>
              <w:rPr>
                <w:rFonts w:hint="default"/>
                <w:b/>
                <w:bCs/>
                <w:color w:val="auto"/>
              </w:rPr>
              <w:t>序号</w:t>
            </w:r>
          </w:p>
        </w:tc>
        <w:tc>
          <w:tcPr>
            <w:tcW w:w="718" w:type="dxa"/>
            <w:noWrap w:val="0"/>
            <w:vAlign w:val="center"/>
          </w:tcPr>
          <w:p w14:paraId="5B4F935A">
            <w:pPr>
              <w:pStyle w:val="30"/>
              <w:bidi w:val="0"/>
              <w:rPr>
                <w:rFonts w:hint="default"/>
                <w:b/>
                <w:bCs/>
                <w:color w:val="auto"/>
              </w:rPr>
            </w:pPr>
            <w:r>
              <w:rPr>
                <w:rFonts w:hint="default"/>
                <w:b/>
                <w:bCs/>
                <w:color w:val="auto"/>
              </w:rPr>
              <w:t>检查项目</w:t>
            </w:r>
          </w:p>
        </w:tc>
        <w:tc>
          <w:tcPr>
            <w:tcW w:w="2804" w:type="dxa"/>
            <w:noWrap w:val="0"/>
            <w:vAlign w:val="center"/>
          </w:tcPr>
          <w:p w14:paraId="4D1C3A48">
            <w:pPr>
              <w:pStyle w:val="30"/>
              <w:bidi w:val="0"/>
              <w:rPr>
                <w:rFonts w:hint="default"/>
                <w:b/>
                <w:bCs/>
                <w:color w:val="auto"/>
              </w:rPr>
            </w:pPr>
            <w:r>
              <w:rPr>
                <w:rFonts w:hint="default"/>
                <w:b/>
                <w:bCs/>
                <w:color w:val="auto"/>
              </w:rPr>
              <w:t>检查内容</w:t>
            </w:r>
          </w:p>
        </w:tc>
        <w:tc>
          <w:tcPr>
            <w:tcW w:w="1527" w:type="dxa"/>
            <w:noWrap w:val="0"/>
            <w:vAlign w:val="center"/>
          </w:tcPr>
          <w:p w14:paraId="3CD72111">
            <w:pPr>
              <w:pStyle w:val="30"/>
              <w:bidi w:val="0"/>
              <w:rPr>
                <w:rFonts w:hint="default"/>
                <w:b/>
                <w:bCs/>
                <w:color w:val="auto"/>
                <w:lang w:val="en-US" w:eastAsia="zh-CN"/>
              </w:rPr>
            </w:pPr>
            <w:r>
              <w:rPr>
                <w:rFonts w:hint="default"/>
                <w:b/>
                <w:bCs/>
                <w:color w:val="auto"/>
                <w:lang w:val="en-US"/>
              </w:rPr>
              <w:t>选用标准</w:t>
            </w:r>
          </w:p>
        </w:tc>
        <w:tc>
          <w:tcPr>
            <w:tcW w:w="3118" w:type="dxa"/>
            <w:noWrap w:val="0"/>
            <w:vAlign w:val="center"/>
          </w:tcPr>
          <w:p w14:paraId="6CC1A90A">
            <w:pPr>
              <w:pStyle w:val="30"/>
              <w:bidi w:val="0"/>
              <w:rPr>
                <w:rFonts w:hint="default"/>
                <w:b/>
                <w:bCs/>
                <w:color w:val="auto"/>
                <w:lang w:val="en-US" w:eastAsia="zh-CN"/>
              </w:rPr>
            </w:pPr>
            <w:r>
              <w:rPr>
                <w:rFonts w:hint="default"/>
                <w:b/>
                <w:bCs/>
                <w:color w:val="auto"/>
                <w:lang w:val="en-US"/>
              </w:rPr>
              <w:t>备注</w:t>
            </w:r>
          </w:p>
        </w:tc>
        <w:tc>
          <w:tcPr>
            <w:tcW w:w="716" w:type="dxa"/>
            <w:noWrap w:val="0"/>
            <w:vAlign w:val="center"/>
          </w:tcPr>
          <w:p w14:paraId="4AF51CBE">
            <w:pPr>
              <w:pStyle w:val="30"/>
              <w:bidi w:val="0"/>
              <w:rPr>
                <w:rFonts w:hint="default"/>
                <w:b/>
                <w:bCs/>
                <w:color w:val="auto"/>
                <w:lang w:eastAsia="zh-CN"/>
              </w:rPr>
            </w:pPr>
            <w:r>
              <w:rPr>
                <w:rFonts w:hint="default"/>
                <w:b/>
                <w:bCs/>
                <w:color w:val="auto"/>
              </w:rPr>
              <w:t>检查</w:t>
            </w:r>
            <w:r>
              <w:rPr>
                <w:rFonts w:hint="default"/>
                <w:b/>
                <w:bCs/>
                <w:color w:val="auto"/>
                <w:lang w:val="en-US"/>
              </w:rPr>
              <w:t>结果</w:t>
            </w:r>
          </w:p>
        </w:tc>
      </w:tr>
      <w:tr w14:paraId="6B88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noWrap w:val="0"/>
            <w:vAlign w:val="center"/>
          </w:tcPr>
          <w:p w14:paraId="77C6E4D3">
            <w:pPr>
              <w:pStyle w:val="30"/>
              <w:bidi w:val="0"/>
              <w:rPr>
                <w:rFonts w:hint="default"/>
                <w:color w:val="auto"/>
              </w:rPr>
            </w:pPr>
            <w:r>
              <w:rPr>
                <w:rFonts w:hint="default"/>
                <w:color w:val="auto"/>
              </w:rPr>
              <w:t>1</w:t>
            </w:r>
          </w:p>
        </w:tc>
        <w:tc>
          <w:tcPr>
            <w:tcW w:w="718" w:type="dxa"/>
            <w:noWrap w:val="0"/>
            <w:vAlign w:val="center"/>
          </w:tcPr>
          <w:p w14:paraId="7D5999E8">
            <w:pPr>
              <w:pStyle w:val="30"/>
              <w:bidi w:val="0"/>
              <w:rPr>
                <w:rFonts w:hint="default"/>
                <w:color w:val="auto"/>
              </w:rPr>
            </w:pPr>
            <w:r>
              <w:rPr>
                <w:rFonts w:hint="default"/>
                <w:color w:val="auto"/>
              </w:rPr>
              <w:t>防排水</w:t>
            </w:r>
          </w:p>
        </w:tc>
        <w:tc>
          <w:tcPr>
            <w:tcW w:w="2804" w:type="dxa"/>
            <w:noWrap w:val="0"/>
            <w:vAlign w:val="center"/>
          </w:tcPr>
          <w:p w14:paraId="60058752">
            <w:pPr>
              <w:pStyle w:val="30"/>
              <w:bidi w:val="0"/>
              <w:rPr>
                <w:rFonts w:hint="default"/>
                <w:color w:val="auto"/>
              </w:rPr>
            </w:pPr>
            <w:r>
              <w:rPr>
                <w:rFonts w:hint="default"/>
                <w:color w:val="auto"/>
              </w:rPr>
              <w:t>应采取措施防止地表水渗入边坡岩体的软弱结构面或直接冲刷边坡。边坡岩体存在含水层并影响边坡稳定时，应采取疏干降水措施。</w:t>
            </w:r>
          </w:p>
        </w:tc>
        <w:tc>
          <w:tcPr>
            <w:tcW w:w="1527" w:type="dxa"/>
            <w:noWrap w:val="0"/>
            <w:vAlign w:val="center"/>
          </w:tcPr>
          <w:p w14:paraId="217337CA">
            <w:pPr>
              <w:pStyle w:val="30"/>
              <w:bidi w:val="0"/>
              <w:rPr>
                <w:rFonts w:hint="default"/>
                <w:color w:val="auto"/>
              </w:rPr>
            </w:pPr>
            <w:r>
              <w:rPr>
                <w:rFonts w:hint="default"/>
                <w:color w:val="auto"/>
              </w:rPr>
              <w:t>《金属非金属矿山安全规程》GB16423-2020-5.9.1.9</w:t>
            </w:r>
          </w:p>
        </w:tc>
        <w:tc>
          <w:tcPr>
            <w:tcW w:w="3118" w:type="dxa"/>
            <w:noWrap w:val="0"/>
            <w:vAlign w:val="center"/>
          </w:tcPr>
          <w:p w14:paraId="172CE6A6">
            <w:pPr>
              <w:pStyle w:val="30"/>
              <w:bidi w:val="0"/>
              <w:rPr>
                <w:rFonts w:hint="default"/>
                <w:color w:val="auto"/>
                <w:lang w:eastAsia="zh-CN"/>
              </w:rPr>
            </w:pPr>
            <w:r>
              <w:rPr>
                <w:rFonts w:hint="default"/>
                <w:color w:val="auto"/>
              </w:rPr>
              <w:t>生活排水排至选厂生活水处理系统。</w:t>
            </w:r>
          </w:p>
        </w:tc>
        <w:tc>
          <w:tcPr>
            <w:tcW w:w="716" w:type="dxa"/>
            <w:noWrap w:val="0"/>
            <w:vAlign w:val="center"/>
          </w:tcPr>
          <w:p w14:paraId="6160C0E5">
            <w:pPr>
              <w:pStyle w:val="30"/>
              <w:bidi w:val="0"/>
              <w:rPr>
                <w:rFonts w:hint="default"/>
                <w:color w:val="auto"/>
              </w:rPr>
            </w:pPr>
            <w:r>
              <w:rPr>
                <w:rFonts w:hint="default"/>
                <w:color w:val="auto"/>
              </w:rPr>
              <w:t>符合</w:t>
            </w:r>
          </w:p>
        </w:tc>
      </w:tr>
      <w:tr w14:paraId="199D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noWrap w:val="0"/>
            <w:vAlign w:val="center"/>
          </w:tcPr>
          <w:p w14:paraId="325313AC">
            <w:pPr>
              <w:pStyle w:val="30"/>
              <w:bidi w:val="0"/>
              <w:rPr>
                <w:rFonts w:hint="default"/>
                <w:color w:val="auto"/>
              </w:rPr>
            </w:pPr>
            <w:r>
              <w:rPr>
                <w:rFonts w:hint="default"/>
                <w:color w:val="auto"/>
              </w:rPr>
              <w:t>1</w:t>
            </w:r>
          </w:p>
        </w:tc>
        <w:tc>
          <w:tcPr>
            <w:tcW w:w="718" w:type="dxa"/>
            <w:vMerge w:val="restart"/>
            <w:noWrap w:val="0"/>
            <w:vAlign w:val="center"/>
          </w:tcPr>
          <w:p w14:paraId="37F89DB6">
            <w:pPr>
              <w:pStyle w:val="30"/>
              <w:bidi w:val="0"/>
              <w:rPr>
                <w:rFonts w:hint="default"/>
                <w:color w:val="auto"/>
              </w:rPr>
            </w:pPr>
            <w:r>
              <w:rPr>
                <w:rFonts w:hint="default"/>
                <w:color w:val="auto"/>
              </w:rPr>
              <w:t>防灭火</w:t>
            </w:r>
          </w:p>
        </w:tc>
        <w:tc>
          <w:tcPr>
            <w:tcW w:w="2804" w:type="dxa"/>
            <w:noWrap w:val="0"/>
            <w:vAlign w:val="center"/>
          </w:tcPr>
          <w:p w14:paraId="51844C55">
            <w:pPr>
              <w:pStyle w:val="30"/>
              <w:bidi w:val="0"/>
              <w:rPr>
                <w:rFonts w:hint="default"/>
                <w:color w:val="auto"/>
              </w:rPr>
            </w:pPr>
            <w:r>
              <w:rPr>
                <w:rFonts w:hint="default"/>
                <w:color w:val="auto"/>
              </w:rPr>
              <w:t>厂区及厂房、库房应按规定设置消防水管路系统和消防栓，消防栓应有足够的水量和水压。</w:t>
            </w:r>
          </w:p>
        </w:tc>
        <w:tc>
          <w:tcPr>
            <w:tcW w:w="1527" w:type="dxa"/>
            <w:noWrap w:val="0"/>
            <w:vAlign w:val="center"/>
          </w:tcPr>
          <w:p w14:paraId="54053718">
            <w:pPr>
              <w:pStyle w:val="30"/>
              <w:bidi w:val="0"/>
              <w:rPr>
                <w:rFonts w:hint="default"/>
                <w:color w:val="auto"/>
              </w:rPr>
            </w:pPr>
            <w:r>
              <w:rPr>
                <w:rFonts w:hint="default"/>
                <w:color w:val="auto"/>
              </w:rPr>
              <w:t>《选矿安全规程》（GB18152-2000）11.4</w:t>
            </w:r>
          </w:p>
        </w:tc>
        <w:tc>
          <w:tcPr>
            <w:tcW w:w="3118" w:type="dxa"/>
            <w:noWrap w:val="0"/>
            <w:vAlign w:val="center"/>
          </w:tcPr>
          <w:p w14:paraId="5E6C1294">
            <w:pPr>
              <w:pStyle w:val="30"/>
              <w:bidi w:val="0"/>
              <w:rPr>
                <w:rFonts w:hint="default"/>
                <w:color w:val="auto"/>
                <w:lang w:val="en-US" w:eastAsia="zh-CN"/>
              </w:rPr>
            </w:pPr>
            <w:r>
              <w:rPr>
                <w:rFonts w:hint="eastAsia"/>
                <w:color w:val="auto"/>
                <w:lang w:val="en-US" w:eastAsia="zh-CN"/>
              </w:rPr>
              <w:t>于厂区适宜位置设置了2套室外地上式消火栓，供全厂室外消防使用。</w:t>
            </w:r>
          </w:p>
        </w:tc>
        <w:tc>
          <w:tcPr>
            <w:tcW w:w="716" w:type="dxa"/>
            <w:noWrap w:val="0"/>
            <w:vAlign w:val="center"/>
          </w:tcPr>
          <w:p w14:paraId="5751AE6F">
            <w:pPr>
              <w:pStyle w:val="30"/>
              <w:bidi w:val="0"/>
              <w:rPr>
                <w:rFonts w:hint="default"/>
                <w:color w:val="auto"/>
              </w:rPr>
            </w:pPr>
            <w:r>
              <w:rPr>
                <w:rFonts w:hint="default"/>
                <w:color w:val="auto"/>
              </w:rPr>
              <w:t>符合</w:t>
            </w:r>
          </w:p>
        </w:tc>
      </w:tr>
      <w:tr w14:paraId="4143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7" w:type="dxa"/>
            <w:noWrap w:val="0"/>
            <w:vAlign w:val="center"/>
          </w:tcPr>
          <w:p w14:paraId="538F9CE0">
            <w:pPr>
              <w:pStyle w:val="30"/>
              <w:bidi w:val="0"/>
              <w:rPr>
                <w:rFonts w:hint="default"/>
                <w:color w:val="auto"/>
              </w:rPr>
            </w:pPr>
            <w:r>
              <w:rPr>
                <w:rFonts w:hint="default"/>
                <w:color w:val="auto"/>
              </w:rPr>
              <w:t>2</w:t>
            </w:r>
          </w:p>
        </w:tc>
        <w:tc>
          <w:tcPr>
            <w:tcW w:w="718" w:type="dxa"/>
            <w:vMerge w:val="continue"/>
            <w:noWrap w:val="0"/>
            <w:vAlign w:val="center"/>
          </w:tcPr>
          <w:p w14:paraId="73B6ABEF">
            <w:pPr>
              <w:pStyle w:val="30"/>
              <w:bidi w:val="0"/>
              <w:rPr>
                <w:rFonts w:hint="default"/>
                <w:color w:val="auto"/>
              </w:rPr>
            </w:pPr>
          </w:p>
        </w:tc>
        <w:tc>
          <w:tcPr>
            <w:tcW w:w="2804" w:type="dxa"/>
            <w:noWrap w:val="0"/>
            <w:vAlign w:val="center"/>
          </w:tcPr>
          <w:p w14:paraId="27E12D8E">
            <w:pPr>
              <w:pStyle w:val="30"/>
              <w:bidi w:val="0"/>
              <w:rPr>
                <w:rFonts w:hint="default"/>
                <w:color w:val="auto"/>
              </w:rPr>
            </w:pPr>
            <w:r>
              <w:rPr>
                <w:rFonts w:hint="default"/>
                <w:color w:val="auto"/>
              </w:rPr>
              <w:t>建筑物有符合国家标准《建筑物防雷设计规范》规定的防雷装置。</w:t>
            </w:r>
          </w:p>
        </w:tc>
        <w:tc>
          <w:tcPr>
            <w:tcW w:w="1527" w:type="dxa"/>
            <w:vMerge w:val="restart"/>
            <w:noWrap w:val="0"/>
            <w:vAlign w:val="center"/>
          </w:tcPr>
          <w:p w14:paraId="3113DC08">
            <w:pPr>
              <w:pStyle w:val="30"/>
              <w:bidi w:val="0"/>
              <w:rPr>
                <w:rFonts w:hint="default"/>
                <w:color w:val="auto"/>
              </w:rPr>
            </w:pPr>
            <w:r>
              <w:rPr>
                <w:rFonts w:hint="default"/>
                <w:color w:val="auto"/>
              </w:rPr>
              <w:t>《建筑设计防火规范，2018版》（GB50016-2014）8.0</w:t>
            </w:r>
          </w:p>
        </w:tc>
        <w:tc>
          <w:tcPr>
            <w:tcW w:w="3118" w:type="dxa"/>
            <w:noWrap w:val="0"/>
            <w:vAlign w:val="center"/>
          </w:tcPr>
          <w:p w14:paraId="63CADAC7">
            <w:pPr>
              <w:pStyle w:val="30"/>
              <w:bidi w:val="0"/>
              <w:rPr>
                <w:rFonts w:hint="default"/>
                <w:color w:val="auto"/>
                <w:lang w:eastAsia="zh-CN"/>
              </w:rPr>
            </w:pPr>
            <w:r>
              <w:rPr>
                <w:rFonts w:hint="eastAsia"/>
                <w:color w:val="auto"/>
              </w:rPr>
              <w:t>建筑均为第三类防雷建、构筑物，按《建筑物防雷设计规范》（GB50057-2010）设置防直击雷和雷电波浸入的措施</w:t>
            </w:r>
            <w:r>
              <w:rPr>
                <w:rFonts w:hint="default"/>
                <w:color w:val="auto"/>
                <w:lang w:eastAsia="zh-CN"/>
              </w:rPr>
              <w:t>。</w:t>
            </w:r>
          </w:p>
        </w:tc>
        <w:tc>
          <w:tcPr>
            <w:tcW w:w="716" w:type="dxa"/>
            <w:noWrap w:val="0"/>
            <w:vAlign w:val="center"/>
          </w:tcPr>
          <w:p w14:paraId="673BF626">
            <w:pPr>
              <w:pStyle w:val="30"/>
              <w:bidi w:val="0"/>
              <w:rPr>
                <w:rFonts w:hint="default"/>
                <w:color w:val="auto"/>
              </w:rPr>
            </w:pPr>
            <w:r>
              <w:rPr>
                <w:rFonts w:hint="default"/>
                <w:color w:val="auto"/>
              </w:rPr>
              <w:t>符合</w:t>
            </w:r>
          </w:p>
        </w:tc>
      </w:tr>
      <w:tr w14:paraId="2571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dxa"/>
            <w:noWrap w:val="0"/>
            <w:vAlign w:val="center"/>
          </w:tcPr>
          <w:p w14:paraId="423DB02A">
            <w:pPr>
              <w:pStyle w:val="30"/>
              <w:bidi w:val="0"/>
              <w:rPr>
                <w:rFonts w:hint="default"/>
                <w:color w:val="auto"/>
              </w:rPr>
            </w:pPr>
            <w:r>
              <w:rPr>
                <w:rFonts w:hint="default"/>
                <w:color w:val="auto"/>
              </w:rPr>
              <w:t>3</w:t>
            </w:r>
          </w:p>
        </w:tc>
        <w:tc>
          <w:tcPr>
            <w:tcW w:w="718" w:type="dxa"/>
            <w:vMerge w:val="continue"/>
            <w:noWrap w:val="0"/>
            <w:vAlign w:val="center"/>
          </w:tcPr>
          <w:p w14:paraId="2892DC9A">
            <w:pPr>
              <w:pStyle w:val="30"/>
              <w:bidi w:val="0"/>
              <w:rPr>
                <w:rFonts w:hint="default"/>
                <w:color w:val="auto"/>
              </w:rPr>
            </w:pPr>
          </w:p>
        </w:tc>
        <w:tc>
          <w:tcPr>
            <w:tcW w:w="2804" w:type="dxa"/>
            <w:noWrap w:val="0"/>
            <w:vAlign w:val="center"/>
          </w:tcPr>
          <w:p w14:paraId="074B3AAB">
            <w:pPr>
              <w:pStyle w:val="30"/>
              <w:bidi w:val="0"/>
              <w:rPr>
                <w:rFonts w:hint="default"/>
                <w:color w:val="auto"/>
              </w:rPr>
            </w:pPr>
            <w:r>
              <w:rPr>
                <w:rFonts w:hint="default"/>
                <w:color w:val="auto"/>
              </w:rPr>
              <w:t>厂区的消防给水和灭火设备符合《建筑设计防火规范》（GB50016-20</w:t>
            </w:r>
            <w:r>
              <w:rPr>
                <w:rFonts w:hint="eastAsia"/>
                <w:color w:val="auto"/>
                <w:lang w:val="en-US" w:eastAsia="zh-CN"/>
              </w:rPr>
              <w:t>14</w:t>
            </w:r>
            <w:r>
              <w:rPr>
                <w:rFonts w:hint="default"/>
                <w:color w:val="auto"/>
              </w:rPr>
              <w:t>）第八章的规定。</w:t>
            </w:r>
          </w:p>
        </w:tc>
        <w:tc>
          <w:tcPr>
            <w:tcW w:w="1527" w:type="dxa"/>
            <w:vMerge w:val="continue"/>
            <w:noWrap w:val="0"/>
            <w:vAlign w:val="center"/>
          </w:tcPr>
          <w:p w14:paraId="59C237B8">
            <w:pPr>
              <w:pStyle w:val="30"/>
              <w:bidi w:val="0"/>
              <w:rPr>
                <w:rFonts w:hint="default"/>
                <w:color w:val="auto"/>
              </w:rPr>
            </w:pPr>
          </w:p>
        </w:tc>
        <w:tc>
          <w:tcPr>
            <w:tcW w:w="3118" w:type="dxa"/>
            <w:noWrap w:val="0"/>
            <w:vAlign w:val="center"/>
          </w:tcPr>
          <w:p w14:paraId="534D95EE">
            <w:pPr>
              <w:pStyle w:val="30"/>
              <w:bidi w:val="0"/>
              <w:rPr>
                <w:rFonts w:hint="eastAsia"/>
                <w:color w:val="auto"/>
                <w:lang w:eastAsia="zh-CN"/>
              </w:rPr>
            </w:pPr>
            <w:r>
              <w:rPr>
                <w:rFonts w:hint="eastAsia"/>
                <w:color w:val="auto"/>
              </w:rPr>
              <w:t>在厂区设置消防通道及回车场，保证消防车辆畅通无阻。在总图布置上，建、构筑物之间的防火间距严格按照《建筑设计防火规范（2</w:t>
            </w:r>
            <w:r>
              <w:rPr>
                <w:color w:val="auto"/>
              </w:rPr>
              <w:t>018</w:t>
            </w:r>
            <w:r>
              <w:rPr>
                <w:rFonts w:hint="eastAsia"/>
                <w:color w:val="auto"/>
              </w:rPr>
              <w:t>）》（GB</w:t>
            </w:r>
            <w:r>
              <w:rPr>
                <w:color w:val="auto"/>
              </w:rPr>
              <w:t>50016-2014</w:t>
            </w:r>
            <w:r>
              <w:rPr>
                <w:rFonts w:hint="eastAsia"/>
                <w:color w:val="auto"/>
              </w:rPr>
              <w:t>）执行，于厂区适宜位置设置了2套室外地上式消火栓，供全厂室外消防使用。车间内按规范设置一定数量的手提式磷酸氨盐干粉灭火器</w:t>
            </w:r>
            <w:r>
              <w:rPr>
                <w:rFonts w:hint="eastAsia"/>
                <w:color w:val="auto"/>
                <w:lang w:eastAsia="zh-CN"/>
              </w:rPr>
              <w:t>。</w:t>
            </w:r>
          </w:p>
        </w:tc>
        <w:tc>
          <w:tcPr>
            <w:tcW w:w="716" w:type="dxa"/>
            <w:noWrap w:val="0"/>
            <w:vAlign w:val="center"/>
          </w:tcPr>
          <w:p w14:paraId="5B450AA3">
            <w:pPr>
              <w:pStyle w:val="30"/>
              <w:bidi w:val="0"/>
              <w:rPr>
                <w:rFonts w:hint="default"/>
                <w:color w:val="auto"/>
              </w:rPr>
            </w:pPr>
            <w:r>
              <w:rPr>
                <w:rFonts w:hint="default"/>
                <w:color w:val="auto"/>
              </w:rPr>
              <w:t>符合</w:t>
            </w:r>
          </w:p>
        </w:tc>
      </w:tr>
    </w:tbl>
    <w:p w14:paraId="247BBE67">
      <w:pPr>
        <w:pStyle w:val="6"/>
        <w:bidi w:val="0"/>
        <w:rPr>
          <w:rFonts w:hint="default"/>
          <w:color w:val="auto"/>
          <w:lang w:val="en-US" w:eastAsia="zh-CN"/>
        </w:rPr>
      </w:pPr>
      <w:r>
        <w:rPr>
          <w:rFonts w:hint="default"/>
          <w:color w:val="auto"/>
          <w:lang w:val="en-US" w:eastAsia="zh-CN"/>
        </w:rPr>
        <w:t>5.3.3 单元小结</w:t>
      </w:r>
    </w:p>
    <w:p w14:paraId="475997A6">
      <w:pPr>
        <w:bidi w:val="0"/>
        <w:rPr>
          <w:rFonts w:hint="default"/>
          <w:color w:val="auto"/>
          <w:lang w:val="en-US" w:eastAsia="zh-CN"/>
        </w:rPr>
      </w:pPr>
      <w:r>
        <w:rPr>
          <w:rFonts w:hint="eastAsia"/>
          <w:color w:val="auto"/>
          <w:lang w:val="en-US" w:eastAsia="zh-CN"/>
        </w:rPr>
        <w:t>项目</w:t>
      </w:r>
      <w:r>
        <w:rPr>
          <w:rFonts w:hint="default"/>
          <w:color w:val="auto"/>
          <w:lang w:val="en-US" w:eastAsia="zh-CN"/>
        </w:rPr>
        <w:t>选址应避开不良工程地质地段，避免给排水设施损坏导致人员伤亡。冬季各给排水管应采取防止冻裂措施。给排水设施中应完善防排水措施。</w:t>
      </w:r>
    </w:p>
    <w:p w14:paraId="2F7F8354">
      <w:pPr>
        <w:pStyle w:val="5"/>
        <w:bidi w:val="0"/>
        <w:rPr>
          <w:rFonts w:hint="default"/>
          <w:color w:val="auto"/>
          <w:lang w:val="en-US" w:eastAsia="zh-CN"/>
        </w:rPr>
      </w:pPr>
      <w:bookmarkStart w:id="32" w:name="_Toc14150"/>
      <w:r>
        <w:rPr>
          <w:rFonts w:hint="default"/>
          <w:color w:val="auto"/>
          <w:lang w:val="en-US" w:eastAsia="zh-CN"/>
        </w:rPr>
        <w:t>5.4 供配电系统单元</w:t>
      </w:r>
      <w:bookmarkEnd w:id="32"/>
    </w:p>
    <w:p w14:paraId="1489F19B">
      <w:pPr>
        <w:pStyle w:val="6"/>
        <w:bidi w:val="0"/>
        <w:rPr>
          <w:rFonts w:hint="default"/>
          <w:color w:val="auto"/>
          <w:lang w:val="en-US" w:eastAsia="zh-CN"/>
        </w:rPr>
      </w:pPr>
      <w:r>
        <w:rPr>
          <w:rFonts w:hint="default"/>
          <w:color w:val="auto"/>
          <w:lang w:val="en-US" w:eastAsia="zh-CN"/>
        </w:rPr>
        <w:t>5.4.1 供配电系统预先危险性分析（PHA）</w:t>
      </w:r>
    </w:p>
    <w:p w14:paraId="267E1B95">
      <w:pPr>
        <w:pStyle w:val="29"/>
        <w:bidi w:val="0"/>
        <w:rPr>
          <w:rFonts w:hint="default"/>
          <w:color w:val="auto"/>
          <w:lang w:val="en-US" w:eastAsia="zh-CN"/>
        </w:rPr>
      </w:pPr>
      <w:r>
        <w:rPr>
          <w:rFonts w:hint="default"/>
          <w:color w:val="auto"/>
          <w:lang w:val="en-US" w:eastAsia="zh-CN"/>
        </w:rPr>
        <w:t>表5</w:t>
      </w:r>
      <w:r>
        <w:rPr>
          <w:rFonts w:hint="eastAsia"/>
          <w:color w:val="auto"/>
          <w:lang w:val="en-US" w:eastAsia="zh-CN"/>
        </w:rPr>
        <w:t>.4</w:t>
      </w:r>
      <w:r>
        <w:rPr>
          <w:rFonts w:hint="default"/>
          <w:color w:val="auto"/>
          <w:lang w:val="en-US" w:eastAsia="zh-CN"/>
        </w:rPr>
        <w:t>-1  供配电系统预先危险性分析</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861"/>
        <w:gridCol w:w="1053"/>
        <w:gridCol w:w="1091"/>
        <w:gridCol w:w="808"/>
        <w:gridCol w:w="941"/>
        <w:gridCol w:w="2952"/>
      </w:tblGrid>
      <w:tr w14:paraId="2108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694" w:type="dxa"/>
            <w:noWrap w:val="0"/>
            <w:vAlign w:val="center"/>
          </w:tcPr>
          <w:p w14:paraId="60C27C3F">
            <w:pPr>
              <w:pStyle w:val="30"/>
              <w:bidi w:val="0"/>
              <w:rPr>
                <w:rFonts w:hint="default"/>
                <w:b/>
                <w:bCs/>
                <w:color w:val="auto"/>
              </w:rPr>
            </w:pPr>
            <w:r>
              <w:rPr>
                <w:rFonts w:hint="default"/>
                <w:b/>
                <w:bCs/>
                <w:color w:val="auto"/>
              </w:rPr>
              <w:t>危险有</w:t>
            </w:r>
          </w:p>
          <w:p w14:paraId="7B5C15E5">
            <w:pPr>
              <w:pStyle w:val="30"/>
              <w:bidi w:val="0"/>
              <w:rPr>
                <w:rFonts w:hint="default"/>
                <w:b/>
                <w:bCs/>
                <w:color w:val="auto"/>
              </w:rPr>
            </w:pPr>
            <w:r>
              <w:rPr>
                <w:rFonts w:hint="default"/>
                <w:b/>
                <w:bCs/>
                <w:color w:val="auto"/>
              </w:rPr>
              <w:t>害因素</w:t>
            </w:r>
          </w:p>
        </w:tc>
        <w:tc>
          <w:tcPr>
            <w:tcW w:w="1861" w:type="dxa"/>
            <w:noWrap w:val="0"/>
            <w:vAlign w:val="center"/>
          </w:tcPr>
          <w:p w14:paraId="363A195F">
            <w:pPr>
              <w:pStyle w:val="30"/>
              <w:bidi w:val="0"/>
              <w:rPr>
                <w:rFonts w:hint="default"/>
                <w:b/>
                <w:bCs/>
                <w:color w:val="auto"/>
              </w:rPr>
            </w:pPr>
            <w:r>
              <w:rPr>
                <w:rFonts w:hint="default"/>
                <w:b/>
                <w:bCs/>
                <w:color w:val="auto"/>
              </w:rPr>
              <w:t>诱发事故原因</w:t>
            </w:r>
          </w:p>
        </w:tc>
        <w:tc>
          <w:tcPr>
            <w:tcW w:w="1053" w:type="dxa"/>
            <w:noWrap w:val="0"/>
            <w:vAlign w:val="center"/>
          </w:tcPr>
          <w:p w14:paraId="5A6CA0A8">
            <w:pPr>
              <w:pStyle w:val="30"/>
              <w:bidi w:val="0"/>
              <w:rPr>
                <w:rFonts w:hint="default"/>
                <w:b/>
                <w:bCs/>
                <w:color w:val="auto"/>
              </w:rPr>
            </w:pPr>
            <w:r>
              <w:rPr>
                <w:rFonts w:hint="default"/>
                <w:b/>
                <w:bCs/>
                <w:color w:val="auto"/>
              </w:rPr>
              <w:t>事故</w:t>
            </w:r>
          </w:p>
          <w:p w14:paraId="23C1DA45">
            <w:pPr>
              <w:pStyle w:val="30"/>
              <w:bidi w:val="0"/>
              <w:rPr>
                <w:rFonts w:hint="default"/>
                <w:b/>
                <w:bCs/>
                <w:color w:val="auto"/>
              </w:rPr>
            </w:pPr>
            <w:r>
              <w:rPr>
                <w:rFonts w:hint="default"/>
                <w:b/>
                <w:bCs/>
                <w:color w:val="auto"/>
              </w:rPr>
              <w:t>模式</w:t>
            </w:r>
          </w:p>
        </w:tc>
        <w:tc>
          <w:tcPr>
            <w:tcW w:w="1091" w:type="dxa"/>
            <w:noWrap w:val="0"/>
            <w:vAlign w:val="center"/>
          </w:tcPr>
          <w:p w14:paraId="23F264FB">
            <w:pPr>
              <w:pStyle w:val="30"/>
              <w:bidi w:val="0"/>
              <w:rPr>
                <w:rFonts w:hint="default"/>
                <w:b/>
                <w:bCs/>
                <w:color w:val="auto"/>
              </w:rPr>
            </w:pPr>
            <w:r>
              <w:rPr>
                <w:rFonts w:hint="default"/>
                <w:b/>
                <w:bCs/>
                <w:color w:val="auto"/>
              </w:rPr>
              <w:t>事故后果</w:t>
            </w:r>
          </w:p>
        </w:tc>
        <w:tc>
          <w:tcPr>
            <w:tcW w:w="808" w:type="dxa"/>
            <w:noWrap w:val="0"/>
            <w:vAlign w:val="center"/>
          </w:tcPr>
          <w:p w14:paraId="7956BAE7">
            <w:pPr>
              <w:pStyle w:val="30"/>
              <w:bidi w:val="0"/>
              <w:rPr>
                <w:rFonts w:hint="default"/>
                <w:b/>
                <w:bCs/>
                <w:color w:val="auto"/>
              </w:rPr>
            </w:pPr>
            <w:r>
              <w:rPr>
                <w:rFonts w:hint="default"/>
                <w:b/>
                <w:bCs/>
                <w:color w:val="auto"/>
              </w:rPr>
              <w:t>危险等级</w:t>
            </w:r>
          </w:p>
        </w:tc>
        <w:tc>
          <w:tcPr>
            <w:tcW w:w="941" w:type="dxa"/>
            <w:noWrap w:val="0"/>
            <w:vAlign w:val="center"/>
          </w:tcPr>
          <w:p w14:paraId="01FF6FB3">
            <w:pPr>
              <w:pStyle w:val="30"/>
              <w:bidi w:val="0"/>
              <w:rPr>
                <w:rFonts w:hint="default"/>
                <w:b/>
                <w:bCs/>
                <w:color w:val="auto"/>
              </w:rPr>
            </w:pPr>
            <w:r>
              <w:rPr>
                <w:rFonts w:hint="default"/>
                <w:b/>
                <w:bCs/>
                <w:color w:val="auto"/>
                <w:lang w:val="en-US" w:eastAsia="zh-CN"/>
              </w:rPr>
              <w:t>发生事故的概率等级</w:t>
            </w:r>
          </w:p>
        </w:tc>
        <w:tc>
          <w:tcPr>
            <w:tcW w:w="2952" w:type="dxa"/>
            <w:noWrap w:val="0"/>
            <w:vAlign w:val="center"/>
          </w:tcPr>
          <w:p w14:paraId="4464C30C">
            <w:pPr>
              <w:pStyle w:val="30"/>
              <w:bidi w:val="0"/>
              <w:rPr>
                <w:rFonts w:hint="default"/>
                <w:b/>
                <w:bCs/>
                <w:color w:val="auto"/>
              </w:rPr>
            </w:pPr>
            <w:r>
              <w:rPr>
                <w:rFonts w:hint="default"/>
                <w:b/>
                <w:bCs/>
                <w:color w:val="auto"/>
              </w:rPr>
              <w:t>对策措施</w:t>
            </w:r>
          </w:p>
        </w:tc>
      </w:tr>
      <w:tr w14:paraId="4187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694" w:type="dxa"/>
            <w:noWrap w:val="0"/>
            <w:vAlign w:val="center"/>
          </w:tcPr>
          <w:p w14:paraId="1FCA7C0A">
            <w:pPr>
              <w:pStyle w:val="30"/>
              <w:bidi w:val="0"/>
              <w:rPr>
                <w:rFonts w:hint="default"/>
                <w:color w:val="auto"/>
              </w:rPr>
            </w:pPr>
            <w:r>
              <w:rPr>
                <w:rFonts w:hint="default"/>
                <w:color w:val="auto"/>
              </w:rPr>
              <w:t>机械</w:t>
            </w:r>
          </w:p>
          <w:p w14:paraId="30DEBE4D">
            <w:pPr>
              <w:pStyle w:val="30"/>
              <w:bidi w:val="0"/>
              <w:rPr>
                <w:rFonts w:hint="default"/>
                <w:color w:val="auto"/>
              </w:rPr>
            </w:pPr>
            <w:r>
              <w:rPr>
                <w:rFonts w:hint="default"/>
                <w:color w:val="auto"/>
              </w:rPr>
              <w:t>伤害</w:t>
            </w:r>
          </w:p>
        </w:tc>
        <w:tc>
          <w:tcPr>
            <w:tcW w:w="1861" w:type="dxa"/>
            <w:noWrap w:val="0"/>
            <w:vAlign w:val="center"/>
          </w:tcPr>
          <w:p w14:paraId="53C8BA42">
            <w:pPr>
              <w:pStyle w:val="30"/>
              <w:bidi w:val="0"/>
              <w:jc w:val="both"/>
              <w:rPr>
                <w:rFonts w:hint="default"/>
                <w:color w:val="auto"/>
              </w:rPr>
            </w:pPr>
            <w:r>
              <w:rPr>
                <w:rFonts w:hint="default"/>
                <w:color w:val="auto"/>
              </w:rPr>
              <w:t>①操作不熟练；</w:t>
            </w:r>
          </w:p>
          <w:p w14:paraId="270A53D4">
            <w:pPr>
              <w:pStyle w:val="30"/>
              <w:bidi w:val="0"/>
              <w:jc w:val="both"/>
              <w:rPr>
                <w:rFonts w:hint="default"/>
                <w:color w:val="auto"/>
              </w:rPr>
            </w:pPr>
            <w:r>
              <w:rPr>
                <w:rFonts w:hint="default"/>
                <w:color w:val="auto"/>
              </w:rPr>
              <w:t>②操作地点不安全；</w:t>
            </w:r>
          </w:p>
          <w:p w14:paraId="2124AA0A">
            <w:pPr>
              <w:pStyle w:val="30"/>
              <w:bidi w:val="0"/>
              <w:jc w:val="both"/>
              <w:rPr>
                <w:rFonts w:hint="default"/>
                <w:color w:val="auto"/>
              </w:rPr>
            </w:pPr>
            <w:r>
              <w:rPr>
                <w:rFonts w:hint="default"/>
                <w:color w:val="auto"/>
              </w:rPr>
              <w:t>③作业前安全检查、处理不到位；</w:t>
            </w:r>
          </w:p>
          <w:p w14:paraId="32FC7C75">
            <w:pPr>
              <w:pStyle w:val="30"/>
              <w:bidi w:val="0"/>
              <w:jc w:val="both"/>
              <w:rPr>
                <w:rFonts w:hint="default"/>
                <w:color w:val="auto"/>
              </w:rPr>
            </w:pPr>
            <w:r>
              <w:rPr>
                <w:rFonts w:hint="default"/>
                <w:color w:val="auto"/>
              </w:rPr>
              <w:t>④防护装置(罩)不全。</w:t>
            </w:r>
          </w:p>
        </w:tc>
        <w:tc>
          <w:tcPr>
            <w:tcW w:w="1053" w:type="dxa"/>
            <w:noWrap w:val="0"/>
            <w:vAlign w:val="center"/>
          </w:tcPr>
          <w:p w14:paraId="56868911">
            <w:pPr>
              <w:pStyle w:val="30"/>
              <w:bidi w:val="0"/>
              <w:rPr>
                <w:rFonts w:hint="default"/>
                <w:color w:val="auto"/>
              </w:rPr>
            </w:pPr>
            <w:r>
              <w:rPr>
                <w:rFonts w:hint="default"/>
                <w:color w:val="auto"/>
              </w:rPr>
              <w:t>机械伤害、跌伤</w:t>
            </w:r>
          </w:p>
        </w:tc>
        <w:tc>
          <w:tcPr>
            <w:tcW w:w="1091" w:type="dxa"/>
            <w:noWrap w:val="0"/>
            <w:vAlign w:val="center"/>
          </w:tcPr>
          <w:p w14:paraId="35907B83">
            <w:pPr>
              <w:pStyle w:val="30"/>
              <w:bidi w:val="0"/>
              <w:rPr>
                <w:rFonts w:hint="default"/>
                <w:color w:val="auto"/>
              </w:rPr>
            </w:pPr>
            <w:r>
              <w:rPr>
                <w:rFonts w:hint="default"/>
                <w:color w:val="auto"/>
              </w:rPr>
              <w:t>人员伤害</w:t>
            </w:r>
          </w:p>
        </w:tc>
        <w:tc>
          <w:tcPr>
            <w:tcW w:w="808" w:type="dxa"/>
            <w:noWrap w:val="0"/>
            <w:vAlign w:val="center"/>
          </w:tcPr>
          <w:p w14:paraId="30C7DB45">
            <w:pPr>
              <w:pStyle w:val="30"/>
              <w:bidi w:val="0"/>
              <w:rPr>
                <w:rFonts w:hint="default"/>
                <w:color w:val="auto"/>
              </w:rPr>
            </w:pPr>
            <w:r>
              <w:rPr>
                <w:rFonts w:hint="default"/>
                <w:color w:val="auto"/>
              </w:rPr>
              <w:t>II</w:t>
            </w:r>
          </w:p>
        </w:tc>
        <w:tc>
          <w:tcPr>
            <w:tcW w:w="941" w:type="dxa"/>
            <w:noWrap w:val="0"/>
            <w:vAlign w:val="center"/>
          </w:tcPr>
          <w:p w14:paraId="6FBD748C">
            <w:pPr>
              <w:pStyle w:val="30"/>
              <w:bidi w:val="0"/>
              <w:rPr>
                <w:rFonts w:hint="default"/>
                <w:color w:val="auto"/>
                <w:lang w:val="en-US" w:eastAsia="zh-CN"/>
              </w:rPr>
            </w:pPr>
            <w:r>
              <w:rPr>
                <w:rFonts w:hint="default"/>
                <w:color w:val="auto"/>
                <w:lang w:val="en-US" w:eastAsia="zh-CN"/>
              </w:rPr>
              <w:t>B</w:t>
            </w:r>
          </w:p>
        </w:tc>
        <w:tc>
          <w:tcPr>
            <w:tcW w:w="2952" w:type="dxa"/>
            <w:noWrap w:val="0"/>
            <w:vAlign w:val="center"/>
          </w:tcPr>
          <w:p w14:paraId="32E68B39">
            <w:pPr>
              <w:pStyle w:val="30"/>
              <w:bidi w:val="0"/>
              <w:jc w:val="both"/>
              <w:rPr>
                <w:rFonts w:hint="default"/>
                <w:color w:val="auto"/>
              </w:rPr>
            </w:pPr>
            <w:r>
              <w:rPr>
                <w:rFonts w:hint="default"/>
                <w:color w:val="auto"/>
                <w:lang w:val="en-US" w:eastAsia="zh-CN"/>
              </w:rPr>
              <w:t>1、</w:t>
            </w:r>
            <w:r>
              <w:rPr>
                <w:rFonts w:hint="default"/>
                <w:color w:val="auto"/>
              </w:rPr>
              <w:t>严格执行操作规程；</w:t>
            </w:r>
          </w:p>
          <w:p w14:paraId="7F789B19">
            <w:pPr>
              <w:pStyle w:val="30"/>
              <w:bidi w:val="0"/>
              <w:jc w:val="both"/>
              <w:rPr>
                <w:rFonts w:hint="default"/>
                <w:color w:val="auto"/>
              </w:rPr>
            </w:pPr>
            <w:r>
              <w:rPr>
                <w:rFonts w:hint="default"/>
                <w:color w:val="auto"/>
                <w:lang w:val="en-US" w:eastAsia="zh-CN"/>
              </w:rPr>
              <w:t>2、</w:t>
            </w:r>
            <w:r>
              <w:rPr>
                <w:rFonts w:hint="default"/>
                <w:color w:val="auto"/>
              </w:rPr>
              <w:t>树立先安全后生产的观念，坚持工作前对工作面的安全处理；</w:t>
            </w:r>
          </w:p>
          <w:p w14:paraId="7278263A">
            <w:pPr>
              <w:pStyle w:val="30"/>
              <w:bidi w:val="0"/>
              <w:jc w:val="both"/>
              <w:rPr>
                <w:rFonts w:hint="default"/>
                <w:color w:val="auto"/>
              </w:rPr>
            </w:pPr>
            <w:r>
              <w:rPr>
                <w:rFonts w:hint="default"/>
                <w:color w:val="auto"/>
                <w:lang w:val="en-US" w:eastAsia="zh-CN"/>
              </w:rPr>
              <w:t>3、</w:t>
            </w:r>
            <w:r>
              <w:rPr>
                <w:rFonts w:hint="default"/>
                <w:color w:val="auto"/>
              </w:rPr>
              <w:t>加强个人防护措施；完善配备机械安全防护装置。</w:t>
            </w:r>
          </w:p>
        </w:tc>
      </w:tr>
      <w:tr w14:paraId="5427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atLeast"/>
          <w:jc w:val="center"/>
        </w:trPr>
        <w:tc>
          <w:tcPr>
            <w:tcW w:w="694" w:type="dxa"/>
            <w:noWrap w:val="0"/>
            <w:vAlign w:val="center"/>
          </w:tcPr>
          <w:p w14:paraId="449507FC">
            <w:pPr>
              <w:pStyle w:val="30"/>
              <w:bidi w:val="0"/>
              <w:rPr>
                <w:rFonts w:hint="default"/>
                <w:color w:val="auto"/>
              </w:rPr>
            </w:pPr>
            <w:r>
              <w:rPr>
                <w:rFonts w:hint="default"/>
                <w:color w:val="auto"/>
              </w:rPr>
              <w:t>触电</w:t>
            </w:r>
          </w:p>
        </w:tc>
        <w:tc>
          <w:tcPr>
            <w:tcW w:w="1861" w:type="dxa"/>
            <w:noWrap w:val="0"/>
            <w:vAlign w:val="center"/>
          </w:tcPr>
          <w:p w14:paraId="05A8B3E8">
            <w:pPr>
              <w:pStyle w:val="30"/>
              <w:bidi w:val="0"/>
              <w:jc w:val="both"/>
              <w:rPr>
                <w:rFonts w:hint="default"/>
                <w:color w:val="auto"/>
              </w:rPr>
            </w:pPr>
            <w:r>
              <w:rPr>
                <w:rFonts w:hint="default"/>
                <w:color w:val="auto"/>
              </w:rPr>
              <w:t>①工作面潮湿；</w:t>
            </w:r>
          </w:p>
          <w:p w14:paraId="5C1D4E92">
            <w:pPr>
              <w:pStyle w:val="30"/>
              <w:bidi w:val="0"/>
              <w:jc w:val="both"/>
              <w:rPr>
                <w:rFonts w:hint="default"/>
                <w:color w:val="auto"/>
              </w:rPr>
            </w:pPr>
            <w:r>
              <w:rPr>
                <w:rFonts w:hint="default"/>
                <w:color w:val="auto"/>
              </w:rPr>
              <w:t>②使用电气设备绝缘老化；</w:t>
            </w:r>
          </w:p>
          <w:p w14:paraId="6B544D7B">
            <w:pPr>
              <w:pStyle w:val="30"/>
              <w:bidi w:val="0"/>
              <w:jc w:val="both"/>
              <w:rPr>
                <w:rFonts w:hint="default"/>
                <w:color w:val="auto"/>
              </w:rPr>
            </w:pPr>
            <w:r>
              <w:rPr>
                <w:rFonts w:hint="default"/>
                <w:color w:val="auto"/>
              </w:rPr>
              <w:t>③电气设备缺少漏电保护等防护装置；</w:t>
            </w:r>
          </w:p>
          <w:p w14:paraId="4763F458">
            <w:pPr>
              <w:pStyle w:val="30"/>
              <w:bidi w:val="0"/>
              <w:jc w:val="both"/>
              <w:rPr>
                <w:rFonts w:hint="default"/>
                <w:color w:val="auto"/>
              </w:rPr>
            </w:pPr>
            <w:r>
              <w:rPr>
                <w:rFonts w:hint="default"/>
                <w:color w:val="auto"/>
              </w:rPr>
              <w:t>④不执行停送电制度；</w:t>
            </w:r>
          </w:p>
          <w:p w14:paraId="0B94B8CA">
            <w:pPr>
              <w:pStyle w:val="30"/>
              <w:bidi w:val="0"/>
              <w:jc w:val="both"/>
              <w:rPr>
                <w:rFonts w:hint="default"/>
                <w:color w:val="auto"/>
              </w:rPr>
            </w:pPr>
            <w:r>
              <w:rPr>
                <w:rFonts w:hint="default"/>
                <w:color w:val="auto"/>
              </w:rPr>
              <w:t>⑤缺乏安全警示标志；</w:t>
            </w:r>
          </w:p>
          <w:p w14:paraId="3D369518">
            <w:pPr>
              <w:pStyle w:val="30"/>
              <w:bidi w:val="0"/>
              <w:jc w:val="both"/>
              <w:rPr>
                <w:rFonts w:hint="default"/>
                <w:color w:val="auto"/>
              </w:rPr>
            </w:pPr>
            <w:r>
              <w:rPr>
                <w:rFonts w:hint="default"/>
                <w:color w:val="auto"/>
              </w:rPr>
              <w:t>⑥作业无人监护；⑦不使用安全电压；</w:t>
            </w:r>
          </w:p>
          <w:p w14:paraId="228A0992">
            <w:pPr>
              <w:pStyle w:val="30"/>
              <w:bidi w:val="0"/>
              <w:jc w:val="both"/>
              <w:rPr>
                <w:rFonts w:hint="default"/>
                <w:color w:val="auto"/>
              </w:rPr>
            </w:pPr>
            <w:r>
              <w:rPr>
                <w:rFonts w:hint="default"/>
                <w:color w:val="auto"/>
              </w:rPr>
              <w:t>⑧安全装置失效；⑨个人防护措施不全；</w:t>
            </w:r>
          </w:p>
          <w:p w14:paraId="185B2CD5">
            <w:pPr>
              <w:pStyle w:val="30"/>
              <w:bidi w:val="0"/>
              <w:jc w:val="both"/>
              <w:rPr>
                <w:rFonts w:hint="default"/>
                <w:color w:val="auto"/>
              </w:rPr>
            </w:pPr>
            <w:r>
              <w:rPr>
                <w:rFonts w:hint="default"/>
                <w:color w:val="auto"/>
              </w:rPr>
              <w:t>⑩其他违章操作。</w:t>
            </w:r>
          </w:p>
        </w:tc>
        <w:tc>
          <w:tcPr>
            <w:tcW w:w="1053" w:type="dxa"/>
            <w:noWrap w:val="0"/>
            <w:vAlign w:val="center"/>
          </w:tcPr>
          <w:p w14:paraId="1B82F357">
            <w:pPr>
              <w:pStyle w:val="30"/>
              <w:bidi w:val="0"/>
              <w:rPr>
                <w:rFonts w:hint="default"/>
                <w:color w:val="auto"/>
              </w:rPr>
            </w:pPr>
            <w:r>
              <w:rPr>
                <w:rFonts w:hint="default"/>
                <w:color w:val="auto"/>
              </w:rPr>
              <w:t>短路、引发漏电、触电</w:t>
            </w:r>
          </w:p>
        </w:tc>
        <w:tc>
          <w:tcPr>
            <w:tcW w:w="1091" w:type="dxa"/>
            <w:noWrap w:val="0"/>
            <w:vAlign w:val="center"/>
          </w:tcPr>
          <w:p w14:paraId="0E6D1489">
            <w:pPr>
              <w:pStyle w:val="30"/>
              <w:bidi w:val="0"/>
              <w:rPr>
                <w:rFonts w:hint="default"/>
                <w:color w:val="auto"/>
              </w:rPr>
            </w:pPr>
            <w:r>
              <w:rPr>
                <w:rFonts w:hint="default"/>
                <w:color w:val="auto"/>
              </w:rPr>
              <w:t>人员伤亡、设备损坏</w:t>
            </w:r>
          </w:p>
        </w:tc>
        <w:tc>
          <w:tcPr>
            <w:tcW w:w="808" w:type="dxa"/>
            <w:noWrap w:val="0"/>
            <w:vAlign w:val="center"/>
          </w:tcPr>
          <w:p w14:paraId="3C9ED925">
            <w:pPr>
              <w:pStyle w:val="30"/>
              <w:bidi w:val="0"/>
              <w:rPr>
                <w:rFonts w:hint="default"/>
                <w:color w:val="auto"/>
              </w:rPr>
            </w:pPr>
            <w:r>
              <w:rPr>
                <w:rFonts w:hint="default"/>
                <w:color w:val="auto"/>
              </w:rPr>
              <w:t>II</w:t>
            </w:r>
          </w:p>
        </w:tc>
        <w:tc>
          <w:tcPr>
            <w:tcW w:w="941" w:type="dxa"/>
            <w:noWrap w:val="0"/>
            <w:vAlign w:val="center"/>
          </w:tcPr>
          <w:p w14:paraId="70F183C4">
            <w:pPr>
              <w:pStyle w:val="30"/>
              <w:bidi w:val="0"/>
              <w:rPr>
                <w:rFonts w:hint="default"/>
                <w:color w:val="auto"/>
                <w:lang w:val="en-US" w:eastAsia="zh-CN"/>
              </w:rPr>
            </w:pPr>
            <w:r>
              <w:rPr>
                <w:rFonts w:hint="default"/>
                <w:color w:val="auto"/>
                <w:lang w:val="en-US" w:eastAsia="zh-CN"/>
              </w:rPr>
              <w:t>D</w:t>
            </w:r>
          </w:p>
        </w:tc>
        <w:tc>
          <w:tcPr>
            <w:tcW w:w="2952" w:type="dxa"/>
            <w:noWrap w:val="0"/>
            <w:vAlign w:val="center"/>
          </w:tcPr>
          <w:p w14:paraId="7A008052">
            <w:pPr>
              <w:pStyle w:val="30"/>
              <w:bidi w:val="0"/>
              <w:jc w:val="both"/>
              <w:rPr>
                <w:rFonts w:hint="default"/>
                <w:color w:val="auto"/>
              </w:rPr>
            </w:pPr>
            <w:r>
              <w:rPr>
                <w:rFonts w:hint="default"/>
                <w:color w:val="auto"/>
                <w:lang w:val="en-US" w:eastAsia="zh-CN"/>
              </w:rPr>
              <w:t>1、</w:t>
            </w:r>
            <w:r>
              <w:rPr>
                <w:rFonts w:hint="default"/>
                <w:color w:val="auto"/>
              </w:rPr>
              <w:t>严格执行操作规程；</w:t>
            </w:r>
          </w:p>
          <w:p w14:paraId="7A318E84">
            <w:pPr>
              <w:pStyle w:val="30"/>
              <w:bidi w:val="0"/>
              <w:jc w:val="both"/>
              <w:rPr>
                <w:rFonts w:hint="default"/>
                <w:color w:val="auto"/>
              </w:rPr>
            </w:pPr>
            <w:r>
              <w:rPr>
                <w:rFonts w:hint="default"/>
                <w:color w:val="auto"/>
                <w:lang w:val="en-US" w:eastAsia="zh-CN"/>
              </w:rPr>
              <w:t>2、</w:t>
            </w:r>
            <w:r>
              <w:rPr>
                <w:rFonts w:hint="default"/>
                <w:color w:val="auto"/>
              </w:rPr>
              <w:t>树立先安全后生产的观念，坚持工作前对工作面的安全处理；</w:t>
            </w:r>
          </w:p>
          <w:p w14:paraId="3EB23B0C">
            <w:pPr>
              <w:pStyle w:val="30"/>
              <w:bidi w:val="0"/>
              <w:jc w:val="both"/>
              <w:rPr>
                <w:rFonts w:hint="default"/>
                <w:color w:val="auto"/>
              </w:rPr>
            </w:pPr>
            <w:r>
              <w:rPr>
                <w:rFonts w:hint="default"/>
                <w:color w:val="auto"/>
                <w:lang w:val="en-US" w:eastAsia="zh-CN"/>
              </w:rPr>
              <w:t>3、</w:t>
            </w:r>
            <w:r>
              <w:rPr>
                <w:rFonts w:hint="default"/>
                <w:color w:val="auto"/>
              </w:rPr>
              <w:t>加强个人防护措施，严格执行劳动防护用品发放、使用管理制度；</w:t>
            </w:r>
          </w:p>
          <w:p w14:paraId="45A5416F">
            <w:pPr>
              <w:pStyle w:val="30"/>
              <w:bidi w:val="0"/>
              <w:jc w:val="both"/>
              <w:rPr>
                <w:rFonts w:hint="default"/>
                <w:color w:val="auto"/>
              </w:rPr>
            </w:pPr>
            <w:r>
              <w:rPr>
                <w:rFonts w:hint="default"/>
                <w:color w:val="auto"/>
                <w:lang w:val="en-US" w:eastAsia="zh-CN"/>
              </w:rPr>
              <w:t>4、</w:t>
            </w:r>
            <w:r>
              <w:rPr>
                <w:rFonts w:hint="default"/>
                <w:color w:val="auto"/>
              </w:rPr>
              <w:t>电气工作人员持证上岗；</w:t>
            </w:r>
          </w:p>
          <w:p w14:paraId="5A47E55C">
            <w:pPr>
              <w:pStyle w:val="30"/>
              <w:bidi w:val="0"/>
              <w:jc w:val="both"/>
              <w:rPr>
                <w:rFonts w:hint="default"/>
                <w:color w:val="auto"/>
              </w:rPr>
            </w:pPr>
            <w:r>
              <w:rPr>
                <w:rFonts w:hint="default"/>
                <w:color w:val="auto"/>
                <w:lang w:val="en-US" w:eastAsia="zh-CN"/>
              </w:rPr>
              <w:t>5、</w:t>
            </w:r>
            <w:r>
              <w:rPr>
                <w:rFonts w:hint="default"/>
                <w:color w:val="auto"/>
              </w:rPr>
              <w:t>变压器周围设围栏、警告牌，配电室铺设绝缘地毯；</w:t>
            </w:r>
          </w:p>
          <w:p w14:paraId="6D75BC63">
            <w:pPr>
              <w:pStyle w:val="30"/>
              <w:bidi w:val="0"/>
              <w:jc w:val="both"/>
              <w:rPr>
                <w:rFonts w:hint="default"/>
                <w:color w:val="auto"/>
              </w:rPr>
            </w:pPr>
            <w:r>
              <w:rPr>
                <w:rFonts w:hint="default"/>
                <w:color w:val="auto"/>
                <w:lang w:val="en-US" w:eastAsia="zh-CN"/>
              </w:rPr>
              <w:t>6、</w:t>
            </w:r>
            <w:r>
              <w:rPr>
                <w:rFonts w:hint="default"/>
                <w:color w:val="auto"/>
              </w:rPr>
              <w:t>配电室配备绝缘靴、绝缘手套、绝缘杆等绝缘设备，门窗加防护网；</w:t>
            </w:r>
          </w:p>
          <w:p w14:paraId="7B76AAA8">
            <w:pPr>
              <w:pStyle w:val="30"/>
              <w:bidi w:val="0"/>
              <w:jc w:val="both"/>
              <w:rPr>
                <w:rFonts w:hint="default"/>
                <w:color w:val="auto"/>
              </w:rPr>
            </w:pPr>
            <w:r>
              <w:rPr>
                <w:rFonts w:hint="default"/>
                <w:color w:val="auto"/>
                <w:lang w:val="en-US" w:eastAsia="zh-CN"/>
              </w:rPr>
              <w:t>7、</w:t>
            </w:r>
            <w:r>
              <w:rPr>
                <w:rFonts w:hint="default"/>
                <w:color w:val="auto"/>
              </w:rPr>
              <w:t>电气设备可能被人所触及的裸露带电部分，设置警戒标志；</w:t>
            </w:r>
          </w:p>
          <w:p w14:paraId="37C19283">
            <w:pPr>
              <w:pStyle w:val="30"/>
              <w:bidi w:val="0"/>
              <w:jc w:val="both"/>
              <w:rPr>
                <w:rFonts w:hint="default"/>
                <w:color w:val="auto"/>
              </w:rPr>
            </w:pPr>
            <w:r>
              <w:rPr>
                <w:rFonts w:hint="default"/>
                <w:color w:val="auto"/>
                <w:lang w:val="en-US" w:eastAsia="zh-CN"/>
              </w:rPr>
              <w:t>8、</w:t>
            </w:r>
            <w:r>
              <w:rPr>
                <w:rFonts w:hint="default"/>
                <w:color w:val="auto"/>
              </w:rPr>
              <w:t>定期检查电气线路及设备。</w:t>
            </w:r>
          </w:p>
        </w:tc>
      </w:tr>
      <w:tr w14:paraId="0152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694" w:type="dxa"/>
            <w:noWrap w:val="0"/>
            <w:vAlign w:val="center"/>
          </w:tcPr>
          <w:p w14:paraId="7696DCE7">
            <w:pPr>
              <w:pStyle w:val="30"/>
              <w:bidi w:val="0"/>
              <w:rPr>
                <w:rFonts w:hint="default" w:eastAsia="宋体"/>
                <w:color w:val="auto"/>
                <w:lang w:val="en-US" w:eastAsia="zh-CN"/>
              </w:rPr>
            </w:pPr>
            <w:r>
              <w:rPr>
                <w:rFonts w:hint="default"/>
                <w:color w:val="auto"/>
              </w:rPr>
              <w:t>火灾</w:t>
            </w:r>
            <w:r>
              <w:rPr>
                <w:rFonts w:hint="eastAsia"/>
                <w:color w:val="auto"/>
                <w:lang w:eastAsia="zh-CN"/>
              </w:rPr>
              <w:t>、</w:t>
            </w:r>
            <w:r>
              <w:rPr>
                <w:rFonts w:hint="eastAsia"/>
                <w:color w:val="auto"/>
                <w:lang w:val="en-US" w:eastAsia="zh-CN"/>
              </w:rPr>
              <w:t>爆炸</w:t>
            </w:r>
          </w:p>
        </w:tc>
        <w:tc>
          <w:tcPr>
            <w:tcW w:w="1861" w:type="dxa"/>
            <w:noWrap w:val="0"/>
            <w:vAlign w:val="center"/>
          </w:tcPr>
          <w:p w14:paraId="69874E27">
            <w:pPr>
              <w:pStyle w:val="30"/>
              <w:bidi w:val="0"/>
              <w:jc w:val="both"/>
              <w:rPr>
                <w:rFonts w:hint="default"/>
                <w:color w:val="auto"/>
              </w:rPr>
            </w:pPr>
            <w:r>
              <w:rPr>
                <w:rFonts w:hint="default"/>
                <w:color w:val="auto"/>
              </w:rPr>
              <w:t>①保险丝（片）选用不当；</w:t>
            </w:r>
          </w:p>
          <w:p w14:paraId="5CB63383">
            <w:pPr>
              <w:pStyle w:val="30"/>
              <w:bidi w:val="0"/>
              <w:jc w:val="both"/>
              <w:rPr>
                <w:rFonts w:hint="default"/>
                <w:color w:val="auto"/>
              </w:rPr>
            </w:pPr>
            <w:r>
              <w:rPr>
                <w:rFonts w:hint="default"/>
                <w:color w:val="auto"/>
              </w:rPr>
              <w:t>②开关及配电箱内油料着火；</w:t>
            </w:r>
          </w:p>
          <w:p w14:paraId="1C5BA39B">
            <w:pPr>
              <w:pStyle w:val="30"/>
              <w:bidi w:val="0"/>
              <w:jc w:val="both"/>
              <w:rPr>
                <w:rFonts w:hint="default"/>
                <w:color w:val="auto"/>
              </w:rPr>
            </w:pPr>
            <w:r>
              <w:rPr>
                <w:rFonts w:hint="default"/>
                <w:color w:val="auto"/>
              </w:rPr>
              <w:t>③机械作用（包括摩擦、震动冲击等）所引起；</w:t>
            </w:r>
          </w:p>
          <w:p w14:paraId="4325EBEF">
            <w:pPr>
              <w:pStyle w:val="30"/>
              <w:bidi w:val="0"/>
              <w:jc w:val="both"/>
              <w:rPr>
                <w:rFonts w:hint="default"/>
                <w:color w:val="auto"/>
              </w:rPr>
            </w:pPr>
            <w:r>
              <w:rPr>
                <w:rFonts w:hint="default"/>
                <w:color w:val="auto"/>
              </w:rPr>
              <w:t>④绝缘、保护装置未检查，未维护；⑤装置失效；</w:t>
            </w:r>
          </w:p>
          <w:p w14:paraId="05B912D3">
            <w:pPr>
              <w:pStyle w:val="30"/>
              <w:bidi w:val="0"/>
              <w:jc w:val="both"/>
              <w:rPr>
                <w:rFonts w:hint="default"/>
                <w:color w:val="auto"/>
              </w:rPr>
            </w:pPr>
            <w:r>
              <w:rPr>
                <w:rFonts w:hint="default"/>
                <w:color w:val="auto"/>
              </w:rPr>
              <w:t>⑥未设置消防灭火设施；</w:t>
            </w:r>
          </w:p>
          <w:p w14:paraId="78D1CD88">
            <w:pPr>
              <w:pStyle w:val="30"/>
              <w:bidi w:val="0"/>
              <w:jc w:val="both"/>
              <w:rPr>
                <w:rFonts w:hint="default"/>
                <w:color w:val="auto"/>
              </w:rPr>
            </w:pPr>
            <w:r>
              <w:rPr>
                <w:rFonts w:hint="default"/>
                <w:color w:val="auto"/>
              </w:rPr>
              <w:t>⑦其他违章操作。</w:t>
            </w:r>
          </w:p>
        </w:tc>
        <w:tc>
          <w:tcPr>
            <w:tcW w:w="1053" w:type="dxa"/>
            <w:noWrap w:val="0"/>
            <w:vAlign w:val="center"/>
          </w:tcPr>
          <w:p w14:paraId="7C21D23E">
            <w:pPr>
              <w:pStyle w:val="30"/>
              <w:bidi w:val="0"/>
              <w:rPr>
                <w:rFonts w:hint="default" w:eastAsia="宋体"/>
                <w:color w:val="auto"/>
                <w:lang w:val="en-US" w:eastAsia="zh-CN"/>
              </w:rPr>
            </w:pPr>
            <w:r>
              <w:rPr>
                <w:rFonts w:hint="default"/>
                <w:color w:val="auto"/>
              </w:rPr>
              <w:t>明火、短路引发火灾</w:t>
            </w:r>
            <w:r>
              <w:rPr>
                <w:rFonts w:hint="eastAsia"/>
                <w:color w:val="auto"/>
                <w:lang w:eastAsia="zh-CN"/>
              </w:rPr>
              <w:t>，</w:t>
            </w:r>
            <w:r>
              <w:rPr>
                <w:rFonts w:hint="eastAsia"/>
                <w:color w:val="auto"/>
                <w:lang w:val="en-US" w:eastAsia="zh-CN"/>
              </w:rPr>
              <w:t>进而引发爆炸</w:t>
            </w:r>
          </w:p>
        </w:tc>
        <w:tc>
          <w:tcPr>
            <w:tcW w:w="1091" w:type="dxa"/>
            <w:noWrap w:val="0"/>
            <w:vAlign w:val="center"/>
          </w:tcPr>
          <w:p w14:paraId="74A78DE1">
            <w:pPr>
              <w:pStyle w:val="30"/>
              <w:bidi w:val="0"/>
              <w:rPr>
                <w:rFonts w:hint="default"/>
                <w:color w:val="auto"/>
              </w:rPr>
            </w:pPr>
            <w:r>
              <w:rPr>
                <w:rFonts w:hint="default"/>
                <w:color w:val="auto"/>
              </w:rPr>
              <w:t>人员伤亡、设备设施损坏</w:t>
            </w:r>
          </w:p>
        </w:tc>
        <w:tc>
          <w:tcPr>
            <w:tcW w:w="808" w:type="dxa"/>
            <w:noWrap w:val="0"/>
            <w:vAlign w:val="center"/>
          </w:tcPr>
          <w:p w14:paraId="228BD603">
            <w:pPr>
              <w:pStyle w:val="30"/>
              <w:bidi w:val="0"/>
              <w:rPr>
                <w:rFonts w:hint="default"/>
                <w:color w:val="auto"/>
              </w:rPr>
            </w:pPr>
            <w:r>
              <w:rPr>
                <w:rFonts w:hint="default"/>
                <w:color w:val="auto"/>
              </w:rPr>
              <w:t>Ⅱ</w:t>
            </w:r>
          </w:p>
        </w:tc>
        <w:tc>
          <w:tcPr>
            <w:tcW w:w="941" w:type="dxa"/>
            <w:noWrap w:val="0"/>
            <w:vAlign w:val="center"/>
          </w:tcPr>
          <w:p w14:paraId="37D322CC">
            <w:pPr>
              <w:pStyle w:val="30"/>
              <w:bidi w:val="0"/>
              <w:rPr>
                <w:rFonts w:hint="default"/>
                <w:color w:val="auto"/>
                <w:lang w:val="en-US" w:eastAsia="zh-CN"/>
              </w:rPr>
            </w:pPr>
            <w:r>
              <w:rPr>
                <w:rFonts w:hint="default"/>
                <w:color w:val="auto"/>
                <w:lang w:val="en-US" w:eastAsia="zh-CN"/>
              </w:rPr>
              <w:t>C</w:t>
            </w:r>
          </w:p>
        </w:tc>
        <w:tc>
          <w:tcPr>
            <w:tcW w:w="2952" w:type="dxa"/>
            <w:noWrap w:val="0"/>
            <w:vAlign w:val="center"/>
          </w:tcPr>
          <w:p w14:paraId="41405B70">
            <w:pPr>
              <w:pStyle w:val="30"/>
              <w:bidi w:val="0"/>
              <w:jc w:val="both"/>
              <w:rPr>
                <w:rFonts w:hint="eastAsia" w:eastAsia="宋体"/>
                <w:color w:val="auto"/>
                <w:lang w:eastAsia="zh-CN"/>
              </w:rPr>
            </w:pPr>
            <w:r>
              <w:rPr>
                <w:rFonts w:hint="default"/>
                <w:color w:val="auto"/>
                <w:lang w:val="en-US" w:eastAsia="zh-CN"/>
              </w:rPr>
              <w:t>1、</w:t>
            </w:r>
            <w:r>
              <w:rPr>
                <w:rFonts w:hint="default"/>
                <w:color w:val="auto"/>
              </w:rPr>
              <w:t>严格执行操作规程</w:t>
            </w:r>
            <w:r>
              <w:rPr>
                <w:rFonts w:hint="eastAsia"/>
                <w:color w:val="auto"/>
                <w:lang w:eastAsia="zh-CN"/>
              </w:rPr>
              <w:t>；</w:t>
            </w:r>
          </w:p>
          <w:p w14:paraId="47165AD4">
            <w:pPr>
              <w:pStyle w:val="30"/>
              <w:bidi w:val="0"/>
              <w:jc w:val="both"/>
              <w:rPr>
                <w:rFonts w:hint="default"/>
                <w:color w:val="auto"/>
              </w:rPr>
            </w:pPr>
            <w:r>
              <w:rPr>
                <w:rFonts w:hint="default"/>
                <w:color w:val="auto"/>
                <w:lang w:val="en-US" w:eastAsia="zh-CN"/>
              </w:rPr>
              <w:t>2、</w:t>
            </w:r>
            <w:r>
              <w:rPr>
                <w:rFonts w:hint="default"/>
                <w:color w:val="auto"/>
              </w:rPr>
              <w:t>树立先安全后生产的观念，坚持工作前对工作面的安全处理；</w:t>
            </w:r>
          </w:p>
          <w:p w14:paraId="42F67D1A">
            <w:pPr>
              <w:pStyle w:val="30"/>
              <w:bidi w:val="0"/>
              <w:jc w:val="both"/>
              <w:rPr>
                <w:rFonts w:hint="default"/>
                <w:color w:val="auto"/>
              </w:rPr>
            </w:pPr>
            <w:r>
              <w:rPr>
                <w:rFonts w:hint="default"/>
                <w:color w:val="auto"/>
                <w:lang w:val="en-US" w:eastAsia="zh-CN"/>
              </w:rPr>
              <w:t>3、</w:t>
            </w:r>
            <w:r>
              <w:rPr>
                <w:rFonts w:hint="default"/>
                <w:color w:val="auto"/>
              </w:rPr>
              <w:t>加强个人防护措施；</w:t>
            </w:r>
          </w:p>
          <w:p w14:paraId="7A42595C">
            <w:pPr>
              <w:pStyle w:val="30"/>
              <w:bidi w:val="0"/>
              <w:jc w:val="both"/>
              <w:rPr>
                <w:rFonts w:hint="default"/>
                <w:color w:val="auto"/>
              </w:rPr>
            </w:pPr>
            <w:r>
              <w:rPr>
                <w:rFonts w:hint="default"/>
                <w:color w:val="auto"/>
                <w:lang w:val="en-US" w:eastAsia="zh-CN"/>
              </w:rPr>
              <w:t>4、</w:t>
            </w:r>
            <w:r>
              <w:rPr>
                <w:rFonts w:hint="default"/>
                <w:color w:val="auto"/>
              </w:rPr>
              <w:t>加强安全管理；</w:t>
            </w:r>
          </w:p>
          <w:p w14:paraId="56B44CC0">
            <w:pPr>
              <w:pStyle w:val="30"/>
              <w:bidi w:val="0"/>
              <w:jc w:val="both"/>
              <w:rPr>
                <w:rFonts w:hint="default"/>
                <w:color w:val="auto"/>
              </w:rPr>
            </w:pPr>
            <w:r>
              <w:rPr>
                <w:rFonts w:hint="default"/>
                <w:color w:val="auto"/>
                <w:lang w:val="en-US" w:eastAsia="zh-CN"/>
              </w:rPr>
              <w:t>5、</w:t>
            </w:r>
            <w:r>
              <w:rPr>
                <w:rFonts w:hint="default"/>
                <w:color w:val="auto"/>
              </w:rPr>
              <w:t>电气设备采用保护接地；</w:t>
            </w:r>
          </w:p>
          <w:p w14:paraId="7DCA05C6">
            <w:pPr>
              <w:pStyle w:val="30"/>
              <w:bidi w:val="0"/>
              <w:jc w:val="both"/>
              <w:rPr>
                <w:rFonts w:hint="default"/>
                <w:color w:val="auto"/>
              </w:rPr>
            </w:pPr>
            <w:r>
              <w:rPr>
                <w:rFonts w:hint="default"/>
                <w:color w:val="auto"/>
                <w:lang w:val="en-US" w:eastAsia="zh-CN"/>
              </w:rPr>
              <w:t>6、</w:t>
            </w:r>
            <w:r>
              <w:rPr>
                <w:rFonts w:hint="default"/>
                <w:color w:val="auto"/>
              </w:rPr>
              <w:t>加强电气设备及其线路的检查、维护；</w:t>
            </w:r>
          </w:p>
          <w:p w14:paraId="544A4A1C">
            <w:pPr>
              <w:pStyle w:val="30"/>
              <w:bidi w:val="0"/>
              <w:jc w:val="both"/>
              <w:rPr>
                <w:rFonts w:hint="eastAsia" w:eastAsia="宋体"/>
                <w:color w:val="auto"/>
                <w:lang w:eastAsia="zh-CN"/>
              </w:rPr>
            </w:pPr>
            <w:r>
              <w:rPr>
                <w:rFonts w:hint="default"/>
                <w:color w:val="auto"/>
                <w:lang w:val="en-US" w:eastAsia="zh-CN"/>
              </w:rPr>
              <w:t>7、</w:t>
            </w:r>
            <w:r>
              <w:rPr>
                <w:rFonts w:hint="default"/>
                <w:color w:val="auto"/>
              </w:rPr>
              <w:t>机械设备配备消防灭火器</w:t>
            </w:r>
            <w:r>
              <w:rPr>
                <w:rFonts w:hint="eastAsia"/>
                <w:color w:val="auto"/>
                <w:lang w:eastAsia="zh-CN"/>
              </w:rPr>
              <w:t>。</w:t>
            </w:r>
          </w:p>
        </w:tc>
      </w:tr>
      <w:tr w14:paraId="5886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94" w:type="dxa"/>
            <w:noWrap w:val="0"/>
            <w:vAlign w:val="center"/>
          </w:tcPr>
          <w:p w14:paraId="2FF27C9C">
            <w:pPr>
              <w:pStyle w:val="30"/>
              <w:bidi w:val="0"/>
              <w:rPr>
                <w:rFonts w:hint="default"/>
                <w:color w:val="auto"/>
              </w:rPr>
            </w:pPr>
            <w:r>
              <w:rPr>
                <w:rFonts w:hint="default"/>
                <w:color w:val="auto"/>
              </w:rPr>
              <w:t>职业</w:t>
            </w:r>
          </w:p>
          <w:p w14:paraId="5ABE6BDB">
            <w:pPr>
              <w:pStyle w:val="30"/>
              <w:bidi w:val="0"/>
              <w:rPr>
                <w:rFonts w:hint="default"/>
                <w:color w:val="auto"/>
              </w:rPr>
            </w:pPr>
            <w:r>
              <w:rPr>
                <w:rFonts w:hint="default"/>
                <w:color w:val="auto"/>
              </w:rPr>
              <w:t>危害</w:t>
            </w:r>
          </w:p>
        </w:tc>
        <w:tc>
          <w:tcPr>
            <w:tcW w:w="1861" w:type="dxa"/>
            <w:noWrap w:val="0"/>
            <w:vAlign w:val="center"/>
          </w:tcPr>
          <w:p w14:paraId="2B20BE04">
            <w:pPr>
              <w:pStyle w:val="30"/>
              <w:bidi w:val="0"/>
              <w:jc w:val="both"/>
              <w:rPr>
                <w:rFonts w:hint="default"/>
                <w:color w:val="auto"/>
              </w:rPr>
            </w:pPr>
            <w:r>
              <w:rPr>
                <w:rFonts w:hint="default"/>
                <w:color w:val="auto"/>
              </w:rPr>
              <w:t>长期在噪声环境下作业。</w:t>
            </w:r>
          </w:p>
        </w:tc>
        <w:tc>
          <w:tcPr>
            <w:tcW w:w="1053" w:type="dxa"/>
            <w:noWrap w:val="0"/>
            <w:vAlign w:val="center"/>
          </w:tcPr>
          <w:p w14:paraId="27EFC757">
            <w:pPr>
              <w:pStyle w:val="30"/>
              <w:bidi w:val="0"/>
              <w:rPr>
                <w:rFonts w:hint="default"/>
                <w:color w:val="auto"/>
              </w:rPr>
            </w:pPr>
            <w:r>
              <w:rPr>
                <w:rFonts w:hint="default"/>
                <w:color w:val="auto"/>
              </w:rPr>
              <w:t>职业病</w:t>
            </w:r>
          </w:p>
        </w:tc>
        <w:tc>
          <w:tcPr>
            <w:tcW w:w="1091" w:type="dxa"/>
            <w:noWrap w:val="0"/>
            <w:vAlign w:val="center"/>
          </w:tcPr>
          <w:p w14:paraId="1B7D6F65">
            <w:pPr>
              <w:pStyle w:val="30"/>
              <w:bidi w:val="0"/>
              <w:rPr>
                <w:rFonts w:hint="default"/>
                <w:color w:val="auto"/>
              </w:rPr>
            </w:pPr>
            <w:r>
              <w:rPr>
                <w:rFonts w:hint="default"/>
                <w:color w:val="auto"/>
              </w:rPr>
              <w:t>慢性伤害</w:t>
            </w:r>
          </w:p>
        </w:tc>
        <w:tc>
          <w:tcPr>
            <w:tcW w:w="808" w:type="dxa"/>
            <w:noWrap w:val="0"/>
            <w:vAlign w:val="center"/>
          </w:tcPr>
          <w:p w14:paraId="2BF4A301">
            <w:pPr>
              <w:pStyle w:val="30"/>
              <w:bidi w:val="0"/>
              <w:rPr>
                <w:rFonts w:hint="default"/>
                <w:color w:val="auto"/>
              </w:rPr>
            </w:pPr>
            <w:r>
              <w:rPr>
                <w:rFonts w:hint="default"/>
                <w:color w:val="auto"/>
              </w:rPr>
              <w:t>Ⅱ</w:t>
            </w:r>
          </w:p>
        </w:tc>
        <w:tc>
          <w:tcPr>
            <w:tcW w:w="941" w:type="dxa"/>
            <w:noWrap w:val="0"/>
            <w:vAlign w:val="center"/>
          </w:tcPr>
          <w:p w14:paraId="255B4FD1">
            <w:pPr>
              <w:pStyle w:val="30"/>
              <w:bidi w:val="0"/>
              <w:rPr>
                <w:rFonts w:hint="default"/>
                <w:color w:val="auto"/>
                <w:lang w:val="en-US" w:eastAsia="zh-CN"/>
              </w:rPr>
            </w:pPr>
            <w:r>
              <w:rPr>
                <w:rFonts w:hint="default"/>
                <w:color w:val="auto"/>
                <w:lang w:val="en-US" w:eastAsia="zh-CN"/>
              </w:rPr>
              <w:t>B</w:t>
            </w:r>
          </w:p>
        </w:tc>
        <w:tc>
          <w:tcPr>
            <w:tcW w:w="2952" w:type="dxa"/>
            <w:noWrap w:val="0"/>
            <w:vAlign w:val="center"/>
          </w:tcPr>
          <w:p w14:paraId="5C6DC96B">
            <w:pPr>
              <w:pStyle w:val="30"/>
              <w:bidi w:val="0"/>
              <w:jc w:val="both"/>
              <w:rPr>
                <w:rFonts w:hint="default"/>
                <w:color w:val="auto"/>
              </w:rPr>
            </w:pPr>
            <w:r>
              <w:rPr>
                <w:rFonts w:hint="default"/>
                <w:color w:val="auto"/>
              </w:rPr>
              <w:t>采用间歇式工作方式或完善隔音、消音设施。</w:t>
            </w:r>
          </w:p>
        </w:tc>
      </w:tr>
    </w:tbl>
    <w:p w14:paraId="23ECEEB0">
      <w:pPr>
        <w:bidi w:val="0"/>
        <w:rPr>
          <w:rFonts w:hint="default"/>
          <w:color w:val="auto"/>
          <w:lang w:val="en-US" w:eastAsia="zh-CN"/>
        </w:rPr>
      </w:pPr>
      <w:r>
        <w:rPr>
          <w:rFonts w:hint="default"/>
          <w:color w:val="auto"/>
          <w:lang w:val="en-US" w:eastAsia="zh-CN"/>
        </w:rPr>
        <w:t>通过PHA分析，机械伤害、触电、火灾、爆炸危险等级为II级，是需要引起重视的危险因素，需加强预防和管理。</w:t>
      </w:r>
    </w:p>
    <w:p w14:paraId="35820E41">
      <w:pPr>
        <w:bidi w:val="0"/>
        <w:rPr>
          <w:rFonts w:hint="default"/>
          <w:color w:val="auto"/>
          <w:lang w:val="en-US" w:eastAsia="zh-CN"/>
        </w:rPr>
      </w:pPr>
      <w:r>
        <w:rPr>
          <w:rFonts w:hint="default"/>
          <w:color w:val="auto"/>
          <w:lang w:val="en-US" w:eastAsia="zh-CN"/>
        </w:rPr>
        <w:t>本单元预先危险性等级系数按下式确定：</w:t>
      </w:r>
    </w:p>
    <w:p w14:paraId="2AB0214F">
      <w:pPr>
        <w:bidi w:val="0"/>
        <w:rPr>
          <w:rFonts w:hint="default"/>
          <w:color w:val="auto"/>
          <w:lang w:val="en-US" w:eastAsia="zh-CN"/>
        </w:rPr>
      </w:pPr>
      <w:r>
        <w:rPr>
          <w:rFonts w:hint="default"/>
          <w:color w:val="auto"/>
          <w:lang w:val="en-US" w:eastAsia="zh-CN"/>
        </w:rPr>
        <w:t>W=∑（P×K）/∑K</w:t>
      </w:r>
    </w:p>
    <w:p w14:paraId="0C2E7FA3">
      <w:pPr>
        <w:bidi w:val="0"/>
        <w:rPr>
          <w:rFonts w:hint="default"/>
          <w:color w:val="auto"/>
          <w:lang w:val="en-US" w:eastAsia="zh-CN"/>
        </w:rPr>
      </w:pPr>
      <w:r>
        <w:rPr>
          <w:rFonts w:hint="default"/>
          <w:color w:val="auto"/>
          <w:lang w:val="en-US" w:eastAsia="zh-CN"/>
        </w:rPr>
        <w:t>式中：W—系统（单元）预先危险性等级系数；</w:t>
      </w:r>
    </w:p>
    <w:p w14:paraId="3A10D583">
      <w:pPr>
        <w:bidi w:val="0"/>
        <w:rPr>
          <w:rFonts w:hint="default"/>
          <w:color w:val="auto"/>
          <w:lang w:val="en-US" w:eastAsia="zh-CN"/>
        </w:rPr>
      </w:pPr>
      <w:r>
        <w:rPr>
          <w:rFonts w:hint="default"/>
          <w:color w:val="auto"/>
          <w:lang w:val="en-US" w:eastAsia="zh-CN"/>
        </w:rPr>
        <w:t>P—分析项目的危险性等级系数；</w:t>
      </w:r>
    </w:p>
    <w:p w14:paraId="242D6F99">
      <w:pPr>
        <w:bidi w:val="0"/>
        <w:rPr>
          <w:rFonts w:hint="default"/>
          <w:color w:val="auto"/>
          <w:lang w:val="en-US" w:eastAsia="zh-CN"/>
        </w:rPr>
      </w:pPr>
      <w:r>
        <w:rPr>
          <w:rFonts w:hint="default"/>
          <w:color w:val="auto"/>
          <w:lang w:val="en-US" w:eastAsia="zh-CN"/>
        </w:rPr>
        <w:t>K—分析项目发生事故的概率系数。</w:t>
      </w:r>
    </w:p>
    <w:p w14:paraId="7FE0807D">
      <w:pPr>
        <w:bidi w:val="0"/>
        <w:rPr>
          <w:rFonts w:hint="default"/>
          <w:color w:val="auto"/>
          <w:lang w:val="en-US" w:eastAsia="zh-CN"/>
        </w:rPr>
      </w:pPr>
      <w:r>
        <w:rPr>
          <w:rFonts w:hint="default"/>
          <w:color w:val="auto"/>
          <w:lang w:val="en-US" w:eastAsia="zh-CN"/>
        </w:rPr>
        <w:t>W=（2×0.10+2×0.30+2×0.20+2×0.10）/（0.10+0.30+0.20+0.10）=2</w:t>
      </w:r>
    </w:p>
    <w:p w14:paraId="16D5FB22">
      <w:pPr>
        <w:bidi w:val="0"/>
        <w:rPr>
          <w:rFonts w:hint="default"/>
          <w:color w:val="auto"/>
          <w:lang w:val="en-US" w:eastAsia="zh-CN"/>
        </w:rPr>
      </w:pPr>
      <w:r>
        <w:rPr>
          <w:rFonts w:hint="default"/>
          <w:color w:val="auto"/>
          <w:lang w:val="en-US" w:eastAsia="zh-CN"/>
        </w:rPr>
        <w:t>预先危险性分析结论：本单元预先危险性等级系数为II级，系统危险程度为比较危险。</w:t>
      </w:r>
    </w:p>
    <w:p w14:paraId="1A46DC5D">
      <w:pPr>
        <w:pStyle w:val="29"/>
        <w:bidi w:val="0"/>
        <w:rPr>
          <w:rFonts w:hint="eastAsia"/>
          <w:color w:val="auto"/>
        </w:rPr>
      </w:pPr>
      <w:r>
        <w:rPr>
          <w:rFonts w:hint="eastAsia"/>
          <w:color w:val="auto"/>
        </w:rPr>
        <w:t>表5</w:t>
      </w:r>
      <w:r>
        <w:rPr>
          <w:rFonts w:hint="eastAsia"/>
          <w:color w:val="auto"/>
          <w:lang w:val="en-US" w:eastAsia="zh-CN"/>
        </w:rPr>
        <w:t xml:space="preserve">.4-2 </w:t>
      </w:r>
      <w:r>
        <w:rPr>
          <w:rFonts w:hint="eastAsia"/>
          <w:color w:val="auto"/>
        </w:rPr>
        <w:t xml:space="preserve"> 电气火灾事故PHA分析</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730"/>
        <w:gridCol w:w="2018"/>
        <w:gridCol w:w="2552"/>
        <w:gridCol w:w="1116"/>
      </w:tblGrid>
      <w:tr w14:paraId="54DD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4" w:type="pct"/>
            <w:noWrap w:val="0"/>
            <w:vAlign w:val="center"/>
          </w:tcPr>
          <w:p w14:paraId="0D06DC92">
            <w:pPr>
              <w:pStyle w:val="30"/>
              <w:bidi w:val="0"/>
              <w:rPr>
                <w:rFonts w:hint="default"/>
                <w:b/>
                <w:bCs/>
                <w:color w:val="auto"/>
              </w:rPr>
            </w:pPr>
            <w:r>
              <w:rPr>
                <w:rFonts w:hint="default"/>
                <w:b/>
                <w:bCs/>
                <w:color w:val="auto"/>
              </w:rPr>
              <w:t>危险、危害因素</w:t>
            </w:r>
          </w:p>
        </w:tc>
        <w:tc>
          <w:tcPr>
            <w:tcW w:w="920" w:type="pct"/>
            <w:noWrap w:val="0"/>
            <w:vAlign w:val="center"/>
          </w:tcPr>
          <w:p w14:paraId="51F16347">
            <w:pPr>
              <w:pStyle w:val="30"/>
              <w:bidi w:val="0"/>
              <w:rPr>
                <w:rFonts w:hint="default"/>
                <w:b/>
                <w:bCs/>
                <w:color w:val="auto"/>
              </w:rPr>
            </w:pPr>
            <w:r>
              <w:rPr>
                <w:rFonts w:hint="default"/>
                <w:b/>
                <w:bCs/>
                <w:color w:val="auto"/>
              </w:rPr>
              <w:t>事故所处位置</w:t>
            </w:r>
          </w:p>
        </w:tc>
        <w:tc>
          <w:tcPr>
            <w:tcW w:w="1073" w:type="pct"/>
            <w:noWrap w:val="0"/>
            <w:vAlign w:val="center"/>
          </w:tcPr>
          <w:p w14:paraId="643BDF61">
            <w:pPr>
              <w:pStyle w:val="30"/>
              <w:bidi w:val="0"/>
              <w:rPr>
                <w:rFonts w:hint="default"/>
                <w:b/>
                <w:bCs/>
                <w:color w:val="auto"/>
              </w:rPr>
            </w:pPr>
            <w:r>
              <w:rPr>
                <w:rFonts w:hint="default"/>
                <w:b/>
                <w:bCs/>
                <w:color w:val="auto"/>
              </w:rPr>
              <w:t>现象</w:t>
            </w:r>
          </w:p>
        </w:tc>
        <w:tc>
          <w:tcPr>
            <w:tcW w:w="1357" w:type="pct"/>
            <w:noWrap w:val="0"/>
            <w:vAlign w:val="center"/>
          </w:tcPr>
          <w:p w14:paraId="04F878C0">
            <w:pPr>
              <w:pStyle w:val="30"/>
              <w:bidi w:val="0"/>
              <w:rPr>
                <w:rFonts w:hint="default"/>
                <w:b/>
                <w:bCs/>
                <w:color w:val="auto"/>
              </w:rPr>
            </w:pPr>
            <w:r>
              <w:rPr>
                <w:rFonts w:hint="default"/>
                <w:b/>
                <w:bCs/>
                <w:color w:val="auto"/>
              </w:rPr>
              <w:t>结果</w:t>
            </w:r>
          </w:p>
        </w:tc>
        <w:tc>
          <w:tcPr>
            <w:tcW w:w="593" w:type="pct"/>
            <w:noWrap w:val="0"/>
            <w:vAlign w:val="center"/>
          </w:tcPr>
          <w:p w14:paraId="2F8D6609">
            <w:pPr>
              <w:pStyle w:val="30"/>
              <w:bidi w:val="0"/>
              <w:rPr>
                <w:rFonts w:hint="default"/>
                <w:b/>
                <w:bCs/>
                <w:color w:val="auto"/>
              </w:rPr>
            </w:pPr>
            <w:r>
              <w:rPr>
                <w:rFonts w:hint="default"/>
                <w:b/>
                <w:bCs/>
                <w:color w:val="auto"/>
              </w:rPr>
              <w:t>危险等级</w:t>
            </w:r>
          </w:p>
        </w:tc>
      </w:tr>
      <w:tr w14:paraId="0DD8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pct"/>
            <w:noWrap w:val="0"/>
            <w:vAlign w:val="center"/>
          </w:tcPr>
          <w:p w14:paraId="1032CE99">
            <w:pPr>
              <w:pStyle w:val="30"/>
              <w:bidi w:val="0"/>
              <w:rPr>
                <w:rFonts w:hint="default"/>
                <w:color w:val="auto"/>
              </w:rPr>
            </w:pPr>
            <w:r>
              <w:rPr>
                <w:rFonts w:hint="default"/>
                <w:color w:val="auto"/>
              </w:rPr>
              <w:t>绝缘损伤、老化击穿，引起相间短路</w:t>
            </w:r>
          </w:p>
        </w:tc>
        <w:tc>
          <w:tcPr>
            <w:tcW w:w="920" w:type="pct"/>
            <w:vMerge w:val="restart"/>
            <w:noWrap w:val="0"/>
            <w:vAlign w:val="center"/>
          </w:tcPr>
          <w:p w14:paraId="197E0BC9">
            <w:pPr>
              <w:pStyle w:val="30"/>
              <w:bidi w:val="0"/>
              <w:rPr>
                <w:rFonts w:hint="default"/>
                <w:color w:val="auto"/>
              </w:rPr>
            </w:pPr>
            <w:r>
              <w:rPr>
                <w:rFonts w:hint="default"/>
                <w:color w:val="auto"/>
              </w:rPr>
              <w:t>导线及开关设备</w:t>
            </w:r>
          </w:p>
        </w:tc>
        <w:tc>
          <w:tcPr>
            <w:tcW w:w="1073" w:type="pct"/>
            <w:noWrap w:val="0"/>
            <w:vAlign w:val="center"/>
          </w:tcPr>
          <w:p w14:paraId="3F61CBCD">
            <w:pPr>
              <w:pStyle w:val="30"/>
              <w:bidi w:val="0"/>
              <w:rPr>
                <w:rFonts w:hint="default"/>
                <w:color w:val="auto"/>
              </w:rPr>
            </w:pPr>
            <w:r>
              <w:rPr>
                <w:rFonts w:hint="default"/>
                <w:color w:val="auto"/>
              </w:rPr>
              <w:t>短路起火</w:t>
            </w:r>
          </w:p>
        </w:tc>
        <w:tc>
          <w:tcPr>
            <w:tcW w:w="1357" w:type="pct"/>
            <w:noWrap w:val="0"/>
            <w:vAlign w:val="center"/>
          </w:tcPr>
          <w:p w14:paraId="569D86FD">
            <w:pPr>
              <w:pStyle w:val="30"/>
              <w:bidi w:val="0"/>
              <w:rPr>
                <w:rFonts w:hint="default"/>
                <w:color w:val="auto"/>
              </w:rPr>
            </w:pPr>
            <w:r>
              <w:rPr>
                <w:rFonts w:hint="default"/>
                <w:color w:val="auto"/>
              </w:rPr>
              <w:t>导线烧毁，引起电器火灾</w:t>
            </w:r>
          </w:p>
        </w:tc>
        <w:tc>
          <w:tcPr>
            <w:tcW w:w="593" w:type="pct"/>
            <w:vMerge w:val="restart"/>
            <w:noWrap w:val="0"/>
            <w:vAlign w:val="center"/>
          </w:tcPr>
          <w:p w14:paraId="45AC4C2C">
            <w:pPr>
              <w:pStyle w:val="30"/>
              <w:bidi w:val="0"/>
              <w:rPr>
                <w:rFonts w:hint="default"/>
                <w:color w:val="auto"/>
              </w:rPr>
            </w:pPr>
            <w:r>
              <w:rPr>
                <w:rFonts w:hint="default"/>
                <w:color w:val="auto"/>
              </w:rPr>
              <w:t>Ⅲ</w:t>
            </w:r>
          </w:p>
        </w:tc>
      </w:tr>
      <w:tr w14:paraId="1F0D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pct"/>
            <w:noWrap w:val="0"/>
            <w:vAlign w:val="center"/>
          </w:tcPr>
          <w:p w14:paraId="2BB1508A">
            <w:pPr>
              <w:pStyle w:val="30"/>
              <w:bidi w:val="0"/>
              <w:rPr>
                <w:rFonts w:hint="default"/>
                <w:color w:val="auto"/>
              </w:rPr>
            </w:pPr>
            <w:r>
              <w:rPr>
                <w:rFonts w:hint="default"/>
                <w:color w:val="auto"/>
              </w:rPr>
              <w:t>绝缘受潮引起短路</w:t>
            </w:r>
          </w:p>
        </w:tc>
        <w:tc>
          <w:tcPr>
            <w:tcW w:w="920" w:type="pct"/>
            <w:vMerge w:val="continue"/>
            <w:noWrap w:val="0"/>
            <w:vAlign w:val="center"/>
          </w:tcPr>
          <w:p w14:paraId="44881D13">
            <w:pPr>
              <w:pStyle w:val="30"/>
              <w:bidi w:val="0"/>
              <w:rPr>
                <w:rFonts w:hint="default"/>
                <w:color w:val="auto"/>
              </w:rPr>
            </w:pPr>
          </w:p>
        </w:tc>
        <w:tc>
          <w:tcPr>
            <w:tcW w:w="1073" w:type="pct"/>
            <w:noWrap w:val="0"/>
            <w:vAlign w:val="center"/>
          </w:tcPr>
          <w:p w14:paraId="3CE46F35">
            <w:pPr>
              <w:pStyle w:val="30"/>
              <w:bidi w:val="0"/>
              <w:rPr>
                <w:rFonts w:hint="default"/>
                <w:color w:val="auto"/>
              </w:rPr>
            </w:pPr>
            <w:r>
              <w:rPr>
                <w:rFonts w:hint="default"/>
                <w:color w:val="auto"/>
              </w:rPr>
              <w:t>击穿起火</w:t>
            </w:r>
          </w:p>
        </w:tc>
        <w:tc>
          <w:tcPr>
            <w:tcW w:w="1357" w:type="pct"/>
            <w:noWrap w:val="0"/>
            <w:vAlign w:val="center"/>
          </w:tcPr>
          <w:p w14:paraId="4C19C0F3">
            <w:pPr>
              <w:pStyle w:val="30"/>
              <w:bidi w:val="0"/>
              <w:rPr>
                <w:rFonts w:hint="default"/>
                <w:color w:val="auto"/>
              </w:rPr>
            </w:pPr>
            <w:r>
              <w:rPr>
                <w:rFonts w:hint="default"/>
                <w:color w:val="auto"/>
              </w:rPr>
              <w:t>配电箱被烧、建筑物起火</w:t>
            </w:r>
          </w:p>
        </w:tc>
        <w:tc>
          <w:tcPr>
            <w:tcW w:w="593" w:type="pct"/>
            <w:vMerge w:val="continue"/>
            <w:noWrap w:val="0"/>
            <w:vAlign w:val="center"/>
          </w:tcPr>
          <w:p w14:paraId="423A9C40">
            <w:pPr>
              <w:pStyle w:val="30"/>
              <w:bidi w:val="0"/>
              <w:rPr>
                <w:rFonts w:hint="default"/>
                <w:color w:val="auto"/>
              </w:rPr>
            </w:pPr>
          </w:p>
        </w:tc>
      </w:tr>
      <w:tr w14:paraId="1041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pct"/>
            <w:noWrap w:val="0"/>
            <w:vAlign w:val="center"/>
          </w:tcPr>
          <w:p w14:paraId="14E35068">
            <w:pPr>
              <w:pStyle w:val="30"/>
              <w:bidi w:val="0"/>
              <w:rPr>
                <w:rFonts w:hint="default"/>
                <w:color w:val="auto"/>
              </w:rPr>
            </w:pPr>
            <w:r>
              <w:rPr>
                <w:rFonts w:hint="default"/>
                <w:color w:val="auto"/>
              </w:rPr>
              <w:t>设备线路严重过负荷</w:t>
            </w:r>
          </w:p>
        </w:tc>
        <w:tc>
          <w:tcPr>
            <w:tcW w:w="920" w:type="pct"/>
            <w:noWrap w:val="0"/>
            <w:vAlign w:val="center"/>
          </w:tcPr>
          <w:p w14:paraId="3629BDB3">
            <w:pPr>
              <w:pStyle w:val="30"/>
              <w:bidi w:val="0"/>
              <w:rPr>
                <w:rFonts w:hint="default"/>
                <w:color w:val="auto"/>
              </w:rPr>
            </w:pPr>
            <w:r>
              <w:rPr>
                <w:rFonts w:hint="default"/>
                <w:color w:val="auto"/>
              </w:rPr>
              <w:t>断路器、熔断器</w:t>
            </w:r>
          </w:p>
        </w:tc>
        <w:tc>
          <w:tcPr>
            <w:tcW w:w="1073" w:type="pct"/>
            <w:noWrap w:val="0"/>
            <w:vAlign w:val="center"/>
          </w:tcPr>
          <w:p w14:paraId="199793AE">
            <w:pPr>
              <w:pStyle w:val="30"/>
              <w:bidi w:val="0"/>
              <w:rPr>
                <w:rFonts w:hint="default"/>
                <w:color w:val="auto"/>
              </w:rPr>
            </w:pPr>
            <w:r>
              <w:rPr>
                <w:rFonts w:hint="default"/>
                <w:color w:val="auto"/>
              </w:rPr>
              <w:t>长期发生过载、过热</w:t>
            </w:r>
          </w:p>
        </w:tc>
        <w:tc>
          <w:tcPr>
            <w:tcW w:w="1357" w:type="pct"/>
            <w:noWrap w:val="0"/>
            <w:vAlign w:val="center"/>
          </w:tcPr>
          <w:p w14:paraId="102C232D">
            <w:pPr>
              <w:pStyle w:val="30"/>
              <w:bidi w:val="0"/>
              <w:rPr>
                <w:rFonts w:hint="default"/>
                <w:color w:val="auto"/>
              </w:rPr>
            </w:pPr>
            <w:r>
              <w:rPr>
                <w:rFonts w:hint="default"/>
                <w:color w:val="auto"/>
              </w:rPr>
              <w:t>损害绝缘、接线端子和周围物体，严重时引起短路</w:t>
            </w:r>
          </w:p>
        </w:tc>
        <w:tc>
          <w:tcPr>
            <w:tcW w:w="593" w:type="pct"/>
            <w:noWrap w:val="0"/>
            <w:vAlign w:val="center"/>
          </w:tcPr>
          <w:p w14:paraId="0A112B04">
            <w:pPr>
              <w:pStyle w:val="30"/>
              <w:bidi w:val="0"/>
              <w:rPr>
                <w:rFonts w:hint="default"/>
                <w:color w:val="auto"/>
              </w:rPr>
            </w:pPr>
            <w:r>
              <w:rPr>
                <w:rFonts w:hint="default"/>
                <w:color w:val="auto"/>
              </w:rPr>
              <w:t>Ⅱ</w:t>
            </w:r>
          </w:p>
        </w:tc>
      </w:tr>
      <w:tr w14:paraId="7F96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pct"/>
            <w:noWrap w:val="0"/>
            <w:vAlign w:val="center"/>
          </w:tcPr>
          <w:p w14:paraId="680F6F5D">
            <w:pPr>
              <w:pStyle w:val="30"/>
              <w:bidi w:val="0"/>
              <w:rPr>
                <w:rFonts w:hint="default"/>
                <w:color w:val="auto"/>
              </w:rPr>
            </w:pPr>
            <w:r>
              <w:rPr>
                <w:rFonts w:hint="default"/>
                <w:color w:val="auto"/>
              </w:rPr>
              <w:t>电缆严重过载</w:t>
            </w:r>
          </w:p>
        </w:tc>
        <w:tc>
          <w:tcPr>
            <w:tcW w:w="920" w:type="pct"/>
            <w:vMerge w:val="restart"/>
            <w:noWrap w:val="0"/>
            <w:vAlign w:val="center"/>
          </w:tcPr>
          <w:p w14:paraId="3F75B09B">
            <w:pPr>
              <w:pStyle w:val="30"/>
              <w:bidi w:val="0"/>
              <w:rPr>
                <w:rFonts w:hint="default"/>
                <w:color w:val="auto"/>
              </w:rPr>
            </w:pPr>
            <w:r>
              <w:rPr>
                <w:rFonts w:hint="default"/>
                <w:color w:val="auto"/>
              </w:rPr>
              <w:t>电缆、线路</w:t>
            </w:r>
          </w:p>
        </w:tc>
        <w:tc>
          <w:tcPr>
            <w:tcW w:w="1073" w:type="pct"/>
            <w:noWrap w:val="0"/>
            <w:vAlign w:val="center"/>
          </w:tcPr>
          <w:p w14:paraId="758F3FCE">
            <w:pPr>
              <w:pStyle w:val="30"/>
              <w:bidi w:val="0"/>
              <w:rPr>
                <w:rFonts w:hint="default"/>
                <w:color w:val="auto"/>
              </w:rPr>
            </w:pPr>
            <w:r>
              <w:rPr>
                <w:rFonts w:hint="default"/>
                <w:color w:val="auto"/>
              </w:rPr>
              <w:t>引起过热</w:t>
            </w:r>
          </w:p>
        </w:tc>
        <w:tc>
          <w:tcPr>
            <w:tcW w:w="1357" w:type="pct"/>
            <w:noWrap w:val="0"/>
            <w:vAlign w:val="center"/>
          </w:tcPr>
          <w:p w14:paraId="70867EFC">
            <w:pPr>
              <w:pStyle w:val="30"/>
              <w:bidi w:val="0"/>
              <w:rPr>
                <w:rFonts w:hint="default"/>
                <w:color w:val="auto"/>
              </w:rPr>
            </w:pPr>
            <w:r>
              <w:rPr>
                <w:rFonts w:hint="default"/>
                <w:color w:val="auto"/>
              </w:rPr>
              <w:t>负荷分配不当，会短路</w:t>
            </w:r>
          </w:p>
        </w:tc>
        <w:tc>
          <w:tcPr>
            <w:tcW w:w="593" w:type="pct"/>
            <w:noWrap w:val="0"/>
            <w:vAlign w:val="center"/>
          </w:tcPr>
          <w:p w14:paraId="580A2498">
            <w:pPr>
              <w:pStyle w:val="30"/>
              <w:bidi w:val="0"/>
              <w:rPr>
                <w:rFonts w:hint="default"/>
                <w:color w:val="auto"/>
              </w:rPr>
            </w:pPr>
            <w:r>
              <w:rPr>
                <w:rFonts w:hint="default"/>
                <w:color w:val="auto"/>
              </w:rPr>
              <w:t>Ⅱ</w:t>
            </w:r>
          </w:p>
        </w:tc>
      </w:tr>
      <w:tr w14:paraId="07CA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pct"/>
            <w:noWrap w:val="0"/>
            <w:vAlign w:val="center"/>
          </w:tcPr>
          <w:p w14:paraId="4FBC5A2E">
            <w:pPr>
              <w:pStyle w:val="30"/>
              <w:bidi w:val="0"/>
              <w:rPr>
                <w:rFonts w:hint="default"/>
                <w:color w:val="auto"/>
              </w:rPr>
            </w:pPr>
            <w:r>
              <w:rPr>
                <w:rFonts w:hint="default"/>
                <w:color w:val="auto"/>
              </w:rPr>
              <w:t>线路超载</w:t>
            </w:r>
          </w:p>
        </w:tc>
        <w:tc>
          <w:tcPr>
            <w:tcW w:w="920" w:type="pct"/>
            <w:vMerge w:val="continue"/>
            <w:noWrap w:val="0"/>
            <w:vAlign w:val="center"/>
          </w:tcPr>
          <w:p w14:paraId="5C0EB98A">
            <w:pPr>
              <w:pStyle w:val="30"/>
              <w:bidi w:val="0"/>
              <w:rPr>
                <w:rFonts w:hint="default"/>
                <w:color w:val="auto"/>
              </w:rPr>
            </w:pPr>
          </w:p>
        </w:tc>
        <w:tc>
          <w:tcPr>
            <w:tcW w:w="1073" w:type="pct"/>
            <w:noWrap w:val="0"/>
            <w:vAlign w:val="center"/>
          </w:tcPr>
          <w:p w14:paraId="79F1124C">
            <w:pPr>
              <w:pStyle w:val="30"/>
              <w:bidi w:val="0"/>
              <w:rPr>
                <w:rFonts w:hint="default"/>
                <w:color w:val="auto"/>
              </w:rPr>
            </w:pPr>
            <w:r>
              <w:rPr>
                <w:rFonts w:hint="default"/>
                <w:color w:val="auto"/>
              </w:rPr>
              <w:t>断路器跳闸、导线发热、断线</w:t>
            </w:r>
          </w:p>
        </w:tc>
        <w:tc>
          <w:tcPr>
            <w:tcW w:w="1357" w:type="pct"/>
            <w:noWrap w:val="0"/>
            <w:vAlign w:val="center"/>
          </w:tcPr>
          <w:p w14:paraId="5BA05BE9">
            <w:pPr>
              <w:pStyle w:val="30"/>
              <w:bidi w:val="0"/>
              <w:rPr>
                <w:rFonts w:hint="default"/>
                <w:color w:val="auto"/>
              </w:rPr>
            </w:pPr>
            <w:r>
              <w:rPr>
                <w:rFonts w:hint="default"/>
                <w:color w:val="auto"/>
              </w:rPr>
              <w:t>过载会引起短路、断路</w:t>
            </w:r>
          </w:p>
        </w:tc>
        <w:tc>
          <w:tcPr>
            <w:tcW w:w="593" w:type="pct"/>
            <w:noWrap w:val="0"/>
            <w:vAlign w:val="center"/>
          </w:tcPr>
          <w:p w14:paraId="1223654F">
            <w:pPr>
              <w:pStyle w:val="30"/>
              <w:bidi w:val="0"/>
              <w:rPr>
                <w:rFonts w:hint="default"/>
                <w:color w:val="auto"/>
              </w:rPr>
            </w:pPr>
            <w:r>
              <w:rPr>
                <w:rFonts w:hint="default"/>
                <w:color w:val="auto"/>
              </w:rPr>
              <w:t>Ⅱ</w:t>
            </w:r>
          </w:p>
        </w:tc>
      </w:tr>
      <w:tr w14:paraId="24B2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pct"/>
            <w:noWrap w:val="0"/>
            <w:vAlign w:val="center"/>
          </w:tcPr>
          <w:p w14:paraId="2B17F9DE">
            <w:pPr>
              <w:pStyle w:val="30"/>
              <w:bidi w:val="0"/>
              <w:rPr>
                <w:rFonts w:hint="default"/>
                <w:color w:val="auto"/>
              </w:rPr>
            </w:pPr>
            <w:r>
              <w:rPr>
                <w:rFonts w:hint="default"/>
                <w:color w:val="auto"/>
              </w:rPr>
              <w:t>三相负载不平衡</w:t>
            </w:r>
          </w:p>
        </w:tc>
        <w:tc>
          <w:tcPr>
            <w:tcW w:w="920" w:type="pct"/>
            <w:vMerge w:val="restart"/>
            <w:noWrap w:val="0"/>
            <w:vAlign w:val="center"/>
          </w:tcPr>
          <w:p w14:paraId="2553D45F">
            <w:pPr>
              <w:pStyle w:val="30"/>
              <w:bidi w:val="0"/>
              <w:rPr>
                <w:rFonts w:hint="default"/>
                <w:color w:val="auto"/>
              </w:rPr>
            </w:pPr>
            <w:r>
              <w:rPr>
                <w:rFonts w:hint="default"/>
                <w:color w:val="auto"/>
              </w:rPr>
              <w:t>单相用电设备</w:t>
            </w:r>
          </w:p>
        </w:tc>
        <w:tc>
          <w:tcPr>
            <w:tcW w:w="1073" w:type="pct"/>
            <w:noWrap w:val="0"/>
            <w:vAlign w:val="center"/>
          </w:tcPr>
          <w:p w14:paraId="7E7792FF">
            <w:pPr>
              <w:pStyle w:val="30"/>
              <w:bidi w:val="0"/>
              <w:rPr>
                <w:rFonts w:hint="default"/>
                <w:color w:val="auto"/>
              </w:rPr>
            </w:pPr>
            <w:r>
              <w:rPr>
                <w:rFonts w:hint="default"/>
                <w:color w:val="auto"/>
              </w:rPr>
              <w:t>某相电压升高</w:t>
            </w:r>
          </w:p>
        </w:tc>
        <w:tc>
          <w:tcPr>
            <w:tcW w:w="1357" w:type="pct"/>
            <w:noWrap w:val="0"/>
            <w:vAlign w:val="center"/>
          </w:tcPr>
          <w:p w14:paraId="331258CD">
            <w:pPr>
              <w:pStyle w:val="30"/>
              <w:bidi w:val="0"/>
              <w:rPr>
                <w:rFonts w:hint="default"/>
                <w:color w:val="auto"/>
              </w:rPr>
            </w:pPr>
            <w:r>
              <w:rPr>
                <w:rFonts w:hint="default"/>
                <w:color w:val="auto"/>
              </w:rPr>
              <w:t>严重时将烧坏单相用电设备，导致起火</w:t>
            </w:r>
          </w:p>
        </w:tc>
        <w:tc>
          <w:tcPr>
            <w:tcW w:w="593" w:type="pct"/>
            <w:noWrap w:val="0"/>
            <w:vAlign w:val="center"/>
          </w:tcPr>
          <w:p w14:paraId="32FFC2EB">
            <w:pPr>
              <w:pStyle w:val="30"/>
              <w:bidi w:val="0"/>
              <w:rPr>
                <w:rFonts w:hint="default"/>
                <w:color w:val="auto"/>
              </w:rPr>
            </w:pPr>
            <w:r>
              <w:rPr>
                <w:rFonts w:hint="default"/>
                <w:color w:val="auto"/>
              </w:rPr>
              <w:t>Ⅱ</w:t>
            </w:r>
          </w:p>
        </w:tc>
      </w:tr>
      <w:tr w14:paraId="549F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pct"/>
            <w:noWrap w:val="0"/>
            <w:vAlign w:val="center"/>
          </w:tcPr>
          <w:p w14:paraId="12A9CBC9">
            <w:pPr>
              <w:pStyle w:val="30"/>
              <w:bidi w:val="0"/>
              <w:rPr>
                <w:rFonts w:hint="default"/>
                <w:color w:val="auto"/>
              </w:rPr>
            </w:pPr>
            <w:r>
              <w:rPr>
                <w:rFonts w:hint="default"/>
                <w:color w:val="auto"/>
              </w:rPr>
              <w:t>中性线断线</w:t>
            </w:r>
          </w:p>
        </w:tc>
        <w:tc>
          <w:tcPr>
            <w:tcW w:w="920" w:type="pct"/>
            <w:vMerge w:val="continue"/>
            <w:noWrap w:val="0"/>
            <w:vAlign w:val="center"/>
          </w:tcPr>
          <w:p w14:paraId="6A427ECA">
            <w:pPr>
              <w:pStyle w:val="30"/>
              <w:bidi w:val="0"/>
              <w:rPr>
                <w:rFonts w:hint="default"/>
                <w:color w:val="auto"/>
              </w:rPr>
            </w:pPr>
          </w:p>
        </w:tc>
        <w:tc>
          <w:tcPr>
            <w:tcW w:w="1073" w:type="pct"/>
            <w:noWrap w:val="0"/>
            <w:vAlign w:val="center"/>
          </w:tcPr>
          <w:p w14:paraId="31A56B0F">
            <w:pPr>
              <w:pStyle w:val="30"/>
              <w:bidi w:val="0"/>
              <w:rPr>
                <w:rFonts w:hint="default"/>
                <w:color w:val="auto"/>
              </w:rPr>
            </w:pPr>
            <w:r>
              <w:rPr>
                <w:rFonts w:hint="default"/>
                <w:color w:val="auto"/>
              </w:rPr>
              <w:t>相电压升高</w:t>
            </w:r>
          </w:p>
        </w:tc>
        <w:tc>
          <w:tcPr>
            <w:tcW w:w="1357" w:type="pct"/>
            <w:noWrap w:val="0"/>
            <w:vAlign w:val="center"/>
          </w:tcPr>
          <w:p w14:paraId="6A037F8E">
            <w:pPr>
              <w:pStyle w:val="30"/>
              <w:bidi w:val="0"/>
              <w:rPr>
                <w:rFonts w:hint="default"/>
                <w:color w:val="auto"/>
              </w:rPr>
            </w:pPr>
            <w:r>
              <w:rPr>
                <w:rFonts w:hint="default"/>
                <w:color w:val="auto"/>
              </w:rPr>
              <w:t>保护不当将引起相电压设备烧坏，产生电气火灾</w:t>
            </w:r>
          </w:p>
        </w:tc>
        <w:tc>
          <w:tcPr>
            <w:tcW w:w="593" w:type="pct"/>
            <w:noWrap w:val="0"/>
            <w:vAlign w:val="center"/>
          </w:tcPr>
          <w:p w14:paraId="11414F53">
            <w:pPr>
              <w:pStyle w:val="30"/>
              <w:bidi w:val="0"/>
              <w:rPr>
                <w:rFonts w:hint="default"/>
                <w:color w:val="auto"/>
              </w:rPr>
            </w:pPr>
            <w:r>
              <w:rPr>
                <w:rFonts w:hint="default"/>
                <w:color w:val="auto"/>
              </w:rPr>
              <w:t>Ⅲ</w:t>
            </w:r>
          </w:p>
        </w:tc>
      </w:tr>
    </w:tbl>
    <w:p w14:paraId="308F3BB6">
      <w:pPr>
        <w:pStyle w:val="29"/>
        <w:bidi w:val="0"/>
        <w:rPr>
          <w:rFonts w:hint="default"/>
          <w:color w:val="auto"/>
        </w:rPr>
      </w:pPr>
      <w:r>
        <w:rPr>
          <w:rFonts w:hint="default"/>
          <w:color w:val="auto"/>
        </w:rPr>
        <w:t>表</w:t>
      </w:r>
      <w:r>
        <w:rPr>
          <w:rFonts w:hint="eastAsia"/>
          <w:color w:val="auto"/>
          <w:lang w:val="en-US" w:eastAsia="zh-CN"/>
        </w:rPr>
        <w:t xml:space="preserve">5.4-3  </w:t>
      </w:r>
      <w:r>
        <w:rPr>
          <w:rFonts w:hint="default"/>
          <w:color w:val="auto"/>
        </w:rPr>
        <w:t>电缆线路故障的</w:t>
      </w:r>
      <w:r>
        <w:rPr>
          <w:rFonts w:hint="default"/>
          <w:color w:val="auto"/>
          <w:lang w:val="en-US"/>
        </w:rPr>
        <w:t>PHA</w:t>
      </w:r>
      <w:r>
        <w:rPr>
          <w:rFonts w:hint="default"/>
          <w:color w:val="auto"/>
        </w:rPr>
        <w:t>分析</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2421"/>
        <w:gridCol w:w="2330"/>
        <w:gridCol w:w="1715"/>
        <w:gridCol w:w="1164"/>
      </w:tblGrid>
      <w:tr w14:paraId="1CF6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blHeader/>
          <w:jc w:val="center"/>
        </w:trPr>
        <w:tc>
          <w:tcPr>
            <w:tcW w:w="940" w:type="pct"/>
            <w:noWrap w:val="0"/>
            <w:vAlign w:val="center"/>
          </w:tcPr>
          <w:p w14:paraId="10272F1F">
            <w:pPr>
              <w:pStyle w:val="30"/>
              <w:bidi w:val="0"/>
              <w:rPr>
                <w:rFonts w:hint="default"/>
                <w:b/>
                <w:bCs/>
                <w:color w:val="auto"/>
              </w:rPr>
            </w:pPr>
            <w:r>
              <w:rPr>
                <w:rFonts w:hint="default"/>
                <w:b/>
                <w:bCs/>
                <w:color w:val="auto"/>
              </w:rPr>
              <w:t>危险危害因素</w:t>
            </w:r>
          </w:p>
        </w:tc>
        <w:tc>
          <w:tcPr>
            <w:tcW w:w="1287" w:type="pct"/>
            <w:noWrap w:val="0"/>
            <w:vAlign w:val="center"/>
          </w:tcPr>
          <w:p w14:paraId="4E49F3E2">
            <w:pPr>
              <w:pStyle w:val="30"/>
              <w:bidi w:val="0"/>
              <w:rPr>
                <w:rFonts w:hint="default"/>
                <w:b/>
                <w:bCs/>
                <w:color w:val="auto"/>
              </w:rPr>
            </w:pPr>
            <w:r>
              <w:rPr>
                <w:rFonts w:hint="default"/>
                <w:b/>
                <w:bCs/>
                <w:color w:val="auto"/>
              </w:rPr>
              <w:t>事故原因</w:t>
            </w:r>
          </w:p>
        </w:tc>
        <w:tc>
          <w:tcPr>
            <w:tcW w:w="1239" w:type="pct"/>
            <w:noWrap w:val="0"/>
            <w:vAlign w:val="center"/>
          </w:tcPr>
          <w:p w14:paraId="16882059">
            <w:pPr>
              <w:pStyle w:val="30"/>
              <w:bidi w:val="0"/>
              <w:rPr>
                <w:rFonts w:hint="default"/>
                <w:b/>
                <w:bCs/>
                <w:color w:val="auto"/>
              </w:rPr>
            </w:pPr>
            <w:r>
              <w:rPr>
                <w:rFonts w:hint="default"/>
                <w:b/>
                <w:bCs/>
                <w:color w:val="auto"/>
              </w:rPr>
              <w:t>现象</w:t>
            </w:r>
          </w:p>
        </w:tc>
        <w:tc>
          <w:tcPr>
            <w:tcW w:w="912" w:type="pct"/>
            <w:noWrap w:val="0"/>
            <w:vAlign w:val="center"/>
          </w:tcPr>
          <w:p w14:paraId="09F4ACBE">
            <w:pPr>
              <w:pStyle w:val="30"/>
              <w:bidi w:val="0"/>
              <w:rPr>
                <w:rFonts w:hint="default"/>
                <w:b/>
                <w:bCs/>
                <w:color w:val="auto"/>
              </w:rPr>
            </w:pPr>
            <w:r>
              <w:rPr>
                <w:rFonts w:hint="default"/>
                <w:b/>
                <w:bCs/>
                <w:color w:val="auto"/>
              </w:rPr>
              <w:t>结果</w:t>
            </w:r>
          </w:p>
        </w:tc>
        <w:tc>
          <w:tcPr>
            <w:tcW w:w="619" w:type="pct"/>
            <w:noWrap w:val="0"/>
            <w:vAlign w:val="center"/>
          </w:tcPr>
          <w:p w14:paraId="736AB13E">
            <w:pPr>
              <w:pStyle w:val="30"/>
              <w:bidi w:val="0"/>
              <w:rPr>
                <w:rFonts w:hint="default"/>
                <w:b/>
                <w:bCs/>
                <w:color w:val="auto"/>
              </w:rPr>
            </w:pPr>
            <w:r>
              <w:rPr>
                <w:rFonts w:hint="default"/>
                <w:b/>
                <w:bCs/>
                <w:color w:val="auto"/>
              </w:rPr>
              <w:t>危险等级</w:t>
            </w:r>
          </w:p>
        </w:tc>
      </w:tr>
      <w:tr w14:paraId="65E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pct"/>
            <w:noWrap w:val="0"/>
            <w:vAlign w:val="center"/>
          </w:tcPr>
          <w:p w14:paraId="17F3C49F">
            <w:pPr>
              <w:pStyle w:val="30"/>
              <w:bidi w:val="0"/>
              <w:rPr>
                <w:rFonts w:hint="default"/>
                <w:color w:val="auto"/>
              </w:rPr>
            </w:pPr>
            <w:r>
              <w:rPr>
                <w:rFonts w:hint="default"/>
                <w:color w:val="auto"/>
              </w:rPr>
              <w:t>外力破坏</w:t>
            </w:r>
          </w:p>
        </w:tc>
        <w:tc>
          <w:tcPr>
            <w:tcW w:w="1287" w:type="pct"/>
            <w:noWrap w:val="0"/>
            <w:vAlign w:val="center"/>
          </w:tcPr>
          <w:p w14:paraId="0B9E08BD">
            <w:pPr>
              <w:pStyle w:val="30"/>
              <w:bidi w:val="0"/>
              <w:rPr>
                <w:rFonts w:hint="default"/>
                <w:color w:val="auto"/>
              </w:rPr>
            </w:pPr>
            <w:r>
              <w:rPr>
                <w:rFonts w:hint="default"/>
                <w:color w:val="auto"/>
              </w:rPr>
              <w:t>机械损伤、被盗</w:t>
            </w:r>
          </w:p>
        </w:tc>
        <w:tc>
          <w:tcPr>
            <w:tcW w:w="1239" w:type="pct"/>
            <w:noWrap w:val="0"/>
            <w:vAlign w:val="center"/>
          </w:tcPr>
          <w:p w14:paraId="06C96E7C">
            <w:pPr>
              <w:pStyle w:val="30"/>
              <w:bidi w:val="0"/>
              <w:rPr>
                <w:rFonts w:hint="default"/>
                <w:color w:val="auto"/>
              </w:rPr>
            </w:pPr>
            <w:r>
              <w:rPr>
                <w:rFonts w:hint="default"/>
                <w:color w:val="auto"/>
              </w:rPr>
              <w:t>线路短路或断路</w:t>
            </w:r>
          </w:p>
        </w:tc>
        <w:tc>
          <w:tcPr>
            <w:tcW w:w="912" w:type="pct"/>
            <w:noWrap w:val="0"/>
            <w:vAlign w:val="center"/>
          </w:tcPr>
          <w:p w14:paraId="7AEE0F24">
            <w:pPr>
              <w:pStyle w:val="30"/>
              <w:bidi w:val="0"/>
              <w:rPr>
                <w:rFonts w:hint="default"/>
                <w:color w:val="auto"/>
              </w:rPr>
            </w:pPr>
            <w:r>
              <w:rPr>
                <w:rFonts w:hint="default"/>
                <w:color w:val="auto"/>
              </w:rPr>
              <w:t>意外断电</w:t>
            </w:r>
          </w:p>
        </w:tc>
        <w:tc>
          <w:tcPr>
            <w:tcW w:w="619" w:type="pct"/>
            <w:vMerge w:val="restart"/>
            <w:noWrap w:val="0"/>
            <w:vAlign w:val="center"/>
          </w:tcPr>
          <w:p w14:paraId="6905C3F5">
            <w:pPr>
              <w:pStyle w:val="30"/>
              <w:bidi w:val="0"/>
              <w:rPr>
                <w:rFonts w:hint="default"/>
                <w:color w:val="auto"/>
              </w:rPr>
            </w:pPr>
            <w:r>
              <w:rPr>
                <w:rFonts w:hint="default"/>
                <w:color w:val="auto"/>
              </w:rPr>
              <w:t>Ⅲ</w:t>
            </w:r>
          </w:p>
        </w:tc>
      </w:tr>
      <w:tr w14:paraId="253B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pct"/>
            <w:noWrap w:val="0"/>
            <w:vAlign w:val="center"/>
          </w:tcPr>
          <w:p w14:paraId="645EA54C">
            <w:pPr>
              <w:pStyle w:val="30"/>
              <w:bidi w:val="0"/>
              <w:rPr>
                <w:rFonts w:hint="default"/>
                <w:color w:val="auto"/>
              </w:rPr>
            </w:pPr>
            <w:r>
              <w:rPr>
                <w:rFonts w:hint="default"/>
                <w:color w:val="auto"/>
              </w:rPr>
              <w:t>终端头污闪</w:t>
            </w:r>
          </w:p>
        </w:tc>
        <w:tc>
          <w:tcPr>
            <w:tcW w:w="1287" w:type="pct"/>
            <w:noWrap w:val="0"/>
            <w:vAlign w:val="center"/>
          </w:tcPr>
          <w:p w14:paraId="2FF27E23">
            <w:pPr>
              <w:pStyle w:val="30"/>
              <w:bidi w:val="0"/>
              <w:rPr>
                <w:rFonts w:hint="default"/>
                <w:color w:val="auto"/>
              </w:rPr>
            </w:pPr>
            <w:r>
              <w:rPr>
                <w:rFonts w:hint="default"/>
                <w:color w:val="auto"/>
              </w:rPr>
              <w:t>绝缘污闪</w:t>
            </w:r>
          </w:p>
        </w:tc>
        <w:tc>
          <w:tcPr>
            <w:tcW w:w="1239" w:type="pct"/>
            <w:noWrap w:val="0"/>
            <w:vAlign w:val="center"/>
          </w:tcPr>
          <w:p w14:paraId="22E2E3D7">
            <w:pPr>
              <w:pStyle w:val="30"/>
              <w:bidi w:val="0"/>
              <w:rPr>
                <w:rFonts w:hint="default"/>
                <w:color w:val="auto"/>
              </w:rPr>
            </w:pPr>
            <w:r>
              <w:rPr>
                <w:rFonts w:hint="default"/>
                <w:color w:val="auto"/>
              </w:rPr>
              <w:t>绝缘击穿</w:t>
            </w:r>
          </w:p>
        </w:tc>
        <w:tc>
          <w:tcPr>
            <w:tcW w:w="912" w:type="pct"/>
            <w:noWrap w:val="0"/>
            <w:vAlign w:val="center"/>
          </w:tcPr>
          <w:p w14:paraId="19C19579">
            <w:pPr>
              <w:pStyle w:val="30"/>
              <w:bidi w:val="0"/>
              <w:rPr>
                <w:rFonts w:hint="default"/>
                <w:color w:val="auto"/>
              </w:rPr>
            </w:pPr>
            <w:r>
              <w:rPr>
                <w:rFonts w:hint="default"/>
                <w:color w:val="auto"/>
              </w:rPr>
              <w:t>断电</w:t>
            </w:r>
          </w:p>
        </w:tc>
        <w:tc>
          <w:tcPr>
            <w:tcW w:w="619" w:type="pct"/>
            <w:vMerge w:val="continue"/>
            <w:noWrap w:val="0"/>
            <w:vAlign w:val="center"/>
          </w:tcPr>
          <w:p w14:paraId="09C7DD83">
            <w:pPr>
              <w:pStyle w:val="30"/>
              <w:bidi w:val="0"/>
              <w:rPr>
                <w:rFonts w:hint="default"/>
                <w:color w:val="auto"/>
              </w:rPr>
            </w:pPr>
          </w:p>
        </w:tc>
      </w:tr>
      <w:tr w14:paraId="26B2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pct"/>
            <w:noWrap w:val="0"/>
            <w:vAlign w:val="center"/>
          </w:tcPr>
          <w:p w14:paraId="7C16656F">
            <w:pPr>
              <w:pStyle w:val="30"/>
              <w:bidi w:val="0"/>
              <w:rPr>
                <w:rFonts w:hint="default"/>
                <w:color w:val="auto"/>
              </w:rPr>
            </w:pPr>
            <w:r>
              <w:rPr>
                <w:rFonts w:hint="default"/>
                <w:color w:val="auto"/>
              </w:rPr>
              <w:t>中间接头爆炸</w:t>
            </w:r>
          </w:p>
        </w:tc>
        <w:tc>
          <w:tcPr>
            <w:tcW w:w="1287" w:type="pct"/>
            <w:noWrap w:val="0"/>
            <w:vAlign w:val="center"/>
          </w:tcPr>
          <w:p w14:paraId="12E786F4">
            <w:pPr>
              <w:pStyle w:val="30"/>
              <w:bidi w:val="0"/>
              <w:rPr>
                <w:rFonts w:hint="default"/>
                <w:color w:val="auto"/>
              </w:rPr>
            </w:pPr>
            <w:r>
              <w:rPr>
                <w:rFonts w:hint="default"/>
                <w:color w:val="auto"/>
              </w:rPr>
              <w:t>绝缘受损</w:t>
            </w:r>
          </w:p>
        </w:tc>
        <w:tc>
          <w:tcPr>
            <w:tcW w:w="1239" w:type="pct"/>
            <w:noWrap w:val="0"/>
            <w:vAlign w:val="center"/>
          </w:tcPr>
          <w:p w14:paraId="5D42DE5F">
            <w:pPr>
              <w:pStyle w:val="30"/>
              <w:bidi w:val="0"/>
              <w:rPr>
                <w:rFonts w:hint="default"/>
                <w:color w:val="auto"/>
              </w:rPr>
            </w:pPr>
            <w:r>
              <w:rPr>
                <w:rFonts w:hint="default"/>
                <w:color w:val="auto"/>
              </w:rPr>
              <w:t>爆炸</w:t>
            </w:r>
          </w:p>
        </w:tc>
        <w:tc>
          <w:tcPr>
            <w:tcW w:w="912" w:type="pct"/>
            <w:noWrap w:val="0"/>
            <w:vAlign w:val="center"/>
          </w:tcPr>
          <w:p w14:paraId="06B64581">
            <w:pPr>
              <w:pStyle w:val="30"/>
              <w:bidi w:val="0"/>
              <w:rPr>
                <w:rFonts w:hint="default"/>
                <w:color w:val="auto"/>
              </w:rPr>
            </w:pPr>
            <w:r>
              <w:rPr>
                <w:rFonts w:hint="default"/>
                <w:color w:val="auto"/>
              </w:rPr>
              <w:t>意外断电</w:t>
            </w:r>
          </w:p>
        </w:tc>
        <w:tc>
          <w:tcPr>
            <w:tcW w:w="619" w:type="pct"/>
            <w:vMerge w:val="continue"/>
            <w:noWrap w:val="0"/>
            <w:vAlign w:val="center"/>
          </w:tcPr>
          <w:p w14:paraId="28F9773E">
            <w:pPr>
              <w:pStyle w:val="30"/>
              <w:bidi w:val="0"/>
              <w:rPr>
                <w:rFonts w:hint="default"/>
                <w:color w:val="auto"/>
              </w:rPr>
            </w:pPr>
          </w:p>
        </w:tc>
      </w:tr>
      <w:tr w14:paraId="479B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pct"/>
            <w:noWrap w:val="0"/>
            <w:vAlign w:val="center"/>
          </w:tcPr>
          <w:p w14:paraId="0DC766A1">
            <w:pPr>
              <w:pStyle w:val="30"/>
              <w:bidi w:val="0"/>
              <w:rPr>
                <w:rFonts w:hint="default"/>
                <w:color w:val="auto"/>
              </w:rPr>
            </w:pPr>
            <w:r>
              <w:rPr>
                <w:rFonts w:hint="default"/>
                <w:color w:val="auto"/>
              </w:rPr>
              <w:t>腐蚀</w:t>
            </w:r>
          </w:p>
        </w:tc>
        <w:tc>
          <w:tcPr>
            <w:tcW w:w="1287" w:type="pct"/>
            <w:noWrap w:val="0"/>
            <w:vAlign w:val="center"/>
          </w:tcPr>
          <w:p w14:paraId="1CA49D06">
            <w:pPr>
              <w:pStyle w:val="30"/>
              <w:bidi w:val="0"/>
              <w:rPr>
                <w:rFonts w:hint="default"/>
                <w:color w:val="auto"/>
              </w:rPr>
            </w:pPr>
            <w:r>
              <w:rPr>
                <w:rFonts w:hint="default"/>
                <w:color w:val="auto"/>
              </w:rPr>
              <w:t>化学腐蚀和电腐蚀</w:t>
            </w:r>
          </w:p>
        </w:tc>
        <w:tc>
          <w:tcPr>
            <w:tcW w:w="1239" w:type="pct"/>
            <w:noWrap w:val="0"/>
            <w:vAlign w:val="center"/>
          </w:tcPr>
          <w:p w14:paraId="0EB428A7">
            <w:pPr>
              <w:pStyle w:val="30"/>
              <w:bidi w:val="0"/>
              <w:rPr>
                <w:rFonts w:hint="default"/>
                <w:color w:val="auto"/>
              </w:rPr>
            </w:pPr>
            <w:r>
              <w:rPr>
                <w:rFonts w:hint="default"/>
                <w:color w:val="auto"/>
              </w:rPr>
              <w:t>金属护套腐蚀</w:t>
            </w:r>
          </w:p>
        </w:tc>
        <w:tc>
          <w:tcPr>
            <w:tcW w:w="912" w:type="pct"/>
            <w:noWrap w:val="0"/>
            <w:vAlign w:val="center"/>
          </w:tcPr>
          <w:p w14:paraId="479A9731">
            <w:pPr>
              <w:pStyle w:val="30"/>
              <w:bidi w:val="0"/>
              <w:rPr>
                <w:rFonts w:hint="default"/>
                <w:color w:val="auto"/>
              </w:rPr>
            </w:pPr>
            <w:r>
              <w:rPr>
                <w:rFonts w:hint="default"/>
                <w:color w:val="auto"/>
              </w:rPr>
              <w:t>绝缘破坏</w:t>
            </w:r>
          </w:p>
        </w:tc>
        <w:tc>
          <w:tcPr>
            <w:tcW w:w="619" w:type="pct"/>
            <w:vMerge w:val="continue"/>
            <w:noWrap w:val="0"/>
            <w:vAlign w:val="center"/>
          </w:tcPr>
          <w:p w14:paraId="003B52C9">
            <w:pPr>
              <w:pStyle w:val="30"/>
              <w:bidi w:val="0"/>
              <w:rPr>
                <w:rFonts w:hint="default"/>
                <w:color w:val="auto"/>
              </w:rPr>
            </w:pPr>
          </w:p>
        </w:tc>
      </w:tr>
      <w:tr w14:paraId="02DD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40" w:type="pct"/>
            <w:noWrap w:val="0"/>
            <w:vAlign w:val="center"/>
          </w:tcPr>
          <w:p w14:paraId="57F19D72">
            <w:pPr>
              <w:pStyle w:val="30"/>
              <w:bidi w:val="0"/>
              <w:rPr>
                <w:rFonts w:hint="default"/>
                <w:color w:val="auto"/>
              </w:rPr>
            </w:pPr>
            <w:r>
              <w:rPr>
                <w:rFonts w:hint="default"/>
                <w:color w:val="auto"/>
              </w:rPr>
              <w:t>长期严重过负荷运行</w:t>
            </w:r>
          </w:p>
        </w:tc>
        <w:tc>
          <w:tcPr>
            <w:tcW w:w="1287" w:type="pct"/>
            <w:noWrap w:val="0"/>
            <w:vAlign w:val="center"/>
          </w:tcPr>
          <w:p w14:paraId="349C711F">
            <w:pPr>
              <w:pStyle w:val="30"/>
              <w:bidi w:val="0"/>
              <w:rPr>
                <w:rFonts w:hint="default"/>
                <w:color w:val="auto"/>
              </w:rPr>
            </w:pPr>
            <w:r>
              <w:rPr>
                <w:rFonts w:hint="default"/>
                <w:color w:val="auto"/>
              </w:rPr>
              <w:t>设计和负荷分配不当</w:t>
            </w:r>
          </w:p>
        </w:tc>
        <w:tc>
          <w:tcPr>
            <w:tcW w:w="1239" w:type="pct"/>
            <w:noWrap w:val="0"/>
            <w:vAlign w:val="center"/>
          </w:tcPr>
          <w:p w14:paraId="71F38EBF">
            <w:pPr>
              <w:pStyle w:val="30"/>
              <w:bidi w:val="0"/>
              <w:rPr>
                <w:rFonts w:hint="default"/>
                <w:color w:val="auto"/>
              </w:rPr>
            </w:pPr>
            <w:r>
              <w:rPr>
                <w:rFonts w:hint="default"/>
                <w:color w:val="auto"/>
              </w:rPr>
              <w:t>绝缘老化</w:t>
            </w:r>
          </w:p>
        </w:tc>
        <w:tc>
          <w:tcPr>
            <w:tcW w:w="912" w:type="pct"/>
            <w:noWrap w:val="0"/>
            <w:vAlign w:val="center"/>
          </w:tcPr>
          <w:p w14:paraId="21279C14">
            <w:pPr>
              <w:pStyle w:val="30"/>
              <w:bidi w:val="0"/>
              <w:rPr>
                <w:rFonts w:hint="default"/>
                <w:color w:val="auto"/>
              </w:rPr>
            </w:pPr>
            <w:r>
              <w:rPr>
                <w:rFonts w:hint="default"/>
                <w:color w:val="auto"/>
              </w:rPr>
              <w:t>绝缘击穿或中间接头爆炸</w:t>
            </w:r>
          </w:p>
        </w:tc>
        <w:tc>
          <w:tcPr>
            <w:tcW w:w="619" w:type="pct"/>
            <w:vMerge w:val="continue"/>
            <w:noWrap w:val="0"/>
            <w:vAlign w:val="center"/>
          </w:tcPr>
          <w:p w14:paraId="1449D443">
            <w:pPr>
              <w:pStyle w:val="30"/>
              <w:bidi w:val="0"/>
              <w:rPr>
                <w:rFonts w:hint="default"/>
                <w:color w:val="auto"/>
              </w:rPr>
            </w:pPr>
          </w:p>
        </w:tc>
      </w:tr>
      <w:tr w14:paraId="1EF1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40" w:type="pct"/>
            <w:vMerge w:val="restart"/>
            <w:noWrap w:val="0"/>
            <w:vAlign w:val="center"/>
          </w:tcPr>
          <w:p w14:paraId="31CDC87C">
            <w:pPr>
              <w:pStyle w:val="30"/>
              <w:bidi w:val="0"/>
              <w:rPr>
                <w:rFonts w:hint="default"/>
                <w:color w:val="auto"/>
              </w:rPr>
            </w:pPr>
            <w:r>
              <w:rPr>
                <w:rFonts w:hint="default"/>
                <w:color w:val="auto"/>
              </w:rPr>
              <w:t>电缆沟泡</w:t>
            </w:r>
          </w:p>
          <w:p w14:paraId="121B880C">
            <w:pPr>
              <w:pStyle w:val="30"/>
              <w:bidi w:val="0"/>
              <w:rPr>
                <w:rFonts w:hint="default"/>
                <w:color w:val="auto"/>
              </w:rPr>
            </w:pPr>
            <w:r>
              <w:rPr>
                <w:rFonts w:hint="default"/>
                <w:color w:val="auto"/>
              </w:rPr>
              <w:t>水受潮</w:t>
            </w:r>
          </w:p>
        </w:tc>
        <w:tc>
          <w:tcPr>
            <w:tcW w:w="1287" w:type="pct"/>
            <w:noWrap w:val="0"/>
            <w:vAlign w:val="center"/>
          </w:tcPr>
          <w:p w14:paraId="694094F1">
            <w:pPr>
              <w:pStyle w:val="30"/>
              <w:bidi w:val="0"/>
              <w:rPr>
                <w:rFonts w:hint="default"/>
                <w:color w:val="auto"/>
              </w:rPr>
            </w:pPr>
            <w:r>
              <w:rPr>
                <w:rFonts w:hint="default"/>
                <w:color w:val="auto"/>
              </w:rPr>
              <w:t>储存、敷设、电缆头制作不精良</w:t>
            </w:r>
          </w:p>
        </w:tc>
        <w:tc>
          <w:tcPr>
            <w:tcW w:w="1239" w:type="pct"/>
            <w:vMerge w:val="restart"/>
            <w:noWrap w:val="0"/>
            <w:vAlign w:val="center"/>
          </w:tcPr>
          <w:p w14:paraId="7C61EB05">
            <w:pPr>
              <w:pStyle w:val="30"/>
              <w:bidi w:val="0"/>
              <w:rPr>
                <w:rFonts w:hint="default"/>
                <w:color w:val="auto"/>
              </w:rPr>
            </w:pPr>
            <w:r>
              <w:rPr>
                <w:rFonts w:hint="default"/>
                <w:color w:val="auto"/>
              </w:rPr>
              <w:t>在电场作用下，发生绝缘老化</w:t>
            </w:r>
          </w:p>
        </w:tc>
        <w:tc>
          <w:tcPr>
            <w:tcW w:w="912" w:type="pct"/>
            <w:vMerge w:val="restart"/>
            <w:noWrap w:val="0"/>
            <w:vAlign w:val="center"/>
          </w:tcPr>
          <w:p w14:paraId="5C1CC649">
            <w:pPr>
              <w:pStyle w:val="30"/>
              <w:bidi w:val="0"/>
              <w:rPr>
                <w:rFonts w:hint="default"/>
                <w:color w:val="auto"/>
              </w:rPr>
            </w:pPr>
            <w:r>
              <w:rPr>
                <w:rFonts w:hint="default"/>
                <w:color w:val="auto"/>
              </w:rPr>
              <w:t>电缆绝缘击穿</w:t>
            </w:r>
          </w:p>
        </w:tc>
        <w:tc>
          <w:tcPr>
            <w:tcW w:w="619" w:type="pct"/>
            <w:vMerge w:val="continue"/>
            <w:noWrap w:val="0"/>
            <w:vAlign w:val="center"/>
          </w:tcPr>
          <w:p w14:paraId="77CEBFCD">
            <w:pPr>
              <w:pStyle w:val="30"/>
              <w:bidi w:val="0"/>
              <w:rPr>
                <w:rFonts w:hint="default"/>
                <w:color w:val="auto"/>
              </w:rPr>
            </w:pPr>
          </w:p>
        </w:tc>
      </w:tr>
      <w:tr w14:paraId="0011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jc w:val="center"/>
        </w:trPr>
        <w:tc>
          <w:tcPr>
            <w:tcW w:w="940" w:type="pct"/>
            <w:vMerge w:val="continue"/>
            <w:noWrap w:val="0"/>
            <w:vAlign w:val="center"/>
          </w:tcPr>
          <w:p w14:paraId="01FBED9B">
            <w:pPr>
              <w:pStyle w:val="30"/>
              <w:bidi w:val="0"/>
              <w:rPr>
                <w:rFonts w:hint="default"/>
                <w:color w:val="auto"/>
              </w:rPr>
            </w:pPr>
          </w:p>
        </w:tc>
        <w:tc>
          <w:tcPr>
            <w:tcW w:w="1287" w:type="pct"/>
            <w:noWrap w:val="0"/>
            <w:vAlign w:val="center"/>
          </w:tcPr>
          <w:p w14:paraId="221A236A">
            <w:pPr>
              <w:pStyle w:val="30"/>
              <w:bidi w:val="0"/>
              <w:rPr>
                <w:rFonts w:hint="default"/>
                <w:color w:val="auto"/>
              </w:rPr>
            </w:pPr>
            <w:r>
              <w:rPr>
                <w:rFonts w:hint="default"/>
                <w:color w:val="auto"/>
              </w:rPr>
              <w:t>绝缘受损</w:t>
            </w:r>
          </w:p>
        </w:tc>
        <w:tc>
          <w:tcPr>
            <w:tcW w:w="1239" w:type="pct"/>
            <w:vMerge w:val="continue"/>
            <w:noWrap w:val="0"/>
            <w:vAlign w:val="center"/>
          </w:tcPr>
          <w:p w14:paraId="2DD870F6">
            <w:pPr>
              <w:pStyle w:val="30"/>
              <w:bidi w:val="0"/>
              <w:rPr>
                <w:rFonts w:hint="default"/>
                <w:color w:val="auto"/>
              </w:rPr>
            </w:pPr>
          </w:p>
        </w:tc>
        <w:tc>
          <w:tcPr>
            <w:tcW w:w="912" w:type="pct"/>
            <w:vMerge w:val="continue"/>
            <w:noWrap w:val="0"/>
            <w:vAlign w:val="center"/>
          </w:tcPr>
          <w:p w14:paraId="13CE9092">
            <w:pPr>
              <w:pStyle w:val="30"/>
              <w:bidi w:val="0"/>
              <w:rPr>
                <w:rFonts w:hint="default"/>
                <w:color w:val="auto"/>
              </w:rPr>
            </w:pPr>
          </w:p>
        </w:tc>
        <w:tc>
          <w:tcPr>
            <w:tcW w:w="619" w:type="pct"/>
            <w:vMerge w:val="continue"/>
            <w:noWrap w:val="0"/>
            <w:vAlign w:val="center"/>
          </w:tcPr>
          <w:p w14:paraId="5B0D0A12">
            <w:pPr>
              <w:pStyle w:val="30"/>
              <w:bidi w:val="0"/>
              <w:rPr>
                <w:rFonts w:hint="default"/>
                <w:color w:val="auto"/>
              </w:rPr>
            </w:pPr>
          </w:p>
        </w:tc>
      </w:tr>
    </w:tbl>
    <w:p w14:paraId="3A98FB1F">
      <w:pPr>
        <w:pStyle w:val="29"/>
        <w:bidi w:val="0"/>
        <w:rPr>
          <w:rFonts w:hint="default"/>
          <w:color w:val="auto"/>
        </w:rPr>
      </w:pPr>
      <w:r>
        <w:rPr>
          <w:rFonts w:hint="default"/>
          <w:color w:val="auto"/>
        </w:rPr>
        <w:t>表5</w:t>
      </w:r>
      <w:r>
        <w:rPr>
          <w:rFonts w:hint="eastAsia"/>
          <w:color w:val="auto"/>
          <w:lang w:val="en-US" w:eastAsia="zh-CN"/>
        </w:rPr>
        <w:t xml:space="preserve">.4-4 </w:t>
      </w:r>
      <w:r>
        <w:rPr>
          <w:rFonts w:hint="default"/>
          <w:color w:val="auto"/>
          <w:lang w:val="en-US" w:eastAsia="zh-CN"/>
        </w:rPr>
        <w:t xml:space="preserve"> </w:t>
      </w:r>
      <w:r>
        <w:rPr>
          <w:rFonts w:hint="default"/>
          <w:color w:val="auto"/>
        </w:rPr>
        <w:t>雷电事故的PHA分析</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2595"/>
        <w:gridCol w:w="1489"/>
        <w:gridCol w:w="1781"/>
        <w:gridCol w:w="726"/>
        <w:gridCol w:w="1843"/>
      </w:tblGrid>
      <w:tr w14:paraId="35B9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blHeader/>
          <w:jc w:val="center"/>
        </w:trPr>
        <w:tc>
          <w:tcPr>
            <w:tcW w:w="513" w:type="pct"/>
            <w:noWrap w:val="0"/>
            <w:vAlign w:val="center"/>
          </w:tcPr>
          <w:p w14:paraId="5DBDB927">
            <w:pPr>
              <w:pStyle w:val="30"/>
              <w:bidi w:val="0"/>
              <w:rPr>
                <w:rFonts w:hint="default"/>
                <w:b/>
                <w:bCs/>
                <w:color w:val="auto"/>
              </w:rPr>
            </w:pPr>
            <w:r>
              <w:rPr>
                <w:rFonts w:hint="default"/>
                <w:b/>
                <w:bCs/>
                <w:color w:val="auto"/>
              </w:rPr>
              <w:t>危险危害因素</w:t>
            </w:r>
          </w:p>
        </w:tc>
        <w:tc>
          <w:tcPr>
            <w:tcW w:w="1380" w:type="pct"/>
            <w:noWrap w:val="0"/>
            <w:vAlign w:val="center"/>
          </w:tcPr>
          <w:p w14:paraId="2C1741F1">
            <w:pPr>
              <w:pStyle w:val="30"/>
              <w:bidi w:val="0"/>
              <w:rPr>
                <w:rFonts w:hint="default"/>
                <w:b/>
                <w:bCs/>
                <w:color w:val="auto"/>
              </w:rPr>
            </w:pPr>
            <w:r>
              <w:rPr>
                <w:rFonts w:hint="default"/>
                <w:b/>
                <w:bCs/>
                <w:color w:val="auto"/>
              </w:rPr>
              <w:t>事故原因</w:t>
            </w:r>
          </w:p>
        </w:tc>
        <w:tc>
          <w:tcPr>
            <w:tcW w:w="792" w:type="pct"/>
            <w:noWrap w:val="0"/>
            <w:vAlign w:val="center"/>
          </w:tcPr>
          <w:p w14:paraId="48571FEA">
            <w:pPr>
              <w:pStyle w:val="30"/>
              <w:bidi w:val="0"/>
              <w:rPr>
                <w:rFonts w:hint="default"/>
                <w:b/>
                <w:bCs/>
                <w:color w:val="auto"/>
              </w:rPr>
            </w:pPr>
            <w:r>
              <w:rPr>
                <w:rFonts w:hint="default"/>
                <w:b/>
                <w:bCs/>
                <w:color w:val="auto"/>
              </w:rPr>
              <w:t>现象</w:t>
            </w:r>
          </w:p>
        </w:tc>
        <w:tc>
          <w:tcPr>
            <w:tcW w:w="947" w:type="pct"/>
            <w:noWrap w:val="0"/>
            <w:vAlign w:val="center"/>
          </w:tcPr>
          <w:p w14:paraId="2D36B5A0">
            <w:pPr>
              <w:pStyle w:val="30"/>
              <w:bidi w:val="0"/>
              <w:rPr>
                <w:rFonts w:hint="default"/>
                <w:b/>
                <w:bCs/>
                <w:color w:val="auto"/>
              </w:rPr>
            </w:pPr>
            <w:r>
              <w:rPr>
                <w:rFonts w:hint="default"/>
                <w:b/>
                <w:bCs/>
                <w:color w:val="auto"/>
              </w:rPr>
              <w:t>结果</w:t>
            </w:r>
          </w:p>
        </w:tc>
        <w:tc>
          <w:tcPr>
            <w:tcW w:w="386" w:type="pct"/>
            <w:noWrap w:val="0"/>
            <w:vAlign w:val="center"/>
          </w:tcPr>
          <w:p w14:paraId="7EE8722B">
            <w:pPr>
              <w:pStyle w:val="30"/>
              <w:bidi w:val="0"/>
              <w:rPr>
                <w:rFonts w:hint="default"/>
                <w:b/>
                <w:bCs/>
                <w:color w:val="auto"/>
              </w:rPr>
            </w:pPr>
            <w:r>
              <w:rPr>
                <w:rFonts w:hint="default"/>
                <w:b/>
                <w:bCs/>
                <w:color w:val="auto"/>
              </w:rPr>
              <w:t>危险</w:t>
            </w:r>
          </w:p>
          <w:p w14:paraId="7944DFF8">
            <w:pPr>
              <w:pStyle w:val="30"/>
              <w:bidi w:val="0"/>
              <w:rPr>
                <w:rFonts w:hint="default"/>
                <w:b/>
                <w:bCs/>
                <w:color w:val="auto"/>
              </w:rPr>
            </w:pPr>
            <w:r>
              <w:rPr>
                <w:rFonts w:hint="default"/>
                <w:b/>
                <w:bCs/>
                <w:color w:val="auto"/>
              </w:rPr>
              <w:t>等级</w:t>
            </w:r>
          </w:p>
        </w:tc>
        <w:tc>
          <w:tcPr>
            <w:tcW w:w="980" w:type="pct"/>
            <w:noWrap w:val="0"/>
            <w:vAlign w:val="center"/>
          </w:tcPr>
          <w:p w14:paraId="7F24570C">
            <w:pPr>
              <w:pStyle w:val="30"/>
              <w:bidi w:val="0"/>
              <w:rPr>
                <w:rFonts w:hint="default"/>
                <w:b/>
                <w:bCs/>
                <w:color w:val="auto"/>
              </w:rPr>
            </w:pPr>
            <w:r>
              <w:rPr>
                <w:rFonts w:hint="default"/>
                <w:b/>
                <w:bCs/>
                <w:color w:val="auto"/>
              </w:rPr>
              <w:t>对策措施</w:t>
            </w:r>
          </w:p>
        </w:tc>
      </w:tr>
      <w:tr w14:paraId="2A0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noWrap w:val="0"/>
            <w:vAlign w:val="center"/>
          </w:tcPr>
          <w:p w14:paraId="6D7FE5E4">
            <w:pPr>
              <w:pStyle w:val="30"/>
              <w:bidi w:val="0"/>
              <w:rPr>
                <w:rFonts w:hint="default"/>
                <w:color w:val="auto"/>
              </w:rPr>
            </w:pPr>
            <w:r>
              <w:rPr>
                <w:rFonts w:hint="default"/>
                <w:color w:val="auto"/>
              </w:rPr>
              <w:t>直接</w:t>
            </w:r>
          </w:p>
          <w:p w14:paraId="7EBCA250">
            <w:pPr>
              <w:pStyle w:val="30"/>
              <w:bidi w:val="0"/>
              <w:rPr>
                <w:rFonts w:hint="default"/>
                <w:color w:val="auto"/>
              </w:rPr>
            </w:pPr>
            <w:r>
              <w:rPr>
                <w:rFonts w:hint="default"/>
                <w:color w:val="auto"/>
              </w:rPr>
              <w:t>雷击</w:t>
            </w:r>
          </w:p>
        </w:tc>
        <w:tc>
          <w:tcPr>
            <w:tcW w:w="1380" w:type="pct"/>
            <w:noWrap w:val="0"/>
            <w:vAlign w:val="center"/>
          </w:tcPr>
          <w:p w14:paraId="3B7FAABD">
            <w:pPr>
              <w:pStyle w:val="30"/>
              <w:bidi w:val="0"/>
              <w:rPr>
                <w:rFonts w:hint="default"/>
                <w:color w:val="auto"/>
              </w:rPr>
            </w:pPr>
            <w:r>
              <w:rPr>
                <w:rFonts w:hint="default"/>
                <w:color w:val="auto"/>
              </w:rPr>
              <w:t>防雷装置失效</w:t>
            </w:r>
          </w:p>
        </w:tc>
        <w:tc>
          <w:tcPr>
            <w:tcW w:w="792" w:type="pct"/>
            <w:noWrap w:val="0"/>
            <w:vAlign w:val="center"/>
          </w:tcPr>
          <w:p w14:paraId="1D0EE07F">
            <w:pPr>
              <w:pStyle w:val="30"/>
              <w:bidi w:val="0"/>
              <w:rPr>
                <w:rFonts w:hint="default"/>
                <w:color w:val="auto"/>
              </w:rPr>
            </w:pPr>
            <w:r>
              <w:rPr>
                <w:rFonts w:hint="default"/>
                <w:color w:val="auto"/>
              </w:rPr>
              <w:t>剧烈放电</w:t>
            </w:r>
          </w:p>
        </w:tc>
        <w:tc>
          <w:tcPr>
            <w:tcW w:w="947" w:type="pct"/>
            <w:noWrap w:val="0"/>
            <w:vAlign w:val="center"/>
          </w:tcPr>
          <w:p w14:paraId="42DE25AE">
            <w:pPr>
              <w:pStyle w:val="30"/>
              <w:bidi w:val="0"/>
              <w:rPr>
                <w:rFonts w:hint="default"/>
                <w:color w:val="auto"/>
              </w:rPr>
            </w:pPr>
            <w:r>
              <w:rPr>
                <w:rFonts w:hint="default"/>
                <w:color w:val="auto"/>
              </w:rPr>
              <w:t>火灾、爆炸、设备损坏或人身伤亡</w:t>
            </w:r>
          </w:p>
        </w:tc>
        <w:tc>
          <w:tcPr>
            <w:tcW w:w="386" w:type="pct"/>
            <w:noWrap w:val="0"/>
            <w:vAlign w:val="center"/>
          </w:tcPr>
          <w:p w14:paraId="62949767">
            <w:pPr>
              <w:pStyle w:val="30"/>
              <w:bidi w:val="0"/>
              <w:rPr>
                <w:rFonts w:hint="default"/>
                <w:color w:val="auto"/>
              </w:rPr>
            </w:pPr>
            <w:r>
              <w:rPr>
                <w:rFonts w:hint="default"/>
                <w:color w:val="auto"/>
              </w:rPr>
              <w:t>Ⅳ</w:t>
            </w:r>
          </w:p>
        </w:tc>
        <w:tc>
          <w:tcPr>
            <w:tcW w:w="980" w:type="pct"/>
            <w:noWrap w:val="0"/>
            <w:vAlign w:val="center"/>
          </w:tcPr>
          <w:p w14:paraId="47539AA8">
            <w:pPr>
              <w:pStyle w:val="30"/>
              <w:bidi w:val="0"/>
              <w:rPr>
                <w:rFonts w:hint="default"/>
                <w:color w:val="auto"/>
              </w:rPr>
            </w:pPr>
            <w:r>
              <w:rPr>
                <w:rFonts w:hint="default"/>
                <w:color w:val="auto"/>
              </w:rPr>
              <w:t>对防雷装置进行经常性检查和定期检查</w:t>
            </w:r>
          </w:p>
        </w:tc>
      </w:tr>
      <w:tr w14:paraId="5C79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noWrap w:val="0"/>
            <w:vAlign w:val="center"/>
          </w:tcPr>
          <w:p w14:paraId="691FA03A">
            <w:pPr>
              <w:pStyle w:val="30"/>
              <w:bidi w:val="0"/>
              <w:rPr>
                <w:rFonts w:hint="default"/>
                <w:color w:val="auto"/>
              </w:rPr>
            </w:pPr>
            <w:r>
              <w:rPr>
                <w:rFonts w:hint="default"/>
                <w:color w:val="auto"/>
              </w:rPr>
              <w:t>反击雷</w:t>
            </w:r>
          </w:p>
        </w:tc>
        <w:tc>
          <w:tcPr>
            <w:tcW w:w="1380" w:type="pct"/>
            <w:noWrap w:val="0"/>
            <w:vAlign w:val="center"/>
          </w:tcPr>
          <w:p w14:paraId="73AE4D22">
            <w:pPr>
              <w:pStyle w:val="30"/>
              <w:bidi w:val="0"/>
              <w:rPr>
                <w:rFonts w:hint="default"/>
                <w:color w:val="auto"/>
              </w:rPr>
            </w:pPr>
            <w:r>
              <w:rPr>
                <w:rFonts w:hint="default"/>
                <w:color w:val="auto"/>
              </w:rPr>
              <w:t>接闪器、引下线、接地装置与邻近导体安全距离不够</w:t>
            </w:r>
          </w:p>
        </w:tc>
        <w:tc>
          <w:tcPr>
            <w:tcW w:w="792" w:type="pct"/>
            <w:noWrap w:val="0"/>
            <w:vAlign w:val="center"/>
          </w:tcPr>
          <w:p w14:paraId="65A6FC0C">
            <w:pPr>
              <w:pStyle w:val="30"/>
              <w:bidi w:val="0"/>
              <w:rPr>
                <w:rFonts w:hint="default"/>
                <w:color w:val="auto"/>
              </w:rPr>
            </w:pPr>
            <w:r>
              <w:rPr>
                <w:rFonts w:hint="default"/>
                <w:color w:val="auto"/>
              </w:rPr>
              <w:t>绝缘击穿、剧烈放电</w:t>
            </w:r>
          </w:p>
        </w:tc>
        <w:tc>
          <w:tcPr>
            <w:tcW w:w="947" w:type="pct"/>
            <w:noWrap w:val="0"/>
            <w:vAlign w:val="center"/>
          </w:tcPr>
          <w:p w14:paraId="1851EC56">
            <w:pPr>
              <w:pStyle w:val="30"/>
              <w:bidi w:val="0"/>
              <w:rPr>
                <w:rFonts w:hint="default"/>
                <w:color w:val="auto"/>
              </w:rPr>
            </w:pPr>
            <w:r>
              <w:rPr>
                <w:rFonts w:hint="default"/>
                <w:color w:val="auto"/>
              </w:rPr>
              <w:t>火灾、爆炸或人身伤亡</w:t>
            </w:r>
          </w:p>
        </w:tc>
        <w:tc>
          <w:tcPr>
            <w:tcW w:w="386" w:type="pct"/>
            <w:noWrap w:val="0"/>
            <w:vAlign w:val="center"/>
          </w:tcPr>
          <w:p w14:paraId="148B37EE">
            <w:pPr>
              <w:pStyle w:val="30"/>
              <w:bidi w:val="0"/>
              <w:rPr>
                <w:rFonts w:hint="default"/>
                <w:color w:val="auto"/>
              </w:rPr>
            </w:pPr>
            <w:r>
              <w:rPr>
                <w:rFonts w:hint="default"/>
                <w:color w:val="auto"/>
              </w:rPr>
              <w:t>Ⅳ</w:t>
            </w:r>
          </w:p>
        </w:tc>
        <w:tc>
          <w:tcPr>
            <w:tcW w:w="980" w:type="pct"/>
            <w:noWrap w:val="0"/>
            <w:vAlign w:val="center"/>
          </w:tcPr>
          <w:p w14:paraId="20BDCAE8">
            <w:pPr>
              <w:pStyle w:val="30"/>
              <w:bidi w:val="0"/>
              <w:rPr>
                <w:rFonts w:hint="default"/>
                <w:color w:val="auto"/>
              </w:rPr>
            </w:pPr>
            <w:r>
              <w:rPr>
                <w:rFonts w:hint="default"/>
                <w:color w:val="auto"/>
              </w:rPr>
              <w:t>保证安全距离、加装避雷器、降低接地电阻</w:t>
            </w:r>
          </w:p>
        </w:tc>
      </w:tr>
      <w:tr w14:paraId="3DBF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vMerge w:val="restart"/>
            <w:noWrap w:val="0"/>
            <w:vAlign w:val="center"/>
          </w:tcPr>
          <w:p w14:paraId="51D917DB">
            <w:pPr>
              <w:pStyle w:val="30"/>
              <w:bidi w:val="0"/>
              <w:rPr>
                <w:rFonts w:hint="default"/>
                <w:color w:val="auto"/>
              </w:rPr>
            </w:pPr>
            <w:r>
              <w:rPr>
                <w:rFonts w:hint="default"/>
                <w:color w:val="auto"/>
              </w:rPr>
              <w:t>雷电侵入波</w:t>
            </w:r>
          </w:p>
        </w:tc>
        <w:tc>
          <w:tcPr>
            <w:tcW w:w="1380" w:type="pct"/>
            <w:noWrap w:val="0"/>
            <w:vAlign w:val="center"/>
          </w:tcPr>
          <w:p w14:paraId="2C8252A1">
            <w:pPr>
              <w:pStyle w:val="30"/>
              <w:bidi w:val="0"/>
              <w:rPr>
                <w:rFonts w:hint="default"/>
                <w:color w:val="auto"/>
              </w:rPr>
            </w:pPr>
            <w:r>
              <w:rPr>
                <w:rFonts w:hint="default"/>
                <w:color w:val="auto"/>
              </w:rPr>
              <w:t>雷电侵入波沿低压线路进入室内</w:t>
            </w:r>
          </w:p>
        </w:tc>
        <w:tc>
          <w:tcPr>
            <w:tcW w:w="792" w:type="pct"/>
            <w:noWrap w:val="0"/>
            <w:vAlign w:val="center"/>
          </w:tcPr>
          <w:p w14:paraId="4270319E">
            <w:pPr>
              <w:pStyle w:val="30"/>
              <w:bidi w:val="0"/>
              <w:rPr>
                <w:rFonts w:hint="default"/>
                <w:color w:val="auto"/>
              </w:rPr>
            </w:pPr>
            <w:r>
              <w:rPr>
                <w:rFonts w:hint="default"/>
                <w:color w:val="auto"/>
              </w:rPr>
              <w:t>人身触电</w:t>
            </w:r>
          </w:p>
        </w:tc>
        <w:tc>
          <w:tcPr>
            <w:tcW w:w="947" w:type="pct"/>
            <w:noWrap w:val="0"/>
            <w:vAlign w:val="center"/>
          </w:tcPr>
          <w:p w14:paraId="3D4F33C3">
            <w:pPr>
              <w:pStyle w:val="30"/>
              <w:bidi w:val="0"/>
              <w:rPr>
                <w:rFonts w:hint="default"/>
                <w:color w:val="auto"/>
              </w:rPr>
            </w:pPr>
            <w:r>
              <w:rPr>
                <w:rFonts w:hint="default"/>
                <w:color w:val="auto"/>
              </w:rPr>
              <w:t>人身伤亡</w:t>
            </w:r>
          </w:p>
        </w:tc>
        <w:tc>
          <w:tcPr>
            <w:tcW w:w="386" w:type="pct"/>
            <w:noWrap w:val="0"/>
            <w:vAlign w:val="center"/>
          </w:tcPr>
          <w:p w14:paraId="7DCD8316">
            <w:pPr>
              <w:pStyle w:val="30"/>
              <w:bidi w:val="0"/>
              <w:rPr>
                <w:rFonts w:hint="default"/>
                <w:color w:val="auto"/>
              </w:rPr>
            </w:pPr>
            <w:r>
              <w:rPr>
                <w:rFonts w:hint="default"/>
                <w:color w:val="auto"/>
              </w:rPr>
              <w:t>Ⅳ</w:t>
            </w:r>
          </w:p>
        </w:tc>
        <w:tc>
          <w:tcPr>
            <w:tcW w:w="980" w:type="pct"/>
            <w:noWrap w:val="0"/>
            <w:vAlign w:val="center"/>
          </w:tcPr>
          <w:p w14:paraId="173373B4">
            <w:pPr>
              <w:pStyle w:val="30"/>
              <w:bidi w:val="0"/>
              <w:rPr>
                <w:rFonts w:hint="default"/>
                <w:color w:val="auto"/>
              </w:rPr>
            </w:pPr>
            <w:r>
              <w:rPr>
                <w:rFonts w:hint="default"/>
                <w:color w:val="auto"/>
              </w:rPr>
              <w:t>低压线路设避雷器</w:t>
            </w:r>
          </w:p>
        </w:tc>
      </w:tr>
      <w:tr w14:paraId="15D2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13" w:type="pct"/>
            <w:vMerge w:val="continue"/>
            <w:noWrap w:val="0"/>
            <w:vAlign w:val="center"/>
          </w:tcPr>
          <w:p w14:paraId="2A7949E1">
            <w:pPr>
              <w:pStyle w:val="30"/>
              <w:bidi w:val="0"/>
              <w:rPr>
                <w:rFonts w:hint="default"/>
                <w:color w:val="auto"/>
              </w:rPr>
            </w:pPr>
          </w:p>
        </w:tc>
        <w:tc>
          <w:tcPr>
            <w:tcW w:w="1380" w:type="pct"/>
            <w:noWrap w:val="0"/>
            <w:vAlign w:val="center"/>
          </w:tcPr>
          <w:p w14:paraId="49264833">
            <w:pPr>
              <w:pStyle w:val="30"/>
              <w:bidi w:val="0"/>
              <w:rPr>
                <w:rFonts w:hint="default"/>
                <w:color w:val="auto"/>
              </w:rPr>
            </w:pPr>
            <w:r>
              <w:rPr>
                <w:rFonts w:hint="default"/>
                <w:color w:val="auto"/>
              </w:rPr>
              <w:t>雷电侵入波的正变换电压与来自高压边的反变换电压击穿变压器的绝缘</w:t>
            </w:r>
          </w:p>
        </w:tc>
        <w:tc>
          <w:tcPr>
            <w:tcW w:w="792" w:type="pct"/>
            <w:noWrap w:val="0"/>
            <w:vAlign w:val="center"/>
          </w:tcPr>
          <w:p w14:paraId="43A62931">
            <w:pPr>
              <w:pStyle w:val="30"/>
              <w:bidi w:val="0"/>
              <w:rPr>
                <w:rFonts w:hint="default"/>
                <w:color w:val="auto"/>
              </w:rPr>
            </w:pPr>
            <w:r>
              <w:rPr>
                <w:rFonts w:hint="default"/>
                <w:color w:val="auto"/>
              </w:rPr>
              <w:t>变压器绝缘击穿</w:t>
            </w:r>
          </w:p>
        </w:tc>
        <w:tc>
          <w:tcPr>
            <w:tcW w:w="947" w:type="pct"/>
            <w:noWrap w:val="0"/>
            <w:vAlign w:val="center"/>
          </w:tcPr>
          <w:p w14:paraId="5205059F">
            <w:pPr>
              <w:pStyle w:val="30"/>
              <w:bidi w:val="0"/>
              <w:rPr>
                <w:rFonts w:hint="default"/>
                <w:color w:val="auto"/>
              </w:rPr>
            </w:pPr>
            <w:r>
              <w:rPr>
                <w:rFonts w:hint="default"/>
                <w:color w:val="auto"/>
              </w:rPr>
              <w:t>设备损坏</w:t>
            </w:r>
          </w:p>
        </w:tc>
        <w:tc>
          <w:tcPr>
            <w:tcW w:w="386" w:type="pct"/>
            <w:noWrap w:val="0"/>
            <w:vAlign w:val="center"/>
          </w:tcPr>
          <w:p w14:paraId="25ED196A">
            <w:pPr>
              <w:pStyle w:val="30"/>
              <w:bidi w:val="0"/>
              <w:rPr>
                <w:rFonts w:hint="default"/>
                <w:color w:val="auto"/>
              </w:rPr>
            </w:pPr>
            <w:r>
              <w:rPr>
                <w:rFonts w:hint="default"/>
                <w:color w:val="auto"/>
              </w:rPr>
              <w:t>Ⅲ</w:t>
            </w:r>
          </w:p>
        </w:tc>
        <w:tc>
          <w:tcPr>
            <w:tcW w:w="980" w:type="pct"/>
            <w:noWrap w:val="0"/>
            <w:vAlign w:val="center"/>
          </w:tcPr>
          <w:p w14:paraId="67238369">
            <w:pPr>
              <w:pStyle w:val="30"/>
              <w:bidi w:val="0"/>
              <w:rPr>
                <w:rFonts w:hint="default"/>
                <w:color w:val="auto"/>
              </w:rPr>
            </w:pPr>
            <w:r>
              <w:rPr>
                <w:rFonts w:hint="default"/>
                <w:color w:val="auto"/>
              </w:rPr>
              <w:t>高低压边均设阀型避雷器</w:t>
            </w:r>
          </w:p>
        </w:tc>
      </w:tr>
    </w:tbl>
    <w:p w14:paraId="71E01D98">
      <w:pPr>
        <w:pStyle w:val="6"/>
        <w:bidi w:val="0"/>
        <w:rPr>
          <w:rFonts w:hint="default"/>
          <w:color w:val="auto"/>
          <w:lang w:val="en-US" w:eastAsia="zh-CN"/>
        </w:rPr>
      </w:pPr>
      <w:r>
        <w:rPr>
          <w:rFonts w:hint="default"/>
          <w:color w:val="auto"/>
          <w:lang w:val="en-US" w:eastAsia="zh-CN"/>
        </w:rPr>
        <w:t>5.4.2 触电事故的FTA分析</w:t>
      </w:r>
    </w:p>
    <w:p w14:paraId="500CDF28">
      <w:pPr>
        <w:bidi w:val="0"/>
        <w:rPr>
          <w:rFonts w:hint="default"/>
          <w:color w:val="auto"/>
          <w:lang w:val="en-US" w:eastAsia="zh-CN"/>
        </w:rPr>
      </w:pPr>
      <w:r>
        <w:rPr>
          <w:rFonts w:hint="default"/>
          <w:color w:val="auto"/>
          <w:lang w:val="en-US" w:eastAsia="zh-CN"/>
        </w:rPr>
        <w:t>1、间接电击事故树分析</w:t>
      </w:r>
    </w:p>
    <w:p w14:paraId="6C3422B7">
      <w:pPr>
        <w:bidi w:val="0"/>
        <w:rPr>
          <w:rFonts w:hint="default"/>
          <w:color w:val="auto"/>
          <w:lang w:val="en-US" w:eastAsia="zh-CN"/>
        </w:rPr>
      </w:pPr>
      <w:r>
        <w:rPr>
          <w:rFonts w:hint="default"/>
          <w:color w:val="auto"/>
          <w:lang w:val="en-US" w:eastAsia="zh-CN"/>
        </w:rPr>
        <w:t>统计资料表明：触电事故中的间接电击事故发生数量远远大于直接电击事故。故针对间接电击事故发生的基本条件事故树分析。</w:t>
      </w:r>
    </w:p>
    <w:p w14:paraId="64B2E180">
      <w:pPr>
        <w:bidi w:val="0"/>
        <w:rPr>
          <w:rFonts w:hint="default"/>
          <w:color w:val="auto"/>
          <w:lang w:val="en-US" w:eastAsia="zh-CN"/>
        </w:rPr>
      </w:pPr>
      <w:r>
        <w:rPr>
          <w:rFonts w:hint="default"/>
          <w:color w:val="auto"/>
          <w:lang w:val="en-US" w:eastAsia="zh-CN"/>
        </w:rPr>
        <w:t>（1）间接电击事故树</w:t>
      </w:r>
    </w:p>
    <w:p w14:paraId="1B23D663">
      <w:pPr>
        <w:bidi w:val="0"/>
        <w:ind w:left="0" w:leftChars="0" w:firstLine="0" w:firstLineChars="0"/>
        <w:jc w:val="center"/>
        <w:rPr>
          <w:rFonts w:hint="default"/>
          <w:color w:val="auto"/>
          <w:lang w:val="en-US" w:eastAsia="zh-CN"/>
        </w:rPr>
      </w:pPr>
      <w:r>
        <w:rPr>
          <w:rFonts w:hint="default" w:ascii="Times New Roman" w:hAnsi="Times New Roman" w:cs="Times New Roman"/>
          <w:color w:val="auto"/>
          <w:sz w:val="21"/>
          <w:szCs w:val="21"/>
        </w:rPr>
        <w:drawing>
          <wp:inline distT="0" distB="0" distL="114300" distR="114300">
            <wp:extent cx="5948045" cy="3086100"/>
            <wp:effectExtent l="0" t="0" r="14605" b="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9"/>
                    <a:stretch>
                      <a:fillRect/>
                    </a:stretch>
                  </pic:blipFill>
                  <pic:spPr>
                    <a:xfrm>
                      <a:off x="0" y="0"/>
                      <a:ext cx="5948045" cy="3086100"/>
                    </a:xfrm>
                    <a:prstGeom prst="rect">
                      <a:avLst/>
                    </a:prstGeom>
                    <a:noFill/>
                    <a:ln w="12700">
                      <a:noFill/>
                    </a:ln>
                  </pic:spPr>
                </pic:pic>
              </a:graphicData>
            </a:graphic>
          </wp:inline>
        </w:drawing>
      </w:r>
    </w:p>
    <w:p w14:paraId="11E7C684">
      <w:pPr>
        <w:pStyle w:val="29"/>
        <w:bidi w:val="0"/>
        <w:rPr>
          <w:rFonts w:hint="default"/>
          <w:color w:val="auto"/>
          <w:lang w:val="en-US" w:eastAsia="zh-CN"/>
        </w:rPr>
      </w:pPr>
      <w:r>
        <w:rPr>
          <w:rFonts w:hint="default"/>
          <w:color w:val="auto"/>
          <w:lang w:val="en-US" w:eastAsia="zh-CN"/>
        </w:rPr>
        <w:t>图5</w:t>
      </w:r>
      <w:r>
        <w:rPr>
          <w:rFonts w:hint="eastAsia"/>
          <w:color w:val="auto"/>
          <w:lang w:val="en-US" w:eastAsia="zh-CN"/>
        </w:rPr>
        <w:t>.4</w:t>
      </w:r>
      <w:r>
        <w:rPr>
          <w:rFonts w:hint="default"/>
          <w:color w:val="auto"/>
          <w:lang w:val="en-US" w:eastAsia="zh-CN"/>
        </w:rPr>
        <w:t>-</w:t>
      </w:r>
      <w:r>
        <w:rPr>
          <w:rFonts w:hint="eastAsia"/>
          <w:color w:val="auto"/>
          <w:lang w:val="en-US" w:eastAsia="zh-CN"/>
        </w:rPr>
        <w:t>1</w:t>
      </w:r>
      <w:r>
        <w:rPr>
          <w:rFonts w:hint="default"/>
          <w:color w:val="auto"/>
          <w:lang w:val="en-US" w:eastAsia="zh-CN"/>
        </w:rPr>
        <w:t xml:space="preserve">  间接电击事故树</w:t>
      </w:r>
    </w:p>
    <w:p w14:paraId="3D82BE10">
      <w:pPr>
        <w:bidi w:val="0"/>
        <w:rPr>
          <w:rFonts w:hint="eastAsia"/>
          <w:color w:val="auto"/>
        </w:rPr>
      </w:pPr>
      <w:r>
        <w:rPr>
          <w:rFonts w:hint="eastAsia"/>
          <w:color w:val="auto"/>
        </w:rPr>
        <w:t>（2）最小割集计算</w:t>
      </w:r>
    </w:p>
    <w:p w14:paraId="5A2E6979">
      <w:pPr>
        <w:rPr>
          <w:rFonts w:hint="eastAsia"/>
          <w:color w:val="auto"/>
        </w:rPr>
      </w:pPr>
      <w:r>
        <w:rPr>
          <w:rFonts w:hint="eastAsia"/>
          <w:color w:val="auto"/>
        </w:rPr>
        <w:t>T=A·B·C·D=(X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+E)·(F+G)·(X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6E6069CC">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063559DD">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13</w:t>
      </w:r>
      <w:r>
        <w:rPr>
          <w:rFonts w:hint="eastAsia"/>
          <w:color w:val="auto"/>
        </w:rPr>
        <w:t>)</w:t>
      </w:r>
    </w:p>
    <w:p w14:paraId="631523FB">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13</w:t>
      </w:r>
      <w:r>
        <w:rPr>
          <w:rFonts w:hint="eastAsia"/>
          <w:color w:val="auto"/>
        </w:rPr>
        <w:t>)]</w:t>
      </w:r>
    </w:p>
    <w:p w14:paraId="15B350FC">
      <w:pPr>
        <w:bidi w:val="0"/>
        <w:rPr>
          <w:rFonts w:hint="default"/>
          <w:color w:val="auto"/>
          <w:lang w:val="en-US" w:eastAsia="zh-CN"/>
        </w:rPr>
      </w:pPr>
      <w:r>
        <w:rPr>
          <w:rFonts w:hint="eastAsia"/>
          <w:color w:val="auto"/>
        </w:rPr>
        <w:t>由此可见，最小割集有28个，且均为6事件割集：{X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w:t>
      </w:r>
      <w:r>
        <w:rPr>
          <w:rFonts w:hint="eastAsia"/>
          <w:color w:val="auto"/>
          <w:vertAlign w:val="baseline"/>
        </w:rPr>
        <w:t>X</w:t>
      </w:r>
      <w:r>
        <w:rPr>
          <w:rFonts w:hint="eastAsia"/>
          <w:color w:val="auto"/>
          <w:vertAlign w:val="subscript"/>
        </w:rPr>
        <w:t>4</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1272405A">
      <w:pPr>
        <w:bidi w:val="0"/>
        <w:ind w:left="0" w:leftChars="0" w:firstLine="0" w:firstLineChars="0"/>
        <w:jc w:val="center"/>
        <w:rPr>
          <w:rFonts w:hint="default"/>
          <w:color w:val="auto"/>
          <w:lang w:val="en-US" w:eastAsia="zh-CN"/>
        </w:rPr>
      </w:pPr>
      <w:r>
        <w:rPr>
          <w:rFonts w:hint="default" w:ascii="Times New Roman" w:hAnsi="Times New Roman" w:cs="Times New Roman"/>
          <w:color w:val="auto"/>
          <w:kern w:val="0"/>
          <w:sz w:val="21"/>
          <w:szCs w:val="21"/>
        </w:rPr>
        <w:drawing>
          <wp:inline distT="0" distB="0" distL="114300" distR="114300">
            <wp:extent cx="5139690" cy="3263900"/>
            <wp:effectExtent l="0" t="0" r="3810" b="1270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20"/>
                    <a:stretch>
                      <a:fillRect/>
                    </a:stretch>
                  </pic:blipFill>
                  <pic:spPr>
                    <a:xfrm>
                      <a:off x="0" y="0"/>
                      <a:ext cx="5139690" cy="3263900"/>
                    </a:xfrm>
                    <a:prstGeom prst="rect">
                      <a:avLst/>
                    </a:prstGeom>
                    <a:noFill/>
                    <a:ln w="12700">
                      <a:noFill/>
                    </a:ln>
                  </pic:spPr>
                </pic:pic>
              </a:graphicData>
            </a:graphic>
          </wp:inline>
        </w:drawing>
      </w:r>
    </w:p>
    <w:p w14:paraId="34189242">
      <w:pPr>
        <w:pStyle w:val="29"/>
        <w:bidi w:val="0"/>
        <w:rPr>
          <w:rFonts w:hint="default"/>
          <w:color w:val="auto"/>
          <w:lang w:val="en-US" w:eastAsia="zh-CN"/>
        </w:rPr>
      </w:pPr>
      <w:r>
        <w:rPr>
          <w:rFonts w:hint="default"/>
          <w:color w:val="auto"/>
          <w:lang w:val="en-US" w:eastAsia="zh-CN"/>
        </w:rPr>
        <w:t>图5</w:t>
      </w:r>
      <w:r>
        <w:rPr>
          <w:rFonts w:hint="eastAsia"/>
          <w:color w:val="auto"/>
          <w:lang w:val="en-US" w:eastAsia="zh-CN"/>
        </w:rPr>
        <w:t>.4</w:t>
      </w:r>
      <w:r>
        <w:rPr>
          <w:rFonts w:hint="default"/>
          <w:color w:val="auto"/>
          <w:lang w:val="en-US" w:eastAsia="zh-CN"/>
        </w:rPr>
        <w:t>-</w:t>
      </w:r>
      <w:r>
        <w:rPr>
          <w:rFonts w:hint="eastAsia"/>
          <w:color w:val="auto"/>
          <w:lang w:val="en-US" w:eastAsia="zh-CN"/>
        </w:rPr>
        <w:t>2</w:t>
      </w:r>
      <w:r>
        <w:rPr>
          <w:rFonts w:hint="default"/>
          <w:color w:val="auto"/>
          <w:lang w:val="en-US" w:eastAsia="zh-CN"/>
        </w:rPr>
        <w:t xml:space="preserve">  间接电击事故树成功树</w:t>
      </w:r>
    </w:p>
    <w:p w14:paraId="1D721673">
      <w:pPr>
        <w:rPr>
          <w:rFonts w:hint="eastAsia"/>
          <w:color w:val="auto"/>
        </w:rPr>
      </w:pPr>
      <w:r>
        <w:rPr>
          <w:rFonts w:hint="eastAsia"/>
          <w:color w:val="auto"/>
        </w:rPr>
        <w:t>（3）最小径集计算</w:t>
      </w:r>
    </w:p>
    <w:p w14:paraId="265012EC">
      <w:pPr>
        <w:rPr>
          <w:rFonts w:hint="eastAsia"/>
          <w:color w:val="auto"/>
        </w:rPr>
      </w:pPr>
      <w:r>
        <w:rPr>
          <w:rFonts w:hint="eastAsia"/>
          <w:color w:val="auto"/>
        </w:rPr>
        <w:t>T′=A′+B′+C′+D′=(X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′·E′)+(F′·G′)+(X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19E83821">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72D9DCCC">
      <w:pPr>
        <w:rPr>
          <w:rFonts w:hint="eastAsia" w:eastAsia="宋体"/>
          <w:color w:val="auto"/>
          <w:lang w:eastAsia="zh-CN"/>
        </w:rPr>
      </w:pPr>
      <w:r>
        <w:rPr>
          <w:rFonts w:hint="eastAsia"/>
          <w:color w:val="auto"/>
        </w:rPr>
        <w:t>由此可见，最小径集有6个：{X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13</w:t>
      </w:r>
      <w:r>
        <w:rPr>
          <w:rFonts w:hint="eastAsia"/>
          <w:color w:val="auto"/>
        </w:rPr>
        <w:t>′}，{X</w:t>
      </w:r>
      <w:r>
        <w:rPr>
          <w:rFonts w:hint="eastAsia"/>
          <w:color w:val="auto"/>
          <w:vertAlign w:val="subscript"/>
        </w:rPr>
        <w:t>14</w:t>
      </w:r>
      <w:r>
        <w:rPr>
          <w:rFonts w:hint="eastAsia"/>
          <w:color w:val="auto"/>
        </w:rPr>
        <w:t>′}，{X</w:t>
      </w:r>
      <w:r>
        <w:rPr>
          <w:rFonts w:hint="eastAsia"/>
          <w:color w:val="auto"/>
          <w:vertAlign w:val="subscript"/>
        </w:rPr>
        <w:t>15</w:t>
      </w:r>
      <w:r>
        <w:rPr>
          <w:rFonts w:hint="eastAsia"/>
          <w:color w:val="auto"/>
        </w:rPr>
        <w:t>′}</w:t>
      </w:r>
    </w:p>
    <w:p w14:paraId="1A02F6F8">
      <w:pPr>
        <w:rPr>
          <w:rFonts w:hint="eastAsia"/>
          <w:color w:val="auto"/>
        </w:rPr>
      </w:pPr>
      <w:r>
        <w:rPr>
          <w:rFonts w:hint="eastAsia"/>
          <w:color w:val="auto"/>
        </w:rPr>
        <w:t>其中四个单事件径集。</w:t>
      </w:r>
    </w:p>
    <w:p w14:paraId="491054AF">
      <w:pPr>
        <w:rPr>
          <w:rFonts w:hint="eastAsia"/>
          <w:color w:val="auto"/>
        </w:rPr>
      </w:pPr>
      <w:r>
        <w:rPr>
          <w:rFonts w:hint="eastAsia"/>
          <w:color w:val="auto"/>
        </w:rPr>
        <w:t>（4）结构重要度分析</w:t>
      </w:r>
    </w:p>
    <w:p w14:paraId="38BA3AF7">
      <w:pPr>
        <w:rPr>
          <w:rFonts w:hint="eastAsia"/>
          <w:color w:val="auto"/>
        </w:rPr>
      </w:pPr>
      <w:r>
        <w:rPr>
          <w:rFonts w:hint="eastAsia"/>
          <w:color w:val="auto"/>
        </w:rPr>
        <w:t>Ⅰφ(1)=Ⅰφ(2)=Ⅰφ(14)=Ⅰφ(15)＞Ⅰφ(3)=Ⅰφ(4)=Ⅰφ(5)=Ⅰφ(6)＞Ⅰφ(7)=Ⅰφ(8)=Ⅰφ(9)=Ⅰφ(10)=Ⅰφ(11)=Ⅰφ(12)</w:t>
      </w:r>
    </w:p>
    <w:p w14:paraId="67210810">
      <w:pPr>
        <w:rPr>
          <w:rFonts w:hint="eastAsia"/>
          <w:color w:val="auto"/>
        </w:rPr>
      </w:pPr>
      <w:r>
        <w:rPr>
          <w:rFonts w:hint="eastAsia"/>
          <w:color w:val="auto"/>
        </w:rPr>
        <w:t>（5）间接电击事故树分析小结：</w:t>
      </w:r>
    </w:p>
    <w:p w14:paraId="65BBBA07">
      <w:pPr>
        <w:rPr>
          <w:rFonts w:hint="eastAsia"/>
          <w:color w:val="auto"/>
        </w:rPr>
      </w:pPr>
      <w:r>
        <w:rPr>
          <w:rFonts w:hint="eastAsia"/>
          <w:color w:val="auto"/>
        </w:rPr>
        <w:t>Ⅰ：有28个最小割集，说明事件发生途径多；</w:t>
      </w:r>
    </w:p>
    <w:p w14:paraId="2A45E369">
      <w:pPr>
        <w:rPr>
          <w:rFonts w:hint="eastAsia"/>
          <w:color w:val="auto"/>
        </w:rPr>
      </w:pPr>
      <w:r>
        <w:rPr>
          <w:rFonts w:hint="eastAsia"/>
          <w:color w:val="auto"/>
        </w:rPr>
        <w:t>Ⅱ：单事件的最小径集有4个，其结构重要系数最大，是控制间接电击事故的最重要因素；其中X</w:t>
      </w:r>
      <w:r>
        <w:rPr>
          <w:rFonts w:hint="eastAsia"/>
          <w:color w:val="auto"/>
          <w:vertAlign w:val="subscript"/>
        </w:rPr>
        <w:t>1</w:t>
      </w:r>
      <w:r>
        <w:rPr>
          <w:rFonts w:hint="eastAsia"/>
          <w:color w:val="auto"/>
        </w:rPr>
        <w:t>（设备有电）和X</w:t>
      </w:r>
      <w:r>
        <w:rPr>
          <w:rFonts w:hint="eastAsia"/>
          <w:color w:val="auto"/>
          <w:vertAlign w:val="subscript"/>
        </w:rPr>
        <w:t>2</w:t>
      </w:r>
      <w:r>
        <w:rPr>
          <w:rFonts w:hint="eastAsia"/>
          <w:color w:val="auto"/>
        </w:rPr>
        <w:t>（开关接通）属于正常事件，X</w:t>
      </w:r>
      <w:r>
        <w:rPr>
          <w:rFonts w:hint="eastAsia"/>
          <w:color w:val="auto"/>
          <w:vertAlign w:val="subscript"/>
        </w:rPr>
        <w:t>4</w:t>
      </w:r>
      <w:r>
        <w:rPr>
          <w:rFonts w:hint="eastAsia"/>
          <w:color w:val="auto"/>
        </w:rPr>
        <w:t>（接近设备）及X</w:t>
      </w:r>
      <w:r>
        <w:rPr>
          <w:rFonts w:hint="eastAsia"/>
          <w:color w:val="auto"/>
          <w:vertAlign w:val="subscript"/>
        </w:rPr>
        <w:t>15</w:t>
      </w:r>
      <w:r>
        <w:rPr>
          <w:rFonts w:hint="eastAsia"/>
          <w:color w:val="auto"/>
        </w:rPr>
        <w:t>（无个人防护）是进行事故控制的最佳途径；通常可以通过设置屏护和佩戴个人防护用品来实施；</w:t>
      </w:r>
    </w:p>
    <w:p w14:paraId="422B86AF">
      <w:pPr>
        <w:rPr>
          <w:rFonts w:hint="eastAsia"/>
          <w:color w:val="auto"/>
        </w:rPr>
      </w:pPr>
      <w:r>
        <w:rPr>
          <w:rFonts w:hint="eastAsia"/>
          <w:color w:val="auto"/>
        </w:rPr>
        <w:t>Ⅲ：最小径集6个，但因X</w:t>
      </w:r>
      <w:r>
        <w:rPr>
          <w:rFonts w:hint="eastAsia"/>
          <w:color w:val="auto"/>
          <w:vertAlign w:val="subscript"/>
        </w:rPr>
        <w:t>1</w:t>
      </w:r>
      <w:r>
        <w:rPr>
          <w:rFonts w:hint="eastAsia"/>
          <w:color w:val="auto"/>
        </w:rPr>
        <w:t>（设备有电）和X</w:t>
      </w:r>
      <w:r>
        <w:rPr>
          <w:rFonts w:hint="eastAsia"/>
          <w:color w:val="auto"/>
          <w:vertAlign w:val="subscript"/>
        </w:rPr>
        <w:t>2</w:t>
      </w:r>
      <w:r>
        <w:rPr>
          <w:rFonts w:hint="eastAsia"/>
          <w:color w:val="auto"/>
        </w:rPr>
        <w:t>（开关接通）属于正常事件，故控制间接电击事件不发生主要有4种方案，控制少事件最小径集中的基本事件比多个基本事件省工、省时、经济、有效。</w:t>
      </w:r>
    </w:p>
    <w:p w14:paraId="6B5E5134">
      <w:pPr>
        <w:rPr>
          <w:rFonts w:hint="eastAsia"/>
          <w:color w:val="auto"/>
        </w:rPr>
      </w:pPr>
      <w:r>
        <w:rPr>
          <w:rFonts w:hint="eastAsia"/>
          <w:color w:val="auto"/>
        </w:rPr>
        <w:t>2、人员触电事故的事故树分析</w:t>
      </w:r>
    </w:p>
    <w:p w14:paraId="017251FE">
      <w:pPr>
        <w:rPr>
          <w:rFonts w:hint="eastAsia"/>
          <w:color w:val="auto"/>
        </w:rPr>
      </w:pPr>
      <w:r>
        <w:rPr>
          <w:rFonts w:hint="eastAsia"/>
          <w:color w:val="auto"/>
        </w:rPr>
        <w:t>本节采用事故树分析法对人员触电事故进行分析，以分析导致事故发生的原因与途径。</w:t>
      </w:r>
    </w:p>
    <w:p w14:paraId="4960B3EF">
      <w:pPr>
        <w:rPr>
          <w:rFonts w:hint="eastAsia"/>
          <w:color w:val="auto"/>
        </w:rPr>
      </w:pPr>
      <w:r>
        <w:rPr>
          <w:rFonts w:hint="eastAsia"/>
          <w:color w:val="auto"/>
        </w:rPr>
        <w:t>（1）画出事故树</w:t>
      </w:r>
    </w:p>
    <w:p w14:paraId="48E229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rPr>
          <w:rFonts w:hint="eastAsia"/>
          <w:color w:val="auto"/>
        </w:rPr>
      </w:pPr>
      <w:r>
        <w:rPr>
          <w:rFonts w:hint="default" w:ascii="Times New Roman" w:hAnsi="Times New Roman" w:cs="Times New Roman"/>
          <w:color w:val="auto"/>
          <w:kern w:val="0"/>
          <w:sz w:val="21"/>
          <w:szCs w:val="21"/>
        </w:rPr>
        <w:drawing>
          <wp:inline distT="0" distB="0" distL="0" distR="0">
            <wp:extent cx="5486400" cy="3400425"/>
            <wp:effectExtent l="0" t="0" r="0" b="0"/>
            <wp:docPr id="25" name="_x0000_i1025"/>
            <wp:cNvGraphicFramePr/>
            <a:graphic xmlns:a="http://schemas.openxmlformats.org/drawingml/2006/main">
              <a:graphicData uri="http://schemas.openxmlformats.org/drawingml/2006/picture">
                <pic:pic xmlns:pic="http://schemas.openxmlformats.org/drawingml/2006/picture">
                  <pic:nvPicPr>
                    <pic:cNvPr id="25" name="_x0000_i1025"/>
                    <pic:cNvPicPr/>
                  </pic:nvPicPr>
                  <pic:blipFill>
                    <a:blip r:embed="rId21"/>
                    <a:stretch>
                      <a:fillRect/>
                    </a:stretch>
                  </pic:blipFill>
                  <pic:spPr>
                    <a:xfrm>
                      <a:off x="0" y="0"/>
                      <a:ext cx="5486400" cy="3400425"/>
                    </a:xfrm>
                    <a:prstGeom prst="rect">
                      <a:avLst/>
                    </a:prstGeom>
                  </pic:spPr>
                </pic:pic>
              </a:graphicData>
            </a:graphic>
          </wp:inline>
        </w:drawing>
      </w:r>
    </w:p>
    <w:p w14:paraId="4556DB1B">
      <w:pPr>
        <w:pStyle w:val="29"/>
        <w:bidi w:val="0"/>
        <w:rPr>
          <w:rFonts w:hint="eastAsia"/>
          <w:color w:val="auto"/>
        </w:rPr>
      </w:pPr>
      <w:r>
        <w:rPr>
          <w:rFonts w:hint="eastAsia"/>
          <w:color w:val="auto"/>
        </w:rPr>
        <w:t>图5</w:t>
      </w:r>
      <w:r>
        <w:rPr>
          <w:rFonts w:hint="eastAsia"/>
          <w:color w:val="auto"/>
          <w:lang w:val="en-US" w:eastAsia="zh-CN"/>
        </w:rPr>
        <w:t>.4-3</w:t>
      </w:r>
      <w:r>
        <w:rPr>
          <w:rFonts w:hint="eastAsia"/>
          <w:color w:val="auto"/>
        </w:rPr>
        <w:t xml:space="preserve"> </w:t>
      </w:r>
      <w:r>
        <w:rPr>
          <w:rFonts w:hint="eastAsia"/>
          <w:color w:val="auto"/>
          <w:lang w:val="en-US" w:eastAsia="zh-CN"/>
        </w:rPr>
        <w:t xml:space="preserve"> </w:t>
      </w:r>
      <w:r>
        <w:rPr>
          <w:rFonts w:hint="eastAsia"/>
          <w:color w:val="auto"/>
        </w:rPr>
        <w:t>人员触电事故树</w:t>
      </w:r>
    </w:p>
    <w:p w14:paraId="2E301D0C">
      <w:pPr>
        <w:rPr>
          <w:rFonts w:hint="eastAsia"/>
          <w:color w:val="auto"/>
        </w:rPr>
      </w:pPr>
      <w:r>
        <w:rPr>
          <w:rFonts w:hint="eastAsia"/>
          <w:color w:val="auto"/>
        </w:rPr>
        <w:t>（2）求最小割集</w:t>
      </w:r>
    </w:p>
    <w:p w14:paraId="47FA372C">
      <w:pPr>
        <w:rPr>
          <w:rFonts w:hint="eastAsia"/>
          <w:color w:val="auto"/>
        </w:rPr>
      </w:pPr>
      <w:r>
        <w:rPr>
          <w:rFonts w:hint="eastAsia"/>
          <w:color w:val="auto"/>
        </w:rPr>
        <w:t>该事故树的结构函数式为：</w:t>
      </w:r>
    </w:p>
    <w:p w14:paraId="553EB942">
      <w:pPr>
        <w:rPr>
          <w:rFonts w:hint="eastAsia"/>
          <w:color w:val="auto"/>
        </w:rPr>
      </w:pPr>
      <w:r>
        <w:rPr>
          <w:rFonts w:hint="eastAsia"/>
          <w:color w:val="auto"/>
        </w:rPr>
        <w:t>T=A</w:t>
      </w:r>
      <w:r>
        <w:rPr>
          <w:rFonts w:hint="eastAsia"/>
          <w:color w:val="auto"/>
          <w:vertAlign w:val="subscript"/>
        </w:rPr>
        <w:t>1</w:t>
      </w:r>
      <w:r>
        <w:rPr>
          <w:rFonts w:hint="eastAsia"/>
          <w:color w:val="auto"/>
        </w:rPr>
        <w:t>·A</w:t>
      </w:r>
      <w:r>
        <w:rPr>
          <w:rFonts w:hint="eastAsia"/>
          <w:color w:val="auto"/>
          <w:vertAlign w:val="subscript"/>
        </w:rPr>
        <w:t>2</w:t>
      </w:r>
    </w:p>
    <w:p w14:paraId="0D65E441">
      <w:pPr>
        <w:rPr>
          <w:rFonts w:hint="eastAsia"/>
          <w:color w:val="auto"/>
        </w:rPr>
      </w:pPr>
      <w:r>
        <w:rPr>
          <w:rFonts w:hint="eastAsia"/>
          <w:color w:val="auto"/>
        </w:rPr>
        <w:t>=（X</w:t>
      </w:r>
      <w:r>
        <w:rPr>
          <w:rFonts w:hint="eastAsia"/>
          <w:color w:val="auto"/>
          <w:vertAlign w:val="subscript"/>
        </w:rPr>
        <w:t>1</w:t>
      </w:r>
      <w:r>
        <w:rPr>
          <w:rFonts w:hint="eastAsia"/>
          <w:color w:val="auto"/>
        </w:rPr>
        <w:t>+B</w:t>
      </w:r>
      <w:r>
        <w:rPr>
          <w:rFonts w:hint="eastAsia"/>
          <w:color w:val="auto"/>
          <w:vertAlign w:val="subscript"/>
        </w:rPr>
        <w:t>1</w:t>
      </w:r>
      <w:r>
        <w:rPr>
          <w:rFonts w:hint="eastAsia"/>
          <w:color w:val="auto"/>
        </w:rPr>
        <w:t>+B</w:t>
      </w:r>
      <w:r>
        <w:rPr>
          <w:rFonts w:hint="eastAsia"/>
          <w:color w:val="auto"/>
          <w:vertAlign w:val="subscript"/>
        </w:rPr>
        <w:t>2</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w:t>
      </w:r>
    </w:p>
    <w:p w14:paraId="1772CB63">
      <w:pPr>
        <w:rPr>
          <w:rFonts w:hint="eastAsia"/>
          <w:color w:val="auto"/>
        </w:rPr>
      </w:pP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p>
    <w:p w14:paraId="501ED05D">
      <w:pPr>
        <w:rPr>
          <w:rFonts w:hint="eastAsia"/>
          <w:color w:val="auto"/>
        </w:rPr>
      </w:pPr>
      <w:r>
        <w:rPr>
          <w:rFonts w:hint="eastAsia"/>
          <w:color w:val="auto"/>
        </w:rPr>
        <w:t>得出最小割集K：｛X</w:t>
      </w:r>
      <w:r>
        <w:rPr>
          <w:rFonts w:hint="eastAsia"/>
          <w:color w:val="auto"/>
          <w:vertAlign w:val="subscript"/>
        </w:rPr>
        <w:t>1</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1</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3</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vertAlign w:val="baseline"/>
        </w:rPr>
        <w:t>X</w:t>
      </w:r>
      <w:r>
        <w:rPr>
          <w:rFonts w:hint="eastAsia"/>
          <w:color w:val="auto"/>
          <w:vertAlign w:val="subscript"/>
        </w:rPr>
        <w:t>4</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4</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2</w:t>
      </w:r>
      <w:r>
        <w:rPr>
          <w:rFonts w:hint="eastAsia"/>
          <w:color w:val="auto"/>
        </w:rPr>
        <w:t>X</w:t>
      </w:r>
      <w:r>
        <w:rPr>
          <w:rFonts w:hint="eastAsia"/>
          <w:color w:val="auto"/>
          <w:vertAlign w:val="subscript"/>
        </w:rPr>
        <w:t>5</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6</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7</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10</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11</w:t>
      </w:r>
      <w:r>
        <w:rPr>
          <w:rFonts w:hint="eastAsia"/>
          <w:color w:val="auto"/>
        </w:rPr>
        <w:t>｝｛X</w:t>
      </w:r>
      <w:r>
        <w:rPr>
          <w:rFonts w:hint="eastAsia"/>
          <w:color w:val="auto"/>
          <w:vertAlign w:val="subscript"/>
        </w:rPr>
        <w:t>8</w:t>
      </w:r>
      <w:r>
        <w:rPr>
          <w:rFonts w:hint="eastAsia"/>
          <w:color w:val="auto"/>
        </w:rPr>
        <w:t>X</w:t>
      </w:r>
      <w:r>
        <w:rPr>
          <w:rFonts w:hint="eastAsia"/>
          <w:color w:val="auto"/>
          <w:vertAlign w:val="subscript"/>
        </w:rPr>
        <w:t>9</w:t>
      </w:r>
      <w:r>
        <w:rPr>
          <w:rFonts w:hint="eastAsia"/>
          <w:color w:val="auto"/>
        </w:rPr>
        <w:t>X</w:t>
      </w:r>
      <w:r>
        <w:rPr>
          <w:rFonts w:hint="eastAsia"/>
          <w:color w:val="auto"/>
          <w:vertAlign w:val="subscript"/>
        </w:rPr>
        <w:t>12</w:t>
      </w:r>
      <w:r>
        <w:rPr>
          <w:rFonts w:hint="eastAsia"/>
          <w:color w:val="auto"/>
        </w:rPr>
        <w:t>｝</w:t>
      </w:r>
    </w:p>
    <w:p w14:paraId="70D85C76">
      <w:pPr>
        <w:rPr>
          <w:rFonts w:hint="eastAsia"/>
          <w:color w:val="auto"/>
        </w:rPr>
      </w:pPr>
      <w:r>
        <w:rPr>
          <w:rFonts w:hint="eastAsia"/>
          <w:color w:val="auto"/>
        </w:rPr>
        <w:t>从以上分析可知，共有21种引起触电事故的途径，验证该事故发生的可能性较小。</w:t>
      </w:r>
    </w:p>
    <w:p w14:paraId="40497F27">
      <w:pPr>
        <w:keepNext w:val="0"/>
        <w:keepLines w:val="0"/>
        <w:pageBreakBefore w:val="0"/>
        <w:widowControl w:val="0"/>
        <w:kinsoku/>
        <w:wordWrap/>
        <w:overflowPunct/>
        <w:topLinePunct w:val="0"/>
        <w:autoSpaceDE/>
        <w:autoSpaceDN/>
        <w:bidi w:val="0"/>
        <w:adjustRightInd/>
        <w:snapToGrid/>
        <w:spacing w:line="480" w:lineRule="auto"/>
        <w:rPr>
          <w:rFonts w:hint="eastAsia"/>
          <w:color w:val="auto"/>
        </w:rPr>
      </w:pPr>
      <w:r>
        <w:rPr>
          <w:rFonts w:hint="eastAsia"/>
          <w:color w:val="auto"/>
        </w:rPr>
        <w:t>（3）结构重要度分析：I（i）＝∑</w:t>
      </w:r>
      <m:oMath>
        <m:f>
          <m:fPr>
            <m:ctrlPr>
              <w:rPr>
                <w:rFonts w:hint="default" w:ascii="Cambria Math" w:hAnsi="Cambria Math"/>
                <w:color w:val="auto"/>
              </w:rPr>
            </m:ctrlPr>
          </m:fPr>
          <m:num>
            <m:r>
              <m:rPr>
                <m:sty m:val="p"/>
              </m:rPr>
              <w:rPr>
                <w:rFonts w:hint="default" w:ascii="Cambria Math" w:hAnsi="Cambria Math"/>
                <w:color w:val="auto"/>
              </w:rPr>
              <m:t>1</m:t>
            </m:r>
            <m:ctrlPr>
              <w:rPr>
                <w:rFonts w:hint="default" w:ascii="Cambria Math" w:hAnsi="Cambria Math"/>
                <w:color w:val="auto"/>
              </w:rPr>
            </m:ctrlPr>
          </m:num>
          <m:den>
            <m:sSub>
              <m:sSubPr>
                <m:ctrlPr>
                  <w:rPr>
                    <w:rFonts w:hint="default" w:ascii="Cambria Math" w:hAnsi="Cambria Math"/>
                    <w:color w:val="auto"/>
                  </w:rPr>
                </m:ctrlPr>
              </m:sSubPr>
              <m:e>
                <m:r>
                  <m:rPr>
                    <m:sty m:val="p"/>
                  </m:rPr>
                  <w:rPr>
                    <w:rFonts w:hint="default" w:ascii="Cambria Math" w:hAnsi="Cambria Math"/>
                    <w:color w:val="auto"/>
                  </w:rPr>
                  <m:t>X</m:t>
                </m:r>
                <m:ctrlPr>
                  <w:rPr>
                    <w:rFonts w:hint="default" w:ascii="Cambria Math" w:hAnsi="Cambria Math"/>
                    <w:color w:val="auto"/>
                  </w:rPr>
                </m:ctrlPr>
              </m:e>
              <m:sub>
                <m:r>
                  <m:rPr>
                    <m:sty m:val="p"/>
                  </m:rPr>
                  <w:rPr>
                    <w:rFonts w:hint="default" w:ascii="Cambria Math" w:hAnsi="Cambria Math"/>
                    <w:color w:val="auto"/>
                  </w:rPr>
                  <m:t>i</m:t>
                </m:r>
                <m:ctrlPr>
                  <w:rPr>
                    <w:rFonts w:hint="default" w:ascii="Cambria Math" w:hAnsi="Cambria Math"/>
                    <w:color w:val="auto"/>
                  </w:rPr>
                </m:ctrlPr>
              </m:sub>
            </m:sSub>
            <m:r>
              <m:rPr>
                <m:sty m:val="p"/>
              </m:rPr>
              <w:rPr>
                <w:rFonts w:hint="default" w:ascii="Cambria Math" w:hAnsi="Cambria Math"/>
                <w:color w:val="auto"/>
              </w:rPr>
              <m:t>∈</m:t>
            </m:r>
            <m:sSub>
              <m:sSubPr>
                <m:ctrlPr>
                  <w:rPr>
                    <w:rFonts w:hint="default" w:ascii="Cambria Math" w:hAnsi="Cambria Math"/>
                    <w:color w:val="auto"/>
                  </w:rPr>
                </m:ctrlPr>
              </m:sSubPr>
              <m:e>
                <m:r>
                  <m:rPr>
                    <m:sty m:val="p"/>
                  </m:rPr>
                  <w:rPr>
                    <w:rFonts w:hint="default" w:ascii="Cambria Math" w:hAnsi="Cambria Math"/>
                    <w:color w:val="auto"/>
                  </w:rPr>
                  <m:t>K</m:t>
                </m:r>
                <m:ctrlPr>
                  <w:rPr>
                    <w:rFonts w:hint="default" w:ascii="Cambria Math" w:hAnsi="Cambria Math"/>
                    <w:color w:val="auto"/>
                  </w:rPr>
                </m:ctrlPr>
              </m:e>
              <m:sub>
                <m:r>
                  <m:rPr>
                    <m:sty m:val="p"/>
                  </m:rPr>
                  <w:rPr>
                    <w:rFonts w:hint="default" w:ascii="Cambria Math" w:hAnsi="Cambria Math"/>
                    <w:color w:val="auto"/>
                  </w:rPr>
                  <m:t>i</m:t>
                </m:r>
                <m:ctrlPr>
                  <w:rPr>
                    <w:rFonts w:hint="default" w:ascii="Cambria Math" w:hAnsi="Cambria Math"/>
                    <w:color w:val="auto"/>
                  </w:rPr>
                </m:ctrlPr>
              </m:sub>
            </m:sSub>
            <m:sSup>
              <m:sSupPr>
                <m:ctrlPr>
                  <w:rPr>
                    <w:rFonts w:hint="default" w:ascii="Cambria Math" w:hAnsi="Cambria Math"/>
                    <w:color w:val="auto"/>
                  </w:rPr>
                </m:ctrlPr>
              </m:sSupPr>
              <m:e>
                <m:r>
                  <m:rPr>
                    <m:sty m:val="p"/>
                  </m:rPr>
                  <w:rPr>
                    <w:rFonts w:hint="default" w:ascii="Cambria Math" w:hAnsi="Cambria Math"/>
                    <w:color w:val="auto"/>
                  </w:rPr>
                  <m:t>2</m:t>
                </m:r>
                <m:ctrlPr>
                  <w:rPr>
                    <w:rFonts w:hint="default" w:ascii="Cambria Math" w:hAnsi="Cambria Math"/>
                    <w:color w:val="auto"/>
                  </w:rPr>
                </m:ctrlPr>
              </m:e>
              <m:sup>
                <m:sSub>
                  <m:sSubPr>
                    <m:ctrlPr>
                      <w:rPr>
                        <w:rFonts w:hint="default" w:ascii="Cambria Math" w:hAnsi="Cambria Math"/>
                        <w:color w:val="auto"/>
                      </w:rPr>
                    </m:ctrlPr>
                  </m:sSubPr>
                  <m:e>
                    <m:r>
                      <m:rPr>
                        <m:sty m:val="p"/>
                      </m:rPr>
                      <w:rPr>
                        <w:rFonts w:hint="default" w:ascii="Cambria Math" w:hAnsi="Cambria Math"/>
                        <w:color w:val="auto"/>
                      </w:rPr>
                      <m:t>n</m:t>
                    </m:r>
                    <m:ctrlPr>
                      <w:rPr>
                        <w:rFonts w:hint="default" w:ascii="Cambria Math" w:hAnsi="Cambria Math"/>
                        <w:color w:val="auto"/>
                      </w:rPr>
                    </m:ctrlPr>
                  </m:e>
                  <m:sub>
                    <m:r>
                      <m:rPr>
                        <m:sty m:val="p"/>
                      </m:rPr>
                      <w:rPr>
                        <w:rFonts w:hint="default" w:ascii="Cambria Math" w:hAnsi="Cambria Math"/>
                        <w:color w:val="auto"/>
                      </w:rPr>
                      <m:t>i</m:t>
                    </m:r>
                    <m:ctrlPr>
                      <w:rPr>
                        <w:rFonts w:hint="default" w:ascii="Cambria Math" w:hAnsi="Cambria Math"/>
                        <w:color w:val="auto"/>
                      </w:rPr>
                    </m:ctrlPr>
                  </m:sub>
                </m:sSub>
                <m:r>
                  <m:rPr>
                    <m:sty m:val="p"/>
                  </m:rPr>
                  <w:rPr>
                    <w:rFonts w:hint="default" w:ascii="Cambria Math" w:hAnsi="Cambria Math"/>
                    <w:color w:val="auto"/>
                  </w:rPr>
                  <m:t>−1</m:t>
                </m:r>
                <m:ctrlPr>
                  <w:rPr>
                    <w:rFonts w:hint="default" w:ascii="Cambria Math" w:hAnsi="Cambria Math"/>
                    <w:color w:val="auto"/>
                  </w:rPr>
                </m:ctrlPr>
              </m:sup>
            </m:sSup>
            <m:ctrlPr>
              <w:rPr>
                <w:rFonts w:hint="default" w:ascii="Cambria Math" w:hAnsi="Cambria Math"/>
                <w:color w:val="auto"/>
              </w:rPr>
            </m:ctrlPr>
          </m:den>
        </m:f>
      </m:oMath>
    </w:p>
    <w:p w14:paraId="683FF4D9">
      <w:pPr>
        <w:rPr>
          <w:rFonts w:hint="eastAsia"/>
          <w:color w:val="auto"/>
        </w:rPr>
      </w:pPr>
      <w:r>
        <w:rPr>
          <w:rFonts w:hint="eastAsia"/>
          <w:color w:val="auto"/>
        </w:rPr>
        <w:t>根据计算结果确定出结构重要度的次序。</w:t>
      </w:r>
    </w:p>
    <w:p w14:paraId="4DA3D140">
      <w:pPr>
        <w:rPr>
          <w:rFonts w:hint="eastAsia"/>
          <w:color w:val="auto"/>
        </w:rPr>
      </w:pPr>
      <w:r>
        <w:rPr>
          <w:rFonts w:hint="eastAsia"/>
          <w:color w:val="auto"/>
        </w:rPr>
        <w:t>根据公式可得到：I(1)=I(3)=I(4)=I(5)=I(6)=I(7)=I(8)=0.375</w:t>
      </w:r>
    </w:p>
    <w:p w14:paraId="6AD98031">
      <w:pPr>
        <w:rPr>
          <w:rFonts w:hint="eastAsia"/>
          <w:color w:val="auto"/>
        </w:rPr>
      </w:pPr>
      <w:r>
        <w:rPr>
          <w:rFonts w:hint="eastAsia"/>
          <w:color w:val="auto"/>
        </w:rPr>
        <w:t>I(2)=I(9)=1.125I(10)=I(11)=I(12)=0.875</w:t>
      </w:r>
    </w:p>
    <w:p w14:paraId="5A3C179A">
      <w:pPr>
        <w:rPr>
          <w:rFonts w:hint="eastAsia"/>
          <w:color w:val="auto"/>
        </w:rPr>
      </w:pPr>
      <w:r>
        <w:rPr>
          <w:rFonts w:hint="eastAsia"/>
          <w:color w:val="auto"/>
        </w:rPr>
        <w:t>结构重要度顺序为：</w:t>
      </w:r>
    </w:p>
    <w:p w14:paraId="1FEB3E07">
      <w:pPr>
        <w:rPr>
          <w:rFonts w:hint="eastAsia"/>
          <w:color w:val="auto"/>
        </w:rPr>
      </w:pPr>
      <w:r>
        <w:rPr>
          <w:rFonts w:hint="eastAsia"/>
          <w:color w:val="auto"/>
        </w:rPr>
        <w:t>I(1)=I(3)=I(4)=I(5)=I(6)=I(7)=I(8)＜I(10)=I(11)=I(12)＜I(2)=I(9)</w:t>
      </w:r>
    </w:p>
    <w:p w14:paraId="18EBC23C">
      <w:pPr>
        <w:rPr>
          <w:rFonts w:hint="eastAsia"/>
          <w:color w:val="auto"/>
        </w:rPr>
      </w:pPr>
      <w:r>
        <w:rPr>
          <w:rFonts w:hint="eastAsia"/>
          <w:color w:val="auto"/>
        </w:rPr>
        <w:t>（4）结论</w:t>
      </w:r>
    </w:p>
    <w:p w14:paraId="2908F700">
      <w:pPr>
        <w:rPr>
          <w:rFonts w:hint="eastAsia"/>
          <w:color w:val="auto"/>
        </w:rPr>
      </w:pPr>
      <w:r>
        <w:rPr>
          <w:rFonts w:hint="eastAsia"/>
          <w:color w:val="auto"/>
        </w:rPr>
        <w:t>该事故树共有21个最小割集，其中任何一个发生都会导致顶上事件的发生，通过分析可知，当未验电或未定期检验时，极易导致事故发生，在正常带电作业时，防护措施失效的情况下，也会导致事故的发生。</w:t>
      </w:r>
    </w:p>
    <w:p w14:paraId="20BB2A15">
      <w:pPr>
        <w:rPr>
          <w:rFonts w:hint="eastAsia"/>
          <w:color w:val="auto"/>
        </w:rPr>
      </w:pPr>
      <w:r>
        <w:rPr>
          <w:rFonts w:hint="eastAsia"/>
          <w:color w:val="auto"/>
        </w:rPr>
        <w:t>根据结构重要度分值的大小，可知接地可靠与正确使用安全防护用具及安全防护设施是防止触电事故的最重要环节，其次是严格执行作业中的监护制度和对系统中不带电体的绝缘性能的及时检查与修理，减少正常不带电部位意外带电的可能性。另外，充分的放电、严格的验电、可靠的防漏电保护和停电检修时对电线路作三相短路接地及电气设备线路定期检修等措施也是减少作业中触电事故的重要方法。在生产运行过程中，企业应根据实际情况，按照轻重缓急顺序对电气设备、防护设施、供电线路等进行定期检查维修，并进一步完善各项安全管理规章制度，加强对工作人员安全教育和培训，确保人身安全。</w:t>
      </w:r>
    </w:p>
    <w:p w14:paraId="1D514B98">
      <w:pPr>
        <w:pStyle w:val="6"/>
        <w:bidi w:val="0"/>
        <w:rPr>
          <w:rFonts w:hint="eastAsia"/>
          <w:color w:val="auto"/>
        </w:rPr>
      </w:pPr>
      <w:bookmarkStart w:id="33" w:name="_Toc17798"/>
      <w:bookmarkEnd w:id="33"/>
      <w:bookmarkStart w:id="34" w:name="_Toc10934"/>
      <w:bookmarkEnd w:id="34"/>
      <w:r>
        <w:rPr>
          <w:rFonts w:hint="eastAsia"/>
          <w:color w:val="auto"/>
        </w:rPr>
        <w:t>5.4.3</w:t>
      </w:r>
      <w:r>
        <w:rPr>
          <w:rFonts w:hint="eastAsia"/>
          <w:color w:val="auto"/>
          <w:lang w:val="en-US" w:eastAsia="zh-CN"/>
        </w:rPr>
        <w:t xml:space="preserve"> </w:t>
      </w:r>
      <w:r>
        <w:rPr>
          <w:rFonts w:hint="eastAsia"/>
          <w:color w:val="auto"/>
        </w:rPr>
        <w:t>评价</w:t>
      </w:r>
      <w:r>
        <w:rPr>
          <w:rFonts w:hint="eastAsia"/>
          <w:color w:val="auto"/>
          <w:lang w:val="en-US" w:eastAsia="zh-CN"/>
        </w:rPr>
        <w:t>单元</w:t>
      </w:r>
      <w:r>
        <w:rPr>
          <w:rFonts w:hint="eastAsia"/>
          <w:color w:val="auto"/>
        </w:rPr>
        <w:t>小结</w:t>
      </w:r>
    </w:p>
    <w:p w14:paraId="033B50AC">
      <w:pPr>
        <w:bidi w:val="0"/>
        <w:rPr>
          <w:rFonts w:hint="default"/>
          <w:color w:val="auto"/>
          <w:lang w:val="en-US" w:eastAsia="zh-CN"/>
        </w:rPr>
      </w:pPr>
      <w:r>
        <w:rPr>
          <w:rFonts w:hint="eastAsia"/>
          <w:color w:val="auto"/>
        </w:rPr>
        <w:t>经PHA预先危险性分析，本单元存在的危险有害因素等级为</w:t>
      </w:r>
      <w:r>
        <w:rPr>
          <w:rFonts w:hint="eastAsia"/>
          <w:color w:val="auto"/>
          <w:lang w:val="en-US" w:eastAsia="zh-CN"/>
        </w:rPr>
        <w:t>二</w:t>
      </w:r>
      <w:r>
        <w:rPr>
          <w:rFonts w:hint="eastAsia"/>
          <w:color w:val="auto"/>
        </w:rPr>
        <w:t>级</w:t>
      </w:r>
      <w:r>
        <w:rPr>
          <w:rFonts w:hint="eastAsia"/>
          <w:color w:val="auto"/>
          <w:lang w:eastAsia="zh-CN"/>
        </w:rPr>
        <w:t>。</w:t>
      </w:r>
      <w:r>
        <w:rPr>
          <w:rFonts w:hint="eastAsia"/>
          <w:color w:val="auto"/>
        </w:rPr>
        <w:t>该项目电负荷均属于三级用电负荷，无一、二级用电负荷，初步设计中明确了供电电源、计算负荷、供电方案、供配电系统、装备水平、主要设备选型及保护、控制措施、线路敷设、照明、防雷接地及通信等内容，供配电设施符合相关法律、法规的要求。</w:t>
      </w:r>
    </w:p>
    <w:p w14:paraId="50F6E148">
      <w:pPr>
        <w:pStyle w:val="5"/>
        <w:bidi w:val="0"/>
        <w:rPr>
          <w:rFonts w:hint="default"/>
          <w:color w:val="auto"/>
          <w:lang w:val="en-US" w:eastAsia="zh-CN"/>
        </w:rPr>
      </w:pPr>
      <w:bookmarkStart w:id="35" w:name="_Toc27686"/>
      <w:r>
        <w:rPr>
          <w:rFonts w:hint="default"/>
          <w:color w:val="auto"/>
          <w:lang w:val="en-US" w:eastAsia="zh-CN"/>
        </w:rPr>
        <w:t>5.5 安全管理单元</w:t>
      </w:r>
      <w:bookmarkEnd w:id="35"/>
    </w:p>
    <w:p w14:paraId="1204EBDA">
      <w:pPr>
        <w:bidi w:val="0"/>
        <w:rPr>
          <w:rFonts w:hint="default"/>
          <w:color w:val="auto"/>
          <w:lang w:val="en-US" w:eastAsia="zh-CN"/>
        </w:rPr>
      </w:pPr>
      <w:r>
        <w:rPr>
          <w:rFonts w:hint="default"/>
          <w:color w:val="auto"/>
          <w:lang w:val="en-US" w:eastAsia="zh-CN"/>
        </w:rPr>
        <w:t>安全生产管理工作是一项系统而复杂的工程。首先，要坚持“安全第一、预防为主、综合治理”的方针，各级领导和员工要从思想上对安全工作引起高度的重视，特别是在市场经济条件下要充分认识到安全就是效益，安全无小事。其次，要从制度上去规范员工的行为，建立健全安全生产管理规章制度、各级人员安全生产责任制及相关岗位的安全技术、操作规程。再次，要加强员工的安全教育及安全技能演练，提高安全素质。同时，应建立健全安全管理机构，明确责任人及其相应的安全管理职责。</w:t>
      </w:r>
    </w:p>
    <w:p w14:paraId="2FC7E19F">
      <w:pPr>
        <w:bidi w:val="0"/>
        <w:rPr>
          <w:rFonts w:hint="default"/>
          <w:color w:val="auto"/>
          <w:lang w:val="en-US" w:eastAsia="zh-CN"/>
        </w:rPr>
      </w:pPr>
      <w:r>
        <w:rPr>
          <w:rFonts w:hint="default"/>
          <w:color w:val="auto"/>
          <w:lang w:val="en-US" w:eastAsia="zh-CN"/>
        </w:rPr>
        <w:t>现对安全生产管理单元运用“预先性危险分析方法”进行辨识、评价如下：</w:t>
      </w:r>
    </w:p>
    <w:p w14:paraId="095C9EF3">
      <w:pPr>
        <w:pStyle w:val="6"/>
        <w:bidi w:val="0"/>
        <w:rPr>
          <w:rFonts w:hint="default"/>
          <w:color w:val="auto"/>
          <w:lang w:val="en-US" w:eastAsia="zh-CN"/>
        </w:rPr>
      </w:pPr>
      <w:r>
        <w:rPr>
          <w:rFonts w:hint="default"/>
          <w:color w:val="auto"/>
          <w:lang w:val="en-US" w:eastAsia="zh-CN"/>
        </w:rPr>
        <w:t>5.5.1 安全管理预先危险性分析（PHA）</w:t>
      </w:r>
    </w:p>
    <w:p w14:paraId="50F955CC">
      <w:pPr>
        <w:pStyle w:val="29"/>
        <w:bidi w:val="0"/>
        <w:rPr>
          <w:rFonts w:hint="default"/>
          <w:color w:val="auto"/>
          <w:lang w:val="en-US" w:eastAsia="zh-CN"/>
        </w:rPr>
      </w:pPr>
      <w:r>
        <w:rPr>
          <w:rFonts w:hint="default"/>
          <w:color w:val="auto"/>
          <w:lang w:val="en-US" w:eastAsia="zh-CN"/>
        </w:rPr>
        <w:t>表5</w:t>
      </w:r>
      <w:r>
        <w:rPr>
          <w:rFonts w:hint="eastAsia"/>
          <w:color w:val="auto"/>
          <w:lang w:val="en-US" w:eastAsia="zh-CN"/>
        </w:rPr>
        <w:t>.5</w:t>
      </w:r>
      <w:r>
        <w:rPr>
          <w:rFonts w:hint="default"/>
          <w:color w:val="auto"/>
          <w:lang w:val="en-US" w:eastAsia="zh-CN"/>
        </w:rPr>
        <w:t>-1  安全管理预先危险性分析表</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999"/>
        <w:gridCol w:w="2141"/>
        <w:gridCol w:w="1857"/>
        <w:gridCol w:w="713"/>
        <w:gridCol w:w="2581"/>
      </w:tblGrid>
      <w:tr w14:paraId="6003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blHeader/>
          <w:jc w:val="center"/>
        </w:trPr>
        <w:tc>
          <w:tcPr>
            <w:tcW w:w="589" w:type="pct"/>
            <w:noWrap w:val="0"/>
            <w:vAlign w:val="center"/>
          </w:tcPr>
          <w:p w14:paraId="2DDA6B8A">
            <w:pPr>
              <w:pStyle w:val="30"/>
              <w:bidi w:val="0"/>
              <w:rPr>
                <w:rFonts w:hint="default"/>
                <w:b/>
                <w:bCs/>
                <w:color w:val="auto"/>
              </w:rPr>
            </w:pPr>
            <w:r>
              <w:rPr>
                <w:rFonts w:hint="default"/>
                <w:b/>
                <w:bCs/>
                <w:color w:val="auto"/>
              </w:rPr>
              <w:t>分析项目</w:t>
            </w:r>
          </w:p>
        </w:tc>
        <w:tc>
          <w:tcPr>
            <w:tcW w:w="531" w:type="pct"/>
            <w:noWrap w:val="0"/>
            <w:vAlign w:val="center"/>
          </w:tcPr>
          <w:p w14:paraId="0DCF47F6">
            <w:pPr>
              <w:pStyle w:val="30"/>
              <w:bidi w:val="0"/>
              <w:rPr>
                <w:rFonts w:hint="default"/>
                <w:b/>
                <w:bCs/>
                <w:color w:val="auto"/>
              </w:rPr>
            </w:pPr>
            <w:r>
              <w:rPr>
                <w:rFonts w:hint="default"/>
                <w:b/>
                <w:bCs/>
                <w:color w:val="auto"/>
              </w:rPr>
              <w:t>危险因素</w:t>
            </w:r>
          </w:p>
        </w:tc>
        <w:tc>
          <w:tcPr>
            <w:tcW w:w="1138" w:type="pct"/>
            <w:noWrap w:val="0"/>
            <w:vAlign w:val="center"/>
          </w:tcPr>
          <w:p w14:paraId="3DA9C67C">
            <w:pPr>
              <w:pStyle w:val="30"/>
              <w:bidi w:val="0"/>
              <w:rPr>
                <w:rFonts w:hint="default"/>
                <w:b/>
                <w:bCs/>
                <w:color w:val="auto"/>
              </w:rPr>
            </w:pPr>
            <w:r>
              <w:rPr>
                <w:rFonts w:hint="default"/>
                <w:b/>
                <w:bCs/>
                <w:color w:val="auto"/>
              </w:rPr>
              <w:t>诱导因素</w:t>
            </w:r>
          </w:p>
        </w:tc>
        <w:tc>
          <w:tcPr>
            <w:tcW w:w="987" w:type="pct"/>
            <w:noWrap w:val="0"/>
            <w:vAlign w:val="center"/>
          </w:tcPr>
          <w:p w14:paraId="64F00562">
            <w:pPr>
              <w:pStyle w:val="30"/>
              <w:bidi w:val="0"/>
              <w:rPr>
                <w:rFonts w:hint="default"/>
                <w:b/>
                <w:bCs/>
                <w:color w:val="auto"/>
              </w:rPr>
            </w:pPr>
            <w:r>
              <w:rPr>
                <w:rFonts w:hint="default"/>
                <w:b/>
                <w:bCs/>
                <w:color w:val="auto"/>
              </w:rPr>
              <w:t>事故的后果</w:t>
            </w:r>
          </w:p>
        </w:tc>
        <w:tc>
          <w:tcPr>
            <w:tcW w:w="379" w:type="pct"/>
            <w:noWrap w:val="0"/>
            <w:vAlign w:val="center"/>
          </w:tcPr>
          <w:p w14:paraId="5639EAFA">
            <w:pPr>
              <w:pStyle w:val="30"/>
              <w:bidi w:val="0"/>
              <w:rPr>
                <w:rFonts w:hint="default"/>
                <w:b/>
                <w:bCs/>
                <w:color w:val="auto"/>
              </w:rPr>
            </w:pPr>
            <w:r>
              <w:rPr>
                <w:rFonts w:hint="default"/>
                <w:b/>
                <w:bCs/>
                <w:color w:val="auto"/>
              </w:rPr>
              <w:t>危险</w:t>
            </w:r>
          </w:p>
          <w:p w14:paraId="44D1D729">
            <w:pPr>
              <w:pStyle w:val="30"/>
              <w:bidi w:val="0"/>
              <w:rPr>
                <w:rFonts w:hint="default"/>
                <w:b/>
                <w:bCs/>
                <w:color w:val="auto"/>
              </w:rPr>
            </w:pPr>
            <w:r>
              <w:rPr>
                <w:rFonts w:hint="default"/>
                <w:b/>
                <w:bCs/>
                <w:color w:val="auto"/>
              </w:rPr>
              <w:t>等级</w:t>
            </w:r>
          </w:p>
        </w:tc>
        <w:tc>
          <w:tcPr>
            <w:tcW w:w="1372" w:type="pct"/>
            <w:noWrap w:val="0"/>
            <w:vAlign w:val="center"/>
          </w:tcPr>
          <w:p w14:paraId="13AE43DD">
            <w:pPr>
              <w:pStyle w:val="30"/>
              <w:bidi w:val="0"/>
              <w:rPr>
                <w:rFonts w:hint="default"/>
                <w:b/>
                <w:bCs/>
                <w:color w:val="auto"/>
              </w:rPr>
            </w:pPr>
            <w:r>
              <w:rPr>
                <w:rFonts w:hint="default"/>
                <w:b/>
                <w:bCs/>
                <w:color w:val="auto"/>
              </w:rPr>
              <w:t>技术措施及建议</w:t>
            </w:r>
          </w:p>
        </w:tc>
      </w:tr>
      <w:tr w14:paraId="6DC0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2EEFCA09">
            <w:pPr>
              <w:pStyle w:val="30"/>
              <w:bidi w:val="0"/>
              <w:rPr>
                <w:rFonts w:hint="default"/>
                <w:color w:val="auto"/>
              </w:rPr>
            </w:pPr>
            <w:r>
              <w:rPr>
                <w:rFonts w:hint="default"/>
                <w:color w:val="auto"/>
              </w:rPr>
              <w:t>机构设置</w:t>
            </w:r>
          </w:p>
        </w:tc>
        <w:tc>
          <w:tcPr>
            <w:tcW w:w="531" w:type="pct"/>
            <w:noWrap w:val="0"/>
            <w:vAlign w:val="center"/>
          </w:tcPr>
          <w:p w14:paraId="35F1AAE6">
            <w:pPr>
              <w:pStyle w:val="30"/>
              <w:bidi w:val="0"/>
              <w:rPr>
                <w:rFonts w:hint="default"/>
                <w:color w:val="auto"/>
              </w:rPr>
            </w:pPr>
            <w:r>
              <w:rPr>
                <w:rFonts w:hint="default"/>
                <w:color w:val="auto"/>
              </w:rPr>
              <w:t>各种</w:t>
            </w:r>
          </w:p>
          <w:p w14:paraId="11E750EF">
            <w:pPr>
              <w:pStyle w:val="30"/>
              <w:bidi w:val="0"/>
              <w:rPr>
                <w:rFonts w:hint="default"/>
                <w:color w:val="auto"/>
              </w:rPr>
            </w:pPr>
            <w:r>
              <w:rPr>
                <w:rFonts w:hint="default"/>
                <w:color w:val="auto"/>
              </w:rPr>
              <w:t>事故</w:t>
            </w:r>
          </w:p>
        </w:tc>
        <w:tc>
          <w:tcPr>
            <w:tcW w:w="1138" w:type="pct"/>
            <w:noWrap w:val="0"/>
            <w:vAlign w:val="center"/>
          </w:tcPr>
          <w:p w14:paraId="7D4A2B6D">
            <w:pPr>
              <w:pStyle w:val="30"/>
              <w:bidi w:val="0"/>
              <w:rPr>
                <w:rFonts w:hint="default"/>
                <w:color w:val="auto"/>
              </w:rPr>
            </w:pPr>
            <w:r>
              <w:rPr>
                <w:rFonts w:hint="default"/>
                <w:color w:val="auto"/>
              </w:rPr>
              <w:t>安全管理机构不健全</w:t>
            </w:r>
          </w:p>
        </w:tc>
        <w:tc>
          <w:tcPr>
            <w:tcW w:w="987" w:type="pct"/>
            <w:noWrap w:val="0"/>
            <w:vAlign w:val="center"/>
          </w:tcPr>
          <w:p w14:paraId="5B811A97">
            <w:pPr>
              <w:pStyle w:val="30"/>
              <w:bidi w:val="0"/>
              <w:rPr>
                <w:rFonts w:hint="eastAsia" w:eastAsia="宋体"/>
                <w:color w:val="auto"/>
                <w:lang w:eastAsia="zh-CN"/>
              </w:rPr>
            </w:pPr>
            <w:r>
              <w:rPr>
                <w:rFonts w:hint="default"/>
                <w:color w:val="auto"/>
              </w:rPr>
              <w:t>人员伤亡、设备损坏、影响生产</w:t>
            </w:r>
          </w:p>
        </w:tc>
        <w:tc>
          <w:tcPr>
            <w:tcW w:w="379" w:type="pct"/>
            <w:noWrap w:val="0"/>
            <w:vAlign w:val="center"/>
          </w:tcPr>
          <w:p w14:paraId="745B1F55">
            <w:pPr>
              <w:pStyle w:val="30"/>
              <w:bidi w:val="0"/>
              <w:rPr>
                <w:rFonts w:hint="default"/>
                <w:color w:val="auto"/>
              </w:rPr>
            </w:pPr>
            <w:r>
              <w:rPr>
                <w:rFonts w:hint="default"/>
                <w:color w:val="auto"/>
              </w:rPr>
              <w:t>Ⅱ</w:t>
            </w:r>
          </w:p>
        </w:tc>
        <w:tc>
          <w:tcPr>
            <w:tcW w:w="1372" w:type="pct"/>
            <w:noWrap w:val="0"/>
            <w:vAlign w:val="center"/>
          </w:tcPr>
          <w:p w14:paraId="60D977FA">
            <w:pPr>
              <w:pStyle w:val="30"/>
              <w:bidi w:val="0"/>
              <w:rPr>
                <w:rFonts w:hint="default"/>
                <w:color w:val="auto"/>
              </w:rPr>
            </w:pPr>
            <w:r>
              <w:rPr>
                <w:rFonts w:hint="default"/>
                <w:color w:val="auto"/>
              </w:rPr>
              <w:t>建立健全安全管理机构。</w:t>
            </w:r>
          </w:p>
        </w:tc>
      </w:tr>
      <w:tr w14:paraId="3D07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589" w:type="pct"/>
            <w:noWrap w:val="0"/>
            <w:vAlign w:val="center"/>
          </w:tcPr>
          <w:p w14:paraId="78B9D6B3">
            <w:pPr>
              <w:pStyle w:val="30"/>
              <w:bidi w:val="0"/>
              <w:rPr>
                <w:rFonts w:hint="default"/>
                <w:color w:val="auto"/>
              </w:rPr>
            </w:pPr>
            <w:r>
              <w:rPr>
                <w:rFonts w:hint="default"/>
                <w:color w:val="auto"/>
              </w:rPr>
              <w:t>安全管理人员</w:t>
            </w:r>
          </w:p>
        </w:tc>
        <w:tc>
          <w:tcPr>
            <w:tcW w:w="531" w:type="pct"/>
            <w:noWrap w:val="0"/>
            <w:vAlign w:val="center"/>
          </w:tcPr>
          <w:p w14:paraId="62653144">
            <w:pPr>
              <w:pStyle w:val="30"/>
              <w:bidi w:val="0"/>
              <w:rPr>
                <w:rFonts w:hint="default"/>
                <w:color w:val="auto"/>
              </w:rPr>
            </w:pPr>
            <w:r>
              <w:rPr>
                <w:rFonts w:hint="default"/>
                <w:color w:val="auto"/>
              </w:rPr>
              <w:t>各种</w:t>
            </w:r>
          </w:p>
          <w:p w14:paraId="26DD1748">
            <w:pPr>
              <w:pStyle w:val="30"/>
              <w:bidi w:val="0"/>
              <w:rPr>
                <w:rFonts w:hint="default"/>
                <w:color w:val="auto"/>
              </w:rPr>
            </w:pPr>
            <w:r>
              <w:rPr>
                <w:rFonts w:hint="default"/>
                <w:color w:val="auto"/>
              </w:rPr>
              <w:t>事故</w:t>
            </w:r>
          </w:p>
        </w:tc>
        <w:tc>
          <w:tcPr>
            <w:tcW w:w="1138" w:type="pct"/>
            <w:noWrap w:val="0"/>
            <w:vAlign w:val="center"/>
          </w:tcPr>
          <w:p w14:paraId="62D6F359">
            <w:pPr>
              <w:pStyle w:val="30"/>
              <w:bidi w:val="0"/>
              <w:rPr>
                <w:rFonts w:hint="default"/>
                <w:color w:val="auto"/>
              </w:rPr>
            </w:pPr>
            <w:r>
              <w:rPr>
                <w:rFonts w:hint="default"/>
                <w:color w:val="auto"/>
              </w:rPr>
              <w:t>未配备安全管理人员</w:t>
            </w:r>
          </w:p>
        </w:tc>
        <w:tc>
          <w:tcPr>
            <w:tcW w:w="987" w:type="pct"/>
            <w:noWrap w:val="0"/>
            <w:vAlign w:val="center"/>
          </w:tcPr>
          <w:p w14:paraId="6D243398">
            <w:pPr>
              <w:pStyle w:val="30"/>
              <w:bidi w:val="0"/>
              <w:rPr>
                <w:rFonts w:hint="eastAsia" w:eastAsia="宋体"/>
                <w:color w:val="auto"/>
                <w:lang w:eastAsia="zh-CN"/>
              </w:rPr>
            </w:pPr>
            <w:r>
              <w:rPr>
                <w:rFonts w:hint="default"/>
                <w:color w:val="auto"/>
              </w:rPr>
              <w:t>人员伤亡、设备损坏、影响生产</w:t>
            </w:r>
          </w:p>
        </w:tc>
        <w:tc>
          <w:tcPr>
            <w:tcW w:w="379" w:type="pct"/>
            <w:noWrap w:val="0"/>
            <w:vAlign w:val="center"/>
          </w:tcPr>
          <w:p w14:paraId="566AB66B">
            <w:pPr>
              <w:pStyle w:val="30"/>
              <w:bidi w:val="0"/>
              <w:rPr>
                <w:rFonts w:hint="default"/>
                <w:color w:val="auto"/>
              </w:rPr>
            </w:pPr>
            <w:r>
              <w:rPr>
                <w:rFonts w:hint="default"/>
                <w:color w:val="auto"/>
              </w:rPr>
              <w:t>Ⅱ</w:t>
            </w:r>
          </w:p>
        </w:tc>
        <w:tc>
          <w:tcPr>
            <w:tcW w:w="1372" w:type="pct"/>
            <w:noWrap w:val="0"/>
            <w:vAlign w:val="center"/>
          </w:tcPr>
          <w:p w14:paraId="14A6C234">
            <w:pPr>
              <w:pStyle w:val="30"/>
              <w:bidi w:val="0"/>
              <w:rPr>
                <w:rFonts w:hint="default"/>
                <w:color w:val="auto"/>
              </w:rPr>
            </w:pPr>
            <w:r>
              <w:rPr>
                <w:rFonts w:hint="default"/>
                <w:color w:val="auto"/>
              </w:rPr>
              <w:t>配备安全管理人员。</w:t>
            </w:r>
          </w:p>
        </w:tc>
      </w:tr>
      <w:tr w14:paraId="08C2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589" w:type="pct"/>
            <w:noWrap w:val="0"/>
            <w:vAlign w:val="center"/>
          </w:tcPr>
          <w:p w14:paraId="6EA701BB">
            <w:pPr>
              <w:pStyle w:val="30"/>
              <w:bidi w:val="0"/>
              <w:rPr>
                <w:rFonts w:hint="default"/>
                <w:color w:val="auto"/>
              </w:rPr>
            </w:pPr>
            <w:r>
              <w:rPr>
                <w:rFonts w:hint="default"/>
                <w:color w:val="auto"/>
              </w:rPr>
              <w:t>特种</w:t>
            </w:r>
          </w:p>
          <w:p w14:paraId="40230BF3">
            <w:pPr>
              <w:pStyle w:val="30"/>
              <w:bidi w:val="0"/>
              <w:rPr>
                <w:rFonts w:hint="default"/>
                <w:color w:val="auto"/>
              </w:rPr>
            </w:pPr>
            <w:r>
              <w:rPr>
                <w:rFonts w:hint="default"/>
                <w:color w:val="auto"/>
              </w:rPr>
              <w:t>作业人员</w:t>
            </w:r>
          </w:p>
        </w:tc>
        <w:tc>
          <w:tcPr>
            <w:tcW w:w="531" w:type="pct"/>
            <w:noWrap w:val="0"/>
            <w:vAlign w:val="center"/>
          </w:tcPr>
          <w:p w14:paraId="6174A92E">
            <w:pPr>
              <w:pStyle w:val="30"/>
              <w:bidi w:val="0"/>
              <w:rPr>
                <w:rFonts w:hint="default"/>
                <w:color w:val="auto"/>
              </w:rPr>
            </w:pPr>
            <w:r>
              <w:rPr>
                <w:rFonts w:hint="default"/>
                <w:color w:val="auto"/>
              </w:rPr>
              <w:t>各种</w:t>
            </w:r>
          </w:p>
          <w:p w14:paraId="5AD6CF34">
            <w:pPr>
              <w:pStyle w:val="30"/>
              <w:bidi w:val="0"/>
              <w:rPr>
                <w:rFonts w:hint="default"/>
                <w:color w:val="auto"/>
              </w:rPr>
            </w:pPr>
            <w:r>
              <w:rPr>
                <w:rFonts w:hint="default"/>
                <w:color w:val="auto"/>
              </w:rPr>
              <w:t>事故</w:t>
            </w:r>
          </w:p>
        </w:tc>
        <w:tc>
          <w:tcPr>
            <w:tcW w:w="1138" w:type="pct"/>
            <w:noWrap w:val="0"/>
            <w:vAlign w:val="center"/>
          </w:tcPr>
          <w:p w14:paraId="52866CA7">
            <w:pPr>
              <w:pStyle w:val="30"/>
              <w:bidi w:val="0"/>
              <w:rPr>
                <w:rFonts w:hint="default"/>
                <w:color w:val="auto"/>
              </w:rPr>
            </w:pPr>
            <w:r>
              <w:rPr>
                <w:rFonts w:hint="default"/>
                <w:color w:val="auto"/>
              </w:rPr>
              <w:t>不了解作业程序，引起误操作</w:t>
            </w:r>
          </w:p>
        </w:tc>
        <w:tc>
          <w:tcPr>
            <w:tcW w:w="987" w:type="pct"/>
            <w:noWrap w:val="0"/>
            <w:vAlign w:val="center"/>
          </w:tcPr>
          <w:p w14:paraId="6A1F8625">
            <w:pPr>
              <w:pStyle w:val="30"/>
              <w:bidi w:val="0"/>
              <w:rPr>
                <w:rFonts w:hint="default"/>
                <w:color w:val="auto"/>
              </w:rPr>
            </w:pPr>
            <w:r>
              <w:rPr>
                <w:rFonts w:hint="default"/>
                <w:color w:val="auto"/>
              </w:rPr>
              <w:t>造成未遂事故或重大事故，人员伤亡、设备损失</w:t>
            </w:r>
          </w:p>
        </w:tc>
        <w:tc>
          <w:tcPr>
            <w:tcW w:w="379" w:type="pct"/>
            <w:noWrap w:val="0"/>
            <w:vAlign w:val="center"/>
          </w:tcPr>
          <w:p w14:paraId="2D7C1C08">
            <w:pPr>
              <w:pStyle w:val="30"/>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p>
        </w:tc>
        <w:tc>
          <w:tcPr>
            <w:tcW w:w="1372" w:type="pct"/>
            <w:noWrap w:val="0"/>
            <w:vAlign w:val="center"/>
          </w:tcPr>
          <w:p w14:paraId="242D1EF9">
            <w:pPr>
              <w:pStyle w:val="30"/>
              <w:bidi w:val="0"/>
              <w:rPr>
                <w:rFonts w:hint="default"/>
                <w:color w:val="auto"/>
              </w:rPr>
            </w:pPr>
            <w:r>
              <w:rPr>
                <w:rFonts w:hint="default"/>
                <w:color w:val="auto"/>
              </w:rPr>
              <w:t>特种作业人员必须接受专门的技术培训，经考核合格取得操作资格证书后，方可上岗作业。</w:t>
            </w:r>
          </w:p>
        </w:tc>
      </w:tr>
      <w:tr w14:paraId="1A87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26FA428C">
            <w:pPr>
              <w:pStyle w:val="30"/>
              <w:bidi w:val="0"/>
              <w:rPr>
                <w:rFonts w:hint="default"/>
                <w:color w:val="auto"/>
              </w:rPr>
            </w:pPr>
            <w:r>
              <w:rPr>
                <w:rFonts w:hint="default"/>
                <w:color w:val="auto"/>
              </w:rPr>
              <w:t>规章制度与安全操作规程</w:t>
            </w:r>
          </w:p>
        </w:tc>
        <w:tc>
          <w:tcPr>
            <w:tcW w:w="531" w:type="pct"/>
            <w:noWrap w:val="0"/>
            <w:vAlign w:val="center"/>
          </w:tcPr>
          <w:p w14:paraId="5306C948">
            <w:pPr>
              <w:pStyle w:val="30"/>
              <w:bidi w:val="0"/>
              <w:rPr>
                <w:rFonts w:hint="default"/>
                <w:color w:val="auto"/>
              </w:rPr>
            </w:pPr>
            <w:r>
              <w:rPr>
                <w:rFonts w:hint="default"/>
                <w:color w:val="auto"/>
              </w:rPr>
              <w:t>各种</w:t>
            </w:r>
          </w:p>
          <w:p w14:paraId="79F6E93C">
            <w:pPr>
              <w:pStyle w:val="30"/>
              <w:bidi w:val="0"/>
              <w:rPr>
                <w:rFonts w:hint="default"/>
                <w:color w:val="auto"/>
              </w:rPr>
            </w:pPr>
            <w:r>
              <w:rPr>
                <w:rFonts w:hint="default"/>
                <w:color w:val="auto"/>
              </w:rPr>
              <w:t>事故</w:t>
            </w:r>
          </w:p>
        </w:tc>
        <w:tc>
          <w:tcPr>
            <w:tcW w:w="1138" w:type="pct"/>
            <w:noWrap w:val="0"/>
            <w:vAlign w:val="center"/>
          </w:tcPr>
          <w:p w14:paraId="3B120C8B">
            <w:pPr>
              <w:pStyle w:val="30"/>
              <w:bidi w:val="0"/>
              <w:rPr>
                <w:rFonts w:hint="default"/>
                <w:color w:val="auto"/>
              </w:rPr>
            </w:pPr>
            <w:r>
              <w:rPr>
                <w:rFonts w:hint="default"/>
                <w:color w:val="auto"/>
              </w:rPr>
              <w:t>安全管理制度和安全操作规程不健全或执行情况差</w:t>
            </w:r>
          </w:p>
        </w:tc>
        <w:tc>
          <w:tcPr>
            <w:tcW w:w="987" w:type="pct"/>
            <w:noWrap w:val="0"/>
            <w:vAlign w:val="center"/>
          </w:tcPr>
          <w:p w14:paraId="41666021">
            <w:pPr>
              <w:pStyle w:val="30"/>
              <w:bidi w:val="0"/>
              <w:rPr>
                <w:rFonts w:hint="eastAsia" w:eastAsia="宋体"/>
                <w:color w:val="auto"/>
                <w:lang w:eastAsia="zh-CN"/>
              </w:rPr>
            </w:pPr>
            <w:r>
              <w:rPr>
                <w:rFonts w:hint="default"/>
                <w:color w:val="auto"/>
              </w:rPr>
              <w:t>人员伤亡、设备损坏、影响生产</w:t>
            </w:r>
          </w:p>
        </w:tc>
        <w:tc>
          <w:tcPr>
            <w:tcW w:w="379" w:type="pct"/>
            <w:noWrap w:val="0"/>
            <w:vAlign w:val="center"/>
          </w:tcPr>
          <w:p w14:paraId="5C0164C6">
            <w:pPr>
              <w:pStyle w:val="30"/>
              <w:bidi w:val="0"/>
              <w:rPr>
                <w:rFonts w:hint="default"/>
                <w:color w:val="auto"/>
              </w:rPr>
            </w:pPr>
            <w:r>
              <w:rPr>
                <w:rFonts w:hint="default"/>
                <w:color w:val="auto"/>
              </w:rPr>
              <w:t>Ⅱ</w:t>
            </w:r>
          </w:p>
        </w:tc>
        <w:tc>
          <w:tcPr>
            <w:tcW w:w="1372" w:type="pct"/>
            <w:noWrap w:val="0"/>
            <w:vAlign w:val="center"/>
          </w:tcPr>
          <w:p w14:paraId="60812369">
            <w:pPr>
              <w:pStyle w:val="30"/>
              <w:bidi w:val="0"/>
              <w:rPr>
                <w:rFonts w:hint="default"/>
                <w:color w:val="auto"/>
              </w:rPr>
            </w:pPr>
            <w:r>
              <w:rPr>
                <w:rFonts w:hint="default"/>
                <w:color w:val="auto"/>
              </w:rPr>
              <w:t>建议健全各项安全管理制度、安全生产责任制和安全操作规程，并严格执行。</w:t>
            </w:r>
          </w:p>
        </w:tc>
      </w:tr>
      <w:tr w14:paraId="4302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54741E27">
            <w:pPr>
              <w:pStyle w:val="30"/>
              <w:bidi w:val="0"/>
              <w:rPr>
                <w:rFonts w:hint="default"/>
                <w:color w:val="auto"/>
              </w:rPr>
            </w:pPr>
            <w:r>
              <w:rPr>
                <w:rFonts w:hint="default"/>
                <w:color w:val="auto"/>
              </w:rPr>
              <w:t>安全教育与培训</w:t>
            </w:r>
          </w:p>
        </w:tc>
        <w:tc>
          <w:tcPr>
            <w:tcW w:w="531" w:type="pct"/>
            <w:noWrap w:val="0"/>
            <w:vAlign w:val="center"/>
          </w:tcPr>
          <w:p w14:paraId="55E99F63">
            <w:pPr>
              <w:pStyle w:val="30"/>
              <w:bidi w:val="0"/>
              <w:rPr>
                <w:rFonts w:hint="default"/>
                <w:color w:val="auto"/>
              </w:rPr>
            </w:pPr>
            <w:r>
              <w:rPr>
                <w:rFonts w:hint="default"/>
                <w:color w:val="auto"/>
              </w:rPr>
              <w:t>各种</w:t>
            </w:r>
          </w:p>
          <w:p w14:paraId="28222FD3">
            <w:pPr>
              <w:pStyle w:val="30"/>
              <w:bidi w:val="0"/>
              <w:rPr>
                <w:rFonts w:hint="default"/>
                <w:color w:val="auto"/>
              </w:rPr>
            </w:pPr>
            <w:r>
              <w:rPr>
                <w:rFonts w:hint="default"/>
                <w:color w:val="auto"/>
              </w:rPr>
              <w:t>事故</w:t>
            </w:r>
          </w:p>
        </w:tc>
        <w:tc>
          <w:tcPr>
            <w:tcW w:w="1138" w:type="pct"/>
            <w:noWrap w:val="0"/>
            <w:vAlign w:val="center"/>
          </w:tcPr>
          <w:p w14:paraId="7A3569DD">
            <w:pPr>
              <w:pStyle w:val="30"/>
              <w:bidi w:val="0"/>
              <w:rPr>
                <w:rFonts w:hint="default"/>
                <w:color w:val="auto"/>
              </w:rPr>
            </w:pPr>
            <w:r>
              <w:rPr>
                <w:rFonts w:hint="default"/>
                <w:color w:val="auto"/>
              </w:rPr>
              <w:t>安全教育与培训情况差或无安全教育与培训</w:t>
            </w:r>
          </w:p>
        </w:tc>
        <w:tc>
          <w:tcPr>
            <w:tcW w:w="987" w:type="pct"/>
            <w:noWrap w:val="0"/>
            <w:vAlign w:val="center"/>
          </w:tcPr>
          <w:p w14:paraId="6C19E29B">
            <w:pPr>
              <w:pStyle w:val="30"/>
              <w:bidi w:val="0"/>
              <w:rPr>
                <w:rFonts w:hint="default"/>
                <w:color w:val="auto"/>
              </w:rPr>
            </w:pPr>
            <w:r>
              <w:rPr>
                <w:rFonts w:hint="default"/>
                <w:color w:val="auto"/>
              </w:rPr>
              <w:t>人员伤亡、设备损坏、影响生产</w:t>
            </w:r>
          </w:p>
        </w:tc>
        <w:tc>
          <w:tcPr>
            <w:tcW w:w="379" w:type="pct"/>
            <w:noWrap w:val="0"/>
            <w:vAlign w:val="center"/>
          </w:tcPr>
          <w:p w14:paraId="042E4241">
            <w:pPr>
              <w:pStyle w:val="30"/>
              <w:bidi w:val="0"/>
              <w:rPr>
                <w:rFonts w:hint="default"/>
                <w:color w:val="auto"/>
              </w:rPr>
            </w:pPr>
            <w:r>
              <w:rPr>
                <w:rFonts w:hint="default"/>
                <w:color w:val="auto"/>
              </w:rPr>
              <w:t>Ⅱ</w:t>
            </w:r>
          </w:p>
        </w:tc>
        <w:tc>
          <w:tcPr>
            <w:tcW w:w="1372" w:type="pct"/>
            <w:noWrap w:val="0"/>
            <w:vAlign w:val="center"/>
          </w:tcPr>
          <w:p w14:paraId="2D42BC86">
            <w:pPr>
              <w:pStyle w:val="30"/>
              <w:bidi w:val="0"/>
              <w:rPr>
                <w:rFonts w:hint="default"/>
                <w:color w:val="auto"/>
              </w:rPr>
            </w:pPr>
            <w:r>
              <w:rPr>
                <w:rFonts w:hint="default"/>
                <w:color w:val="auto"/>
              </w:rPr>
              <w:t>对职工进行三级安全教育；采用新工艺、新技术、新材料和新设备时对职工进行专门培训。</w:t>
            </w:r>
          </w:p>
        </w:tc>
      </w:tr>
      <w:tr w14:paraId="44F4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6AE16589">
            <w:pPr>
              <w:pStyle w:val="30"/>
              <w:bidi w:val="0"/>
              <w:rPr>
                <w:rFonts w:hint="default"/>
                <w:color w:val="auto"/>
              </w:rPr>
            </w:pPr>
            <w:r>
              <w:rPr>
                <w:rFonts w:hint="default"/>
                <w:color w:val="auto"/>
              </w:rPr>
              <w:t>安全技术措施计划</w:t>
            </w:r>
          </w:p>
        </w:tc>
        <w:tc>
          <w:tcPr>
            <w:tcW w:w="531" w:type="pct"/>
            <w:noWrap w:val="0"/>
            <w:vAlign w:val="center"/>
          </w:tcPr>
          <w:p w14:paraId="4365C262">
            <w:pPr>
              <w:pStyle w:val="30"/>
              <w:bidi w:val="0"/>
              <w:rPr>
                <w:rFonts w:hint="default"/>
                <w:color w:val="auto"/>
              </w:rPr>
            </w:pPr>
            <w:r>
              <w:rPr>
                <w:rFonts w:hint="default"/>
                <w:color w:val="auto"/>
              </w:rPr>
              <w:t>各种</w:t>
            </w:r>
          </w:p>
          <w:p w14:paraId="0546AFA1">
            <w:pPr>
              <w:pStyle w:val="30"/>
              <w:bidi w:val="0"/>
              <w:rPr>
                <w:rFonts w:hint="default"/>
                <w:color w:val="auto"/>
              </w:rPr>
            </w:pPr>
            <w:r>
              <w:rPr>
                <w:rFonts w:hint="default"/>
                <w:color w:val="auto"/>
              </w:rPr>
              <w:t>事故</w:t>
            </w:r>
          </w:p>
        </w:tc>
        <w:tc>
          <w:tcPr>
            <w:tcW w:w="1138" w:type="pct"/>
            <w:noWrap w:val="0"/>
            <w:vAlign w:val="center"/>
          </w:tcPr>
          <w:p w14:paraId="71F2A439">
            <w:pPr>
              <w:pStyle w:val="30"/>
              <w:bidi w:val="0"/>
              <w:rPr>
                <w:rFonts w:hint="default"/>
                <w:color w:val="auto"/>
              </w:rPr>
            </w:pPr>
            <w:r>
              <w:rPr>
                <w:rFonts w:hint="default"/>
                <w:color w:val="auto"/>
              </w:rPr>
              <w:t>无安全技术措施计划或计划不落实</w:t>
            </w:r>
          </w:p>
        </w:tc>
        <w:tc>
          <w:tcPr>
            <w:tcW w:w="987" w:type="pct"/>
            <w:noWrap w:val="0"/>
            <w:vAlign w:val="center"/>
          </w:tcPr>
          <w:p w14:paraId="6F43EB8A">
            <w:pPr>
              <w:pStyle w:val="30"/>
              <w:bidi w:val="0"/>
              <w:rPr>
                <w:rFonts w:hint="default"/>
                <w:color w:val="auto"/>
              </w:rPr>
            </w:pPr>
            <w:r>
              <w:rPr>
                <w:rFonts w:hint="default"/>
                <w:color w:val="auto"/>
              </w:rPr>
              <w:t>人员伤亡、设备损坏、影响生产</w:t>
            </w:r>
          </w:p>
        </w:tc>
        <w:tc>
          <w:tcPr>
            <w:tcW w:w="379" w:type="pct"/>
            <w:noWrap w:val="0"/>
            <w:vAlign w:val="center"/>
          </w:tcPr>
          <w:p w14:paraId="201A9EE0">
            <w:pPr>
              <w:pStyle w:val="30"/>
              <w:bidi w:val="0"/>
              <w:rPr>
                <w:rFonts w:hint="default"/>
                <w:color w:val="auto"/>
              </w:rPr>
            </w:pPr>
            <w:r>
              <w:rPr>
                <w:rFonts w:hint="default"/>
                <w:color w:val="auto"/>
              </w:rPr>
              <w:t>Ⅱ</w:t>
            </w:r>
          </w:p>
        </w:tc>
        <w:tc>
          <w:tcPr>
            <w:tcW w:w="1372" w:type="pct"/>
            <w:noWrap w:val="0"/>
            <w:vAlign w:val="center"/>
          </w:tcPr>
          <w:p w14:paraId="01F2BE7E">
            <w:pPr>
              <w:pStyle w:val="30"/>
              <w:bidi w:val="0"/>
              <w:rPr>
                <w:rFonts w:hint="default"/>
                <w:color w:val="auto"/>
              </w:rPr>
            </w:pPr>
            <w:r>
              <w:rPr>
                <w:rFonts w:hint="default"/>
                <w:color w:val="auto"/>
              </w:rPr>
              <w:t>编制安全技术措施计划并落实。</w:t>
            </w:r>
          </w:p>
        </w:tc>
      </w:tr>
      <w:tr w14:paraId="045E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615BDD8D">
            <w:pPr>
              <w:pStyle w:val="30"/>
              <w:bidi w:val="0"/>
              <w:rPr>
                <w:rFonts w:hint="default"/>
                <w:color w:val="auto"/>
              </w:rPr>
            </w:pPr>
            <w:r>
              <w:rPr>
                <w:rFonts w:hint="default"/>
                <w:color w:val="auto"/>
              </w:rPr>
              <w:t>安全技术资料管理</w:t>
            </w:r>
          </w:p>
        </w:tc>
        <w:tc>
          <w:tcPr>
            <w:tcW w:w="531" w:type="pct"/>
            <w:noWrap w:val="0"/>
            <w:vAlign w:val="center"/>
          </w:tcPr>
          <w:p w14:paraId="6E195E9F">
            <w:pPr>
              <w:pStyle w:val="30"/>
              <w:bidi w:val="0"/>
              <w:rPr>
                <w:rFonts w:hint="default"/>
                <w:color w:val="auto"/>
              </w:rPr>
            </w:pPr>
            <w:r>
              <w:rPr>
                <w:rFonts w:hint="default"/>
                <w:color w:val="auto"/>
              </w:rPr>
              <w:t>各种</w:t>
            </w:r>
          </w:p>
          <w:p w14:paraId="045DA6F9">
            <w:pPr>
              <w:pStyle w:val="30"/>
              <w:bidi w:val="0"/>
              <w:rPr>
                <w:rFonts w:hint="default"/>
                <w:color w:val="auto"/>
              </w:rPr>
            </w:pPr>
            <w:r>
              <w:rPr>
                <w:rFonts w:hint="default"/>
                <w:color w:val="auto"/>
              </w:rPr>
              <w:t>事故</w:t>
            </w:r>
          </w:p>
        </w:tc>
        <w:tc>
          <w:tcPr>
            <w:tcW w:w="1138" w:type="pct"/>
            <w:noWrap w:val="0"/>
            <w:vAlign w:val="center"/>
          </w:tcPr>
          <w:p w14:paraId="1243AE1C">
            <w:pPr>
              <w:pStyle w:val="30"/>
              <w:bidi w:val="0"/>
              <w:rPr>
                <w:rFonts w:hint="default"/>
                <w:color w:val="auto"/>
              </w:rPr>
            </w:pPr>
            <w:r>
              <w:rPr>
                <w:rFonts w:hint="default"/>
                <w:color w:val="auto"/>
              </w:rPr>
              <w:t>无安全技术资料档案</w:t>
            </w:r>
          </w:p>
        </w:tc>
        <w:tc>
          <w:tcPr>
            <w:tcW w:w="987" w:type="pct"/>
            <w:noWrap w:val="0"/>
            <w:vAlign w:val="center"/>
          </w:tcPr>
          <w:p w14:paraId="7462BD78">
            <w:pPr>
              <w:pStyle w:val="30"/>
              <w:bidi w:val="0"/>
              <w:rPr>
                <w:rFonts w:hint="default"/>
                <w:color w:val="auto"/>
              </w:rPr>
            </w:pPr>
            <w:r>
              <w:rPr>
                <w:rFonts w:hint="default"/>
                <w:color w:val="auto"/>
              </w:rPr>
              <w:t>人员伤亡、设备损坏、影响生产</w:t>
            </w:r>
          </w:p>
        </w:tc>
        <w:tc>
          <w:tcPr>
            <w:tcW w:w="379" w:type="pct"/>
            <w:noWrap w:val="0"/>
            <w:vAlign w:val="center"/>
          </w:tcPr>
          <w:p w14:paraId="3D710D6A">
            <w:pPr>
              <w:pStyle w:val="30"/>
              <w:bidi w:val="0"/>
              <w:rPr>
                <w:rFonts w:hint="default"/>
                <w:color w:val="auto"/>
              </w:rPr>
            </w:pPr>
            <w:r>
              <w:rPr>
                <w:rFonts w:hint="default"/>
                <w:color w:val="auto"/>
              </w:rPr>
              <w:t>Ⅱ</w:t>
            </w:r>
          </w:p>
        </w:tc>
        <w:tc>
          <w:tcPr>
            <w:tcW w:w="1372" w:type="pct"/>
            <w:noWrap w:val="0"/>
            <w:vAlign w:val="center"/>
          </w:tcPr>
          <w:p w14:paraId="2E288B8C">
            <w:pPr>
              <w:pStyle w:val="30"/>
              <w:bidi w:val="0"/>
              <w:rPr>
                <w:rFonts w:hint="default"/>
                <w:color w:val="auto"/>
              </w:rPr>
            </w:pPr>
            <w:r>
              <w:rPr>
                <w:rFonts w:hint="default"/>
                <w:color w:val="auto"/>
              </w:rPr>
              <w:t>建立各种安全技术资料档案。</w:t>
            </w:r>
          </w:p>
        </w:tc>
      </w:tr>
      <w:tr w14:paraId="0D16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7CD049B9">
            <w:pPr>
              <w:pStyle w:val="30"/>
              <w:bidi w:val="0"/>
              <w:rPr>
                <w:rFonts w:hint="default"/>
                <w:color w:val="auto"/>
              </w:rPr>
            </w:pPr>
            <w:r>
              <w:rPr>
                <w:rFonts w:hint="default"/>
                <w:color w:val="auto"/>
              </w:rPr>
              <w:t>应急机构、应急措施</w:t>
            </w:r>
          </w:p>
        </w:tc>
        <w:tc>
          <w:tcPr>
            <w:tcW w:w="531" w:type="pct"/>
            <w:noWrap w:val="0"/>
            <w:vAlign w:val="center"/>
          </w:tcPr>
          <w:p w14:paraId="2DB58FB6">
            <w:pPr>
              <w:pStyle w:val="30"/>
              <w:bidi w:val="0"/>
              <w:rPr>
                <w:rFonts w:hint="default"/>
                <w:color w:val="auto"/>
              </w:rPr>
            </w:pPr>
            <w:r>
              <w:rPr>
                <w:rFonts w:hint="default"/>
                <w:color w:val="auto"/>
              </w:rPr>
              <w:t>人员伤亡、设备损坏或抢救不及时</w:t>
            </w:r>
          </w:p>
        </w:tc>
        <w:tc>
          <w:tcPr>
            <w:tcW w:w="1138" w:type="pct"/>
            <w:noWrap w:val="0"/>
            <w:vAlign w:val="center"/>
          </w:tcPr>
          <w:p w14:paraId="4C568012">
            <w:pPr>
              <w:pStyle w:val="30"/>
              <w:bidi w:val="0"/>
              <w:rPr>
                <w:rFonts w:hint="default"/>
                <w:color w:val="auto"/>
              </w:rPr>
            </w:pPr>
            <w:r>
              <w:rPr>
                <w:rFonts w:hint="default"/>
                <w:color w:val="auto"/>
              </w:rPr>
              <w:t>无应急机构、应急措施或应急机构运行不良、措施不到位</w:t>
            </w:r>
          </w:p>
        </w:tc>
        <w:tc>
          <w:tcPr>
            <w:tcW w:w="987" w:type="pct"/>
            <w:noWrap w:val="0"/>
            <w:vAlign w:val="center"/>
          </w:tcPr>
          <w:p w14:paraId="6ADE4158">
            <w:pPr>
              <w:pStyle w:val="30"/>
              <w:bidi w:val="0"/>
              <w:rPr>
                <w:rFonts w:hint="default"/>
                <w:color w:val="auto"/>
              </w:rPr>
            </w:pPr>
            <w:r>
              <w:rPr>
                <w:rFonts w:hint="default"/>
                <w:color w:val="auto"/>
              </w:rPr>
              <w:t>人员伤亡、设备损坏、影响生产</w:t>
            </w:r>
          </w:p>
        </w:tc>
        <w:tc>
          <w:tcPr>
            <w:tcW w:w="379" w:type="pct"/>
            <w:noWrap w:val="0"/>
            <w:vAlign w:val="center"/>
          </w:tcPr>
          <w:p w14:paraId="345016BD">
            <w:pPr>
              <w:pStyle w:val="30"/>
              <w:bidi w:val="0"/>
              <w:rPr>
                <w:rFonts w:hint="default"/>
                <w:color w:val="auto"/>
              </w:rPr>
            </w:pPr>
            <w:r>
              <w:rPr>
                <w:rFonts w:hint="default"/>
                <w:color w:val="auto"/>
              </w:rPr>
              <w:t>Ⅲ</w:t>
            </w:r>
          </w:p>
        </w:tc>
        <w:tc>
          <w:tcPr>
            <w:tcW w:w="1372" w:type="pct"/>
            <w:noWrap w:val="0"/>
            <w:vAlign w:val="center"/>
          </w:tcPr>
          <w:p w14:paraId="323A79DC">
            <w:pPr>
              <w:pStyle w:val="30"/>
              <w:bidi w:val="0"/>
              <w:rPr>
                <w:rFonts w:hint="default"/>
                <w:color w:val="auto"/>
              </w:rPr>
            </w:pPr>
            <w:r>
              <w:rPr>
                <w:rFonts w:hint="default"/>
                <w:color w:val="auto"/>
              </w:rPr>
              <w:t>建立完善的应急机构，制定完善的应急措施。</w:t>
            </w:r>
          </w:p>
        </w:tc>
      </w:tr>
      <w:tr w14:paraId="79A5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3349C040">
            <w:pPr>
              <w:pStyle w:val="30"/>
              <w:bidi w:val="0"/>
              <w:rPr>
                <w:rFonts w:hint="default"/>
                <w:color w:val="auto"/>
              </w:rPr>
            </w:pPr>
            <w:r>
              <w:rPr>
                <w:rFonts w:hint="default"/>
                <w:color w:val="auto"/>
              </w:rPr>
              <w:t>编制应急预案</w:t>
            </w:r>
          </w:p>
        </w:tc>
        <w:tc>
          <w:tcPr>
            <w:tcW w:w="531" w:type="pct"/>
            <w:noWrap w:val="0"/>
            <w:vAlign w:val="center"/>
          </w:tcPr>
          <w:p w14:paraId="659100B0">
            <w:pPr>
              <w:pStyle w:val="30"/>
              <w:bidi w:val="0"/>
              <w:rPr>
                <w:rFonts w:hint="default"/>
                <w:color w:val="auto"/>
              </w:rPr>
            </w:pPr>
            <w:r>
              <w:rPr>
                <w:rFonts w:hint="default"/>
                <w:color w:val="auto"/>
              </w:rPr>
              <w:t>人员伤亡、设备损坏或抢救不及时</w:t>
            </w:r>
          </w:p>
        </w:tc>
        <w:tc>
          <w:tcPr>
            <w:tcW w:w="1138" w:type="pct"/>
            <w:noWrap w:val="0"/>
            <w:vAlign w:val="center"/>
          </w:tcPr>
          <w:p w14:paraId="106C7BD8">
            <w:pPr>
              <w:pStyle w:val="30"/>
              <w:bidi w:val="0"/>
              <w:rPr>
                <w:rFonts w:hint="default"/>
                <w:color w:val="auto"/>
              </w:rPr>
            </w:pPr>
            <w:r>
              <w:rPr>
                <w:rFonts w:hint="default"/>
                <w:color w:val="auto"/>
              </w:rPr>
              <w:t>未编制应急预案或不完善</w:t>
            </w:r>
          </w:p>
        </w:tc>
        <w:tc>
          <w:tcPr>
            <w:tcW w:w="987" w:type="pct"/>
            <w:noWrap w:val="0"/>
            <w:vAlign w:val="center"/>
          </w:tcPr>
          <w:p w14:paraId="4BF09192">
            <w:pPr>
              <w:pStyle w:val="30"/>
              <w:bidi w:val="0"/>
              <w:rPr>
                <w:rFonts w:hint="default"/>
                <w:color w:val="auto"/>
              </w:rPr>
            </w:pPr>
            <w:r>
              <w:rPr>
                <w:rFonts w:hint="default"/>
                <w:color w:val="auto"/>
              </w:rPr>
              <w:t>在灾害和事故发生时，未能按计划有序有效的进行抢救，造成重大损失</w:t>
            </w:r>
          </w:p>
        </w:tc>
        <w:tc>
          <w:tcPr>
            <w:tcW w:w="379" w:type="pct"/>
            <w:noWrap w:val="0"/>
            <w:vAlign w:val="center"/>
          </w:tcPr>
          <w:p w14:paraId="1164C5B6">
            <w:pPr>
              <w:pStyle w:val="30"/>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p>
        </w:tc>
        <w:tc>
          <w:tcPr>
            <w:tcW w:w="1372" w:type="pct"/>
            <w:noWrap w:val="0"/>
            <w:vAlign w:val="center"/>
          </w:tcPr>
          <w:p w14:paraId="38A599E7">
            <w:pPr>
              <w:pStyle w:val="30"/>
              <w:bidi w:val="0"/>
              <w:rPr>
                <w:rFonts w:hint="default"/>
                <w:color w:val="auto"/>
              </w:rPr>
            </w:pPr>
            <w:r>
              <w:rPr>
                <w:rFonts w:hint="default"/>
                <w:color w:val="auto"/>
              </w:rPr>
              <w:t>编制应急救护预案，按计划演练，并根据实际情况对预案及时修改，制定相应的措施。</w:t>
            </w:r>
          </w:p>
        </w:tc>
      </w:tr>
      <w:tr w14:paraId="02BD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1C23F270">
            <w:pPr>
              <w:pStyle w:val="30"/>
              <w:bidi w:val="0"/>
              <w:rPr>
                <w:rFonts w:hint="default"/>
                <w:color w:val="auto"/>
              </w:rPr>
            </w:pPr>
            <w:r>
              <w:rPr>
                <w:rFonts w:hint="default"/>
                <w:color w:val="auto"/>
              </w:rPr>
              <w:t>劳动防护用品</w:t>
            </w:r>
          </w:p>
        </w:tc>
        <w:tc>
          <w:tcPr>
            <w:tcW w:w="531" w:type="pct"/>
            <w:noWrap w:val="0"/>
            <w:vAlign w:val="center"/>
          </w:tcPr>
          <w:p w14:paraId="4D7638D9">
            <w:pPr>
              <w:pStyle w:val="30"/>
              <w:bidi w:val="0"/>
              <w:rPr>
                <w:rFonts w:hint="default"/>
                <w:color w:val="auto"/>
              </w:rPr>
            </w:pPr>
            <w:r>
              <w:rPr>
                <w:rFonts w:hint="default"/>
                <w:color w:val="auto"/>
              </w:rPr>
              <w:t>发生伤害事故</w:t>
            </w:r>
          </w:p>
        </w:tc>
        <w:tc>
          <w:tcPr>
            <w:tcW w:w="1138" w:type="pct"/>
            <w:noWrap w:val="0"/>
            <w:vAlign w:val="center"/>
          </w:tcPr>
          <w:p w14:paraId="755EA80F">
            <w:pPr>
              <w:pStyle w:val="30"/>
              <w:bidi w:val="0"/>
              <w:rPr>
                <w:rFonts w:hint="default"/>
                <w:color w:val="auto"/>
              </w:rPr>
            </w:pPr>
            <w:r>
              <w:rPr>
                <w:rFonts w:hint="default"/>
                <w:color w:val="auto"/>
              </w:rPr>
              <w:t>劳动防护用品不合格</w:t>
            </w:r>
          </w:p>
        </w:tc>
        <w:tc>
          <w:tcPr>
            <w:tcW w:w="987" w:type="pct"/>
            <w:noWrap w:val="0"/>
            <w:vAlign w:val="center"/>
          </w:tcPr>
          <w:p w14:paraId="3F9385E0">
            <w:pPr>
              <w:pStyle w:val="30"/>
              <w:bidi w:val="0"/>
              <w:rPr>
                <w:rFonts w:hint="default"/>
                <w:color w:val="auto"/>
              </w:rPr>
            </w:pPr>
            <w:r>
              <w:rPr>
                <w:rFonts w:hint="default"/>
                <w:color w:val="auto"/>
              </w:rPr>
              <w:t>由于劳动保护用品失效而造成伤害，甚至死亡</w:t>
            </w:r>
          </w:p>
        </w:tc>
        <w:tc>
          <w:tcPr>
            <w:tcW w:w="379" w:type="pct"/>
            <w:noWrap w:val="0"/>
            <w:vAlign w:val="center"/>
          </w:tcPr>
          <w:p w14:paraId="6C6F9C18">
            <w:pPr>
              <w:pStyle w:val="30"/>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c>
          <w:tcPr>
            <w:tcW w:w="1372" w:type="pct"/>
            <w:noWrap w:val="0"/>
            <w:vAlign w:val="center"/>
          </w:tcPr>
          <w:p w14:paraId="23E6DDBA">
            <w:pPr>
              <w:pStyle w:val="30"/>
              <w:bidi w:val="0"/>
              <w:rPr>
                <w:rFonts w:hint="default"/>
                <w:color w:val="auto"/>
              </w:rPr>
            </w:pPr>
            <w:r>
              <w:rPr>
                <w:rFonts w:hint="default"/>
                <w:color w:val="auto"/>
              </w:rPr>
              <w:t>依据国务院劳动行政主管部门指定的劳动防护用品发放标准发放劳动保护用品。</w:t>
            </w:r>
          </w:p>
        </w:tc>
      </w:tr>
      <w:tr w14:paraId="7B1E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noWrap w:val="0"/>
            <w:vAlign w:val="center"/>
          </w:tcPr>
          <w:p w14:paraId="359B1A78">
            <w:pPr>
              <w:pStyle w:val="30"/>
              <w:bidi w:val="0"/>
              <w:rPr>
                <w:rFonts w:hint="default"/>
                <w:color w:val="auto"/>
              </w:rPr>
            </w:pPr>
            <w:r>
              <w:rPr>
                <w:rFonts w:hint="default"/>
                <w:color w:val="auto"/>
              </w:rPr>
              <w:t>安全警示标志</w:t>
            </w:r>
          </w:p>
        </w:tc>
        <w:tc>
          <w:tcPr>
            <w:tcW w:w="531" w:type="pct"/>
            <w:noWrap w:val="0"/>
            <w:vAlign w:val="center"/>
          </w:tcPr>
          <w:p w14:paraId="6AAEE6AC">
            <w:pPr>
              <w:pStyle w:val="30"/>
              <w:bidi w:val="0"/>
              <w:rPr>
                <w:rFonts w:hint="default"/>
                <w:color w:val="auto"/>
              </w:rPr>
            </w:pPr>
            <w:r>
              <w:rPr>
                <w:rFonts w:hint="default"/>
                <w:color w:val="auto"/>
              </w:rPr>
              <w:t>各种事故</w:t>
            </w:r>
          </w:p>
        </w:tc>
        <w:tc>
          <w:tcPr>
            <w:tcW w:w="1138" w:type="pct"/>
            <w:noWrap w:val="0"/>
            <w:vAlign w:val="center"/>
          </w:tcPr>
          <w:p w14:paraId="60EF7329">
            <w:pPr>
              <w:pStyle w:val="30"/>
              <w:bidi w:val="0"/>
              <w:rPr>
                <w:rFonts w:hint="default"/>
                <w:color w:val="auto"/>
              </w:rPr>
            </w:pPr>
            <w:r>
              <w:rPr>
                <w:rFonts w:hint="default"/>
                <w:color w:val="auto"/>
              </w:rPr>
              <w:t>由于标志不清或无标志造成人身伤亡</w:t>
            </w:r>
          </w:p>
        </w:tc>
        <w:tc>
          <w:tcPr>
            <w:tcW w:w="987" w:type="pct"/>
            <w:noWrap w:val="0"/>
            <w:vAlign w:val="center"/>
          </w:tcPr>
          <w:p w14:paraId="62DF3823">
            <w:pPr>
              <w:pStyle w:val="30"/>
              <w:bidi w:val="0"/>
              <w:rPr>
                <w:rFonts w:hint="default"/>
                <w:color w:val="auto"/>
              </w:rPr>
            </w:pPr>
            <w:r>
              <w:rPr>
                <w:rFonts w:hint="default"/>
                <w:color w:val="auto"/>
              </w:rPr>
              <w:t>发生伤亡事故</w:t>
            </w:r>
          </w:p>
        </w:tc>
        <w:tc>
          <w:tcPr>
            <w:tcW w:w="379" w:type="pct"/>
            <w:noWrap w:val="0"/>
            <w:vAlign w:val="center"/>
          </w:tcPr>
          <w:p w14:paraId="210F6FDB">
            <w:pPr>
              <w:pStyle w:val="30"/>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p>
        </w:tc>
        <w:tc>
          <w:tcPr>
            <w:tcW w:w="1372" w:type="pct"/>
            <w:noWrap w:val="0"/>
            <w:vAlign w:val="center"/>
          </w:tcPr>
          <w:p w14:paraId="575BF971">
            <w:pPr>
              <w:pStyle w:val="30"/>
              <w:bidi w:val="0"/>
              <w:rPr>
                <w:rFonts w:hint="eastAsia" w:eastAsia="宋体"/>
                <w:color w:val="auto"/>
                <w:lang w:eastAsia="zh-CN"/>
              </w:rPr>
            </w:pPr>
            <w:r>
              <w:rPr>
                <w:rFonts w:hint="default"/>
                <w:color w:val="auto"/>
              </w:rPr>
              <w:t>在不同的作业场所必须按规定设置安全标志</w:t>
            </w:r>
            <w:r>
              <w:rPr>
                <w:rFonts w:hint="eastAsia"/>
                <w:color w:val="auto"/>
                <w:lang w:eastAsia="zh-CN"/>
              </w:rPr>
              <w:t>。</w:t>
            </w:r>
          </w:p>
        </w:tc>
      </w:tr>
    </w:tbl>
    <w:p w14:paraId="602FC565">
      <w:pPr>
        <w:pStyle w:val="6"/>
        <w:bidi w:val="0"/>
        <w:rPr>
          <w:rFonts w:hint="default"/>
          <w:color w:val="auto"/>
          <w:lang w:val="en-US" w:eastAsia="zh-CN"/>
        </w:rPr>
      </w:pPr>
      <w:r>
        <w:rPr>
          <w:rFonts w:hint="default"/>
          <w:color w:val="auto"/>
          <w:lang w:val="en-US" w:eastAsia="zh-CN"/>
        </w:rPr>
        <w:t>5.5.2 安全管理分析</w:t>
      </w:r>
    </w:p>
    <w:p w14:paraId="248F369D">
      <w:pPr>
        <w:bidi w:val="0"/>
        <w:rPr>
          <w:rFonts w:hint="default"/>
          <w:color w:val="auto"/>
          <w:lang w:val="en-US" w:eastAsia="zh-CN"/>
        </w:rPr>
      </w:pPr>
      <w:r>
        <w:rPr>
          <w:rFonts w:hint="default"/>
          <w:color w:val="auto"/>
          <w:lang w:val="en-US" w:eastAsia="zh-CN"/>
        </w:rPr>
        <w:t>一、安全生产管理机构</w:t>
      </w:r>
    </w:p>
    <w:p w14:paraId="677721E2">
      <w:pPr>
        <w:bidi w:val="0"/>
        <w:rPr>
          <w:rFonts w:hint="default"/>
          <w:color w:val="auto"/>
          <w:lang w:val="en-US" w:eastAsia="zh-CN"/>
        </w:rPr>
      </w:pPr>
      <w:r>
        <w:rPr>
          <w:rFonts w:hint="default"/>
          <w:color w:val="auto"/>
          <w:lang w:val="en-US" w:eastAsia="zh-CN"/>
        </w:rPr>
        <w:t>企业应按《中华人民共和国安全生产法》的要求设置安全生产管理机构，明确第一责任人，全面负责安全生产管理，专职安全员负责日常安全管理工作，班组长负责当班安全管理工作，形成三级安全管理机构，并由该机构负责落实国家有关安全生产法律法规，组织企业内部各种安全检查活动，负责日常安全检查，及时整改事故隐患，监督落实安全生产责任制等。</w:t>
      </w:r>
    </w:p>
    <w:p w14:paraId="148ECF9A">
      <w:pPr>
        <w:bidi w:val="0"/>
        <w:rPr>
          <w:rFonts w:hint="default"/>
          <w:color w:val="auto"/>
          <w:lang w:val="en-US" w:eastAsia="zh-CN"/>
        </w:rPr>
      </w:pPr>
      <w:r>
        <w:rPr>
          <w:rFonts w:hint="default"/>
          <w:color w:val="auto"/>
          <w:lang w:val="en-US" w:eastAsia="zh-CN"/>
        </w:rPr>
        <w:t>二、建立企业安全生产责任制</w:t>
      </w:r>
    </w:p>
    <w:p w14:paraId="01A5C937">
      <w:pPr>
        <w:bidi w:val="0"/>
        <w:rPr>
          <w:rFonts w:hint="default"/>
          <w:color w:val="auto"/>
          <w:lang w:val="en-US" w:eastAsia="zh-CN"/>
        </w:rPr>
      </w:pPr>
      <w:r>
        <w:rPr>
          <w:rFonts w:hint="default"/>
          <w:color w:val="auto"/>
          <w:lang w:val="en-US" w:eastAsia="zh-CN"/>
        </w:rPr>
        <w:t>企业应按《中华人民共和国安全生产法》和其它相关的法律法规的要求完善企业的安全生产责任制。包括：</w:t>
      </w:r>
    </w:p>
    <w:p w14:paraId="546F311F">
      <w:pPr>
        <w:bidi w:val="0"/>
        <w:rPr>
          <w:rFonts w:hint="default"/>
          <w:color w:val="auto"/>
          <w:lang w:val="en-US" w:eastAsia="zh-CN"/>
        </w:rPr>
      </w:pPr>
      <w:r>
        <w:rPr>
          <w:rFonts w:hint="default"/>
          <w:color w:val="auto"/>
          <w:lang w:val="en-US" w:eastAsia="zh-CN"/>
        </w:rPr>
        <w:t>1、主要负责人及安全管理人员安全生产责任制；</w:t>
      </w:r>
    </w:p>
    <w:p w14:paraId="14CAF9F1">
      <w:pPr>
        <w:bidi w:val="0"/>
        <w:rPr>
          <w:rFonts w:hint="default"/>
          <w:color w:val="auto"/>
          <w:lang w:val="en-US" w:eastAsia="zh-CN"/>
        </w:rPr>
      </w:pPr>
      <w:r>
        <w:rPr>
          <w:rFonts w:hint="default"/>
          <w:color w:val="auto"/>
          <w:lang w:val="en-US" w:eastAsia="zh-CN"/>
        </w:rPr>
        <w:t>2、安全生产管理机构及各职能机构负责人及其工作人员安全生产责任制；</w:t>
      </w:r>
    </w:p>
    <w:p w14:paraId="2AB563F5">
      <w:pPr>
        <w:bidi w:val="0"/>
        <w:rPr>
          <w:rFonts w:hint="default"/>
          <w:color w:val="auto"/>
          <w:lang w:val="en-US" w:eastAsia="zh-CN"/>
        </w:rPr>
      </w:pPr>
      <w:r>
        <w:rPr>
          <w:rFonts w:hint="default"/>
          <w:color w:val="auto"/>
          <w:lang w:val="en-US" w:eastAsia="zh-CN"/>
        </w:rPr>
        <w:t>3、班、组长安全生产责任制；</w:t>
      </w:r>
    </w:p>
    <w:p w14:paraId="2D0632B0">
      <w:pPr>
        <w:bidi w:val="0"/>
        <w:rPr>
          <w:rFonts w:hint="default"/>
          <w:color w:val="auto"/>
          <w:lang w:val="en-US" w:eastAsia="zh-CN"/>
        </w:rPr>
      </w:pPr>
      <w:r>
        <w:rPr>
          <w:rFonts w:hint="default"/>
          <w:color w:val="auto"/>
          <w:lang w:val="en-US" w:eastAsia="zh-CN"/>
        </w:rPr>
        <w:t>4、岗位（工种）工人安全生产责任制。</w:t>
      </w:r>
    </w:p>
    <w:p w14:paraId="38187B48">
      <w:pPr>
        <w:bidi w:val="0"/>
        <w:rPr>
          <w:rFonts w:hint="default"/>
          <w:color w:val="auto"/>
          <w:lang w:val="en-US" w:eastAsia="zh-CN"/>
        </w:rPr>
      </w:pPr>
      <w:r>
        <w:rPr>
          <w:rFonts w:hint="default"/>
          <w:color w:val="auto"/>
          <w:lang w:val="en-US" w:eastAsia="zh-CN"/>
        </w:rPr>
        <w:t>企业在项目建设和生产中，进行工程承包和部分工作承包的，必须依照《中华人民共和国安全生产法》的有关规定与施工单位、承包生产单位签订安全生产协议，并履行监督、协调和管理职能。</w:t>
      </w:r>
    </w:p>
    <w:p w14:paraId="039E6B0C">
      <w:pPr>
        <w:bidi w:val="0"/>
        <w:rPr>
          <w:rFonts w:hint="default"/>
          <w:color w:val="auto"/>
          <w:lang w:val="en-US" w:eastAsia="zh-CN"/>
        </w:rPr>
      </w:pPr>
      <w:r>
        <w:rPr>
          <w:rFonts w:hint="default"/>
          <w:color w:val="auto"/>
          <w:lang w:val="en-US" w:eastAsia="zh-CN"/>
        </w:rPr>
        <w:t>三、建立企业安全生产管理制度</w:t>
      </w:r>
    </w:p>
    <w:p w14:paraId="2ED2C09E">
      <w:pPr>
        <w:bidi w:val="0"/>
        <w:rPr>
          <w:rFonts w:hint="default"/>
          <w:color w:val="auto"/>
          <w:lang w:val="en-US" w:eastAsia="zh-CN"/>
        </w:rPr>
      </w:pPr>
      <w:r>
        <w:rPr>
          <w:rFonts w:hint="default"/>
          <w:color w:val="auto"/>
          <w:lang w:val="en-US" w:eastAsia="zh-CN"/>
        </w:rPr>
        <w:t>按《中华人民共和国安全生产法》和其它相关的法律法规规定建立健全安全管理制度：如安全检查制度、安全教育培训制度、职业危害预防制度及职业健康监护制度、生产安全事故管理制度；安全生产奖惩制度、设备安全管理制度(含设备维修制度)、安全生产档案管理制度、特种作业人员管理制度、劳动防护用品发放管理制度、重大危险源监控制度、安全生产会议制度、安全生产目标管理制度、隐患排查、整改制度、安全生产承诺制度、安全生产责任制度、应急救援物质管理制度、危险源辨识与风险评价管理制度、</w:t>
      </w:r>
      <w:r>
        <w:rPr>
          <w:rFonts w:hint="eastAsia"/>
          <w:color w:val="auto"/>
          <w:lang w:val="en-US" w:eastAsia="zh-CN"/>
        </w:rPr>
        <w:t>项目</w:t>
      </w:r>
      <w:r>
        <w:rPr>
          <w:rFonts w:hint="default"/>
          <w:color w:val="auto"/>
          <w:lang w:val="en-US" w:eastAsia="zh-CN"/>
        </w:rPr>
        <w:t>建设及验收安全管理制度、防震与抗震安全管理制度等。</w:t>
      </w:r>
    </w:p>
    <w:p w14:paraId="73393FB5">
      <w:pPr>
        <w:bidi w:val="0"/>
        <w:rPr>
          <w:rFonts w:hint="default"/>
          <w:color w:val="auto"/>
          <w:lang w:val="en-US" w:eastAsia="zh-CN"/>
        </w:rPr>
      </w:pPr>
      <w:r>
        <w:rPr>
          <w:rFonts w:hint="default"/>
          <w:color w:val="auto"/>
          <w:lang w:val="en-US" w:eastAsia="zh-CN"/>
        </w:rPr>
        <w:t>四、制定作业安全规程和各工种安全操作规程</w:t>
      </w:r>
    </w:p>
    <w:p w14:paraId="3E7DDC99">
      <w:pPr>
        <w:bidi w:val="0"/>
        <w:rPr>
          <w:rFonts w:hint="default"/>
          <w:color w:val="auto"/>
          <w:lang w:val="en-US" w:eastAsia="zh-CN"/>
        </w:rPr>
      </w:pPr>
      <w:r>
        <w:rPr>
          <w:rFonts w:hint="default"/>
          <w:color w:val="auto"/>
          <w:lang w:val="en-US" w:eastAsia="zh-CN"/>
        </w:rPr>
        <w:t>根据生产工艺、设备、设施、工序、工种的构成和组成情况，按设备、工序、工种建立健全安全操作规程。</w:t>
      </w:r>
    </w:p>
    <w:p w14:paraId="00CE2364">
      <w:pPr>
        <w:bidi w:val="0"/>
        <w:rPr>
          <w:rFonts w:hint="default"/>
          <w:color w:val="auto"/>
          <w:lang w:val="en-US" w:eastAsia="zh-CN"/>
        </w:rPr>
      </w:pPr>
      <w:r>
        <w:rPr>
          <w:rFonts w:hint="default"/>
          <w:color w:val="auto"/>
          <w:lang w:val="en-US" w:eastAsia="zh-CN"/>
        </w:rPr>
        <w:t>五、建立企业安全生产管理档案</w:t>
      </w:r>
    </w:p>
    <w:p w14:paraId="2DADC091">
      <w:pPr>
        <w:bidi w:val="0"/>
        <w:rPr>
          <w:rFonts w:hint="default"/>
          <w:color w:val="auto"/>
          <w:lang w:val="en-US" w:eastAsia="zh-CN"/>
        </w:rPr>
      </w:pPr>
      <w:r>
        <w:rPr>
          <w:rFonts w:hint="default"/>
          <w:color w:val="auto"/>
          <w:lang w:val="en-US" w:eastAsia="zh-CN"/>
        </w:rPr>
        <w:t>建立完善安全生产记录档案，及时掌握企业安全生产状况，便于企业制定安全生产技术措施和安全决策。故建议企业建立以下安全生产记录档案。</w:t>
      </w:r>
    </w:p>
    <w:p w14:paraId="42D74850">
      <w:pPr>
        <w:bidi w:val="0"/>
        <w:rPr>
          <w:rFonts w:hint="default"/>
          <w:color w:val="auto"/>
          <w:lang w:val="en-US" w:eastAsia="zh-CN"/>
        </w:rPr>
      </w:pPr>
      <w:r>
        <w:rPr>
          <w:rFonts w:hint="default"/>
          <w:color w:val="auto"/>
          <w:lang w:val="en-US" w:eastAsia="zh-CN"/>
        </w:rPr>
        <w:t>1、各级安全生产会议记录档案；</w:t>
      </w:r>
    </w:p>
    <w:p w14:paraId="227EDE56">
      <w:pPr>
        <w:bidi w:val="0"/>
        <w:rPr>
          <w:rFonts w:hint="default"/>
          <w:color w:val="auto"/>
          <w:lang w:val="en-US" w:eastAsia="zh-CN"/>
        </w:rPr>
      </w:pPr>
      <w:r>
        <w:rPr>
          <w:rFonts w:hint="default"/>
          <w:color w:val="auto"/>
          <w:lang w:val="en-US" w:eastAsia="zh-CN"/>
        </w:rPr>
        <w:t>2、各类从业人员安全教育培训、考核、持证情况档案；</w:t>
      </w:r>
    </w:p>
    <w:p w14:paraId="7FAD2833">
      <w:pPr>
        <w:bidi w:val="0"/>
        <w:rPr>
          <w:rFonts w:hint="default"/>
          <w:color w:val="auto"/>
          <w:lang w:val="en-US" w:eastAsia="zh-CN"/>
        </w:rPr>
      </w:pPr>
      <w:r>
        <w:rPr>
          <w:rFonts w:hint="default"/>
          <w:color w:val="auto"/>
          <w:lang w:val="en-US" w:eastAsia="zh-CN"/>
        </w:rPr>
        <w:t>3、设备、设施安全管理档案；</w:t>
      </w:r>
    </w:p>
    <w:p w14:paraId="05149ABC">
      <w:pPr>
        <w:bidi w:val="0"/>
        <w:rPr>
          <w:rFonts w:hint="default"/>
          <w:color w:val="auto"/>
          <w:lang w:val="en-US" w:eastAsia="zh-CN"/>
        </w:rPr>
      </w:pPr>
      <w:r>
        <w:rPr>
          <w:rFonts w:hint="default"/>
          <w:color w:val="auto"/>
          <w:lang w:val="en-US" w:eastAsia="zh-CN"/>
        </w:rPr>
        <w:t>4、现场安全检查、事故隐患及其整改情况档案；</w:t>
      </w:r>
    </w:p>
    <w:p w14:paraId="457CBF7A">
      <w:pPr>
        <w:bidi w:val="0"/>
        <w:rPr>
          <w:rFonts w:hint="default"/>
          <w:color w:val="auto"/>
          <w:lang w:val="en-US" w:eastAsia="zh-CN"/>
        </w:rPr>
      </w:pPr>
      <w:r>
        <w:rPr>
          <w:rFonts w:hint="default"/>
          <w:color w:val="auto"/>
          <w:lang w:val="en-US" w:eastAsia="zh-CN"/>
        </w:rPr>
        <w:t>5、职工劳动用品发放管理档案；</w:t>
      </w:r>
    </w:p>
    <w:p w14:paraId="407C9ACF">
      <w:pPr>
        <w:bidi w:val="0"/>
        <w:rPr>
          <w:rFonts w:hint="default"/>
          <w:color w:val="auto"/>
          <w:lang w:val="en-US" w:eastAsia="zh-CN"/>
        </w:rPr>
      </w:pPr>
      <w:r>
        <w:rPr>
          <w:rFonts w:hint="default"/>
          <w:color w:val="auto"/>
          <w:lang w:val="en-US" w:eastAsia="zh-CN"/>
        </w:rPr>
        <w:t>6、职工违章处罚情况档案；</w:t>
      </w:r>
    </w:p>
    <w:p w14:paraId="3AE95D4F">
      <w:pPr>
        <w:bidi w:val="0"/>
        <w:rPr>
          <w:rFonts w:hint="default"/>
          <w:color w:val="auto"/>
          <w:lang w:val="en-US" w:eastAsia="zh-CN"/>
        </w:rPr>
      </w:pPr>
      <w:r>
        <w:rPr>
          <w:rFonts w:hint="default"/>
          <w:color w:val="auto"/>
          <w:lang w:val="en-US" w:eastAsia="zh-CN"/>
        </w:rPr>
        <w:t>7、伤亡事故分析、处理、统计档案；</w:t>
      </w:r>
    </w:p>
    <w:p w14:paraId="71E07E2C">
      <w:pPr>
        <w:bidi w:val="0"/>
        <w:rPr>
          <w:rFonts w:hint="default"/>
          <w:color w:val="auto"/>
          <w:lang w:val="en-US" w:eastAsia="zh-CN"/>
        </w:rPr>
      </w:pPr>
      <w:r>
        <w:rPr>
          <w:rFonts w:hint="default"/>
          <w:color w:val="auto"/>
          <w:lang w:val="en-US" w:eastAsia="zh-CN"/>
        </w:rPr>
        <w:t>8、特种作业人员记录档案；</w:t>
      </w:r>
    </w:p>
    <w:p w14:paraId="644EC45B">
      <w:pPr>
        <w:bidi w:val="0"/>
        <w:rPr>
          <w:rFonts w:hint="default"/>
          <w:color w:val="auto"/>
          <w:lang w:val="en-US" w:eastAsia="zh-CN"/>
        </w:rPr>
      </w:pPr>
      <w:r>
        <w:rPr>
          <w:rFonts w:hint="default"/>
          <w:color w:val="auto"/>
          <w:lang w:val="en-US" w:eastAsia="zh-CN"/>
        </w:rPr>
        <w:t>9、安全生产责任制签订、考核情况档案；</w:t>
      </w:r>
    </w:p>
    <w:p w14:paraId="3BB0A0AD">
      <w:pPr>
        <w:bidi w:val="0"/>
        <w:rPr>
          <w:rFonts w:hint="default"/>
          <w:color w:val="auto"/>
          <w:lang w:val="en-US" w:eastAsia="zh-CN"/>
        </w:rPr>
      </w:pPr>
      <w:r>
        <w:rPr>
          <w:rFonts w:hint="default"/>
          <w:color w:val="auto"/>
          <w:lang w:val="en-US" w:eastAsia="zh-CN"/>
        </w:rPr>
        <w:t>10、其它安全生产管理档案。</w:t>
      </w:r>
    </w:p>
    <w:p w14:paraId="2595F8D1">
      <w:pPr>
        <w:bidi w:val="0"/>
        <w:rPr>
          <w:rFonts w:hint="default"/>
          <w:color w:val="auto"/>
          <w:lang w:val="en-US" w:eastAsia="zh-CN"/>
        </w:rPr>
      </w:pPr>
      <w:r>
        <w:rPr>
          <w:rFonts w:hint="default"/>
          <w:color w:val="auto"/>
          <w:lang w:val="en-US" w:eastAsia="zh-CN"/>
        </w:rPr>
        <w:t>六、制定企业安全生产投入和技术措施计划</w:t>
      </w:r>
    </w:p>
    <w:p w14:paraId="16068ACF">
      <w:pPr>
        <w:bidi w:val="0"/>
        <w:rPr>
          <w:rFonts w:hint="default"/>
          <w:color w:val="auto"/>
          <w:lang w:val="en-US" w:eastAsia="zh-CN"/>
        </w:rPr>
      </w:pPr>
      <w:r>
        <w:rPr>
          <w:rFonts w:hint="default"/>
          <w:color w:val="auto"/>
          <w:lang w:val="en-US" w:eastAsia="zh-CN"/>
        </w:rPr>
        <w:t>通过制定安全技术措施，以便针对不同作业场所的具体情况进行安全控制。</w:t>
      </w:r>
    </w:p>
    <w:p w14:paraId="347A0802">
      <w:pPr>
        <w:bidi w:val="0"/>
        <w:rPr>
          <w:rFonts w:hint="default"/>
          <w:color w:val="auto"/>
          <w:lang w:val="en-US" w:eastAsia="zh-CN"/>
        </w:rPr>
      </w:pPr>
      <w:r>
        <w:rPr>
          <w:rFonts w:hint="default"/>
          <w:color w:val="auto"/>
          <w:lang w:val="en-US" w:eastAsia="zh-CN"/>
        </w:rPr>
        <w:t>七、加强对企业各级人员的安全培训考核工作</w:t>
      </w:r>
    </w:p>
    <w:p w14:paraId="614061F2">
      <w:pPr>
        <w:bidi w:val="0"/>
        <w:rPr>
          <w:rFonts w:hint="default"/>
          <w:color w:val="auto"/>
          <w:lang w:val="en-US" w:eastAsia="zh-CN"/>
        </w:rPr>
      </w:pPr>
      <w:r>
        <w:rPr>
          <w:rFonts w:hint="default"/>
          <w:color w:val="auto"/>
          <w:lang w:val="en-US" w:eastAsia="zh-CN"/>
        </w:rPr>
        <w:t>《中华人民共和国安全生产法》规定，主要负责人和安全生产管理人员应当由主管的负有安全生产监督管理职责的部门对其安全生产知识和管理能力考核合格；特种作业人员需经培训，考核取得资格证后方可持证上岗；生产作业人员需经</w:t>
      </w:r>
      <w:r>
        <w:rPr>
          <w:rFonts w:hint="eastAsia"/>
          <w:color w:val="auto"/>
          <w:lang w:val="en-US" w:eastAsia="zh-CN"/>
        </w:rPr>
        <w:t>“</w:t>
      </w:r>
      <w:r>
        <w:rPr>
          <w:rFonts w:hint="default"/>
          <w:color w:val="auto"/>
          <w:lang w:val="en-US" w:eastAsia="zh-CN"/>
        </w:rPr>
        <w:t>三级</w:t>
      </w:r>
      <w:r>
        <w:rPr>
          <w:rFonts w:hint="eastAsia"/>
          <w:color w:val="auto"/>
          <w:lang w:val="en-US" w:eastAsia="zh-CN"/>
        </w:rPr>
        <w:t>”</w:t>
      </w:r>
      <w:r>
        <w:rPr>
          <w:rFonts w:hint="default"/>
          <w:color w:val="auto"/>
          <w:lang w:val="en-US" w:eastAsia="zh-CN"/>
        </w:rPr>
        <w:t>安全教育并考核合格方可上岗作业，未经安全生产教育和培训合格不得上岗作业。</w:t>
      </w:r>
    </w:p>
    <w:p w14:paraId="53D807B3">
      <w:pPr>
        <w:bidi w:val="0"/>
        <w:rPr>
          <w:rFonts w:hint="default"/>
          <w:color w:val="auto"/>
          <w:lang w:val="en-US" w:eastAsia="zh-CN"/>
        </w:rPr>
      </w:pPr>
      <w:r>
        <w:rPr>
          <w:rFonts w:hint="default"/>
          <w:color w:val="auto"/>
          <w:lang w:val="en-US" w:eastAsia="zh-CN"/>
        </w:rPr>
        <w:t>本报告根据有关安全生产的培训要求提出安全教育培训对象和内容如下：</w:t>
      </w:r>
    </w:p>
    <w:p w14:paraId="302840CB">
      <w:pPr>
        <w:bidi w:val="0"/>
        <w:rPr>
          <w:rFonts w:hint="default"/>
          <w:color w:val="auto"/>
          <w:lang w:val="en-US" w:eastAsia="zh-CN"/>
        </w:rPr>
      </w:pPr>
      <w:r>
        <w:rPr>
          <w:rFonts w:hint="default"/>
          <w:color w:val="auto"/>
          <w:lang w:val="en-US" w:eastAsia="zh-CN"/>
        </w:rPr>
        <w:t>1、对新从业人员，应进行</w:t>
      </w:r>
      <w:r>
        <w:rPr>
          <w:rFonts w:hint="eastAsia"/>
          <w:color w:val="auto"/>
          <w:lang w:val="en-US" w:eastAsia="zh-CN"/>
        </w:rPr>
        <w:t>“</w:t>
      </w:r>
      <w:r>
        <w:rPr>
          <w:rFonts w:hint="default"/>
          <w:color w:val="auto"/>
          <w:lang w:val="en-US" w:eastAsia="zh-CN"/>
        </w:rPr>
        <w:t>三级</w:t>
      </w:r>
      <w:r>
        <w:rPr>
          <w:rFonts w:hint="eastAsia"/>
          <w:color w:val="auto"/>
          <w:lang w:val="en-US" w:eastAsia="zh-CN"/>
        </w:rPr>
        <w:t>”</w:t>
      </w:r>
      <w:r>
        <w:rPr>
          <w:rFonts w:hint="default"/>
          <w:color w:val="auto"/>
          <w:lang w:val="en-US" w:eastAsia="zh-CN"/>
        </w:rPr>
        <w:t>安全生产教育培训。</w:t>
      </w:r>
    </w:p>
    <w:p w14:paraId="3302961A">
      <w:pPr>
        <w:bidi w:val="0"/>
        <w:rPr>
          <w:rFonts w:hint="default"/>
          <w:color w:val="auto"/>
          <w:lang w:val="en-US" w:eastAsia="zh-CN"/>
        </w:rPr>
      </w:pPr>
      <w:r>
        <w:rPr>
          <w:rFonts w:hint="default"/>
          <w:color w:val="auto"/>
          <w:lang w:val="en-US" w:eastAsia="zh-CN"/>
        </w:rPr>
        <w:t>（1）厂级安全生产教育培训内容主要是：安全生产基本知识；尾矿回采安全生产规章制度；劳动纪律；作业场所和工作岗位存在的危险因素、防范措施及事故应急措施；有关事故案例等。</w:t>
      </w:r>
    </w:p>
    <w:p w14:paraId="438F091E">
      <w:pPr>
        <w:bidi w:val="0"/>
        <w:rPr>
          <w:rFonts w:hint="default"/>
          <w:color w:val="auto"/>
          <w:lang w:val="en-US" w:eastAsia="zh-CN"/>
        </w:rPr>
      </w:pPr>
      <w:r>
        <w:rPr>
          <w:rFonts w:hint="default"/>
          <w:color w:val="auto"/>
          <w:lang w:val="en-US" w:eastAsia="zh-CN"/>
        </w:rPr>
        <w:t>（2）车间级安全生产教育培训内容主要是：本车间安全生产状况和规章制度；作业场所和工作岗位存在的危险因素、防范措施及事故应急措施；事故案例等。</w:t>
      </w:r>
    </w:p>
    <w:p w14:paraId="0F85EA4D">
      <w:pPr>
        <w:bidi w:val="0"/>
        <w:rPr>
          <w:rFonts w:hint="default"/>
          <w:color w:val="auto"/>
          <w:lang w:val="en-US" w:eastAsia="zh-CN"/>
        </w:rPr>
      </w:pPr>
      <w:r>
        <w:rPr>
          <w:rFonts w:hint="default"/>
          <w:color w:val="auto"/>
          <w:lang w:val="en-US" w:eastAsia="zh-CN"/>
        </w:rPr>
        <w:t>（3）班组级安全生产教育培训内容主要是：岗位安全操作规程；生产设备、安全装置、劳动防护用品的正确使用方法；事故案例等。</w:t>
      </w:r>
    </w:p>
    <w:p w14:paraId="1224EC62">
      <w:pPr>
        <w:bidi w:val="0"/>
        <w:rPr>
          <w:rFonts w:hint="default"/>
          <w:color w:val="auto"/>
          <w:lang w:val="en-US" w:eastAsia="zh-CN"/>
        </w:rPr>
      </w:pPr>
      <w:r>
        <w:rPr>
          <w:rFonts w:hint="default"/>
          <w:color w:val="auto"/>
          <w:lang w:val="en-US" w:eastAsia="zh-CN"/>
        </w:rPr>
        <w:t>2、培训时间</w:t>
      </w:r>
    </w:p>
    <w:p w14:paraId="53E14B94">
      <w:pPr>
        <w:bidi w:val="0"/>
        <w:rPr>
          <w:rFonts w:hint="default"/>
          <w:color w:val="auto"/>
          <w:lang w:val="en-US" w:eastAsia="zh-CN"/>
        </w:rPr>
      </w:pPr>
      <w:r>
        <w:rPr>
          <w:rFonts w:hint="default"/>
          <w:color w:val="auto"/>
          <w:lang w:val="en-US" w:eastAsia="zh-CN"/>
        </w:rPr>
        <w:t>（1）新上岗的从业人员安全培训时间不得少于</w:t>
      </w:r>
      <w:r>
        <w:rPr>
          <w:rFonts w:hint="eastAsia"/>
          <w:color w:val="auto"/>
          <w:lang w:val="en-US" w:eastAsia="zh-CN"/>
        </w:rPr>
        <w:t>24</w:t>
      </w:r>
      <w:r>
        <w:rPr>
          <w:rFonts w:hint="default"/>
          <w:color w:val="auto"/>
          <w:lang w:val="en-US" w:eastAsia="zh-CN"/>
        </w:rPr>
        <w:t>学时，每年再培训的时间不得少于20学时。</w:t>
      </w:r>
    </w:p>
    <w:p w14:paraId="1FECC5FF">
      <w:pPr>
        <w:bidi w:val="0"/>
        <w:rPr>
          <w:rFonts w:hint="default"/>
          <w:color w:val="auto"/>
          <w:lang w:val="en-US" w:eastAsia="zh-CN"/>
        </w:rPr>
      </w:pPr>
      <w:r>
        <w:rPr>
          <w:rFonts w:hint="default"/>
          <w:color w:val="auto"/>
          <w:lang w:val="en-US" w:eastAsia="zh-CN"/>
        </w:rPr>
        <w:t>（2）调整工作岗位或离岗一年以上重新上岗时，应进行相应的车间级安全生产教育培训。</w:t>
      </w:r>
    </w:p>
    <w:p w14:paraId="6EB74F04">
      <w:pPr>
        <w:bidi w:val="0"/>
        <w:rPr>
          <w:rFonts w:hint="default"/>
          <w:color w:val="auto"/>
          <w:lang w:val="en-US" w:eastAsia="zh-CN"/>
        </w:rPr>
      </w:pPr>
      <w:r>
        <w:rPr>
          <w:rFonts w:hint="default"/>
          <w:color w:val="auto"/>
          <w:lang w:val="en-US" w:eastAsia="zh-CN"/>
        </w:rPr>
        <w:t>（3）实施新工艺、新技术或使用新设备、新材料时应对从业人员进行有针对性的安全生产教育培训。</w:t>
      </w:r>
    </w:p>
    <w:p w14:paraId="6F889567">
      <w:pPr>
        <w:bidi w:val="0"/>
        <w:rPr>
          <w:rFonts w:hint="default"/>
          <w:color w:val="auto"/>
          <w:lang w:val="en-US" w:eastAsia="zh-CN"/>
        </w:rPr>
      </w:pPr>
      <w:r>
        <w:rPr>
          <w:rFonts w:hint="default"/>
          <w:color w:val="auto"/>
          <w:lang w:val="en-US" w:eastAsia="zh-CN"/>
        </w:rPr>
        <w:t>要确立终身教育的观念和全员培训的目标，对在岗的从业人员应进行经常性的安全生产教育培训，其内容主要是：安全生产新知识、新技术；安全生产法律法规；作业场所和工作岗位存在危险因素、防范措施及事故应急措施事故案例等。</w:t>
      </w:r>
    </w:p>
    <w:p w14:paraId="22382FC4">
      <w:pPr>
        <w:bidi w:val="0"/>
        <w:rPr>
          <w:rFonts w:hint="default"/>
          <w:color w:val="auto"/>
          <w:lang w:val="en-US" w:eastAsia="zh-CN"/>
        </w:rPr>
      </w:pPr>
      <w:r>
        <w:rPr>
          <w:rFonts w:hint="default"/>
          <w:color w:val="auto"/>
          <w:lang w:val="en-US" w:eastAsia="zh-CN"/>
        </w:rPr>
        <w:t>八、加强安全警示、标示</w:t>
      </w:r>
    </w:p>
    <w:p w14:paraId="5664A258">
      <w:pPr>
        <w:bidi w:val="0"/>
        <w:rPr>
          <w:rFonts w:hint="default"/>
          <w:color w:val="auto"/>
          <w:lang w:val="en-US" w:eastAsia="zh-CN"/>
        </w:rPr>
      </w:pPr>
      <w:r>
        <w:rPr>
          <w:rFonts w:hint="default"/>
          <w:color w:val="auto"/>
          <w:lang w:val="en-US" w:eastAsia="zh-CN"/>
        </w:rPr>
        <w:t>企业应在</w:t>
      </w:r>
      <w:r>
        <w:rPr>
          <w:rFonts w:hint="eastAsia"/>
          <w:color w:val="auto"/>
          <w:lang w:val="en-US" w:eastAsia="zh-CN"/>
        </w:rPr>
        <w:t>本项目</w:t>
      </w:r>
      <w:r>
        <w:rPr>
          <w:rFonts w:hint="default"/>
          <w:color w:val="auto"/>
          <w:lang w:val="en-US" w:eastAsia="zh-CN"/>
        </w:rPr>
        <w:t>防排洪设施、供配电设施、厂区道路、水池及边坡等设置安全警示、标识牌。</w:t>
      </w:r>
    </w:p>
    <w:p w14:paraId="1743426B">
      <w:pPr>
        <w:bidi w:val="0"/>
        <w:rPr>
          <w:rFonts w:hint="default"/>
          <w:color w:val="auto"/>
          <w:lang w:val="en-US" w:eastAsia="zh-CN"/>
        </w:rPr>
      </w:pPr>
      <w:r>
        <w:rPr>
          <w:rFonts w:hint="default"/>
          <w:color w:val="auto"/>
          <w:lang w:val="en-US" w:eastAsia="zh-CN"/>
        </w:rPr>
        <w:t>九、事故应急救援</w:t>
      </w:r>
    </w:p>
    <w:p w14:paraId="608634F1">
      <w:pPr>
        <w:bidi w:val="0"/>
        <w:rPr>
          <w:rFonts w:hint="default"/>
          <w:color w:val="auto"/>
          <w:lang w:val="en-US" w:eastAsia="zh-CN"/>
        </w:rPr>
      </w:pPr>
      <w:r>
        <w:rPr>
          <w:rFonts w:hint="default"/>
          <w:color w:val="auto"/>
          <w:lang w:val="en-US" w:eastAsia="zh-CN"/>
        </w:rPr>
        <w:t>根据建设项目存在的危险有害因素分布情况，编制安全生产事故应急救援预案，并按照要求进行评审备案。设置应急救援组织机构，明确应急救援职责及应急对策措施，配备必要的应急救援器材、设备，并定期组织演练，保存演练记录。</w:t>
      </w:r>
    </w:p>
    <w:p w14:paraId="561D3E3A">
      <w:pPr>
        <w:bidi w:val="0"/>
        <w:rPr>
          <w:rFonts w:hint="default"/>
          <w:color w:val="auto"/>
          <w:lang w:val="en-US" w:eastAsia="zh-CN"/>
        </w:rPr>
      </w:pPr>
      <w:r>
        <w:rPr>
          <w:rFonts w:hint="default"/>
          <w:color w:val="auto"/>
          <w:lang w:val="en-US" w:eastAsia="zh-CN"/>
        </w:rPr>
        <w:t>制定应急预案演练计划，根据</w:t>
      </w:r>
      <w:r>
        <w:rPr>
          <w:rFonts w:hint="eastAsia"/>
          <w:color w:val="auto"/>
          <w:lang w:val="en-US" w:eastAsia="zh-CN"/>
        </w:rPr>
        <w:t>本项目</w:t>
      </w:r>
      <w:r>
        <w:rPr>
          <w:rFonts w:hint="default"/>
          <w:color w:val="auto"/>
          <w:lang w:val="en-US" w:eastAsia="zh-CN"/>
        </w:rPr>
        <w:t>事故风险特点，每年至少组织一次综合应急预案演练或者专项应急预案演练，每半年至少组织一次现场处置方案演练。生产安全事故应急处置和应急救援结束后，应当对应急预案实施情况进行总结评估。</w:t>
      </w:r>
    </w:p>
    <w:p w14:paraId="154551D3">
      <w:pPr>
        <w:pStyle w:val="6"/>
        <w:bidi w:val="0"/>
        <w:rPr>
          <w:rFonts w:hint="default"/>
          <w:color w:val="auto"/>
          <w:lang w:val="en-US" w:eastAsia="zh-CN"/>
        </w:rPr>
      </w:pPr>
      <w:r>
        <w:rPr>
          <w:rFonts w:hint="default"/>
          <w:color w:val="auto"/>
          <w:lang w:val="en-US" w:eastAsia="zh-CN"/>
        </w:rPr>
        <w:t>5.5.3 评价单元小结</w:t>
      </w:r>
    </w:p>
    <w:p w14:paraId="62F38149">
      <w:pPr>
        <w:bidi w:val="0"/>
        <w:rPr>
          <w:rFonts w:hint="default"/>
          <w:color w:val="auto"/>
          <w:lang w:val="en-US" w:eastAsia="zh-CN"/>
        </w:rPr>
      </w:pPr>
      <w:r>
        <w:rPr>
          <w:rFonts w:hint="default"/>
          <w:color w:val="auto"/>
          <w:lang w:val="en-US" w:eastAsia="zh-CN"/>
        </w:rPr>
        <w:t>企业应根据生产的发展及建设项目的具体情况，设置安全生产管理机构，完善安全生产责任制、安全管理制度、安全技术操作规程等。</w:t>
      </w:r>
    </w:p>
    <w:p w14:paraId="3F49ACAE">
      <w:pPr>
        <w:bidi w:val="0"/>
        <w:rPr>
          <w:rFonts w:hint="default"/>
          <w:color w:val="auto"/>
          <w:lang w:val="en-US" w:eastAsia="zh-CN"/>
        </w:rPr>
      </w:pPr>
      <w:r>
        <w:rPr>
          <w:rFonts w:hint="default"/>
          <w:color w:val="auto"/>
          <w:lang w:val="en-US" w:eastAsia="zh-CN"/>
        </w:rPr>
        <w:t>本单元应注意以下问题：</w:t>
      </w:r>
    </w:p>
    <w:p w14:paraId="40C9F777">
      <w:pPr>
        <w:bidi w:val="0"/>
        <w:rPr>
          <w:rFonts w:hint="default"/>
          <w:color w:val="auto"/>
          <w:lang w:val="en-US" w:eastAsia="zh-CN"/>
        </w:rPr>
      </w:pPr>
      <w:r>
        <w:rPr>
          <w:rFonts w:hint="default"/>
          <w:color w:val="auto"/>
          <w:lang w:val="en-US" w:eastAsia="zh-CN"/>
        </w:rPr>
        <w:t>1、企业设置了三级安全管理机构，应补充完善各级安全管理机构、人员职责；</w:t>
      </w:r>
    </w:p>
    <w:p w14:paraId="377E8F7F">
      <w:pPr>
        <w:bidi w:val="0"/>
        <w:rPr>
          <w:rFonts w:hint="default"/>
          <w:color w:val="auto"/>
          <w:lang w:val="en-US" w:eastAsia="zh-CN"/>
        </w:rPr>
      </w:pPr>
      <w:r>
        <w:rPr>
          <w:rFonts w:hint="default"/>
          <w:color w:val="auto"/>
          <w:lang w:val="en-US" w:eastAsia="zh-CN"/>
        </w:rPr>
        <w:t>2、建立安全生产管理机构，确定主要负责人和安全管理人员，并经安全生产监管监察部门对其安全生产知识和管理能力考核合格，特种作业人员应取得特种作业资格证。</w:t>
      </w:r>
    </w:p>
    <w:p w14:paraId="3F3C3435">
      <w:pPr>
        <w:bidi w:val="0"/>
        <w:rPr>
          <w:rFonts w:hint="default"/>
          <w:color w:val="auto"/>
          <w:lang w:val="en-US" w:eastAsia="zh-CN"/>
        </w:rPr>
      </w:pPr>
      <w:r>
        <w:rPr>
          <w:rFonts w:hint="default"/>
          <w:color w:val="auto"/>
          <w:lang w:val="en-US" w:eastAsia="zh-CN"/>
        </w:rPr>
        <w:t>3、企业应建立健全安全责任制、安全管理制度、安全操作规程及相应的安全管理台帐，并编制事故应急救援预案，进行定期演练。</w:t>
      </w:r>
    </w:p>
    <w:p w14:paraId="0C3B8F62">
      <w:pPr>
        <w:bidi w:val="0"/>
        <w:rPr>
          <w:rFonts w:hint="default"/>
          <w:color w:val="auto"/>
          <w:lang w:val="en-US" w:eastAsia="zh-CN"/>
        </w:rPr>
      </w:pPr>
      <w:r>
        <w:rPr>
          <w:rFonts w:hint="default"/>
          <w:color w:val="auto"/>
          <w:lang w:val="en-US" w:eastAsia="zh-CN"/>
        </w:rPr>
        <w:t>4、为从业人员提供符合国家标准或者行业标准的劳动防护用品。</w:t>
      </w:r>
    </w:p>
    <w:p w14:paraId="36A93646">
      <w:pPr>
        <w:bidi w:val="0"/>
        <w:rPr>
          <w:rFonts w:hint="default"/>
          <w:color w:val="auto"/>
          <w:lang w:val="en-US" w:eastAsia="zh-CN"/>
        </w:rPr>
      </w:pPr>
      <w:r>
        <w:rPr>
          <w:rFonts w:hint="default"/>
          <w:color w:val="auto"/>
          <w:lang w:val="en-US" w:eastAsia="zh-CN"/>
        </w:rPr>
        <w:t>5、企业应编制安全生产事故应急救援预案并备案。</w:t>
      </w:r>
    </w:p>
    <w:p w14:paraId="1C3CCC75">
      <w:pPr>
        <w:rPr>
          <w:rFonts w:hint="default"/>
          <w:color w:val="auto"/>
          <w:lang w:val="en-US" w:eastAsia="zh-CN"/>
        </w:rPr>
      </w:pPr>
      <w:r>
        <w:rPr>
          <w:rFonts w:hint="default"/>
          <w:color w:val="auto"/>
          <w:lang w:val="en-US" w:eastAsia="zh-CN"/>
        </w:rPr>
        <w:br w:type="page"/>
      </w:r>
    </w:p>
    <w:p w14:paraId="3AA27BDB">
      <w:pPr>
        <w:pStyle w:val="4"/>
        <w:bidi w:val="0"/>
        <w:rPr>
          <w:rFonts w:hint="default"/>
          <w:color w:val="auto"/>
          <w:lang w:val="en-US" w:eastAsia="zh-CN"/>
        </w:rPr>
      </w:pPr>
      <w:bookmarkStart w:id="36" w:name="_Toc17806"/>
      <w:r>
        <w:rPr>
          <w:rFonts w:hint="default"/>
          <w:color w:val="auto"/>
          <w:lang w:val="en-US" w:eastAsia="zh-CN"/>
        </w:rPr>
        <w:t>6 安全对策措施建议</w:t>
      </w:r>
      <w:bookmarkEnd w:id="36"/>
    </w:p>
    <w:p w14:paraId="59D19C94">
      <w:pPr>
        <w:pStyle w:val="5"/>
        <w:bidi w:val="0"/>
        <w:rPr>
          <w:rFonts w:hint="eastAsia"/>
          <w:color w:val="auto"/>
        </w:rPr>
      </w:pPr>
      <w:bookmarkStart w:id="37" w:name="_Toc14313"/>
      <w:r>
        <w:rPr>
          <w:rFonts w:hint="eastAsia"/>
          <w:color w:val="auto"/>
        </w:rPr>
        <w:t>6.1 厂址及总平面布置单元安全对策措施建议</w:t>
      </w:r>
      <w:bookmarkEnd w:id="37"/>
    </w:p>
    <w:p w14:paraId="7F9A0EBF">
      <w:pPr>
        <w:bidi w:val="0"/>
        <w:rPr>
          <w:rFonts w:hint="default"/>
          <w:color w:val="auto"/>
          <w:lang w:val="en-US" w:eastAsia="zh-CN"/>
        </w:rPr>
      </w:pPr>
      <w:r>
        <w:rPr>
          <w:rFonts w:hint="eastAsia"/>
          <w:color w:val="auto"/>
          <w:lang w:val="en-US" w:eastAsia="zh-CN"/>
        </w:rPr>
        <w:t>1、根据《选矿安全规程》（GB 18152-2000）第5.1.1条规定，选择厂址应有完整的地形、工程地质、水文地质、地震、气象及环境影响评价等方面的资料作依据。</w:t>
      </w:r>
    </w:p>
    <w:p w14:paraId="191A9A71">
      <w:pPr>
        <w:bidi w:val="0"/>
        <w:rPr>
          <w:rFonts w:hint="default"/>
          <w:color w:val="auto"/>
          <w:lang w:val="en-US" w:eastAsia="zh-CN"/>
        </w:rPr>
      </w:pPr>
      <w:r>
        <w:rPr>
          <w:rFonts w:hint="eastAsia"/>
          <w:color w:val="auto"/>
          <w:lang w:val="en-US" w:eastAsia="zh-CN"/>
        </w:rPr>
        <w:t>2、根据《选矿安全规程》（GB 18152-2000）第5.1.2条规定，选择厂址，宜避开岩溶、流砂、淤泥、湿陷性黄土、断层、塌方、泥石流、滑坡等不良地质地段，否则，应采取可靠的安全措施。</w:t>
      </w:r>
    </w:p>
    <w:p w14:paraId="6ED8835B">
      <w:pPr>
        <w:bidi w:val="0"/>
        <w:rPr>
          <w:rFonts w:hint="default"/>
          <w:color w:val="auto"/>
          <w:lang w:val="en-US" w:eastAsia="zh-CN"/>
        </w:rPr>
      </w:pPr>
      <w:r>
        <w:rPr>
          <w:rFonts w:hint="eastAsia"/>
          <w:color w:val="auto"/>
          <w:lang w:val="en-US" w:eastAsia="zh-CN"/>
        </w:rPr>
        <w:t>3、按工艺流程合理布置厂房，做到功能分区明确、道路通畅、物流高效，厂区建筑物之间符合《建筑设计防火规范》（GB 50016-2014，2018年版）的表3.4.1规定。</w:t>
      </w:r>
    </w:p>
    <w:p w14:paraId="3FD3095C">
      <w:pPr>
        <w:bidi w:val="0"/>
        <w:rPr>
          <w:rFonts w:hint="default"/>
          <w:color w:val="auto"/>
          <w:lang w:val="en-US" w:eastAsia="zh-CN"/>
        </w:rPr>
      </w:pPr>
      <w:r>
        <w:rPr>
          <w:rFonts w:hint="eastAsia"/>
          <w:color w:val="auto"/>
          <w:lang w:val="en-US" w:eastAsia="zh-CN"/>
        </w:rPr>
        <w:t>4、根据《选矿安全规程》（GB 18152-2000）第5.2.3条规定，应设置通达厂房、仓库和可燃原料堆场的消防车道（也可利用交通运输道路），其宽度应不小于3.5m。尽头式消防车道，应设回车道或不小于12m×12m的回车场。</w:t>
      </w:r>
    </w:p>
    <w:p w14:paraId="40403B8F">
      <w:pPr>
        <w:bidi w:val="0"/>
        <w:rPr>
          <w:rFonts w:hint="default"/>
          <w:color w:val="auto"/>
          <w:lang w:val="en-US" w:eastAsia="zh-CN"/>
        </w:rPr>
      </w:pPr>
      <w:r>
        <w:rPr>
          <w:rFonts w:hint="eastAsia"/>
          <w:color w:val="auto"/>
          <w:lang w:val="en-US" w:eastAsia="zh-CN"/>
        </w:rPr>
        <w:t>5、根据《选矿安全规程》（GB 18152-2000）第</w:t>
      </w:r>
      <w:r>
        <w:rPr>
          <w:rFonts w:hint="default"/>
          <w:color w:val="auto"/>
          <w:lang w:val="en-US" w:eastAsia="zh-CN"/>
        </w:rPr>
        <w:t>6</w:t>
      </w:r>
      <w:r>
        <w:rPr>
          <w:rFonts w:hint="eastAsia"/>
          <w:color w:val="auto"/>
          <w:lang w:val="en-US" w:eastAsia="zh-CN"/>
        </w:rPr>
        <w:t>.</w:t>
      </w:r>
      <w:r>
        <w:rPr>
          <w:rFonts w:hint="default"/>
          <w:color w:val="auto"/>
          <w:lang w:val="en-US" w:eastAsia="zh-CN"/>
        </w:rPr>
        <w:t>7</w:t>
      </w:r>
      <w:r>
        <w:rPr>
          <w:rFonts w:hint="eastAsia"/>
          <w:color w:val="auto"/>
          <w:lang w:val="en-US" w:eastAsia="zh-CN"/>
        </w:rPr>
        <w:t>条规定，</w:t>
      </w:r>
      <w:r>
        <w:rPr>
          <w:rFonts w:hint="default"/>
          <w:color w:val="auto"/>
          <w:lang w:val="en-US" w:eastAsia="zh-CN"/>
        </w:rPr>
        <w:t>荷载较重和振动较大的设备</w:t>
      </w:r>
      <w:r>
        <w:rPr>
          <w:rFonts w:hint="eastAsia"/>
          <w:color w:val="auto"/>
          <w:lang w:val="en-US" w:eastAsia="zh-CN"/>
        </w:rPr>
        <w:t>，</w:t>
      </w:r>
      <w:r>
        <w:rPr>
          <w:rFonts w:hint="default"/>
          <w:color w:val="auto"/>
          <w:lang w:val="en-US" w:eastAsia="zh-CN"/>
        </w:rPr>
        <w:t>其基础不应坐落在平台上</w:t>
      </w:r>
      <w:r>
        <w:rPr>
          <w:rFonts w:hint="eastAsia"/>
          <w:color w:val="auto"/>
          <w:lang w:val="en-US" w:eastAsia="zh-CN"/>
        </w:rPr>
        <w:t>，</w:t>
      </w:r>
      <w:r>
        <w:rPr>
          <w:rFonts w:hint="default"/>
          <w:color w:val="auto"/>
          <w:lang w:val="en-US" w:eastAsia="zh-CN"/>
        </w:rPr>
        <w:t>而应坐落在地基上。操作平台有集中荷载时应采取特殊加固措施。</w:t>
      </w:r>
    </w:p>
    <w:p w14:paraId="6739633D">
      <w:pPr>
        <w:bidi w:val="0"/>
        <w:rPr>
          <w:rFonts w:hint="eastAsia"/>
          <w:color w:val="auto"/>
          <w:lang w:val="en-US" w:eastAsia="zh-CN"/>
        </w:rPr>
      </w:pPr>
      <w:r>
        <w:rPr>
          <w:rFonts w:hint="eastAsia"/>
          <w:color w:val="auto"/>
          <w:lang w:val="en-US" w:eastAsia="zh-CN"/>
        </w:rPr>
        <w:t>6、根据《选矿安全规程》（GB 18152-2000）第6.9条规定，厂房内主要操作通道宽度应不小于1.5m一般设备维护通道宽度应不小于1.0m通道净空高度应小于2.0m。</w:t>
      </w:r>
    </w:p>
    <w:p w14:paraId="51E47400">
      <w:pPr>
        <w:bidi w:val="0"/>
        <w:rPr>
          <w:rFonts w:hint="eastAsia"/>
          <w:color w:val="auto"/>
          <w:lang w:val="en-US" w:eastAsia="zh-CN"/>
        </w:rPr>
      </w:pPr>
      <w:r>
        <w:rPr>
          <w:rFonts w:hint="eastAsia"/>
          <w:color w:val="auto"/>
          <w:lang w:val="en-US" w:eastAsia="zh-CN"/>
        </w:rPr>
        <w:t>7、根据《选矿安全规程》（GB 18152-2000）第6.11条规定，高度超过0.6m的平台，周围应设栏杆；平台上的孔洞应设栏杆或盖板；必要时，平台边缘应设安全防护板。</w:t>
      </w:r>
    </w:p>
    <w:p w14:paraId="627FC13A">
      <w:pPr>
        <w:bidi w:val="0"/>
        <w:rPr>
          <w:rFonts w:hint="eastAsia"/>
          <w:color w:val="auto"/>
          <w:lang w:val="en-US" w:eastAsia="zh-CN"/>
        </w:rPr>
      </w:pPr>
      <w:r>
        <w:rPr>
          <w:rFonts w:hint="eastAsia"/>
          <w:color w:val="auto"/>
          <w:lang w:val="en-US" w:eastAsia="zh-CN"/>
        </w:rPr>
        <w:t>8、根据《选矿安全规程》（GB 18152-2000）第6.12条规定，天桥、通道及走梯，宜用花纹钢板制作。直梯、斜梯、栏杆及平台的制作，应分别符合GB 4053.1、GB 4053.2、GB 4053.3和GB 4053.4的要求。</w:t>
      </w:r>
    </w:p>
    <w:p w14:paraId="55BBD6F0">
      <w:pPr>
        <w:bidi w:val="0"/>
        <w:rPr>
          <w:rFonts w:hint="eastAsia"/>
          <w:color w:val="auto"/>
          <w:lang w:val="en-US" w:eastAsia="zh-CN"/>
        </w:rPr>
      </w:pPr>
      <w:r>
        <w:rPr>
          <w:rFonts w:hint="eastAsia"/>
          <w:color w:val="auto"/>
          <w:lang w:val="en-US" w:eastAsia="zh-CN"/>
        </w:rPr>
        <w:t>9、根据《选矿安全规程》（GB 18152-2000）第6.13条规定，应定期检查、维护和清扫栏杆、平台和走梯。</w:t>
      </w:r>
    </w:p>
    <w:p w14:paraId="7B96478E">
      <w:pPr>
        <w:bidi w:val="0"/>
        <w:rPr>
          <w:rFonts w:hint="default"/>
          <w:color w:val="auto"/>
          <w:lang w:val="en-US" w:eastAsia="zh-CN"/>
        </w:rPr>
      </w:pPr>
      <w:r>
        <w:rPr>
          <w:rFonts w:hint="eastAsia"/>
          <w:color w:val="auto"/>
          <w:lang w:val="en-US" w:eastAsia="zh-CN"/>
        </w:rPr>
        <w:t>10、根据《选矿安全规程》（GB 18152-2000）第6.17条规定，设备的开关和操作箱，应设在设备附近便于操作的位置。相互联系的设备开关和操作箱，宜集中放置。主要设备电机的安装高度，应便于操作人员检查、维护；如难以满足，应设局部操作平台。</w:t>
      </w:r>
    </w:p>
    <w:p w14:paraId="0B48850E">
      <w:pPr>
        <w:bidi w:val="0"/>
        <w:rPr>
          <w:rFonts w:hint="default"/>
          <w:color w:val="auto"/>
          <w:lang w:val="en-US" w:eastAsia="zh-CN"/>
        </w:rPr>
      </w:pPr>
      <w:r>
        <w:rPr>
          <w:rFonts w:hint="eastAsia"/>
          <w:color w:val="auto"/>
          <w:lang w:val="en-US" w:eastAsia="zh-CN"/>
        </w:rPr>
        <w:t>11、根据《选矿安全规程》（GB 18152-2000）第6.18条规定，厂内各类管线、溜槽，不应妨碍操作和行走。</w:t>
      </w:r>
    </w:p>
    <w:p w14:paraId="53AC7EA9">
      <w:pPr>
        <w:bidi w:val="0"/>
        <w:rPr>
          <w:rFonts w:hint="default"/>
          <w:color w:val="auto"/>
          <w:lang w:val="en-US" w:eastAsia="zh-CN"/>
        </w:rPr>
      </w:pPr>
      <w:r>
        <w:rPr>
          <w:rFonts w:hint="eastAsia"/>
          <w:color w:val="auto"/>
          <w:lang w:val="en-US" w:eastAsia="zh-CN"/>
        </w:rPr>
        <w:t>12、根据《选矿安全规程》（GB 18152-2000）第</w:t>
      </w:r>
      <w:r>
        <w:rPr>
          <w:rFonts w:hint="default"/>
          <w:color w:val="auto"/>
          <w:lang w:val="en-US" w:eastAsia="zh-CN"/>
        </w:rPr>
        <w:t>6</w:t>
      </w:r>
      <w:r>
        <w:rPr>
          <w:rFonts w:hint="eastAsia"/>
          <w:color w:val="auto"/>
          <w:lang w:val="en-US" w:eastAsia="zh-CN"/>
        </w:rPr>
        <w:t>.</w:t>
      </w:r>
      <w:r>
        <w:rPr>
          <w:rFonts w:hint="default"/>
          <w:color w:val="auto"/>
          <w:lang w:val="en-US" w:eastAsia="zh-CN"/>
        </w:rPr>
        <w:t>21</w:t>
      </w:r>
      <w:r>
        <w:rPr>
          <w:rFonts w:hint="eastAsia"/>
          <w:color w:val="auto"/>
          <w:lang w:val="en-US" w:eastAsia="zh-CN"/>
        </w:rPr>
        <w:t>条规定，</w:t>
      </w:r>
      <w:r>
        <w:rPr>
          <w:rFonts w:hint="default"/>
          <w:color w:val="auto"/>
          <w:lang w:val="en-US" w:eastAsia="zh-CN"/>
        </w:rPr>
        <w:t>厂房应有足够的、供设备</w:t>
      </w:r>
      <w:r>
        <w:rPr>
          <w:rFonts w:hint="eastAsia"/>
          <w:color w:val="auto"/>
          <w:lang w:val="en-US" w:eastAsia="zh-CN"/>
        </w:rPr>
        <w:t>（</w:t>
      </w:r>
      <w:r>
        <w:rPr>
          <w:rFonts w:hint="default"/>
          <w:color w:val="auto"/>
          <w:lang w:val="en-US" w:eastAsia="zh-CN"/>
        </w:rPr>
        <w:t>部件</w:t>
      </w:r>
      <w:r>
        <w:rPr>
          <w:rFonts w:hint="eastAsia"/>
          <w:color w:val="auto"/>
          <w:lang w:val="en-US" w:eastAsia="zh-CN"/>
        </w:rPr>
        <w:t>）</w:t>
      </w:r>
      <w:r>
        <w:rPr>
          <w:rFonts w:hint="default"/>
          <w:color w:val="auto"/>
          <w:lang w:val="en-US" w:eastAsia="zh-CN"/>
        </w:rPr>
        <w:t>装配和检修用的场地。</w:t>
      </w:r>
    </w:p>
    <w:p w14:paraId="6CF90878">
      <w:pPr>
        <w:bidi w:val="0"/>
        <w:rPr>
          <w:rFonts w:hint="default"/>
          <w:color w:val="auto"/>
          <w:lang w:val="en-US" w:eastAsia="zh-CN"/>
        </w:rPr>
      </w:pPr>
      <w:r>
        <w:rPr>
          <w:rFonts w:hint="eastAsia"/>
          <w:color w:val="auto"/>
          <w:lang w:val="en-US" w:eastAsia="zh-CN"/>
        </w:rPr>
        <w:t>13、该场地抗震设防烈度为8度，须进行抗震设防。</w:t>
      </w:r>
    </w:p>
    <w:p w14:paraId="1EE91E00">
      <w:pPr>
        <w:bidi w:val="0"/>
        <w:rPr>
          <w:rFonts w:hint="default"/>
          <w:color w:val="auto"/>
          <w:lang w:val="en-US" w:eastAsia="zh-CN"/>
        </w:rPr>
      </w:pPr>
      <w:r>
        <w:rPr>
          <w:rFonts w:hint="eastAsia"/>
          <w:color w:val="auto"/>
          <w:lang w:val="en-US" w:eastAsia="zh-CN"/>
        </w:rPr>
        <w:t>14、应定期检查、维护和清扫栏杆、平台和走梯。</w:t>
      </w:r>
    </w:p>
    <w:p w14:paraId="6EB6CEC7">
      <w:pPr>
        <w:pStyle w:val="5"/>
        <w:bidi w:val="0"/>
        <w:rPr>
          <w:rFonts w:hint="default"/>
          <w:color w:val="auto"/>
          <w:lang w:val="en-US" w:eastAsia="zh-CN"/>
        </w:rPr>
      </w:pPr>
      <w:bookmarkStart w:id="38" w:name="_Toc28945"/>
      <w:r>
        <w:rPr>
          <w:rFonts w:hint="default"/>
          <w:color w:val="auto"/>
          <w:lang w:val="en-US" w:eastAsia="zh-CN"/>
        </w:rPr>
        <w:t xml:space="preserve">6.2 </w:t>
      </w:r>
      <w:r>
        <w:rPr>
          <w:rFonts w:hint="eastAsia"/>
          <w:color w:val="auto"/>
          <w:lang w:val="en-US" w:eastAsia="zh-CN"/>
        </w:rPr>
        <w:t>设备</w:t>
      </w:r>
      <w:r>
        <w:rPr>
          <w:rFonts w:hint="default"/>
          <w:color w:val="auto"/>
          <w:lang w:val="en-US" w:eastAsia="zh-CN"/>
        </w:rPr>
        <w:t>工艺单元安全对策措施建议</w:t>
      </w:r>
      <w:bookmarkEnd w:id="38"/>
    </w:p>
    <w:p w14:paraId="6975C1DF">
      <w:pPr>
        <w:bidi w:val="0"/>
        <w:rPr>
          <w:rFonts w:hint="eastAsia"/>
          <w:color w:val="auto"/>
          <w:lang w:val="en-US" w:eastAsia="zh-CN"/>
        </w:rPr>
      </w:pPr>
      <w:r>
        <w:rPr>
          <w:rFonts w:hint="eastAsia"/>
          <w:color w:val="auto"/>
          <w:lang w:val="en-US" w:eastAsia="zh-CN"/>
        </w:rPr>
        <w:t>1、做好机械设备及电路的维修保养工作，避免人员伤害事故的发生。</w:t>
      </w:r>
    </w:p>
    <w:p w14:paraId="6FAE9164">
      <w:pPr>
        <w:bidi w:val="0"/>
        <w:rPr>
          <w:rFonts w:hint="eastAsia"/>
          <w:color w:val="auto"/>
          <w:lang w:val="en-US" w:eastAsia="zh-CN"/>
        </w:rPr>
      </w:pPr>
      <w:r>
        <w:rPr>
          <w:rFonts w:hint="eastAsia"/>
          <w:color w:val="auto"/>
          <w:lang w:val="en-US" w:eastAsia="zh-CN"/>
        </w:rPr>
        <w:t>2、上班前应穿好一切防护用品，加药时必须穿防滑胶鞋防止滑倒、摔伤。</w:t>
      </w:r>
    </w:p>
    <w:p w14:paraId="174E31A3">
      <w:pPr>
        <w:bidi w:val="0"/>
        <w:rPr>
          <w:rFonts w:hint="eastAsia"/>
          <w:color w:val="auto"/>
          <w:lang w:val="en-US" w:eastAsia="zh-CN"/>
        </w:rPr>
      </w:pPr>
      <w:r>
        <w:rPr>
          <w:rFonts w:hint="eastAsia"/>
          <w:color w:val="auto"/>
          <w:lang w:val="en-US" w:eastAsia="zh-CN"/>
        </w:rPr>
        <w:t>3、作业平台应设置安全防护栏杆及安全警示标志。</w:t>
      </w:r>
    </w:p>
    <w:p w14:paraId="032AAC6C">
      <w:pPr>
        <w:bidi w:val="0"/>
        <w:rPr>
          <w:rFonts w:hint="eastAsia"/>
          <w:color w:val="auto"/>
          <w:lang w:val="en-US" w:eastAsia="zh-CN"/>
        </w:rPr>
      </w:pPr>
      <w:r>
        <w:rPr>
          <w:rFonts w:hint="eastAsia"/>
          <w:color w:val="auto"/>
          <w:lang w:val="en-US" w:eastAsia="zh-CN"/>
        </w:rPr>
        <w:t>4、电工作业人员应持证上岗，线路停、送电、应严格执行工作票制度。电气设备可能被人触及的裸露带电部分，应严格按照规定接地、接零保护。</w:t>
      </w:r>
    </w:p>
    <w:p w14:paraId="7BE1DA55">
      <w:pPr>
        <w:bidi w:val="0"/>
        <w:rPr>
          <w:rFonts w:hint="eastAsia"/>
          <w:color w:val="auto"/>
          <w:lang w:val="en-US" w:eastAsia="zh-CN"/>
        </w:rPr>
      </w:pPr>
      <w:r>
        <w:rPr>
          <w:rFonts w:hint="eastAsia"/>
          <w:color w:val="auto"/>
          <w:lang w:val="en-US" w:eastAsia="zh-CN"/>
        </w:rPr>
        <w:t>5、尾矿处理系统应安排有专人管理，建立尾矿处理的安全检查制度。</w:t>
      </w:r>
    </w:p>
    <w:p w14:paraId="0D60C58C">
      <w:pPr>
        <w:bidi w:val="0"/>
        <w:rPr>
          <w:rFonts w:hint="eastAsia"/>
          <w:color w:val="auto"/>
          <w:lang w:val="en-US" w:eastAsia="zh-CN"/>
        </w:rPr>
      </w:pPr>
      <w:r>
        <w:rPr>
          <w:rFonts w:hint="eastAsia"/>
          <w:color w:val="auto"/>
          <w:lang w:val="en-US" w:eastAsia="zh-CN"/>
        </w:rPr>
        <w:t>6、皮带输送机的安全防范措施</w:t>
      </w:r>
    </w:p>
    <w:p w14:paraId="4669D931">
      <w:pPr>
        <w:bidi w:val="0"/>
        <w:rPr>
          <w:rFonts w:hint="eastAsia"/>
          <w:color w:val="auto"/>
          <w:lang w:val="en-US" w:eastAsia="zh-CN"/>
        </w:rPr>
      </w:pPr>
      <w:r>
        <w:rPr>
          <w:rFonts w:hint="eastAsia"/>
          <w:color w:val="auto"/>
          <w:lang w:val="en-US" w:eastAsia="zh-CN"/>
        </w:rPr>
        <w:t>①安装打滑保护系统，其工作原理是采用传感器测量胶带运行速度，通过与传感器滚筒线速度进行比较，当有差值输出时，即判断胶带打滑。</w:t>
      </w:r>
    </w:p>
    <w:p w14:paraId="430513D1">
      <w:pPr>
        <w:bidi w:val="0"/>
        <w:rPr>
          <w:rFonts w:hint="eastAsia"/>
          <w:color w:val="auto"/>
          <w:lang w:val="en-US" w:eastAsia="zh-CN"/>
        </w:rPr>
      </w:pPr>
      <w:r>
        <w:rPr>
          <w:rFonts w:hint="eastAsia"/>
          <w:color w:val="auto"/>
          <w:lang w:val="en-US" w:eastAsia="zh-CN"/>
        </w:rPr>
        <w:t>②皮带输送机安装物料传感器来避免物料的堵塞，当发生堵塞故障时，料位传感器发生信号，用于保护和停机。</w:t>
      </w:r>
    </w:p>
    <w:p w14:paraId="7170C566">
      <w:pPr>
        <w:bidi w:val="0"/>
        <w:rPr>
          <w:rFonts w:hint="eastAsia"/>
          <w:color w:val="auto"/>
          <w:lang w:val="en-US" w:eastAsia="zh-CN"/>
        </w:rPr>
      </w:pPr>
      <w:r>
        <w:rPr>
          <w:rFonts w:hint="eastAsia"/>
          <w:color w:val="auto"/>
          <w:lang w:val="en-US" w:eastAsia="zh-CN"/>
        </w:rPr>
        <w:t>③安装拉绳开关，拉绳开关是用于皮带输送机沿线紧急停机的一种现场操作保护装置，建议可以选用无源机械双向拉绳开关，可以在紧急情况下，在带式输送机沿线任意位置拉动拉绳，使拉绳开关触点动作，实现紧急停机。</w:t>
      </w:r>
    </w:p>
    <w:p w14:paraId="52AE828D">
      <w:pPr>
        <w:bidi w:val="0"/>
        <w:rPr>
          <w:rFonts w:hint="eastAsia"/>
          <w:color w:val="auto"/>
          <w:lang w:val="en-US" w:eastAsia="zh-CN"/>
        </w:rPr>
      </w:pPr>
      <w:r>
        <w:rPr>
          <w:rFonts w:hint="eastAsia"/>
          <w:color w:val="auto"/>
          <w:lang w:val="en-US" w:eastAsia="zh-CN"/>
        </w:rPr>
        <w:t>④利用红外线传感器测量皮带温度，可以灵敏、高效检测皮带温度。</w:t>
      </w:r>
    </w:p>
    <w:p w14:paraId="507DD6A0">
      <w:pPr>
        <w:bidi w:val="0"/>
        <w:rPr>
          <w:rFonts w:hint="eastAsia"/>
          <w:color w:val="auto"/>
          <w:lang w:val="en-US" w:eastAsia="zh-CN"/>
        </w:rPr>
      </w:pPr>
      <w:r>
        <w:rPr>
          <w:rFonts w:hint="eastAsia"/>
          <w:color w:val="auto"/>
          <w:lang w:val="en-US" w:eastAsia="zh-CN"/>
        </w:rPr>
        <w:t>⑤加强皮带输送机运行管理和维护，当发现胶带打滑，及时停机处理。</w:t>
      </w:r>
    </w:p>
    <w:p w14:paraId="42CC7FA5">
      <w:pPr>
        <w:bidi w:val="0"/>
        <w:rPr>
          <w:rFonts w:hint="eastAsia"/>
          <w:color w:val="auto"/>
          <w:lang w:val="en-US" w:eastAsia="zh-CN"/>
        </w:rPr>
      </w:pPr>
      <w:r>
        <w:rPr>
          <w:rFonts w:hint="eastAsia"/>
          <w:color w:val="auto"/>
          <w:lang w:val="en-US" w:eastAsia="zh-CN"/>
        </w:rPr>
        <w:t>⑥使用打滑保护装置，当皮带输送机打滑时，通过打滑传感器，发出信号，自动切断电源停机。</w:t>
      </w:r>
    </w:p>
    <w:p w14:paraId="0EEE57BF">
      <w:pPr>
        <w:bidi w:val="0"/>
        <w:rPr>
          <w:rFonts w:hint="eastAsia"/>
          <w:color w:val="auto"/>
          <w:lang w:val="en-US" w:eastAsia="zh-CN"/>
        </w:rPr>
      </w:pPr>
      <w:r>
        <w:rPr>
          <w:rFonts w:hint="eastAsia"/>
          <w:color w:val="auto"/>
          <w:lang w:val="en-US" w:eastAsia="zh-CN"/>
        </w:rPr>
        <w:t>7、起重设备的安全防范措施</w:t>
      </w:r>
    </w:p>
    <w:p w14:paraId="7A949359">
      <w:pPr>
        <w:bidi w:val="0"/>
        <w:rPr>
          <w:rFonts w:hint="eastAsia"/>
          <w:color w:val="auto"/>
          <w:lang w:val="en-US" w:eastAsia="zh-CN"/>
        </w:rPr>
      </w:pPr>
      <w:r>
        <w:rPr>
          <w:rFonts w:hint="eastAsia"/>
          <w:color w:val="auto"/>
          <w:lang w:val="en-US" w:eastAsia="zh-CN"/>
        </w:rPr>
        <w:t>厂区检修吊装设备为电动单梁吊。</w:t>
      </w:r>
    </w:p>
    <w:p w14:paraId="76E54502">
      <w:pPr>
        <w:bidi w:val="0"/>
        <w:rPr>
          <w:rFonts w:hint="eastAsia"/>
          <w:color w:val="auto"/>
          <w:lang w:val="en-US" w:eastAsia="zh-CN"/>
        </w:rPr>
      </w:pPr>
      <w:r>
        <w:rPr>
          <w:rFonts w:hint="eastAsia"/>
          <w:color w:val="auto"/>
          <w:lang w:val="en-US" w:eastAsia="zh-CN"/>
        </w:rPr>
        <w:t>①在起重设备使用频繁的地段，不能设置人流通道。</w:t>
      </w:r>
    </w:p>
    <w:p w14:paraId="5E0114F0">
      <w:pPr>
        <w:bidi w:val="0"/>
        <w:rPr>
          <w:rFonts w:hint="eastAsia"/>
          <w:color w:val="auto"/>
          <w:lang w:val="en-US" w:eastAsia="zh-CN"/>
        </w:rPr>
      </w:pPr>
      <w:r>
        <w:rPr>
          <w:rFonts w:hint="eastAsia"/>
          <w:color w:val="auto"/>
          <w:lang w:val="en-US" w:eastAsia="zh-CN"/>
        </w:rPr>
        <w:t>②电动机改变后，减速器的传动比相应变化。</w:t>
      </w:r>
    </w:p>
    <w:p w14:paraId="6E9CD824">
      <w:pPr>
        <w:bidi w:val="0"/>
        <w:rPr>
          <w:rFonts w:hint="eastAsia"/>
          <w:color w:val="auto"/>
          <w:lang w:val="en-US" w:eastAsia="zh-CN"/>
        </w:rPr>
      </w:pPr>
      <w:r>
        <w:rPr>
          <w:rFonts w:hint="eastAsia"/>
          <w:color w:val="auto"/>
          <w:lang w:val="en-US" w:eastAsia="zh-CN"/>
        </w:rPr>
        <w:t>③佩戴劳动防护用品。</w:t>
      </w:r>
    </w:p>
    <w:p w14:paraId="24C761B8">
      <w:pPr>
        <w:bidi w:val="0"/>
        <w:rPr>
          <w:rFonts w:hint="eastAsia"/>
          <w:color w:val="auto"/>
          <w:lang w:val="en-US" w:eastAsia="zh-CN"/>
        </w:rPr>
      </w:pPr>
      <w:r>
        <w:rPr>
          <w:rFonts w:hint="eastAsia"/>
          <w:color w:val="auto"/>
          <w:lang w:val="en-US" w:eastAsia="zh-CN"/>
        </w:rPr>
        <w:t>④作业时有专人监护。</w:t>
      </w:r>
    </w:p>
    <w:p w14:paraId="127497CD">
      <w:pPr>
        <w:bidi w:val="0"/>
        <w:rPr>
          <w:rFonts w:hint="eastAsia"/>
          <w:color w:val="auto"/>
          <w:lang w:val="en-US" w:eastAsia="zh-CN"/>
        </w:rPr>
      </w:pPr>
      <w:r>
        <w:rPr>
          <w:rFonts w:hint="eastAsia"/>
          <w:color w:val="auto"/>
          <w:lang w:val="en-US" w:eastAsia="zh-CN"/>
        </w:rPr>
        <w:t>8、压滤机液压系统存储高压液体，如果未经授权的人员自行拆卸液压系统，可能会导致高压液体喷溅，造成人员伤害。因此，操作人员必须经过专业培训，了解液压系统的结构和操作原理，以及如何安全地处理液压系统中的高压液体。此外，操作人员应严格遵守操作规程，不得擅自拆卸液压系统，以避免发生意外‌。定期对液压系统和电气系统进行检查和维护，确保其安全运行，及时发现并处理潜在的安全隐患‌。</w:t>
      </w:r>
    </w:p>
    <w:p w14:paraId="333FFC31">
      <w:pPr>
        <w:bidi w:val="0"/>
        <w:rPr>
          <w:rFonts w:hint="eastAsia"/>
          <w:color w:val="auto"/>
          <w:lang w:val="en-US" w:eastAsia="zh-CN"/>
        </w:rPr>
      </w:pPr>
      <w:r>
        <w:rPr>
          <w:rFonts w:hint="eastAsia"/>
          <w:color w:val="auto"/>
          <w:lang w:val="en-US" w:eastAsia="zh-CN"/>
        </w:rPr>
        <w:t>9、有限空间作业安全措施</w:t>
      </w:r>
    </w:p>
    <w:p w14:paraId="4ECEEA1F">
      <w:pPr>
        <w:bidi w:val="0"/>
        <w:rPr>
          <w:rFonts w:hint="eastAsia"/>
          <w:color w:val="auto"/>
          <w:lang w:val="en-US" w:eastAsia="zh-CN"/>
        </w:rPr>
      </w:pPr>
      <w:r>
        <w:rPr>
          <w:rFonts w:hint="eastAsia"/>
          <w:color w:val="auto"/>
          <w:lang w:val="en-US" w:eastAsia="zh-CN"/>
        </w:rPr>
        <w:t>有限空间作业应当严格遵守“先通风、再检测、后作业”的原则。检测指标包括氧浓度、易燃易爆物质（可燃性气体、爆炸性粉尘）浓度、有毒有害气体浓度。检测应当符合相关国家标准或者行业标准的规定。未经通风和检测合格，任何人员不得进入有限空间作业。检测的时间不得早于作业开始前30min。有限空间作业场所的照明灯具电压应当符合《特低电压限值》（GB/T 3805）等国家标准或者行业标准的规定；作业场所存在可燃性气体、粉尘的，其电气设施设备及照明灯具的防爆安全要求应当符合《爆炸性环境第一部分：设备通用要求》（GB 3836.1）等国家标准或者行业标准的规定。工贸企业有限空间作业还应当符合下列要求：保持有限空间出入口畅通；设置明显的安全警示标志和警示说明；作业前清点作业人员和工器具；作业人员与外部有可靠的通讯联络；监护人员不得离开作业现场，并与作业人员保持联系；存在交叉作业时，采取避免互相伤害的措施。加强个体防护，为相关岗位人员配备相应的防护用品（如防毒面具、防毒手套等）。</w:t>
      </w:r>
    </w:p>
    <w:p w14:paraId="0FFC729E">
      <w:pPr>
        <w:bidi w:val="0"/>
        <w:rPr>
          <w:rFonts w:hint="eastAsia"/>
          <w:color w:val="auto"/>
          <w:lang w:val="en-US" w:eastAsia="zh-CN"/>
        </w:rPr>
      </w:pPr>
      <w:r>
        <w:rPr>
          <w:rFonts w:hint="eastAsia"/>
          <w:color w:val="auto"/>
          <w:lang w:val="en-US" w:eastAsia="zh-CN"/>
        </w:rPr>
        <w:t>建设单位应制定有限空间作业的相关制度、作业规程。</w:t>
      </w:r>
    </w:p>
    <w:p w14:paraId="04861B66">
      <w:pPr>
        <w:bidi w:val="0"/>
        <w:rPr>
          <w:rFonts w:hint="eastAsia"/>
          <w:color w:val="auto"/>
          <w:lang w:val="en-US" w:eastAsia="zh-CN"/>
        </w:rPr>
      </w:pPr>
      <w:r>
        <w:rPr>
          <w:rFonts w:hint="eastAsia"/>
          <w:color w:val="auto"/>
          <w:lang w:val="en-US" w:eastAsia="zh-CN"/>
        </w:rPr>
        <w:t>进有限空间作业时应按要求办理有限空间作业许可证，并执行作业规程。</w:t>
      </w:r>
    </w:p>
    <w:p w14:paraId="38AD1938">
      <w:pPr>
        <w:bidi w:val="0"/>
        <w:rPr>
          <w:rFonts w:hint="default"/>
          <w:color w:val="auto"/>
          <w:lang w:val="en-US" w:eastAsia="zh-CN"/>
        </w:rPr>
      </w:pPr>
      <w:r>
        <w:rPr>
          <w:rFonts w:hint="eastAsia"/>
          <w:color w:val="auto"/>
          <w:lang w:val="en-US" w:eastAsia="zh-CN"/>
        </w:rPr>
        <w:t>10、根据《选矿安全规程》（GB 18152-2000）第6.15条规定，道口和有物体碰撞、坠落危险的地点，均应设醒目的警告标志和防护设施。</w:t>
      </w:r>
    </w:p>
    <w:p w14:paraId="0BE5427D">
      <w:pPr>
        <w:bidi w:val="0"/>
        <w:rPr>
          <w:rFonts w:hint="eastAsia"/>
          <w:color w:val="auto"/>
          <w:lang w:val="en-US" w:eastAsia="zh-CN"/>
        </w:rPr>
      </w:pPr>
      <w:r>
        <w:rPr>
          <w:rFonts w:hint="eastAsia"/>
          <w:color w:val="auto"/>
          <w:lang w:val="en-US" w:eastAsia="zh-CN"/>
        </w:rPr>
        <w:t>11、根据《选矿安全规程》（GB 18152-2000）第6.16条规定，设备裸露的转动部分，应设防护罩或防护屏。防护罩、防护屏应分别符合GB 8196、GB 8197的要求。</w:t>
      </w:r>
    </w:p>
    <w:p w14:paraId="67986B3F">
      <w:pPr>
        <w:bidi w:val="0"/>
        <w:rPr>
          <w:rFonts w:hint="eastAsia"/>
          <w:color w:val="auto"/>
          <w:lang w:val="en-US" w:eastAsia="zh-CN"/>
        </w:rPr>
      </w:pPr>
      <w:r>
        <w:rPr>
          <w:rFonts w:hint="eastAsia"/>
          <w:color w:val="auto"/>
          <w:lang w:val="en-US" w:eastAsia="zh-CN"/>
        </w:rPr>
        <w:t>12、根据《选矿安全规程》（GB 18152-2000）第7.1.1条规定，运转设备的下列作业，应停车进行：</w:t>
      </w:r>
    </w:p>
    <w:p w14:paraId="57C764CE">
      <w:pPr>
        <w:bidi w:val="0"/>
        <w:rPr>
          <w:rFonts w:hint="eastAsia"/>
          <w:color w:val="auto"/>
          <w:lang w:val="en-US" w:eastAsia="zh-CN"/>
        </w:rPr>
      </w:pPr>
      <w:r>
        <w:rPr>
          <w:rFonts w:hint="eastAsia"/>
          <w:color w:val="auto"/>
          <w:lang w:val="en-US" w:eastAsia="zh-CN"/>
        </w:rPr>
        <w:t>（1）处理故障</w:t>
      </w:r>
    </w:p>
    <w:p w14:paraId="1E34FD5A">
      <w:pPr>
        <w:bidi w:val="0"/>
        <w:rPr>
          <w:rFonts w:hint="eastAsia"/>
          <w:color w:val="auto"/>
          <w:lang w:val="en-US" w:eastAsia="zh-CN"/>
        </w:rPr>
      </w:pPr>
      <w:r>
        <w:rPr>
          <w:rFonts w:hint="eastAsia"/>
          <w:color w:val="auto"/>
          <w:lang w:val="en-US" w:eastAsia="zh-CN"/>
        </w:rPr>
        <w:t>（2）更换部件</w:t>
      </w:r>
    </w:p>
    <w:p w14:paraId="39A32E21">
      <w:pPr>
        <w:bidi w:val="0"/>
        <w:rPr>
          <w:rFonts w:hint="eastAsia"/>
          <w:color w:val="auto"/>
          <w:lang w:val="en-US" w:eastAsia="zh-CN"/>
        </w:rPr>
      </w:pPr>
      <w:r>
        <w:rPr>
          <w:rFonts w:hint="eastAsia"/>
          <w:color w:val="auto"/>
          <w:lang w:val="en-US" w:eastAsia="zh-CN"/>
        </w:rPr>
        <w:t>（3）局部调整设备部件</w:t>
      </w:r>
    </w:p>
    <w:p w14:paraId="2D9DC16F">
      <w:pPr>
        <w:bidi w:val="0"/>
        <w:rPr>
          <w:rFonts w:hint="eastAsia"/>
          <w:color w:val="auto"/>
          <w:lang w:val="en-US" w:eastAsia="zh-CN"/>
        </w:rPr>
      </w:pPr>
      <w:r>
        <w:rPr>
          <w:rFonts w:hint="eastAsia"/>
          <w:color w:val="auto"/>
          <w:lang w:val="en-US" w:eastAsia="zh-CN"/>
        </w:rPr>
        <w:t>（4）调整皮带松紧</w:t>
      </w:r>
    </w:p>
    <w:p w14:paraId="08F5E4EB">
      <w:pPr>
        <w:bidi w:val="0"/>
        <w:rPr>
          <w:rFonts w:hint="default"/>
          <w:color w:val="auto"/>
          <w:lang w:val="en-US" w:eastAsia="zh-CN"/>
        </w:rPr>
      </w:pPr>
      <w:r>
        <w:rPr>
          <w:rFonts w:hint="eastAsia"/>
          <w:color w:val="auto"/>
          <w:lang w:val="en-US" w:eastAsia="zh-CN"/>
        </w:rPr>
        <w:t>（5）清扫设备。</w:t>
      </w:r>
    </w:p>
    <w:p w14:paraId="6BEB7DB6">
      <w:pPr>
        <w:bidi w:val="0"/>
        <w:rPr>
          <w:rFonts w:hint="default"/>
          <w:color w:val="auto"/>
          <w:lang w:val="en-US" w:eastAsia="zh-CN"/>
        </w:rPr>
      </w:pPr>
      <w:r>
        <w:rPr>
          <w:rFonts w:hint="eastAsia"/>
          <w:color w:val="auto"/>
          <w:lang w:val="en-US" w:eastAsia="zh-CN"/>
        </w:rPr>
        <w:t>13、根据《选矿安全规程》（GB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3</w:t>
      </w:r>
      <w:r>
        <w:rPr>
          <w:rFonts w:hint="eastAsia"/>
          <w:color w:val="auto"/>
          <w:lang w:val="en-US" w:eastAsia="zh-CN"/>
        </w:rPr>
        <w:t>条规定，</w:t>
      </w:r>
      <w:r>
        <w:rPr>
          <w:rFonts w:hint="default"/>
          <w:color w:val="auto"/>
          <w:lang w:val="en-US" w:eastAsia="zh-CN"/>
        </w:rPr>
        <w:t>人员进入停止运转的设备内部或上部</w:t>
      </w:r>
      <w:r>
        <w:rPr>
          <w:rFonts w:hint="eastAsia"/>
          <w:color w:val="auto"/>
          <w:lang w:val="en-US" w:eastAsia="zh-CN"/>
        </w:rPr>
        <w:t>，</w:t>
      </w:r>
      <w:r>
        <w:rPr>
          <w:rFonts w:hint="default"/>
          <w:color w:val="auto"/>
          <w:lang w:val="en-US" w:eastAsia="zh-CN"/>
        </w:rPr>
        <w:t>事前应用操作牌换电源牌</w:t>
      </w:r>
      <w:r>
        <w:rPr>
          <w:rFonts w:hint="eastAsia"/>
          <w:color w:val="auto"/>
          <w:lang w:val="en-US" w:eastAsia="zh-CN"/>
        </w:rPr>
        <w:t>，</w:t>
      </w:r>
      <w:r>
        <w:rPr>
          <w:rFonts w:hint="default"/>
          <w:color w:val="auto"/>
          <w:lang w:val="en-US" w:eastAsia="zh-CN"/>
        </w:rPr>
        <w:t>切断电源</w:t>
      </w:r>
      <w:r>
        <w:rPr>
          <w:rFonts w:hint="eastAsia"/>
          <w:color w:val="auto"/>
          <w:lang w:val="en-US" w:eastAsia="zh-CN"/>
        </w:rPr>
        <w:t>，</w:t>
      </w:r>
      <w:r>
        <w:rPr>
          <w:rFonts w:hint="default"/>
          <w:color w:val="auto"/>
          <w:lang w:val="en-US" w:eastAsia="zh-CN"/>
        </w:rPr>
        <w:t>锁上电源开关</w:t>
      </w:r>
      <w:r>
        <w:rPr>
          <w:rFonts w:hint="eastAsia"/>
          <w:color w:val="auto"/>
          <w:lang w:val="en-US" w:eastAsia="zh-CN"/>
        </w:rPr>
        <w:t>，</w:t>
      </w:r>
      <w:r>
        <w:rPr>
          <w:rFonts w:hint="default"/>
          <w:color w:val="auto"/>
          <w:lang w:val="en-US" w:eastAsia="zh-CN"/>
        </w:rPr>
        <w:t>挂上</w:t>
      </w:r>
      <w:r>
        <w:rPr>
          <w:rFonts w:hint="eastAsia"/>
          <w:color w:val="auto"/>
          <w:lang w:val="en-US" w:eastAsia="zh-CN"/>
        </w:rPr>
        <w:t>“</w:t>
      </w:r>
      <w:r>
        <w:rPr>
          <w:rFonts w:hint="default"/>
          <w:color w:val="auto"/>
          <w:lang w:val="en-US" w:eastAsia="zh-CN"/>
        </w:rPr>
        <w:t>有人作业</w:t>
      </w:r>
      <w:r>
        <w:rPr>
          <w:rFonts w:hint="eastAsia"/>
          <w:color w:val="auto"/>
          <w:lang w:val="en-US" w:eastAsia="zh-CN"/>
        </w:rPr>
        <w:t>，</w:t>
      </w:r>
      <w:r>
        <w:rPr>
          <w:rFonts w:hint="default"/>
          <w:color w:val="auto"/>
          <w:lang w:val="en-US" w:eastAsia="zh-CN"/>
        </w:rPr>
        <w:t>严禁合闸</w:t>
      </w:r>
      <w:r>
        <w:rPr>
          <w:rFonts w:hint="eastAsia"/>
          <w:color w:val="auto"/>
          <w:lang w:val="en-US" w:eastAsia="zh-CN"/>
        </w:rPr>
        <w:t>”</w:t>
      </w:r>
      <w:r>
        <w:rPr>
          <w:rFonts w:hint="default"/>
          <w:color w:val="auto"/>
          <w:lang w:val="en-US" w:eastAsia="zh-CN"/>
        </w:rPr>
        <w:t>的标志牌</w:t>
      </w:r>
      <w:r>
        <w:rPr>
          <w:rFonts w:hint="eastAsia"/>
          <w:color w:val="auto"/>
          <w:lang w:val="en-US" w:eastAsia="zh-CN"/>
        </w:rPr>
        <w:t>，</w:t>
      </w:r>
      <w:r>
        <w:rPr>
          <w:rFonts w:hint="default"/>
          <w:color w:val="auto"/>
          <w:lang w:val="en-US" w:eastAsia="zh-CN"/>
        </w:rPr>
        <w:t>并设专人监护。</w:t>
      </w:r>
    </w:p>
    <w:p w14:paraId="149621F2">
      <w:pPr>
        <w:bidi w:val="0"/>
        <w:rPr>
          <w:rFonts w:hint="default"/>
          <w:color w:val="auto"/>
          <w:lang w:val="en-US" w:eastAsia="zh-CN"/>
        </w:rPr>
      </w:pPr>
      <w:r>
        <w:rPr>
          <w:rFonts w:hint="eastAsia"/>
          <w:color w:val="auto"/>
          <w:lang w:val="en-US" w:eastAsia="zh-CN"/>
        </w:rPr>
        <w:t>14、根据《选矿安全规程》（GB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1</w:t>
      </w:r>
      <w:r>
        <w:rPr>
          <w:rFonts w:hint="eastAsia"/>
          <w:color w:val="auto"/>
          <w:lang w:val="en-US" w:eastAsia="zh-CN"/>
        </w:rPr>
        <w:t>条规定，</w:t>
      </w:r>
      <w:r>
        <w:rPr>
          <w:rFonts w:hint="default"/>
          <w:color w:val="auto"/>
          <w:lang w:val="en-US" w:eastAsia="zh-CN"/>
        </w:rPr>
        <w:t>操作过滤机应保持均匀给矿</w:t>
      </w:r>
      <w:r>
        <w:rPr>
          <w:rFonts w:hint="eastAsia"/>
          <w:color w:val="auto"/>
          <w:lang w:val="en-US" w:eastAsia="zh-CN"/>
        </w:rPr>
        <w:t>，</w:t>
      </w:r>
      <w:r>
        <w:rPr>
          <w:rFonts w:hint="default"/>
          <w:color w:val="auto"/>
          <w:lang w:val="en-US" w:eastAsia="zh-CN"/>
        </w:rPr>
        <w:t>分矿箱和管路应畅通。</w:t>
      </w:r>
    </w:p>
    <w:p w14:paraId="3086BC8C">
      <w:pPr>
        <w:bidi w:val="0"/>
        <w:rPr>
          <w:rFonts w:hint="default"/>
          <w:color w:val="auto"/>
          <w:lang w:val="en-US" w:eastAsia="zh-CN"/>
        </w:rPr>
      </w:pPr>
      <w:r>
        <w:rPr>
          <w:rFonts w:hint="eastAsia"/>
          <w:color w:val="auto"/>
          <w:lang w:val="en-US" w:eastAsia="zh-CN"/>
        </w:rPr>
        <w:t>15、根据《选矿安全规程》（GB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2</w:t>
      </w:r>
      <w:r>
        <w:rPr>
          <w:rFonts w:hint="eastAsia"/>
          <w:color w:val="auto"/>
          <w:lang w:val="en-US" w:eastAsia="zh-CN"/>
        </w:rPr>
        <w:t>条规定，</w:t>
      </w:r>
      <w:r>
        <w:rPr>
          <w:rFonts w:hint="default"/>
          <w:color w:val="auto"/>
          <w:lang w:val="en-US" w:eastAsia="zh-CN"/>
        </w:rPr>
        <w:t>大型内滤式真空过滤机内的人行板道</w:t>
      </w:r>
      <w:r>
        <w:rPr>
          <w:rFonts w:hint="eastAsia"/>
          <w:color w:val="auto"/>
          <w:lang w:val="en-US" w:eastAsia="zh-CN"/>
        </w:rPr>
        <w:t>，</w:t>
      </w:r>
      <w:r>
        <w:rPr>
          <w:rFonts w:hint="default"/>
          <w:color w:val="auto"/>
          <w:lang w:val="en-US" w:eastAsia="zh-CN"/>
        </w:rPr>
        <w:t>应设安全装置。</w:t>
      </w:r>
    </w:p>
    <w:p w14:paraId="05DC05A7">
      <w:pPr>
        <w:bidi w:val="0"/>
        <w:rPr>
          <w:rFonts w:hint="default"/>
          <w:color w:val="auto"/>
          <w:lang w:val="en-US" w:eastAsia="zh-CN"/>
        </w:rPr>
      </w:pPr>
      <w:r>
        <w:rPr>
          <w:rFonts w:hint="eastAsia"/>
          <w:color w:val="auto"/>
          <w:lang w:val="en-US" w:eastAsia="zh-CN"/>
        </w:rPr>
        <w:t>16、根据《选矿安全规程》（GB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3</w:t>
      </w:r>
      <w:r>
        <w:rPr>
          <w:rFonts w:hint="eastAsia"/>
          <w:color w:val="auto"/>
          <w:lang w:val="en-US" w:eastAsia="zh-CN"/>
        </w:rPr>
        <w:t>条规定，</w:t>
      </w:r>
      <w:r>
        <w:rPr>
          <w:rFonts w:hint="default"/>
          <w:color w:val="auto"/>
          <w:lang w:val="en-US" w:eastAsia="zh-CN"/>
        </w:rPr>
        <w:t>通往周边传动式浓缩机中心盘的走桥和上下走梯</w:t>
      </w:r>
      <w:r>
        <w:rPr>
          <w:rFonts w:hint="eastAsia"/>
          <w:color w:val="auto"/>
          <w:lang w:val="en-US" w:eastAsia="zh-CN"/>
        </w:rPr>
        <w:t>，</w:t>
      </w:r>
      <w:r>
        <w:rPr>
          <w:rFonts w:hint="default"/>
          <w:color w:val="auto"/>
          <w:lang w:val="en-US" w:eastAsia="zh-CN"/>
        </w:rPr>
        <w:t>应设置栏杆。</w:t>
      </w:r>
    </w:p>
    <w:p w14:paraId="4E8C03AA">
      <w:pPr>
        <w:bidi w:val="0"/>
        <w:rPr>
          <w:rFonts w:hint="default"/>
          <w:color w:val="auto"/>
          <w:lang w:val="en-US" w:eastAsia="zh-CN"/>
        </w:rPr>
      </w:pPr>
      <w:r>
        <w:rPr>
          <w:rFonts w:hint="eastAsia"/>
          <w:color w:val="auto"/>
          <w:lang w:val="en-US" w:eastAsia="zh-CN"/>
        </w:rPr>
        <w:t>17、根据《选矿安全规程》（GB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4</w:t>
      </w:r>
      <w:r>
        <w:rPr>
          <w:rFonts w:hint="eastAsia"/>
          <w:color w:val="auto"/>
          <w:lang w:val="en-US" w:eastAsia="zh-CN"/>
        </w:rPr>
        <w:t>条规定，</w:t>
      </w:r>
      <w:r>
        <w:rPr>
          <w:rFonts w:hint="default"/>
          <w:color w:val="auto"/>
          <w:lang w:val="en-US" w:eastAsia="zh-CN"/>
        </w:rPr>
        <w:t>夜间检查周边传动式浓缩机中心盘或开关流槽闸板</w:t>
      </w:r>
      <w:r>
        <w:rPr>
          <w:rFonts w:hint="eastAsia"/>
          <w:color w:val="auto"/>
          <w:lang w:val="en-US" w:eastAsia="zh-CN"/>
        </w:rPr>
        <w:t>，</w:t>
      </w:r>
      <w:r>
        <w:rPr>
          <w:rFonts w:hint="default"/>
          <w:color w:val="auto"/>
          <w:lang w:val="en-US" w:eastAsia="zh-CN"/>
        </w:rPr>
        <w:t>应有良好照明</w:t>
      </w:r>
      <w:r>
        <w:rPr>
          <w:rFonts w:hint="eastAsia"/>
          <w:color w:val="auto"/>
          <w:lang w:val="en-US" w:eastAsia="zh-CN"/>
        </w:rPr>
        <w:t>，</w:t>
      </w:r>
      <w:r>
        <w:rPr>
          <w:rFonts w:hint="default"/>
          <w:color w:val="auto"/>
          <w:lang w:val="en-US" w:eastAsia="zh-CN"/>
        </w:rPr>
        <w:t>并在他人监护下进行。</w:t>
      </w:r>
    </w:p>
    <w:p w14:paraId="2B9EA20C">
      <w:pPr>
        <w:bidi w:val="0"/>
        <w:rPr>
          <w:rFonts w:hint="default"/>
          <w:color w:val="auto"/>
          <w:lang w:val="en-US" w:eastAsia="zh-CN"/>
        </w:rPr>
      </w:pPr>
      <w:r>
        <w:rPr>
          <w:rFonts w:hint="eastAsia"/>
          <w:color w:val="auto"/>
          <w:lang w:val="en-US" w:eastAsia="zh-CN"/>
        </w:rPr>
        <w:t>18、根据《选矿安全规程》（GB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5</w:t>
      </w:r>
      <w:r>
        <w:rPr>
          <w:rFonts w:hint="eastAsia"/>
          <w:color w:val="auto"/>
          <w:lang w:val="en-US" w:eastAsia="zh-CN"/>
        </w:rPr>
        <w:t>条规定，</w:t>
      </w:r>
      <w:r>
        <w:rPr>
          <w:rFonts w:hint="default"/>
          <w:color w:val="auto"/>
          <w:lang w:val="en-US" w:eastAsia="zh-CN"/>
        </w:rPr>
        <w:t>浓缩机的溢流槽外沿</w:t>
      </w:r>
      <w:r>
        <w:rPr>
          <w:rFonts w:hint="eastAsia"/>
          <w:color w:val="auto"/>
          <w:lang w:val="en-US" w:eastAsia="zh-CN"/>
        </w:rPr>
        <w:t>，</w:t>
      </w:r>
      <w:r>
        <w:rPr>
          <w:rFonts w:hint="default"/>
          <w:color w:val="auto"/>
          <w:lang w:val="en-US" w:eastAsia="zh-CN"/>
        </w:rPr>
        <w:t>应高出地面至少0.4m</w:t>
      </w:r>
      <w:r>
        <w:rPr>
          <w:rFonts w:hint="eastAsia"/>
          <w:color w:val="auto"/>
          <w:lang w:val="en-US" w:eastAsia="zh-CN"/>
        </w:rPr>
        <w:t>；</w:t>
      </w:r>
      <w:r>
        <w:rPr>
          <w:rFonts w:hint="default"/>
          <w:color w:val="auto"/>
          <w:lang w:val="en-US" w:eastAsia="zh-CN"/>
        </w:rPr>
        <w:t>否则</w:t>
      </w:r>
      <w:r>
        <w:rPr>
          <w:rFonts w:hint="eastAsia"/>
          <w:color w:val="auto"/>
          <w:lang w:val="en-US" w:eastAsia="zh-CN"/>
        </w:rPr>
        <w:t>，</w:t>
      </w:r>
      <w:r>
        <w:rPr>
          <w:rFonts w:hint="default"/>
          <w:color w:val="auto"/>
          <w:lang w:val="en-US" w:eastAsia="zh-CN"/>
        </w:rPr>
        <w:t>应在靠近路边地段设置安全栏杆。</w:t>
      </w:r>
    </w:p>
    <w:p w14:paraId="4E71CF43">
      <w:pPr>
        <w:bidi w:val="0"/>
        <w:rPr>
          <w:rFonts w:hint="default"/>
          <w:color w:val="auto"/>
          <w:lang w:val="en-US" w:eastAsia="zh-CN"/>
        </w:rPr>
      </w:pPr>
      <w:r>
        <w:rPr>
          <w:rFonts w:hint="eastAsia"/>
          <w:color w:val="auto"/>
          <w:lang w:val="en-US" w:eastAsia="zh-CN"/>
        </w:rPr>
        <w:t>19、根据《选矿安全规程》（GB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6</w:t>
      </w:r>
      <w:r>
        <w:rPr>
          <w:rFonts w:hint="eastAsia"/>
          <w:color w:val="auto"/>
          <w:lang w:val="en-US" w:eastAsia="zh-CN"/>
        </w:rPr>
        <w:t>条规定，</w:t>
      </w:r>
      <w:r>
        <w:rPr>
          <w:rFonts w:hint="default"/>
          <w:color w:val="auto"/>
          <w:lang w:val="en-US" w:eastAsia="zh-CN"/>
        </w:rPr>
        <w:t>浓缩机停机之前</w:t>
      </w:r>
      <w:r>
        <w:rPr>
          <w:rFonts w:hint="eastAsia"/>
          <w:color w:val="auto"/>
          <w:lang w:val="en-US" w:eastAsia="zh-CN"/>
        </w:rPr>
        <w:t>，</w:t>
      </w:r>
      <w:r>
        <w:rPr>
          <w:rFonts w:hint="default"/>
          <w:color w:val="auto"/>
          <w:lang w:val="en-US" w:eastAsia="zh-CN"/>
        </w:rPr>
        <w:t>应停止给矿</w:t>
      </w:r>
      <w:r>
        <w:rPr>
          <w:rFonts w:hint="eastAsia"/>
          <w:color w:val="auto"/>
          <w:lang w:val="en-US" w:eastAsia="zh-CN"/>
        </w:rPr>
        <w:t>，</w:t>
      </w:r>
      <w:r>
        <w:rPr>
          <w:rFonts w:hint="default"/>
          <w:color w:val="auto"/>
          <w:lang w:val="en-US" w:eastAsia="zh-CN"/>
        </w:rPr>
        <w:t>并继续输出矿浆一定时间</w:t>
      </w:r>
      <w:r>
        <w:rPr>
          <w:rFonts w:hint="eastAsia"/>
          <w:color w:val="auto"/>
          <w:lang w:val="en-US" w:eastAsia="zh-CN"/>
        </w:rPr>
        <w:t>；</w:t>
      </w:r>
      <w:r>
        <w:rPr>
          <w:rFonts w:hint="default"/>
          <w:color w:val="auto"/>
          <w:lang w:val="en-US" w:eastAsia="zh-CN"/>
        </w:rPr>
        <w:t>恢复正常运行之前</w:t>
      </w:r>
      <w:r>
        <w:rPr>
          <w:rFonts w:hint="eastAsia"/>
          <w:color w:val="auto"/>
          <w:lang w:val="en-US" w:eastAsia="zh-CN"/>
        </w:rPr>
        <w:t>，</w:t>
      </w:r>
      <w:r>
        <w:rPr>
          <w:rFonts w:hint="default"/>
          <w:color w:val="auto"/>
          <w:lang w:val="en-US" w:eastAsia="zh-CN"/>
        </w:rPr>
        <w:t>应注意防止浓缩机超负荷运行。</w:t>
      </w:r>
    </w:p>
    <w:p w14:paraId="46492D35">
      <w:pPr>
        <w:bidi w:val="0"/>
        <w:rPr>
          <w:rFonts w:hint="default"/>
          <w:color w:val="auto"/>
          <w:lang w:val="en-US" w:eastAsia="zh-CN"/>
        </w:rPr>
      </w:pPr>
      <w:r>
        <w:rPr>
          <w:rFonts w:hint="eastAsia"/>
          <w:color w:val="auto"/>
          <w:lang w:val="en-US" w:eastAsia="zh-CN"/>
        </w:rPr>
        <w:t>20、根据《选矿安全规程》（GB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7</w:t>
      </w:r>
      <w:r>
        <w:rPr>
          <w:rFonts w:hint="eastAsia"/>
          <w:color w:val="auto"/>
          <w:lang w:val="en-US" w:eastAsia="zh-CN"/>
        </w:rPr>
        <w:t>条规定，</w:t>
      </w:r>
      <w:r>
        <w:rPr>
          <w:rFonts w:hint="default"/>
          <w:color w:val="auto"/>
          <w:lang w:val="en-US" w:eastAsia="zh-CN"/>
        </w:rPr>
        <w:t>超粒径、超比重的矿物、各种工业垃圾等</w:t>
      </w:r>
      <w:r>
        <w:rPr>
          <w:rFonts w:hint="eastAsia"/>
          <w:color w:val="auto"/>
          <w:lang w:val="en-US" w:eastAsia="zh-CN"/>
        </w:rPr>
        <w:t>，</w:t>
      </w:r>
      <w:r>
        <w:rPr>
          <w:rFonts w:hint="default"/>
          <w:color w:val="auto"/>
          <w:lang w:val="en-US" w:eastAsia="zh-CN"/>
        </w:rPr>
        <w:t>不应进入矿浆浓缩池。</w:t>
      </w:r>
    </w:p>
    <w:p w14:paraId="70C3C555">
      <w:pPr>
        <w:bidi w:val="0"/>
        <w:rPr>
          <w:rFonts w:hint="default"/>
          <w:color w:val="auto"/>
          <w:lang w:val="en-US" w:eastAsia="zh-CN"/>
        </w:rPr>
      </w:pPr>
      <w:r>
        <w:rPr>
          <w:rFonts w:hint="eastAsia"/>
          <w:color w:val="auto"/>
          <w:lang w:val="en-US" w:eastAsia="zh-CN"/>
        </w:rPr>
        <w:t>21、根据《选矿安全规程》（GB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8</w:t>
      </w:r>
      <w:r>
        <w:rPr>
          <w:rFonts w:hint="eastAsia"/>
          <w:color w:val="auto"/>
          <w:lang w:val="en-US" w:eastAsia="zh-CN"/>
        </w:rPr>
        <w:t>条规定，</w:t>
      </w:r>
      <w:r>
        <w:rPr>
          <w:rFonts w:hint="default"/>
          <w:color w:val="auto"/>
          <w:lang w:val="en-US" w:eastAsia="zh-CN"/>
        </w:rPr>
        <w:t>须浓缩而未经浓缩的尾矿浆</w:t>
      </w:r>
      <w:r>
        <w:rPr>
          <w:rFonts w:hint="eastAsia"/>
          <w:color w:val="auto"/>
          <w:lang w:val="en-US" w:eastAsia="zh-CN"/>
        </w:rPr>
        <w:t>，</w:t>
      </w:r>
      <w:r>
        <w:rPr>
          <w:rFonts w:hint="default"/>
          <w:color w:val="auto"/>
          <w:lang w:val="en-US" w:eastAsia="zh-CN"/>
        </w:rPr>
        <w:t>除非事故处理需要</w:t>
      </w:r>
      <w:r>
        <w:rPr>
          <w:rFonts w:hint="eastAsia"/>
          <w:color w:val="auto"/>
          <w:lang w:val="en-US" w:eastAsia="zh-CN"/>
        </w:rPr>
        <w:t>，</w:t>
      </w:r>
      <w:r>
        <w:rPr>
          <w:rFonts w:hint="default"/>
          <w:color w:val="auto"/>
          <w:lang w:val="en-US" w:eastAsia="zh-CN"/>
        </w:rPr>
        <w:t>不得任意送往泵站和尾矿库。</w:t>
      </w:r>
    </w:p>
    <w:p w14:paraId="0EE4E2EC">
      <w:pPr>
        <w:bidi w:val="0"/>
        <w:rPr>
          <w:rFonts w:hint="default"/>
          <w:color w:val="auto"/>
          <w:lang w:val="en-US" w:eastAsia="zh-CN"/>
        </w:rPr>
      </w:pPr>
      <w:r>
        <w:rPr>
          <w:rFonts w:hint="eastAsia"/>
          <w:color w:val="auto"/>
          <w:lang w:val="en-US" w:eastAsia="zh-CN"/>
        </w:rPr>
        <w:t>22、根据《选矿安全规程》（GB 18152-2000）第</w:t>
      </w:r>
      <w:r>
        <w:rPr>
          <w:rFonts w:hint="default"/>
          <w:color w:val="auto"/>
          <w:lang w:val="en-US" w:eastAsia="zh-CN"/>
        </w:rPr>
        <w:t>7</w:t>
      </w:r>
      <w:r>
        <w:rPr>
          <w:rFonts w:hint="eastAsia"/>
          <w:color w:val="auto"/>
          <w:lang w:val="en-US" w:eastAsia="zh-CN"/>
        </w:rPr>
        <w:t>.</w:t>
      </w:r>
      <w:r>
        <w:rPr>
          <w:rFonts w:hint="default"/>
          <w:color w:val="auto"/>
          <w:lang w:val="en-US" w:eastAsia="zh-CN"/>
        </w:rPr>
        <w:t>6</w:t>
      </w:r>
      <w:r>
        <w:rPr>
          <w:rFonts w:hint="eastAsia"/>
          <w:color w:val="auto"/>
          <w:lang w:val="en-US" w:eastAsia="zh-CN"/>
        </w:rPr>
        <w:t>.</w:t>
      </w:r>
      <w:r>
        <w:rPr>
          <w:rFonts w:hint="default"/>
          <w:color w:val="auto"/>
          <w:lang w:val="en-US" w:eastAsia="zh-CN"/>
        </w:rPr>
        <w:t>9</w:t>
      </w:r>
      <w:r>
        <w:rPr>
          <w:rFonts w:hint="eastAsia"/>
          <w:color w:val="auto"/>
          <w:lang w:val="en-US" w:eastAsia="zh-CN"/>
        </w:rPr>
        <w:t>条规定，</w:t>
      </w:r>
      <w:r>
        <w:rPr>
          <w:rFonts w:hint="default"/>
          <w:color w:val="auto"/>
          <w:lang w:val="en-US" w:eastAsia="zh-CN"/>
        </w:rPr>
        <w:t>浓缩池的来矿流槽进口和溢流槽出口的格栅、挡板装置</w:t>
      </w:r>
      <w:r>
        <w:rPr>
          <w:rFonts w:hint="eastAsia"/>
          <w:color w:val="auto"/>
          <w:lang w:val="en-US" w:eastAsia="zh-CN"/>
        </w:rPr>
        <w:t>，</w:t>
      </w:r>
      <w:r>
        <w:rPr>
          <w:rFonts w:hint="default"/>
          <w:color w:val="auto"/>
          <w:lang w:val="en-US" w:eastAsia="zh-CN"/>
        </w:rPr>
        <w:t>及排矿管</w:t>
      </w:r>
      <w:r>
        <w:rPr>
          <w:rFonts w:hint="eastAsia"/>
          <w:color w:val="auto"/>
          <w:lang w:val="en-US" w:eastAsia="zh-CN"/>
        </w:rPr>
        <w:t>（</w:t>
      </w:r>
      <w:r>
        <w:rPr>
          <w:rFonts w:hint="default"/>
          <w:color w:val="auto"/>
          <w:lang w:val="en-US" w:eastAsia="zh-CN"/>
        </w:rPr>
        <w:t>槽、沟</w:t>
      </w:r>
      <w:r>
        <w:rPr>
          <w:rFonts w:hint="eastAsia"/>
          <w:color w:val="auto"/>
          <w:lang w:val="en-US" w:eastAsia="zh-CN"/>
        </w:rPr>
        <w:t>）</w:t>
      </w:r>
      <w:r>
        <w:rPr>
          <w:rFonts w:hint="default"/>
          <w:color w:val="auto"/>
          <w:lang w:val="en-US" w:eastAsia="zh-CN"/>
        </w:rPr>
        <w:t>等易发生尾矿沉积的部位</w:t>
      </w:r>
      <w:r>
        <w:rPr>
          <w:rFonts w:hint="eastAsia"/>
          <w:color w:val="auto"/>
          <w:lang w:val="en-US" w:eastAsia="zh-CN"/>
        </w:rPr>
        <w:t>，</w:t>
      </w:r>
      <w:r>
        <w:rPr>
          <w:rFonts w:hint="default"/>
          <w:color w:val="auto"/>
          <w:lang w:val="en-US" w:eastAsia="zh-CN"/>
        </w:rPr>
        <w:t>应定期冲洗清理。</w:t>
      </w:r>
    </w:p>
    <w:p w14:paraId="555CEDF8">
      <w:pPr>
        <w:bidi w:val="0"/>
        <w:rPr>
          <w:rFonts w:hint="default"/>
          <w:color w:val="auto"/>
          <w:lang w:val="en-US" w:eastAsia="zh-CN"/>
        </w:rPr>
      </w:pPr>
      <w:r>
        <w:rPr>
          <w:rFonts w:hint="eastAsia"/>
          <w:color w:val="auto"/>
          <w:lang w:val="en-US" w:eastAsia="zh-CN"/>
        </w:rPr>
        <w:t>23、根据《选矿安全规程》（GB 18152-2000）第</w:t>
      </w:r>
      <w:r>
        <w:rPr>
          <w:rFonts w:hint="default"/>
          <w:color w:val="auto"/>
          <w:lang w:val="en-US" w:eastAsia="zh-CN"/>
        </w:rPr>
        <w:t>8</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1</w:t>
      </w:r>
      <w:r>
        <w:rPr>
          <w:rFonts w:hint="eastAsia"/>
          <w:color w:val="auto"/>
          <w:lang w:val="en-US" w:eastAsia="zh-CN"/>
        </w:rPr>
        <w:t>条规定，</w:t>
      </w:r>
      <w:r>
        <w:rPr>
          <w:rFonts w:hint="default"/>
          <w:color w:val="auto"/>
          <w:lang w:val="en-US" w:eastAsia="zh-CN"/>
        </w:rPr>
        <w:t>砂泵站</w:t>
      </w:r>
      <w:r>
        <w:rPr>
          <w:rFonts w:hint="eastAsia"/>
          <w:color w:val="auto"/>
          <w:lang w:val="en-US" w:eastAsia="zh-CN"/>
        </w:rPr>
        <w:t>（</w:t>
      </w:r>
      <w:r>
        <w:rPr>
          <w:rFonts w:hint="default"/>
          <w:color w:val="auto"/>
          <w:lang w:val="en-US" w:eastAsia="zh-CN"/>
        </w:rPr>
        <w:t>特别是高压砂泵站</w:t>
      </w:r>
      <w:r>
        <w:rPr>
          <w:rFonts w:hint="eastAsia"/>
          <w:color w:val="auto"/>
          <w:lang w:val="en-US" w:eastAsia="zh-CN"/>
        </w:rPr>
        <w:t>）</w:t>
      </w:r>
      <w:r>
        <w:rPr>
          <w:rFonts w:hint="default"/>
          <w:color w:val="auto"/>
          <w:lang w:val="en-US" w:eastAsia="zh-CN"/>
        </w:rPr>
        <w:t>应设必要的监测仪表</w:t>
      </w:r>
      <w:r>
        <w:rPr>
          <w:rFonts w:hint="eastAsia"/>
          <w:color w:val="auto"/>
          <w:lang w:val="en-US" w:eastAsia="zh-CN"/>
        </w:rPr>
        <w:t>，</w:t>
      </w:r>
      <w:r>
        <w:rPr>
          <w:rFonts w:hint="default"/>
          <w:color w:val="auto"/>
          <w:lang w:val="en-US" w:eastAsia="zh-CN"/>
        </w:rPr>
        <w:t>容积式的砂泵站应设超压保护装置。静水压力较高的泵站应在砂泵单向阀后设置安全阀或防水锤。</w:t>
      </w:r>
    </w:p>
    <w:p w14:paraId="66AA262C">
      <w:pPr>
        <w:bidi w:val="0"/>
        <w:rPr>
          <w:rFonts w:hint="default"/>
          <w:color w:val="auto"/>
          <w:lang w:val="en-US" w:eastAsia="zh-CN"/>
        </w:rPr>
      </w:pPr>
      <w:r>
        <w:rPr>
          <w:rFonts w:hint="eastAsia"/>
          <w:color w:val="auto"/>
          <w:lang w:val="en-US" w:eastAsia="zh-CN"/>
        </w:rPr>
        <w:t>24、根据《选矿安全规程》（GB 18152-2000）第</w:t>
      </w:r>
      <w:r>
        <w:rPr>
          <w:rFonts w:hint="default"/>
          <w:color w:val="auto"/>
          <w:lang w:val="en-US" w:eastAsia="zh-CN"/>
        </w:rPr>
        <w:t>8</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2</w:t>
      </w:r>
      <w:r>
        <w:rPr>
          <w:rFonts w:hint="eastAsia"/>
          <w:color w:val="auto"/>
          <w:lang w:val="en-US" w:eastAsia="zh-CN"/>
        </w:rPr>
        <w:t>条规定，</w:t>
      </w:r>
      <w:r>
        <w:rPr>
          <w:rFonts w:hint="default"/>
          <w:color w:val="auto"/>
          <w:lang w:val="en-US" w:eastAsia="zh-CN"/>
        </w:rPr>
        <w:t>事故尾矿池应定期清理</w:t>
      </w:r>
      <w:r>
        <w:rPr>
          <w:rFonts w:hint="eastAsia"/>
          <w:color w:val="auto"/>
          <w:lang w:val="en-US" w:eastAsia="zh-CN"/>
        </w:rPr>
        <w:t>，</w:t>
      </w:r>
      <w:r>
        <w:rPr>
          <w:rFonts w:hint="default"/>
          <w:color w:val="auto"/>
          <w:lang w:val="en-US" w:eastAsia="zh-CN"/>
        </w:rPr>
        <w:t>经常保持足够的贮存容积。事故尾矿溢流不得任意外排</w:t>
      </w:r>
      <w:r>
        <w:rPr>
          <w:rFonts w:hint="eastAsia"/>
          <w:color w:val="auto"/>
          <w:lang w:val="en-US" w:eastAsia="zh-CN"/>
        </w:rPr>
        <w:t>，</w:t>
      </w:r>
      <w:r>
        <w:rPr>
          <w:rFonts w:hint="default"/>
          <w:color w:val="auto"/>
          <w:lang w:val="en-US" w:eastAsia="zh-CN"/>
        </w:rPr>
        <w:t>确需临时外排时</w:t>
      </w:r>
      <w:r>
        <w:rPr>
          <w:rFonts w:hint="eastAsia"/>
          <w:color w:val="auto"/>
          <w:lang w:val="en-US" w:eastAsia="zh-CN"/>
        </w:rPr>
        <w:t>，</w:t>
      </w:r>
      <w:r>
        <w:rPr>
          <w:rFonts w:hint="default"/>
          <w:color w:val="auto"/>
          <w:lang w:val="en-US" w:eastAsia="zh-CN"/>
        </w:rPr>
        <w:t>应经有关部门批准。</w:t>
      </w:r>
    </w:p>
    <w:p w14:paraId="354C36C2">
      <w:pPr>
        <w:bidi w:val="0"/>
        <w:rPr>
          <w:rFonts w:hint="default"/>
          <w:color w:val="auto"/>
          <w:lang w:val="en-US" w:eastAsia="zh-CN"/>
        </w:rPr>
      </w:pPr>
      <w:r>
        <w:rPr>
          <w:rFonts w:hint="eastAsia"/>
          <w:color w:val="auto"/>
          <w:lang w:val="en-US" w:eastAsia="zh-CN"/>
        </w:rPr>
        <w:t>25、根据《选矿安全规程》（GB 18152-2000）第</w:t>
      </w:r>
      <w:r>
        <w:rPr>
          <w:rFonts w:hint="default"/>
          <w:color w:val="auto"/>
          <w:lang w:val="en-US" w:eastAsia="zh-CN"/>
        </w:rPr>
        <w:t>8</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3</w:t>
      </w:r>
      <w:r>
        <w:rPr>
          <w:rFonts w:hint="eastAsia"/>
          <w:color w:val="auto"/>
          <w:lang w:val="en-US" w:eastAsia="zh-CN"/>
        </w:rPr>
        <w:t>条规定，</w:t>
      </w:r>
      <w:r>
        <w:rPr>
          <w:rFonts w:hint="default"/>
          <w:color w:val="auto"/>
          <w:lang w:val="en-US" w:eastAsia="zh-CN"/>
        </w:rPr>
        <w:t>间接串联或远距离直接串联的尾矿输送系统上的逆止阀及其他安全防护装置应经常检查和维护</w:t>
      </w:r>
      <w:r>
        <w:rPr>
          <w:rFonts w:hint="eastAsia"/>
          <w:color w:val="auto"/>
          <w:lang w:val="en-US" w:eastAsia="zh-CN"/>
        </w:rPr>
        <w:t>，</w:t>
      </w:r>
      <w:r>
        <w:rPr>
          <w:rFonts w:hint="default"/>
          <w:color w:val="auto"/>
          <w:lang w:val="en-US" w:eastAsia="zh-CN"/>
        </w:rPr>
        <w:t>确保完好有效。</w:t>
      </w:r>
    </w:p>
    <w:p w14:paraId="5D2F22FD">
      <w:pPr>
        <w:bidi w:val="0"/>
        <w:rPr>
          <w:rFonts w:hint="default"/>
          <w:color w:val="auto"/>
          <w:lang w:val="en-US" w:eastAsia="zh-CN"/>
        </w:rPr>
      </w:pPr>
      <w:r>
        <w:rPr>
          <w:rFonts w:hint="eastAsia"/>
          <w:color w:val="auto"/>
          <w:lang w:val="en-US" w:eastAsia="zh-CN"/>
        </w:rPr>
        <w:t>26、根据《选矿安全规程》（GB 18152-2000）第</w:t>
      </w:r>
      <w:r>
        <w:rPr>
          <w:rFonts w:hint="default"/>
          <w:color w:val="auto"/>
          <w:lang w:val="en-US" w:eastAsia="zh-CN"/>
        </w:rPr>
        <w:t>8</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4</w:t>
      </w:r>
      <w:r>
        <w:rPr>
          <w:rFonts w:hint="eastAsia"/>
          <w:color w:val="auto"/>
          <w:lang w:val="en-US" w:eastAsia="zh-CN"/>
        </w:rPr>
        <w:t>条规定，</w:t>
      </w:r>
      <w:r>
        <w:rPr>
          <w:rFonts w:hint="default"/>
          <w:color w:val="auto"/>
          <w:lang w:val="en-US" w:eastAsia="zh-CN"/>
        </w:rPr>
        <w:t>矿浆仓来矿处设置的格栅和仓内设置的水位指示装置</w:t>
      </w:r>
      <w:r>
        <w:rPr>
          <w:rFonts w:hint="eastAsia"/>
          <w:color w:val="auto"/>
          <w:lang w:val="en-US" w:eastAsia="zh-CN"/>
        </w:rPr>
        <w:t>，</w:t>
      </w:r>
      <w:r>
        <w:rPr>
          <w:rFonts w:hint="default"/>
          <w:color w:val="auto"/>
          <w:lang w:val="en-US" w:eastAsia="zh-CN"/>
        </w:rPr>
        <w:t>应经常冲洗清理与维护。</w:t>
      </w:r>
    </w:p>
    <w:p w14:paraId="39E693BE">
      <w:pPr>
        <w:bidi w:val="0"/>
        <w:rPr>
          <w:rFonts w:hint="default"/>
          <w:color w:val="auto"/>
          <w:lang w:val="en-US" w:eastAsia="zh-CN"/>
        </w:rPr>
      </w:pPr>
      <w:r>
        <w:rPr>
          <w:rFonts w:hint="eastAsia"/>
          <w:color w:val="auto"/>
          <w:lang w:val="en-US" w:eastAsia="zh-CN"/>
        </w:rPr>
        <w:t>27、根据《选矿安全规程》（GB 18152-2000）第</w:t>
      </w:r>
      <w:r>
        <w:rPr>
          <w:rFonts w:hint="default"/>
          <w:color w:val="auto"/>
          <w:lang w:val="en-US" w:eastAsia="zh-CN"/>
        </w:rPr>
        <w:t>8</w:t>
      </w:r>
      <w:r>
        <w:rPr>
          <w:rFonts w:hint="eastAsia"/>
          <w:color w:val="auto"/>
          <w:lang w:val="en-US" w:eastAsia="zh-CN"/>
        </w:rPr>
        <w:t>.</w:t>
      </w:r>
      <w:r>
        <w:rPr>
          <w:rFonts w:hint="default"/>
          <w:color w:val="auto"/>
          <w:lang w:val="en-US" w:eastAsia="zh-CN"/>
        </w:rPr>
        <w:t>1</w:t>
      </w:r>
      <w:r>
        <w:rPr>
          <w:rFonts w:hint="eastAsia"/>
          <w:color w:val="auto"/>
          <w:lang w:val="en-US" w:eastAsia="zh-CN"/>
        </w:rPr>
        <w:t>.</w:t>
      </w:r>
      <w:r>
        <w:rPr>
          <w:rFonts w:hint="default"/>
          <w:color w:val="auto"/>
          <w:lang w:val="en-US" w:eastAsia="zh-CN"/>
        </w:rPr>
        <w:t>5</w:t>
      </w:r>
      <w:r>
        <w:rPr>
          <w:rFonts w:hint="eastAsia"/>
          <w:color w:val="auto"/>
          <w:lang w:val="en-US" w:eastAsia="zh-CN"/>
        </w:rPr>
        <w:t>条规定，</w:t>
      </w:r>
      <w:r>
        <w:rPr>
          <w:rFonts w:hint="default"/>
          <w:color w:val="auto"/>
          <w:lang w:val="en-US" w:eastAsia="zh-CN"/>
        </w:rPr>
        <w:t>尾矿输送管、槽、沟、渠、洞</w:t>
      </w:r>
      <w:r>
        <w:rPr>
          <w:rFonts w:hint="eastAsia"/>
          <w:color w:val="auto"/>
          <w:lang w:val="en-US" w:eastAsia="zh-CN"/>
        </w:rPr>
        <w:t>，</w:t>
      </w:r>
      <w:r>
        <w:rPr>
          <w:rFonts w:hint="default"/>
          <w:color w:val="auto"/>
          <w:lang w:val="en-US" w:eastAsia="zh-CN"/>
        </w:rPr>
        <w:t>应固定专人分班巡视检查和维护管理</w:t>
      </w:r>
      <w:r>
        <w:rPr>
          <w:rFonts w:hint="eastAsia"/>
          <w:color w:val="auto"/>
          <w:lang w:val="en-US" w:eastAsia="zh-CN"/>
        </w:rPr>
        <w:t>，</w:t>
      </w:r>
      <w:r>
        <w:rPr>
          <w:rFonts w:hint="default"/>
          <w:color w:val="auto"/>
          <w:lang w:val="en-US" w:eastAsia="zh-CN"/>
        </w:rPr>
        <w:t>防止发生淤积、堵塞、爆管、喷浆、渗漏、坍塌等事故</w:t>
      </w:r>
      <w:r>
        <w:rPr>
          <w:rFonts w:hint="eastAsia"/>
          <w:color w:val="auto"/>
          <w:lang w:val="en-US" w:eastAsia="zh-CN"/>
        </w:rPr>
        <w:t>；</w:t>
      </w:r>
      <w:r>
        <w:rPr>
          <w:rFonts w:hint="default"/>
          <w:color w:val="auto"/>
          <w:lang w:val="en-US" w:eastAsia="zh-CN"/>
        </w:rPr>
        <w:t>发现事故应及时处理</w:t>
      </w:r>
      <w:r>
        <w:rPr>
          <w:rFonts w:hint="eastAsia"/>
          <w:color w:val="auto"/>
          <w:lang w:val="en-US" w:eastAsia="zh-CN"/>
        </w:rPr>
        <w:t>，</w:t>
      </w:r>
      <w:r>
        <w:rPr>
          <w:rFonts w:hint="default"/>
          <w:color w:val="auto"/>
          <w:lang w:val="en-US" w:eastAsia="zh-CN"/>
        </w:rPr>
        <w:t>对排放的矿浆应妥善处理。</w:t>
      </w:r>
    </w:p>
    <w:p w14:paraId="01B53BDD">
      <w:pPr>
        <w:bidi w:val="0"/>
        <w:rPr>
          <w:rFonts w:hint="default"/>
          <w:color w:val="auto"/>
          <w:lang w:val="en-US" w:eastAsia="zh-CN"/>
        </w:rPr>
      </w:pPr>
      <w:r>
        <w:rPr>
          <w:rFonts w:hint="eastAsia"/>
          <w:color w:val="auto"/>
          <w:lang w:val="en-US" w:eastAsia="zh-CN"/>
        </w:rPr>
        <w:t>28、根据《选矿安全规程》（GB 18152-2000）第</w:t>
      </w:r>
      <w:r>
        <w:rPr>
          <w:rFonts w:hint="default"/>
          <w:color w:val="auto"/>
          <w:lang w:val="en-US" w:eastAsia="zh-CN"/>
        </w:rPr>
        <w:t>9</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4</w:t>
      </w:r>
      <w:r>
        <w:rPr>
          <w:rFonts w:hint="eastAsia"/>
          <w:color w:val="auto"/>
          <w:lang w:val="en-US" w:eastAsia="zh-CN"/>
        </w:rPr>
        <w:t>条规定，</w:t>
      </w:r>
      <w:r>
        <w:rPr>
          <w:rFonts w:hint="default"/>
          <w:color w:val="auto"/>
          <w:lang w:val="en-US" w:eastAsia="zh-CN"/>
        </w:rPr>
        <w:t>带式输送机应具有相应的防止逆转、胶带撕裂、断绳、断带、跑偏及脱槽的措施</w:t>
      </w:r>
      <w:r>
        <w:rPr>
          <w:rFonts w:hint="eastAsia"/>
          <w:color w:val="auto"/>
          <w:lang w:val="en-US" w:eastAsia="zh-CN"/>
        </w:rPr>
        <w:t>，</w:t>
      </w:r>
      <w:r>
        <w:rPr>
          <w:rFonts w:hint="default"/>
          <w:color w:val="auto"/>
          <w:lang w:val="en-US" w:eastAsia="zh-CN"/>
        </w:rPr>
        <w:t>并应有制动装置及清理胶带和滚筒的装置</w:t>
      </w:r>
      <w:r>
        <w:rPr>
          <w:rFonts w:hint="eastAsia"/>
          <w:color w:val="auto"/>
          <w:lang w:val="en-US" w:eastAsia="zh-CN"/>
        </w:rPr>
        <w:t>，</w:t>
      </w:r>
      <w:r>
        <w:rPr>
          <w:rFonts w:hint="default"/>
          <w:color w:val="auto"/>
          <w:lang w:val="en-US" w:eastAsia="zh-CN"/>
        </w:rPr>
        <w:t>线路上应有信号、电气联锁和停车装置。</w:t>
      </w:r>
    </w:p>
    <w:p w14:paraId="3FFD189E">
      <w:pPr>
        <w:bidi w:val="0"/>
        <w:rPr>
          <w:rFonts w:hint="default"/>
          <w:color w:val="auto"/>
          <w:lang w:val="en-US" w:eastAsia="zh-CN"/>
        </w:rPr>
      </w:pPr>
      <w:r>
        <w:rPr>
          <w:rFonts w:hint="eastAsia"/>
          <w:color w:val="auto"/>
          <w:lang w:val="en-US" w:eastAsia="zh-CN"/>
        </w:rPr>
        <w:t>29、根据《选矿安全规程》（GB 18152-2000）第</w:t>
      </w:r>
      <w:r>
        <w:rPr>
          <w:rFonts w:hint="default"/>
          <w:color w:val="auto"/>
          <w:lang w:val="en-US" w:eastAsia="zh-CN"/>
        </w:rPr>
        <w:t>9</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6</w:t>
      </w:r>
      <w:r>
        <w:rPr>
          <w:rFonts w:hint="eastAsia"/>
          <w:color w:val="auto"/>
          <w:lang w:val="en-US" w:eastAsia="zh-CN"/>
        </w:rPr>
        <w:t>条规定，</w:t>
      </w:r>
      <w:r>
        <w:rPr>
          <w:rFonts w:hint="default"/>
          <w:color w:val="auto"/>
          <w:lang w:val="en-US" w:eastAsia="zh-CN"/>
        </w:rPr>
        <w:t>带式输送机运行应遵守下列规定</w:t>
      </w:r>
      <w:r>
        <w:rPr>
          <w:rFonts w:hint="eastAsia"/>
          <w:color w:val="auto"/>
          <w:lang w:val="en-US" w:eastAsia="zh-CN"/>
        </w:rPr>
        <w:t>：</w:t>
      </w:r>
    </w:p>
    <w:p w14:paraId="2558ADCE">
      <w:pPr>
        <w:bidi w:val="0"/>
        <w:rPr>
          <w:rFonts w:hint="default"/>
          <w:color w:val="auto"/>
          <w:lang w:val="en-US" w:eastAsia="zh-CN"/>
        </w:rPr>
      </w:pPr>
      <w:r>
        <w:rPr>
          <w:rFonts w:hint="eastAsia"/>
          <w:color w:val="auto"/>
          <w:lang w:val="en-US" w:eastAsia="zh-CN"/>
        </w:rPr>
        <w:t>（1）</w:t>
      </w:r>
      <w:r>
        <w:rPr>
          <w:rFonts w:hint="default"/>
          <w:color w:val="auto"/>
          <w:lang w:val="en-US" w:eastAsia="zh-CN"/>
        </w:rPr>
        <w:t>人员不应乘坐、跨越、钻爬带式输送机带式输送机不应运送规定物料以外的其他物料</w:t>
      </w:r>
    </w:p>
    <w:p w14:paraId="3F1ECF29">
      <w:pPr>
        <w:bidi w:val="0"/>
        <w:rPr>
          <w:rFonts w:hint="default"/>
          <w:color w:val="auto"/>
          <w:lang w:val="en-US" w:eastAsia="zh-CN"/>
        </w:rPr>
      </w:pPr>
      <w:r>
        <w:rPr>
          <w:rFonts w:hint="eastAsia"/>
          <w:color w:val="auto"/>
          <w:lang w:val="en-US" w:eastAsia="zh-CN"/>
        </w:rPr>
        <w:t>（2）</w:t>
      </w:r>
      <w:r>
        <w:rPr>
          <w:rFonts w:hint="default"/>
          <w:color w:val="auto"/>
          <w:lang w:val="en-US" w:eastAsia="zh-CN"/>
        </w:rPr>
        <w:t>不应从运行中的带式输送机上用手捡矿石手选皮带除外</w:t>
      </w:r>
    </w:p>
    <w:p w14:paraId="015FA14C">
      <w:pPr>
        <w:bidi w:val="0"/>
        <w:rPr>
          <w:rFonts w:hint="default"/>
          <w:color w:val="auto"/>
          <w:lang w:val="en-US" w:eastAsia="zh-CN"/>
        </w:rPr>
      </w:pPr>
      <w:r>
        <w:rPr>
          <w:rFonts w:hint="eastAsia"/>
          <w:color w:val="auto"/>
          <w:lang w:val="en-US" w:eastAsia="zh-CN"/>
        </w:rPr>
        <w:t>（3）</w:t>
      </w:r>
      <w:r>
        <w:rPr>
          <w:rFonts w:hint="default"/>
          <w:color w:val="auto"/>
          <w:lang w:val="en-US" w:eastAsia="zh-CN"/>
        </w:rPr>
        <w:t>输送带、传动轮和改向轮上的杂物应及时停车清除不应在运行的输送带下清矿</w:t>
      </w:r>
    </w:p>
    <w:p w14:paraId="5366C9E8">
      <w:pPr>
        <w:bidi w:val="0"/>
        <w:rPr>
          <w:rFonts w:hint="default"/>
          <w:color w:val="auto"/>
          <w:lang w:val="en-US" w:eastAsia="zh-CN"/>
        </w:rPr>
      </w:pPr>
      <w:r>
        <w:rPr>
          <w:rFonts w:hint="eastAsia"/>
          <w:color w:val="auto"/>
          <w:lang w:val="en-US" w:eastAsia="zh-CN"/>
        </w:rPr>
        <w:t>（4）</w:t>
      </w:r>
      <w:r>
        <w:rPr>
          <w:rFonts w:hint="default"/>
          <w:color w:val="auto"/>
          <w:lang w:val="en-US" w:eastAsia="zh-CN"/>
        </w:rPr>
        <w:t>运行中的带式输送机不应进行检修、打扫和注油不应用手摸托滚、首尾轮等转动部件。</w:t>
      </w:r>
    </w:p>
    <w:p w14:paraId="1B3C1E14">
      <w:pPr>
        <w:bidi w:val="0"/>
        <w:rPr>
          <w:rFonts w:hint="default"/>
          <w:color w:val="auto"/>
          <w:lang w:val="en-US" w:eastAsia="zh-CN"/>
        </w:rPr>
      </w:pPr>
      <w:r>
        <w:rPr>
          <w:rFonts w:hint="eastAsia"/>
          <w:color w:val="auto"/>
          <w:lang w:val="en-US" w:eastAsia="zh-CN"/>
        </w:rPr>
        <w:t>30、根据《选矿安全规程》（GB 18152-2000）第</w:t>
      </w:r>
      <w:r>
        <w:rPr>
          <w:rFonts w:hint="default"/>
          <w:color w:val="auto"/>
          <w:lang w:val="en-US" w:eastAsia="zh-CN"/>
        </w:rPr>
        <w:t>9</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8</w:t>
      </w:r>
      <w:r>
        <w:rPr>
          <w:rFonts w:hint="eastAsia"/>
          <w:color w:val="auto"/>
          <w:lang w:val="en-US" w:eastAsia="zh-CN"/>
        </w:rPr>
        <w:t>条规定，</w:t>
      </w:r>
      <w:r>
        <w:rPr>
          <w:rFonts w:hint="default"/>
          <w:color w:val="auto"/>
          <w:lang w:val="en-US" w:eastAsia="zh-CN"/>
        </w:rPr>
        <w:t>更换栏板、清扫器</w:t>
      </w:r>
      <w:r>
        <w:rPr>
          <w:rFonts w:hint="eastAsia"/>
          <w:color w:val="auto"/>
          <w:lang w:val="en-US" w:eastAsia="zh-CN"/>
        </w:rPr>
        <w:t>（</w:t>
      </w:r>
      <w:r>
        <w:rPr>
          <w:rFonts w:hint="default"/>
          <w:color w:val="auto"/>
          <w:lang w:val="en-US" w:eastAsia="zh-CN"/>
        </w:rPr>
        <w:t>刮泥板</w:t>
      </w:r>
      <w:r>
        <w:rPr>
          <w:rFonts w:hint="eastAsia"/>
          <w:color w:val="auto"/>
          <w:lang w:val="en-US" w:eastAsia="zh-CN"/>
        </w:rPr>
        <w:t>）</w:t>
      </w:r>
      <w:r>
        <w:rPr>
          <w:rFonts w:hint="default"/>
          <w:color w:val="auto"/>
          <w:lang w:val="en-US" w:eastAsia="zh-CN"/>
        </w:rPr>
        <w:t>和托辊</w:t>
      </w:r>
      <w:r>
        <w:rPr>
          <w:rFonts w:hint="eastAsia"/>
          <w:color w:val="auto"/>
          <w:lang w:val="en-US" w:eastAsia="zh-CN"/>
        </w:rPr>
        <w:t>，</w:t>
      </w:r>
      <w:r>
        <w:rPr>
          <w:rFonts w:hint="default"/>
          <w:color w:val="auto"/>
          <w:lang w:val="en-US" w:eastAsia="zh-CN"/>
        </w:rPr>
        <w:t>应停车、切断电源进行并应有专人监护。</w:t>
      </w:r>
    </w:p>
    <w:p w14:paraId="5D5F7028">
      <w:pPr>
        <w:bidi w:val="0"/>
        <w:rPr>
          <w:rFonts w:hint="default"/>
          <w:color w:val="auto"/>
          <w:lang w:val="en-US" w:eastAsia="zh-CN"/>
        </w:rPr>
      </w:pPr>
      <w:r>
        <w:rPr>
          <w:rFonts w:hint="eastAsia"/>
          <w:color w:val="auto"/>
          <w:lang w:val="en-US" w:eastAsia="zh-CN"/>
        </w:rPr>
        <w:t>31、根据《选矿安全规程》（GB18152-2000）第</w:t>
      </w:r>
      <w:r>
        <w:rPr>
          <w:rFonts w:hint="default"/>
          <w:color w:val="auto"/>
          <w:lang w:val="en-US" w:eastAsia="zh-CN"/>
        </w:rPr>
        <w:t>9</w:t>
      </w:r>
      <w:r>
        <w:rPr>
          <w:rFonts w:hint="eastAsia"/>
          <w:color w:val="auto"/>
          <w:lang w:val="en-US" w:eastAsia="zh-CN"/>
        </w:rPr>
        <w:t>.</w:t>
      </w:r>
      <w:r>
        <w:rPr>
          <w:rFonts w:hint="default"/>
          <w:color w:val="auto"/>
          <w:lang w:val="en-US" w:eastAsia="zh-CN"/>
        </w:rPr>
        <w:t>2</w:t>
      </w:r>
      <w:r>
        <w:rPr>
          <w:rFonts w:hint="eastAsia"/>
          <w:color w:val="auto"/>
          <w:lang w:val="en-US" w:eastAsia="zh-CN"/>
        </w:rPr>
        <w:t>.</w:t>
      </w:r>
      <w:r>
        <w:rPr>
          <w:rFonts w:hint="default"/>
          <w:color w:val="auto"/>
          <w:lang w:val="en-US" w:eastAsia="zh-CN"/>
        </w:rPr>
        <w:t>9</w:t>
      </w:r>
      <w:r>
        <w:rPr>
          <w:rFonts w:hint="eastAsia"/>
          <w:color w:val="auto"/>
          <w:lang w:val="en-US" w:eastAsia="zh-CN"/>
        </w:rPr>
        <w:t>条规定，</w:t>
      </w:r>
      <w:r>
        <w:rPr>
          <w:rFonts w:hint="default"/>
          <w:color w:val="auto"/>
          <w:lang w:val="en-US" w:eastAsia="zh-CN"/>
        </w:rPr>
        <w:t>带式输送机不能启动或打滑时</w:t>
      </w:r>
      <w:r>
        <w:rPr>
          <w:rFonts w:hint="eastAsia"/>
          <w:color w:val="auto"/>
          <w:lang w:val="en-US" w:eastAsia="zh-CN"/>
        </w:rPr>
        <w:t>，</w:t>
      </w:r>
      <w:r>
        <w:rPr>
          <w:rFonts w:hint="default"/>
          <w:color w:val="auto"/>
          <w:lang w:val="en-US" w:eastAsia="zh-CN"/>
        </w:rPr>
        <w:t>不应用脚蹬踩、用手推拉或压杠子等办法处理。</w:t>
      </w:r>
    </w:p>
    <w:p w14:paraId="5B74A3A4">
      <w:pPr>
        <w:bidi w:val="0"/>
        <w:rPr>
          <w:rFonts w:hint="default"/>
          <w:color w:val="auto"/>
          <w:lang w:val="en-US" w:eastAsia="zh-CN"/>
        </w:rPr>
      </w:pPr>
      <w:r>
        <w:rPr>
          <w:rFonts w:hint="eastAsia"/>
          <w:color w:val="auto"/>
          <w:lang w:val="en-US" w:eastAsia="zh-CN"/>
        </w:rPr>
        <w:t>32、根据《选矿安全规程》（GB 18152-2000）第</w:t>
      </w:r>
      <w:r>
        <w:rPr>
          <w:rFonts w:hint="default"/>
          <w:color w:val="auto"/>
          <w:lang w:val="en-US" w:eastAsia="zh-CN"/>
        </w:rPr>
        <w:t>9</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3</w:t>
      </w:r>
      <w:r>
        <w:rPr>
          <w:rFonts w:hint="eastAsia"/>
          <w:color w:val="auto"/>
          <w:lang w:val="en-US" w:eastAsia="zh-CN"/>
        </w:rPr>
        <w:t>条规定，</w:t>
      </w:r>
      <w:r>
        <w:rPr>
          <w:rFonts w:hint="default"/>
          <w:color w:val="auto"/>
          <w:lang w:val="en-US" w:eastAsia="zh-CN"/>
        </w:rPr>
        <w:t>起重机械应装设过卷、超载、极限位置限制器及启动、事故信号装置并设置安全连锁保护装置。</w:t>
      </w:r>
    </w:p>
    <w:p w14:paraId="32974168">
      <w:pPr>
        <w:bidi w:val="0"/>
        <w:rPr>
          <w:rFonts w:hint="default"/>
          <w:color w:val="auto"/>
          <w:lang w:val="en-US" w:eastAsia="zh-CN"/>
        </w:rPr>
      </w:pPr>
      <w:r>
        <w:rPr>
          <w:rFonts w:hint="eastAsia"/>
          <w:color w:val="auto"/>
          <w:lang w:val="en-US" w:eastAsia="zh-CN"/>
        </w:rPr>
        <w:t>33、根据《选矿安全规程》（GB 18152-2000）第</w:t>
      </w:r>
      <w:r>
        <w:rPr>
          <w:rFonts w:hint="default"/>
          <w:color w:val="auto"/>
          <w:lang w:val="en-US" w:eastAsia="zh-CN"/>
        </w:rPr>
        <w:t>9</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5</w:t>
      </w:r>
      <w:r>
        <w:rPr>
          <w:rFonts w:hint="eastAsia"/>
          <w:color w:val="auto"/>
          <w:lang w:val="en-US" w:eastAsia="zh-CN"/>
        </w:rPr>
        <w:t>条规定，</w:t>
      </w:r>
      <w:r>
        <w:rPr>
          <w:rFonts w:hint="default"/>
          <w:color w:val="auto"/>
          <w:lang w:val="en-US" w:eastAsia="zh-CN"/>
        </w:rPr>
        <w:t>在有可能发生起重机构件挤撞事故的区域内作业</w:t>
      </w:r>
      <w:r>
        <w:rPr>
          <w:rFonts w:hint="eastAsia"/>
          <w:color w:val="auto"/>
          <w:lang w:val="en-US" w:eastAsia="zh-CN"/>
        </w:rPr>
        <w:t>，</w:t>
      </w:r>
      <w:r>
        <w:rPr>
          <w:rFonts w:hint="default"/>
          <w:color w:val="auto"/>
          <w:lang w:val="en-US" w:eastAsia="zh-CN"/>
        </w:rPr>
        <w:t>应事先与有关人员联系</w:t>
      </w:r>
      <w:r>
        <w:rPr>
          <w:rFonts w:hint="eastAsia"/>
          <w:color w:val="auto"/>
          <w:lang w:val="en-US" w:eastAsia="zh-CN"/>
        </w:rPr>
        <w:t>，</w:t>
      </w:r>
      <w:r>
        <w:rPr>
          <w:rFonts w:hint="default"/>
          <w:color w:val="auto"/>
          <w:lang w:val="en-US" w:eastAsia="zh-CN"/>
        </w:rPr>
        <w:t>并做好监护。</w:t>
      </w:r>
    </w:p>
    <w:p w14:paraId="1508838C">
      <w:pPr>
        <w:bidi w:val="0"/>
        <w:rPr>
          <w:rFonts w:hint="default"/>
          <w:color w:val="auto"/>
          <w:lang w:val="en-US" w:eastAsia="zh-CN"/>
        </w:rPr>
      </w:pPr>
      <w:r>
        <w:rPr>
          <w:rFonts w:hint="eastAsia"/>
          <w:color w:val="auto"/>
          <w:lang w:val="en-US" w:eastAsia="zh-CN"/>
        </w:rPr>
        <w:t>34、根据《选矿安全规程》（GB 18152-2000）第</w:t>
      </w:r>
      <w:r>
        <w:rPr>
          <w:rFonts w:hint="default"/>
          <w:color w:val="auto"/>
          <w:lang w:val="en-US" w:eastAsia="zh-CN"/>
        </w:rPr>
        <w:t>9</w:t>
      </w:r>
      <w:r>
        <w:rPr>
          <w:rFonts w:hint="eastAsia"/>
          <w:color w:val="auto"/>
          <w:lang w:val="en-US" w:eastAsia="zh-CN"/>
        </w:rPr>
        <w:t>.</w:t>
      </w:r>
      <w:r>
        <w:rPr>
          <w:rFonts w:hint="default"/>
          <w:color w:val="auto"/>
          <w:lang w:val="en-US" w:eastAsia="zh-CN"/>
        </w:rPr>
        <w:t>4</w:t>
      </w:r>
      <w:r>
        <w:rPr>
          <w:rFonts w:hint="eastAsia"/>
          <w:color w:val="auto"/>
          <w:lang w:val="en-US" w:eastAsia="zh-CN"/>
        </w:rPr>
        <w:t>.</w:t>
      </w:r>
      <w:r>
        <w:rPr>
          <w:rFonts w:hint="default"/>
          <w:color w:val="auto"/>
          <w:lang w:val="en-US" w:eastAsia="zh-CN"/>
        </w:rPr>
        <w:t>6</w:t>
      </w:r>
      <w:r>
        <w:rPr>
          <w:rFonts w:hint="eastAsia"/>
          <w:color w:val="auto"/>
          <w:lang w:val="en-US" w:eastAsia="zh-CN"/>
        </w:rPr>
        <w:t>条规定，</w:t>
      </w:r>
      <w:r>
        <w:rPr>
          <w:rFonts w:hint="default"/>
          <w:color w:val="auto"/>
          <w:lang w:val="en-US" w:eastAsia="zh-CN"/>
        </w:rPr>
        <w:t>操作起重机应遵守下列规定</w:t>
      </w:r>
      <w:r>
        <w:rPr>
          <w:rFonts w:hint="eastAsia"/>
          <w:color w:val="auto"/>
          <w:lang w:val="en-US" w:eastAsia="zh-CN"/>
        </w:rPr>
        <w:t>：</w:t>
      </w:r>
    </w:p>
    <w:p w14:paraId="06B83976">
      <w:pPr>
        <w:bidi w:val="0"/>
        <w:rPr>
          <w:rFonts w:hint="default"/>
          <w:color w:val="auto"/>
          <w:lang w:val="en-US" w:eastAsia="zh-CN"/>
        </w:rPr>
      </w:pPr>
      <w:r>
        <w:rPr>
          <w:rFonts w:hint="eastAsia"/>
          <w:color w:val="auto"/>
          <w:lang w:val="en-US" w:eastAsia="zh-CN"/>
        </w:rPr>
        <w:t>（1）</w:t>
      </w:r>
      <w:r>
        <w:rPr>
          <w:rFonts w:hint="default"/>
          <w:color w:val="auto"/>
          <w:lang w:val="en-US" w:eastAsia="zh-CN"/>
        </w:rPr>
        <w:t>烟雾太浓</w:t>
      </w:r>
      <w:r>
        <w:rPr>
          <w:rFonts w:hint="eastAsia"/>
          <w:color w:val="auto"/>
          <w:lang w:val="en-US" w:eastAsia="zh-CN"/>
        </w:rPr>
        <w:t>，</w:t>
      </w:r>
      <w:r>
        <w:rPr>
          <w:rFonts w:hint="default"/>
          <w:color w:val="auto"/>
          <w:lang w:val="en-US" w:eastAsia="zh-CN"/>
        </w:rPr>
        <w:t>视线不清或信号不明</w:t>
      </w:r>
      <w:r>
        <w:rPr>
          <w:rFonts w:hint="eastAsia"/>
          <w:color w:val="auto"/>
          <w:lang w:val="en-US" w:eastAsia="zh-CN"/>
        </w:rPr>
        <w:t>，</w:t>
      </w:r>
      <w:r>
        <w:rPr>
          <w:rFonts w:hint="default"/>
          <w:color w:val="auto"/>
          <w:lang w:val="en-US" w:eastAsia="zh-CN"/>
        </w:rPr>
        <w:t>均应停止作业</w:t>
      </w:r>
      <w:r>
        <w:rPr>
          <w:rFonts w:hint="eastAsia"/>
          <w:color w:val="auto"/>
          <w:lang w:val="en-US" w:eastAsia="zh-CN"/>
        </w:rPr>
        <w:t>；</w:t>
      </w:r>
    </w:p>
    <w:p w14:paraId="55257667">
      <w:pPr>
        <w:bidi w:val="0"/>
        <w:rPr>
          <w:rFonts w:hint="default"/>
          <w:color w:val="auto"/>
          <w:lang w:val="en-US" w:eastAsia="zh-CN"/>
        </w:rPr>
      </w:pPr>
      <w:r>
        <w:rPr>
          <w:rFonts w:hint="eastAsia"/>
          <w:color w:val="auto"/>
          <w:lang w:val="en-US" w:eastAsia="zh-CN"/>
        </w:rPr>
        <w:t>（2）</w:t>
      </w:r>
      <w:r>
        <w:rPr>
          <w:rFonts w:hint="default"/>
          <w:color w:val="auto"/>
          <w:lang w:val="en-US" w:eastAsia="zh-CN"/>
        </w:rPr>
        <w:t>不应斜拉斜吊、拖拉物体、吊拔埋在地下且起重量不明的物体</w:t>
      </w:r>
      <w:r>
        <w:rPr>
          <w:rFonts w:hint="eastAsia"/>
          <w:color w:val="auto"/>
          <w:lang w:val="en-US" w:eastAsia="zh-CN"/>
        </w:rPr>
        <w:t>；</w:t>
      </w:r>
    </w:p>
    <w:p w14:paraId="4CAEF6D5">
      <w:pPr>
        <w:bidi w:val="0"/>
        <w:rPr>
          <w:rFonts w:hint="default"/>
          <w:color w:val="auto"/>
          <w:lang w:val="en-US" w:eastAsia="zh-CN"/>
        </w:rPr>
      </w:pPr>
      <w:r>
        <w:rPr>
          <w:rFonts w:hint="eastAsia"/>
          <w:color w:val="auto"/>
          <w:lang w:val="en-US" w:eastAsia="zh-CN"/>
        </w:rPr>
        <w:t>（3）</w:t>
      </w:r>
      <w:r>
        <w:rPr>
          <w:rFonts w:hint="default"/>
          <w:color w:val="auto"/>
          <w:lang w:val="en-US" w:eastAsia="zh-CN"/>
        </w:rPr>
        <w:t>起吊用的钢丝绳应与固定铁卡规格一致</w:t>
      </w:r>
      <w:r>
        <w:rPr>
          <w:rFonts w:hint="eastAsia"/>
          <w:color w:val="auto"/>
          <w:lang w:val="en-US" w:eastAsia="zh-CN"/>
        </w:rPr>
        <w:t>，</w:t>
      </w:r>
      <w:r>
        <w:rPr>
          <w:rFonts w:hint="default"/>
          <w:color w:val="auto"/>
          <w:lang w:val="en-US" w:eastAsia="zh-CN"/>
        </w:rPr>
        <w:t>并应按起重要求确定铁卡的使用数量</w:t>
      </w:r>
      <w:r>
        <w:rPr>
          <w:rFonts w:hint="eastAsia"/>
          <w:color w:val="auto"/>
          <w:lang w:val="en-US" w:eastAsia="zh-CN"/>
        </w:rPr>
        <w:t>；</w:t>
      </w:r>
    </w:p>
    <w:p w14:paraId="4088DB42">
      <w:pPr>
        <w:bidi w:val="0"/>
        <w:rPr>
          <w:rFonts w:hint="default"/>
          <w:color w:val="auto"/>
          <w:lang w:val="en-US" w:eastAsia="zh-CN"/>
        </w:rPr>
      </w:pPr>
      <w:r>
        <w:rPr>
          <w:rFonts w:hint="eastAsia"/>
          <w:color w:val="auto"/>
          <w:lang w:val="en-US" w:eastAsia="zh-CN"/>
        </w:rPr>
        <w:t>（4）</w:t>
      </w:r>
      <w:r>
        <w:rPr>
          <w:rFonts w:hint="default"/>
          <w:color w:val="auto"/>
          <w:lang w:val="en-US" w:eastAsia="zh-CN"/>
        </w:rPr>
        <w:t>被吊物体不应从人员上方通过</w:t>
      </w:r>
      <w:r>
        <w:rPr>
          <w:rFonts w:hint="eastAsia"/>
          <w:color w:val="auto"/>
          <w:lang w:val="en-US" w:eastAsia="zh-CN"/>
        </w:rPr>
        <w:t>；</w:t>
      </w:r>
    </w:p>
    <w:p w14:paraId="537D3E97">
      <w:pPr>
        <w:bidi w:val="0"/>
        <w:rPr>
          <w:rFonts w:hint="default"/>
          <w:color w:val="auto"/>
          <w:lang w:val="en-US" w:eastAsia="zh-CN"/>
        </w:rPr>
      </w:pPr>
      <w:r>
        <w:rPr>
          <w:rFonts w:hint="eastAsia"/>
          <w:color w:val="auto"/>
          <w:lang w:val="en-US" w:eastAsia="zh-CN"/>
        </w:rPr>
        <w:t>（5）</w:t>
      </w:r>
      <w:r>
        <w:rPr>
          <w:rFonts w:hint="default"/>
          <w:color w:val="auto"/>
          <w:lang w:val="en-US" w:eastAsia="zh-CN"/>
        </w:rPr>
        <w:t>不应利用极限位置限制器停车</w:t>
      </w:r>
      <w:r>
        <w:rPr>
          <w:rFonts w:hint="eastAsia"/>
          <w:color w:val="auto"/>
          <w:lang w:val="en-US" w:eastAsia="zh-CN"/>
        </w:rPr>
        <w:t>；</w:t>
      </w:r>
    </w:p>
    <w:p w14:paraId="5DE2CE42">
      <w:pPr>
        <w:bidi w:val="0"/>
        <w:rPr>
          <w:rFonts w:hint="default"/>
          <w:color w:val="auto"/>
          <w:lang w:val="en-US" w:eastAsia="zh-CN"/>
        </w:rPr>
      </w:pPr>
      <w:r>
        <w:rPr>
          <w:rFonts w:hint="eastAsia"/>
          <w:color w:val="auto"/>
          <w:lang w:val="en-US" w:eastAsia="zh-CN"/>
        </w:rPr>
        <w:t>（6）</w:t>
      </w:r>
      <w:r>
        <w:rPr>
          <w:rFonts w:hint="default"/>
          <w:color w:val="auto"/>
          <w:lang w:val="en-US" w:eastAsia="zh-CN"/>
        </w:rPr>
        <w:t>起重机工作时</w:t>
      </w:r>
      <w:r>
        <w:rPr>
          <w:rFonts w:hint="eastAsia"/>
          <w:color w:val="auto"/>
          <w:lang w:val="en-US" w:eastAsia="zh-CN"/>
        </w:rPr>
        <w:t>，</w:t>
      </w:r>
      <w:r>
        <w:rPr>
          <w:rFonts w:hint="default"/>
          <w:color w:val="auto"/>
          <w:lang w:val="en-US" w:eastAsia="zh-CN"/>
        </w:rPr>
        <w:t>吊钩与滑轮之间应保持一定的距离</w:t>
      </w:r>
      <w:r>
        <w:rPr>
          <w:rFonts w:hint="eastAsia"/>
          <w:color w:val="auto"/>
          <w:lang w:val="en-US" w:eastAsia="zh-CN"/>
        </w:rPr>
        <w:t>，</w:t>
      </w:r>
      <w:r>
        <w:rPr>
          <w:rFonts w:hint="default"/>
          <w:color w:val="auto"/>
          <w:lang w:val="en-US" w:eastAsia="zh-CN"/>
        </w:rPr>
        <w:t>防止过卷</w:t>
      </w:r>
      <w:r>
        <w:rPr>
          <w:rFonts w:hint="eastAsia"/>
          <w:color w:val="auto"/>
          <w:lang w:val="en-US" w:eastAsia="zh-CN"/>
        </w:rPr>
        <w:t>；</w:t>
      </w:r>
    </w:p>
    <w:p w14:paraId="585731C1">
      <w:pPr>
        <w:bidi w:val="0"/>
        <w:rPr>
          <w:rFonts w:hint="default"/>
          <w:color w:val="auto"/>
          <w:lang w:val="en-US" w:eastAsia="zh-CN"/>
        </w:rPr>
      </w:pPr>
      <w:r>
        <w:rPr>
          <w:rFonts w:hint="eastAsia"/>
          <w:color w:val="auto"/>
          <w:lang w:val="en-US" w:eastAsia="zh-CN"/>
        </w:rPr>
        <w:t>（7）</w:t>
      </w:r>
      <w:r>
        <w:rPr>
          <w:rFonts w:hint="default"/>
          <w:color w:val="auto"/>
          <w:lang w:val="en-US" w:eastAsia="zh-CN"/>
        </w:rPr>
        <w:t>在同一轨道上有多台起重机运行时</w:t>
      </w:r>
      <w:r>
        <w:rPr>
          <w:rFonts w:hint="eastAsia"/>
          <w:color w:val="auto"/>
          <w:lang w:val="en-US" w:eastAsia="zh-CN"/>
        </w:rPr>
        <w:t>，</w:t>
      </w:r>
      <w:r>
        <w:rPr>
          <w:rFonts w:hint="default"/>
          <w:color w:val="auto"/>
          <w:lang w:val="en-US" w:eastAsia="zh-CN"/>
        </w:rPr>
        <w:t>相邻两台起重机的突出部位的最小水平距离应不小于2m</w:t>
      </w:r>
      <w:r>
        <w:rPr>
          <w:rFonts w:hint="eastAsia"/>
          <w:color w:val="auto"/>
          <w:lang w:val="en-US" w:eastAsia="zh-CN"/>
        </w:rPr>
        <w:t>；</w:t>
      </w:r>
      <w:r>
        <w:rPr>
          <w:rFonts w:hint="default"/>
          <w:color w:val="auto"/>
          <w:lang w:val="en-US" w:eastAsia="zh-CN"/>
        </w:rPr>
        <w:t>两层起重机同时作业时</w:t>
      </w:r>
      <w:r>
        <w:rPr>
          <w:rFonts w:hint="eastAsia"/>
          <w:color w:val="auto"/>
          <w:lang w:val="en-US" w:eastAsia="zh-CN"/>
        </w:rPr>
        <w:t>，</w:t>
      </w:r>
      <w:r>
        <w:rPr>
          <w:rFonts w:hint="default"/>
          <w:color w:val="auto"/>
          <w:lang w:val="en-US" w:eastAsia="zh-CN"/>
        </w:rPr>
        <w:t>下层应服从上层</w:t>
      </w:r>
      <w:r>
        <w:rPr>
          <w:rFonts w:hint="eastAsia"/>
          <w:color w:val="auto"/>
          <w:lang w:val="en-US" w:eastAsia="zh-CN"/>
        </w:rPr>
        <w:t>；</w:t>
      </w:r>
    </w:p>
    <w:p w14:paraId="57565DEF">
      <w:pPr>
        <w:bidi w:val="0"/>
        <w:rPr>
          <w:rFonts w:hint="default"/>
          <w:color w:val="auto"/>
          <w:lang w:val="en-US" w:eastAsia="zh-CN"/>
        </w:rPr>
      </w:pPr>
      <w:r>
        <w:rPr>
          <w:rFonts w:hint="eastAsia"/>
          <w:color w:val="auto"/>
          <w:lang w:val="en-US" w:eastAsia="zh-CN"/>
        </w:rPr>
        <w:t>（8）</w:t>
      </w:r>
      <w:r>
        <w:rPr>
          <w:rFonts w:hint="default"/>
          <w:color w:val="auto"/>
          <w:lang w:val="en-US" w:eastAsia="zh-CN"/>
        </w:rPr>
        <w:t>吊运物体时不应调整制动器</w:t>
      </w:r>
      <w:r>
        <w:rPr>
          <w:rFonts w:hint="eastAsia"/>
          <w:color w:val="auto"/>
          <w:lang w:val="en-US" w:eastAsia="zh-CN"/>
        </w:rPr>
        <w:t>，</w:t>
      </w:r>
      <w:r>
        <w:rPr>
          <w:rFonts w:hint="default"/>
          <w:color w:val="auto"/>
          <w:lang w:val="en-US" w:eastAsia="zh-CN"/>
        </w:rPr>
        <w:t>制动垫磨损不正常或磨损超过一半应立即更换</w:t>
      </w:r>
      <w:r>
        <w:rPr>
          <w:rFonts w:hint="eastAsia"/>
          <w:color w:val="auto"/>
          <w:lang w:val="en-US" w:eastAsia="zh-CN"/>
        </w:rPr>
        <w:t>；</w:t>
      </w:r>
    </w:p>
    <w:p w14:paraId="767D53D7">
      <w:pPr>
        <w:bidi w:val="0"/>
        <w:rPr>
          <w:rFonts w:hint="default"/>
          <w:color w:val="auto"/>
          <w:lang w:val="en-US" w:eastAsia="zh-CN"/>
        </w:rPr>
      </w:pPr>
      <w:r>
        <w:rPr>
          <w:rFonts w:hint="eastAsia"/>
          <w:color w:val="auto"/>
          <w:lang w:val="en-US" w:eastAsia="zh-CN"/>
        </w:rPr>
        <w:t>（9）</w:t>
      </w:r>
      <w:r>
        <w:rPr>
          <w:rFonts w:hint="default"/>
          <w:color w:val="auto"/>
          <w:lang w:val="en-US" w:eastAsia="zh-CN"/>
        </w:rPr>
        <w:t>起重机吊钩达到最低位置时</w:t>
      </w:r>
      <w:r>
        <w:rPr>
          <w:rFonts w:hint="eastAsia"/>
          <w:color w:val="auto"/>
          <w:lang w:val="en-US" w:eastAsia="zh-CN"/>
        </w:rPr>
        <w:t>，</w:t>
      </w:r>
      <w:r>
        <w:rPr>
          <w:rFonts w:hint="default"/>
          <w:color w:val="auto"/>
          <w:lang w:val="en-US" w:eastAsia="zh-CN"/>
        </w:rPr>
        <w:t>卷筒上的钢丝绳应不少于三圈</w:t>
      </w:r>
      <w:r>
        <w:rPr>
          <w:rFonts w:hint="eastAsia"/>
          <w:color w:val="auto"/>
          <w:lang w:val="en-US" w:eastAsia="zh-CN"/>
        </w:rPr>
        <w:t>；</w:t>
      </w:r>
    </w:p>
    <w:p w14:paraId="1F9C56B6">
      <w:pPr>
        <w:bidi w:val="0"/>
        <w:rPr>
          <w:rFonts w:hint="default"/>
          <w:color w:val="auto"/>
          <w:lang w:val="en-US" w:eastAsia="zh-CN"/>
        </w:rPr>
      </w:pPr>
      <w:r>
        <w:rPr>
          <w:rFonts w:hint="eastAsia"/>
          <w:color w:val="auto"/>
          <w:lang w:val="en-US" w:eastAsia="zh-CN"/>
        </w:rPr>
        <w:t>（10）</w:t>
      </w:r>
      <w:r>
        <w:rPr>
          <w:rFonts w:hint="default"/>
          <w:color w:val="auto"/>
          <w:lang w:val="en-US" w:eastAsia="zh-CN"/>
        </w:rPr>
        <w:t>不应用电磁盘代替起重机作业。</w:t>
      </w:r>
    </w:p>
    <w:p w14:paraId="525E751C">
      <w:pPr>
        <w:pStyle w:val="5"/>
        <w:bidi w:val="0"/>
        <w:rPr>
          <w:rFonts w:hint="default"/>
          <w:color w:val="auto"/>
          <w:lang w:val="en-US" w:eastAsia="zh-CN"/>
        </w:rPr>
      </w:pPr>
      <w:bookmarkStart w:id="39" w:name="_Toc12574"/>
      <w:r>
        <w:rPr>
          <w:rFonts w:hint="eastAsia"/>
          <w:color w:val="auto"/>
          <w:lang w:val="en-US" w:eastAsia="zh-CN"/>
        </w:rPr>
        <w:t>6.3 给排水系统</w:t>
      </w:r>
      <w:r>
        <w:rPr>
          <w:rFonts w:hint="default"/>
          <w:color w:val="auto"/>
          <w:lang w:val="en-US" w:eastAsia="zh-CN"/>
        </w:rPr>
        <w:t>单元安全对策措施建议</w:t>
      </w:r>
      <w:bookmarkEnd w:id="39"/>
    </w:p>
    <w:p w14:paraId="20A8536E">
      <w:pPr>
        <w:bidi w:val="0"/>
        <w:rPr>
          <w:rFonts w:hint="eastAsia"/>
          <w:color w:val="auto"/>
          <w:lang w:val="en-US" w:eastAsia="zh-CN"/>
        </w:rPr>
      </w:pPr>
      <w:r>
        <w:rPr>
          <w:rFonts w:hint="eastAsia"/>
          <w:color w:val="auto"/>
          <w:lang w:val="en-US" w:eastAsia="zh-CN"/>
        </w:rPr>
        <w:t>1、做好厂区人工边坡的护坡措施，并做好厂区四周排水和植被绿化工程，防止雨水冲刷产生水土流失。</w:t>
      </w:r>
    </w:p>
    <w:p w14:paraId="7BBD37FC">
      <w:pPr>
        <w:bidi w:val="0"/>
        <w:rPr>
          <w:rFonts w:hint="eastAsia"/>
          <w:color w:val="auto"/>
          <w:lang w:val="en-US" w:eastAsia="zh-CN"/>
        </w:rPr>
      </w:pPr>
      <w:r>
        <w:rPr>
          <w:rFonts w:hint="eastAsia"/>
          <w:color w:val="auto"/>
          <w:lang w:val="en-US" w:eastAsia="zh-CN"/>
        </w:rPr>
        <w:t>2、建立完善的动火管理制度，在禁火区动火必须进行动火审批、动火分析等，严格执行有关规范，采取预防措施，并加强监督检查，确保作业安全。</w:t>
      </w:r>
    </w:p>
    <w:p w14:paraId="3353CAA6">
      <w:pPr>
        <w:bidi w:val="0"/>
        <w:rPr>
          <w:rFonts w:hint="eastAsia"/>
          <w:color w:val="auto"/>
          <w:lang w:val="en-US" w:eastAsia="zh-CN"/>
        </w:rPr>
      </w:pPr>
      <w:r>
        <w:rPr>
          <w:rFonts w:hint="eastAsia"/>
          <w:color w:val="auto"/>
          <w:lang w:val="en-US" w:eastAsia="zh-CN"/>
        </w:rPr>
        <w:t>3、各建筑物之间充分考虑防火安全距离，在主要生产工段及车间配置消防设施。</w:t>
      </w:r>
    </w:p>
    <w:p w14:paraId="70C09F90">
      <w:pPr>
        <w:bidi w:val="0"/>
        <w:rPr>
          <w:rFonts w:hint="eastAsia"/>
          <w:color w:val="auto"/>
          <w:lang w:val="en-US" w:eastAsia="zh-CN"/>
        </w:rPr>
      </w:pPr>
      <w:r>
        <w:rPr>
          <w:rFonts w:hint="eastAsia"/>
          <w:color w:val="auto"/>
          <w:lang w:val="en-US" w:eastAsia="zh-CN"/>
        </w:rPr>
        <w:t>4、保持配电房道路通畅，并配置防火砂、干粉灭火器等消防器材。</w:t>
      </w:r>
    </w:p>
    <w:p w14:paraId="018C0F2A">
      <w:pPr>
        <w:bidi w:val="0"/>
        <w:rPr>
          <w:rFonts w:hint="eastAsia"/>
          <w:color w:val="auto"/>
          <w:lang w:val="en-US" w:eastAsia="zh-CN"/>
        </w:rPr>
      </w:pPr>
      <w:r>
        <w:rPr>
          <w:rFonts w:hint="eastAsia"/>
          <w:color w:val="auto"/>
          <w:lang w:val="en-US" w:eastAsia="zh-CN"/>
        </w:rPr>
        <w:t>5、经常对职工进行消防安全知识教育和培训，使其掌握并熟练使用灭火器材。</w:t>
      </w:r>
    </w:p>
    <w:p w14:paraId="1AEA6753">
      <w:pPr>
        <w:bidi w:val="0"/>
        <w:rPr>
          <w:rFonts w:hint="eastAsia"/>
          <w:color w:val="auto"/>
          <w:lang w:val="en-US" w:eastAsia="zh-CN"/>
        </w:rPr>
      </w:pPr>
      <w:r>
        <w:rPr>
          <w:rFonts w:hint="eastAsia"/>
          <w:color w:val="auto"/>
          <w:lang w:val="en-US" w:eastAsia="zh-CN"/>
        </w:rPr>
        <w:t>6、易燃易爆物品进行分类管理，并按不同要求采取相应的消防措施；易燃易爆物品的使用、储存和运输，应执行有关易燃易爆物品的安全管理规定。</w:t>
      </w:r>
    </w:p>
    <w:p w14:paraId="22352C19">
      <w:pPr>
        <w:bidi w:val="0"/>
        <w:rPr>
          <w:rFonts w:hint="eastAsia"/>
          <w:color w:val="auto"/>
          <w:lang w:val="en-US" w:eastAsia="zh-CN"/>
        </w:rPr>
      </w:pPr>
      <w:r>
        <w:rPr>
          <w:rFonts w:hint="eastAsia"/>
          <w:color w:val="auto"/>
          <w:lang w:val="en-US" w:eastAsia="zh-CN"/>
        </w:rPr>
        <w:t>7、保证电气设备绝缘良好，防止裸露，定期对电气设备进行检修，防止线路老化。</w:t>
      </w:r>
    </w:p>
    <w:p w14:paraId="6505BA01">
      <w:pPr>
        <w:bidi w:val="0"/>
        <w:rPr>
          <w:rFonts w:hint="eastAsia"/>
          <w:color w:val="auto"/>
          <w:lang w:val="en-US" w:eastAsia="zh-CN"/>
        </w:rPr>
      </w:pPr>
      <w:r>
        <w:rPr>
          <w:rFonts w:hint="eastAsia"/>
          <w:color w:val="auto"/>
          <w:lang w:val="en-US" w:eastAsia="zh-CN"/>
        </w:rPr>
        <w:t>8、厂房、库房等应按国家有关规定设置相应数量的安全出口，楼梯、走道及门的宽度应符合防火规范，安全疏散门应向外开启。</w:t>
      </w:r>
    </w:p>
    <w:p w14:paraId="66A34915">
      <w:pPr>
        <w:bidi w:val="0"/>
        <w:rPr>
          <w:rFonts w:hint="eastAsia"/>
          <w:color w:val="auto"/>
          <w:lang w:val="en-US" w:eastAsia="zh-CN"/>
        </w:rPr>
      </w:pPr>
      <w:r>
        <w:rPr>
          <w:rFonts w:hint="eastAsia"/>
          <w:color w:val="auto"/>
          <w:lang w:val="en-US" w:eastAsia="zh-CN"/>
        </w:rPr>
        <w:t>9、任何单位和个人，严禁擅自将消防设备和消防工具挪作他用。</w:t>
      </w:r>
    </w:p>
    <w:p w14:paraId="2876D7E7">
      <w:pPr>
        <w:bidi w:val="0"/>
        <w:rPr>
          <w:rFonts w:hint="eastAsia"/>
          <w:color w:val="auto"/>
          <w:lang w:val="en-US" w:eastAsia="zh-CN"/>
        </w:rPr>
      </w:pPr>
      <w:r>
        <w:rPr>
          <w:rFonts w:hint="eastAsia"/>
          <w:color w:val="auto"/>
          <w:lang w:val="en-US" w:eastAsia="zh-CN"/>
        </w:rPr>
        <w:t>10、下一步安全设施设计中明确水消防系统的设计内容，是否利旧工程。</w:t>
      </w:r>
    </w:p>
    <w:p w14:paraId="7644CA43">
      <w:pPr>
        <w:bidi w:val="0"/>
        <w:rPr>
          <w:rFonts w:hint="default"/>
          <w:color w:val="auto"/>
          <w:lang w:val="en-US" w:eastAsia="zh-CN"/>
        </w:rPr>
      </w:pPr>
      <w:r>
        <w:rPr>
          <w:rFonts w:hint="eastAsia"/>
          <w:color w:val="auto"/>
          <w:lang w:val="en-US" w:eastAsia="zh-CN"/>
        </w:rPr>
        <w:t>11、根据《选矿安全规程》（GB 18152-2000）第</w:t>
      </w:r>
      <w:r>
        <w:rPr>
          <w:rFonts w:hint="default"/>
          <w:color w:val="auto"/>
          <w:lang w:val="en-US" w:eastAsia="zh-CN"/>
        </w:rPr>
        <w:t>11.2</w:t>
      </w:r>
      <w:r>
        <w:rPr>
          <w:rFonts w:hint="eastAsia"/>
          <w:color w:val="auto"/>
          <w:lang w:val="en-US" w:eastAsia="zh-CN"/>
        </w:rPr>
        <w:t>条规定，</w:t>
      </w:r>
      <w:r>
        <w:rPr>
          <w:rFonts w:hint="default"/>
          <w:color w:val="auto"/>
          <w:lang w:val="en-US" w:eastAsia="zh-CN"/>
        </w:rPr>
        <w:t>应按生产的火灾危险性分类</w:t>
      </w:r>
      <w:r>
        <w:rPr>
          <w:rFonts w:hint="eastAsia"/>
          <w:color w:val="auto"/>
          <w:lang w:val="en-US" w:eastAsia="zh-CN"/>
        </w:rPr>
        <w:t>，</w:t>
      </w:r>
      <w:r>
        <w:rPr>
          <w:rFonts w:hint="default"/>
          <w:color w:val="auto"/>
          <w:lang w:val="en-US" w:eastAsia="zh-CN"/>
        </w:rPr>
        <w:t>合理选择建构筑物的耐火等级</w:t>
      </w:r>
      <w:r>
        <w:rPr>
          <w:rFonts w:hint="eastAsia"/>
          <w:color w:val="auto"/>
          <w:lang w:val="en-US" w:eastAsia="zh-CN"/>
        </w:rPr>
        <w:t>，</w:t>
      </w:r>
      <w:r>
        <w:rPr>
          <w:rFonts w:hint="default"/>
          <w:color w:val="auto"/>
          <w:lang w:val="en-US" w:eastAsia="zh-CN"/>
        </w:rPr>
        <w:t>并采取相应的消防措施。</w:t>
      </w:r>
    </w:p>
    <w:p w14:paraId="7669F94B">
      <w:pPr>
        <w:bidi w:val="0"/>
        <w:rPr>
          <w:rFonts w:hint="eastAsia"/>
          <w:color w:val="auto"/>
          <w:lang w:val="en-US" w:eastAsia="zh-CN"/>
        </w:rPr>
      </w:pPr>
      <w:r>
        <w:rPr>
          <w:rFonts w:hint="eastAsia"/>
          <w:color w:val="auto"/>
          <w:lang w:val="en-US" w:eastAsia="zh-CN"/>
        </w:rPr>
        <w:t>12、根据《选矿安全规程》（GB 18152-2000）第11.3条规定，厂房、库房、站房、地下室，应按国家有关规定设置适当数量的安全出口。安全疏散距离和楼梯、走道及门的宽度应符合防火规范，安全疏散门应向外开启。</w:t>
      </w:r>
    </w:p>
    <w:p w14:paraId="66E920AA">
      <w:pPr>
        <w:bidi w:val="0"/>
        <w:rPr>
          <w:rFonts w:hint="eastAsia"/>
          <w:color w:val="auto"/>
          <w:lang w:val="en-US" w:eastAsia="zh-CN"/>
        </w:rPr>
      </w:pPr>
      <w:r>
        <w:rPr>
          <w:rFonts w:hint="eastAsia"/>
          <w:color w:val="auto"/>
          <w:lang w:val="en-US" w:eastAsia="zh-CN"/>
        </w:rPr>
        <w:t>13、根据《选矿安全规程》（GB 18152-2000）第11.9条规定，应经常对职工进行消防安全教育熟练使用灭火器材。</w:t>
      </w:r>
    </w:p>
    <w:p w14:paraId="394A3F6E">
      <w:pPr>
        <w:bidi w:val="0"/>
        <w:rPr>
          <w:rFonts w:hint="default"/>
          <w:color w:val="auto"/>
          <w:lang w:val="en-US" w:eastAsia="zh-CN"/>
        </w:rPr>
      </w:pPr>
      <w:r>
        <w:rPr>
          <w:rFonts w:hint="eastAsia"/>
          <w:color w:val="auto"/>
          <w:lang w:val="en-US" w:eastAsia="zh-CN"/>
        </w:rPr>
        <w:t>14、建筑物的防火间距应符合《建筑设计防火规范》（GB 0016-2014，2018版）3.4.1的要求。</w:t>
      </w:r>
    </w:p>
    <w:p w14:paraId="6178E8D4">
      <w:pPr>
        <w:bidi w:val="0"/>
        <w:rPr>
          <w:rFonts w:hint="eastAsia"/>
          <w:color w:val="auto"/>
          <w:lang w:val="en-US" w:eastAsia="zh-CN"/>
        </w:rPr>
      </w:pPr>
      <w:r>
        <w:rPr>
          <w:rFonts w:hint="eastAsia"/>
          <w:color w:val="auto"/>
          <w:lang w:val="en-US" w:eastAsia="zh-CN"/>
        </w:rPr>
        <w:t>15、根据《建筑设计防火规范》（GB 0016-2014，2018版）第3.7.1条规定，厂房的安全出口应分散布置。每个防火分区或一个防火分区的每个楼层，其相邻2个安全出口最近边缘之间的水平距离不应小于5m。</w:t>
      </w:r>
    </w:p>
    <w:p w14:paraId="2CB6F5F2">
      <w:pPr>
        <w:bidi w:val="0"/>
        <w:rPr>
          <w:rFonts w:hint="eastAsia"/>
          <w:color w:val="auto"/>
          <w:lang w:val="en-US" w:eastAsia="zh-CN"/>
        </w:rPr>
      </w:pPr>
      <w:r>
        <w:rPr>
          <w:rFonts w:hint="eastAsia"/>
          <w:color w:val="auto"/>
          <w:lang w:val="en-US" w:eastAsia="zh-CN"/>
        </w:rPr>
        <w:t>16、根据《建筑设计防火规范》（GB 0016-2014，2018版）第7.1.8条规定，消防车道应符合下列要求：</w:t>
      </w:r>
    </w:p>
    <w:p w14:paraId="6AE5D3B5">
      <w:pPr>
        <w:bidi w:val="0"/>
        <w:rPr>
          <w:rFonts w:hint="eastAsia"/>
          <w:color w:val="auto"/>
          <w:lang w:val="en-US" w:eastAsia="zh-CN"/>
        </w:rPr>
      </w:pPr>
      <w:r>
        <w:rPr>
          <w:rFonts w:hint="eastAsia"/>
          <w:color w:val="auto"/>
          <w:lang w:val="en-US" w:eastAsia="zh-CN"/>
        </w:rPr>
        <w:t>（1）车道的净宽度和净空高度均不应小于4.0m；</w:t>
      </w:r>
    </w:p>
    <w:p w14:paraId="48E29171">
      <w:pPr>
        <w:bidi w:val="0"/>
        <w:rPr>
          <w:rFonts w:hint="eastAsia"/>
          <w:color w:val="auto"/>
          <w:lang w:val="en-US" w:eastAsia="zh-CN"/>
        </w:rPr>
      </w:pPr>
      <w:r>
        <w:rPr>
          <w:rFonts w:hint="eastAsia"/>
          <w:color w:val="auto"/>
          <w:lang w:val="en-US" w:eastAsia="zh-CN"/>
        </w:rPr>
        <w:t>（2）转弯半径应满足消防车转弯的要求；</w:t>
      </w:r>
    </w:p>
    <w:p w14:paraId="7D09B203">
      <w:pPr>
        <w:bidi w:val="0"/>
        <w:rPr>
          <w:rFonts w:hint="eastAsia"/>
          <w:color w:val="auto"/>
          <w:lang w:val="en-US" w:eastAsia="zh-CN"/>
        </w:rPr>
      </w:pPr>
      <w:r>
        <w:rPr>
          <w:rFonts w:hint="eastAsia"/>
          <w:color w:val="auto"/>
          <w:lang w:val="en-US" w:eastAsia="zh-CN"/>
        </w:rPr>
        <w:t>（3）消防车道与建筑之间不应设置妨碍消防车操作的树木、架空管线等障碍物；</w:t>
      </w:r>
    </w:p>
    <w:p w14:paraId="72A9A19A">
      <w:pPr>
        <w:bidi w:val="0"/>
        <w:rPr>
          <w:rFonts w:hint="eastAsia"/>
          <w:color w:val="auto"/>
          <w:lang w:val="en-US" w:eastAsia="zh-CN"/>
        </w:rPr>
      </w:pPr>
      <w:r>
        <w:rPr>
          <w:rFonts w:hint="eastAsia"/>
          <w:color w:val="auto"/>
          <w:lang w:val="en-US" w:eastAsia="zh-CN"/>
        </w:rPr>
        <w:t>（4）消防车道靠建筑外墙一侧的边缘距离建筑外墙不宜小于5m；</w:t>
      </w:r>
    </w:p>
    <w:p w14:paraId="5D3C0927">
      <w:pPr>
        <w:bidi w:val="0"/>
        <w:rPr>
          <w:rFonts w:hint="eastAsia"/>
          <w:color w:val="auto"/>
          <w:lang w:val="en-US" w:eastAsia="zh-CN"/>
        </w:rPr>
      </w:pPr>
      <w:r>
        <w:rPr>
          <w:rFonts w:hint="eastAsia"/>
          <w:color w:val="auto"/>
          <w:lang w:val="en-US" w:eastAsia="zh-CN"/>
        </w:rPr>
        <w:t>（5）消防车道的坡度不宜大于8%。</w:t>
      </w:r>
    </w:p>
    <w:p w14:paraId="6A49E9AC">
      <w:pPr>
        <w:bidi w:val="0"/>
        <w:rPr>
          <w:rFonts w:hint="eastAsia"/>
          <w:color w:val="auto"/>
          <w:lang w:val="en-US" w:eastAsia="zh-CN"/>
        </w:rPr>
      </w:pPr>
      <w:r>
        <w:rPr>
          <w:rFonts w:hint="eastAsia"/>
          <w:color w:val="auto"/>
          <w:lang w:val="en-US" w:eastAsia="zh-CN"/>
        </w:rPr>
        <w:t>17、根据《选矿安全规程》（GB 18152-2000）第12.8条规定，厂区生活饮水和生产卫生用水，其水源选择、水源卫生防护及水质标准，应符合 GB 5749 和《工业企业设计卫生标准》的有关规定。</w:t>
      </w:r>
    </w:p>
    <w:p w14:paraId="62844AA5">
      <w:pPr>
        <w:bidi w:val="0"/>
        <w:rPr>
          <w:rFonts w:hint="eastAsia"/>
          <w:color w:val="auto"/>
          <w:lang w:val="en-US" w:eastAsia="zh-CN"/>
        </w:rPr>
      </w:pPr>
      <w:r>
        <w:rPr>
          <w:rFonts w:hint="eastAsia"/>
          <w:color w:val="auto"/>
          <w:lang w:val="en-US" w:eastAsia="zh-CN"/>
        </w:rPr>
        <w:t>应每月进行一次水质检验，水质不合格的不应作为饮用水源。</w:t>
      </w:r>
    </w:p>
    <w:p w14:paraId="5E3E0628">
      <w:pPr>
        <w:bidi w:val="0"/>
        <w:rPr>
          <w:rFonts w:hint="eastAsia"/>
          <w:color w:val="auto"/>
          <w:lang w:val="en-US" w:eastAsia="zh-CN"/>
        </w:rPr>
      </w:pPr>
      <w:r>
        <w:rPr>
          <w:rFonts w:hint="eastAsia"/>
          <w:color w:val="auto"/>
          <w:lang w:val="en-US" w:eastAsia="zh-CN"/>
        </w:rPr>
        <w:t>18、根据《选矿安全规程》（GB 18152-2000）第12.9条规定，生产车间应设饮水站，及时供给职工符合卫生标准的饮用水。户外作业的人员，应发给随身携带的水壶。</w:t>
      </w:r>
    </w:p>
    <w:p w14:paraId="731814F1">
      <w:pPr>
        <w:bidi w:val="0"/>
        <w:rPr>
          <w:rFonts w:hint="default"/>
          <w:color w:val="auto"/>
          <w:lang w:val="en-US" w:eastAsia="zh-CN"/>
        </w:rPr>
      </w:pPr>
      <w:r>
        <w:rPr>
          <w:rFonts w:hint="eastAsia"/>
          <w:color w:val="auto"/>
          <w:lang w:val="en-US" w:eastAsia="zh-CN"/>
        </w:rPr>
        <w:t>19、根据《建筑灭火器配置设计规范》（GB 50140-2005）第5.1.1条规定，灭火器应设置在位置明显和便于取用的地点，且不得影响安全疏散。</w:t>
      </w:r>
    </w:p>
    <w:p w14:paraId="014642E7">
      <w:pPr>
        <w:bidi w:val="0"/>
        <w:rPr>
          <w:rFonts w:hint="eastAsia"/>
          <w:color w:val="auto"/>
          <w:lang w:val="en-US" w:eastAsia="zh-CN"/>
        </w:rPr>
      </w:pPr>
      <w:r>
        <w:rPr>
          <w:rFonts w:hint="eastAsia"/>
          <w:color w:val="auto"/>
          <w:lang w:val="en-US" w:eastAsia="zh-CN"/>
        </w:rPr>
        <w:t>20、根据《建筑灭火器配置设计规范》（GB 50140-2005）第5.1.3条规定，灭火器的摆放应稳固，其铭牌应朝外。手提式灭火器宜设置在灭火器箱内或挂钩、托架上,其顶部离地面高度不应大于1.50m；底部离地面高度不宜小于0.08m。灭火器箱不得上锁。</w:t>
      </w:r>
    </w:p>
    <w:p w14:paraId="1E151788">
      <w:pPr>
        <w:bidi w:val="0"/>
        <w:rPr>
          <w:rFonts w:hint="default"/>
          <w:color w:val="auto"/>
          <w:lang w:val="en-US" w:eastAsia="zh-CN"/>
        </w:rPr>
      </w:pPr>
      <w:r>
        <w:rPr>
          <w:rFonts w:hint="eastAsia"/>
          <w:color w:val="auto"/>
          <w:lang w:val="en-US" w:eastAsia="zh-CN"/>
        </w:rPr>
        <w:t>21、灭火器的保护距离，应符合《建筑灭火器配置设计规范》（GB 50140-2005）第5.2条规定。</w:t>
      </w:r>
    </w:p>
    <w:p w14:paraId="77C4CFF6">
      <w:pPr>
        <w:bidi w:val="0"/>
        <w:rPr>
          <w:rFonts w:hint="default"/>
          <w:color w:val="auto"/>
          <w:lang w:val="en-US" w:eastAsia="zh-CN"/>
        </w:rPr>
      </w:pPr>
      <w:r>
        <w:rPr>
          <w:rFonts w:hint="eastAsia"/>
          <w:color w:val="auto"/>
          <w:lang w:val="en-US" w:eastAsia="zh-CN"/>
        </w:rPr>
        <w:t>22、根据《建筑灭火器配置设计规范》（GB 50140-2005）第6.1.1条规定，一个计算单元内配置的灭火器数量不得少于2具。</w:t>
      </w:r>
    </w:p>
    <w:p w14:paraId="77D5EDF4">
      <w:pPr>
        <w:bidi w:val="0"/>
        <w:rPr>
          <w:rFonts w:hint="default"/>
          <w:color w:val="auto"/>
          <w:lang w:val="en-US" w:eastAsia="zh-CN"/>
        </w:rPr>
      </w:pPr>
      <w:r>
        <w:rPr>
          <w:rFonts w:hint="eastAsia"/>
          <w:color w:val="auto"/>
          <w:lang w:val="en-US" w:eastAsia="zh-CN"/>
        </w:rPr>
        <w:t>23、根据《建筑灭火器配置设计规范》（GB 50140-2005）第6.1.2条规定，每个设置点的灭火器数量不宜多于5具。</w:t>
      </w:r>
    </w:p>
    <w:p w14:paraId="7EA8ACD7">
      <w:pPr>
        <w:pStyle w:val="5"/>
        <w:bidi w:val="0"/>
        <w:rPr>
          <w:rFonts w:hint="default"/>
          <w:color w:val="auto"/>
          <w:lang w:val="en-US" w:eastAsia="zh-CN"/>
        </w:rPr>
      </w:pPr>
      <w:bookmarkStart w:id="40" w:name="_Toc6617"/>
      <w:r>
        <w:rPr>
          <w:rFonts w:hint="default"/>
          <w:color w:val="auto"/>
          <w:lang w:val="en-US" w:eastAsia="zh-CN"/>
        </w:rPr>
        <w:t>6.4 供配电系统单元安全对策措施建议</w:t>
      </w:r>
      <w:bookmarkEnd w:id="40"/>
    </w:p>
    <w:p w14:paraId="26931972">
      <w:pPr>
        <w:bidi w:val="0"/>
        <w:rPr>
          <w:rFonts w:hint="eastAsia"/>
          <w:color w:val="auto"/>
          <w:lang w:val="en-US" w:eastAsia="zh-CN"/>
        </w:rPr>
      </w:pPr>
      <w:r>
        <w:rPr>
          <w:rFonts w:hint="eastAsia"/>
          <w:color w:val="auto"/>
          <w:lang w:val="en-US" w:eastAsia="zh-CN"/>
        </w:rPr>
        <w:t>1、手持电动工具、电气施工机械、施工临时用电设备及潮湿场所用电设备等在有条件的情况下加装漏电保护装置，防止触电危及人身安全。</w:t>
      </w:r>
    </w:p>
    <w:p w14:paraId="3FB16012">
      <w:pPr>
        <w:bidi w:val="0"/>
        <w:rPr>
          <w:rFonts w:hint="eastAsia"/>
          <w:color w:val="auto"/>
          <w:lang w:val="en-US" w:eastAsia="zh-CN"/>
        </w:rPr>
      </w:pPr>
      <w:r>
        <w:rPr>
          <w:rFonts w:hint="eastAsia"/>
          <w:color w:val="auto"/>
          <w:lang w:val="en-US" w:eastAsia="zh-CN"/>
        </w:rPr>
        <w:t>2、高低压配电室配电柜前、后两端的操作维护通道宽度应满足GB50053的有关规定。</w:t>
      </w:r>
    </w:p>
    <w:p w14:paraId="47F89B4E">
      <w:pPr>
        <w:bidi w:val="0"/>
        <w:rPr>
          <w:rFonts w:hint="eastAsia"/>
          <w:color w:val="auto"/>
          <w:lang w:val="en-US" w:eastAsia="zh-CN"/>
        </w:rPr>
      </w:pPr>
      <w:r>
        <w:rPr>
          <w:rFonts w:hint="eastAsia"/>
          <w:color w:val="auto"/>
          <w:lang w:val="en-US" w:eastAsia="zh-CN"/>
        </w:rPr>
        <w:t>3、应避免电气线路发生短路、过负荷，防止引发电气火灾。</w:t>
      </w:r>
    </w:p>
    <w:p w14:paraId="22E7C987">
      <w:pPr>
        <w:bidi w:val="0"/>
        <w:rPr>
          <w:rFonts w:hint="eastAsia"/>
          <w:color w:val="auto"/>
          <w:lang w:val="en-US" w:eastAsia="zh-CN"/>
        </w:rPr>
      </w:pPr>
      <w:r>
        <w:rPr>
          <w:rFonts w:hint="eastAsia"/>
          <w:color w:val="auto"/>
          <w:lang w:val="en-US" w:eastAsia="zh-CN"/>
        </w:rPr>
        <w:t>4、在带电的导线、设备、变压器开关附近，不应有损坏电气绝缘或引起电气火灾的热源。</w:t>
      </w:r>
    </w:p>
    <w:p w14:paraId="71A8567E">
      <w:pPr>
        <w:bidi w:val="0"/>
        <w:rPr>
          <w:rFonts w:hint="eastAsia"/>
          <w:color w:val="auto"/>
          <w:lang w:val="en-US" w:eastAsia="zh-CN"/>
        </w:rPr>
      </w:pPr>
      <w:r>
        <w:rPr>
          <w:rFonts w:hint="eastAsia"/>
          <w:color w:val="auto"/>
          <w:lang w:val="en-US" w:eastAsia="zh-CN"/>
        </w:rPr>
        <w:t>5、电源进线上应装设带漏电保护功能的断路器，以有效地消除接地电弧产生的隐患，从而大幅度降低我国单相接地短路引发的火灾。</w:t>
      </w:r>
    </w:p>
    <w:p w14:paraId="20B75021">
      <w:pPr>
        <w:bidi w:val="0"/>
        <w:rPr>
          <w:rFonts w:hint="eastAsia"/>
          <w:color w:val="auto"/>
          <w:lang w:val="en-US" w:eastAsia="zh-CN"/>
        </w:rPr>
      </w:pPr>
      <w:r>
        <w:rPr>
          <w:rFonts w:hint="eastAsia"/>
          <w:color w:val="auto"/>
          <w:lang w:val="en-US" w:eastAsia="zh-CN"/>
        </w:rPr>
        <w:t>6、严禁明接头、鸡爪子接头和电缆不正常包扎，防止引起火灾。</w:t>
      </w:r>
    </w:p>
    <w:p w14:paraId="67A04CEB">
      <w:pPr>
        <w:bidi w:val="0"/>
        <w:rPr>
          <w:rFonts w:hint="eastAsia"/>
          <w:color w:val="auto"/>
          <w:lang w:val="en-US" w:eastAsia="zh-CN"/>
        </w:rPr>
      </w:pPr>
      <w:r>
        <w:rPr>
          <w:rFonts w:hint="eastAsia"/>
          <w:color w:val="auto"/>
          <w:lang w:val="en-US" w:eastAsia="zh-CN"/>
        </w:rPr>
        <w:t>7、项目电力装置，应符合GB50070和其他有关规范、规程的要求。</w:t>
      </w:r>
    </w:p>
    <w:p w14:paraId="2998F442">
      <w:pPr>
        <w:bidi w:val="0"/>
        <w:rPr>
          <w:rFonts w:hint="eastAsia"/>
          <w:color w:val="auto"/>
          <w:lang w:val="en-US" w:eastAsia="zh-CN"/>
        </w:rPr>
      </w:pPr>
      <w:r>
        <w:rPr>
          <w:rFonts w:hint="eastAsia"/>
          <w:color w:val="auto"/>
          <w:lang w:val="en-US" w:eastAsia="zh-CN"/>
        </w:rPr>
        <w:t>8、施工选用的设备和器材应符合国家现行技术标准的规定，并有合格的有效证件，要把住设备、器材的质量关，严格做好进料验收，特别是各种电器元件、导线及绝缘材料。</w:t>
      </w:r>
    </w:p>
    <w:p w14:paraId="3C998B40">
      <w:pPr>
        <w:bidi w:val="0"/>
        <w:rPr>
          <w:rFonts w:hint="eastAsia"/>
          <w:color w:val="auto"/>
          <w:lang w:val="en-US" w:eastAsia="zh-CN"/>
        </w:rPr>
      </w:pPr>
      <w:r>
        <w:rPr>
          <w:rFonts w:hint="eastAsia"/>
          <w:color w:val="auto"/>
          <w:lang w:val="en-US" w:eastAsia="zh-CN"/>
        </w:rPr>
        <w:t>9、电气设备可能被人触及的裸露带电部分，应进行可靠接地、接零保护。</w:t>
      </w:r>
    </w:p>
    <w:p w14:paraId="2186D616">
      <w:pPr>
        <w:bidi w:val="0"/>
        <w:rPr>
          <w:rFonts w:hint="eastAsia"/>
          <w:color w:val="auto"/>
          <w:lang w:val="en-US" w:eastAsia="zh-CN"/>
        </w:rPr>
      </w:pPr>
      <w:r>
        <w:rPr>
          <w:rFonts w:hint="eastAsia"/>
          <w:color w:val="auto"/>
          <w:lang w:val="en-US" w:eastAsia="zh-CN"/>
        </w:rPr>
        <w:t>10、停电和送电，应严格执行操作票制度。</w:t>
      </w:r>
    </w:p>
    <w:p w14:paraId="35380C77">
      <w:pPr>
        <w:bidi w:val="0"/>
        <w:rPr>
          <w:rFonts w:hint="eastAsia"/>
          <w:color w:val="auto"/>
          <w:lang w:val="en-US" w:eastAsia="zh-CN"/>
        </w:rPr>
      </w:pPr>
      <w:r>
        <w:rPr>
          <w:rFonts w:hint="eastAsia"/>
          <w:color w:val="auto"/>
          <w:lang w:val="en-US" w:eastAsia="zh-CN"/>
        </w:rPr>
        <w:t>11、熔断器、熔丝、熔片、热继电器等保险装置，使用前应进行核对，不应任意更换或代用。</w:t>
      </w:r>
    </w:p>
    <w:p w14:paraId="2F28C300">
      <w:pPr>
        <w:bidi w:val="0"/>
        <w:rPr>
          <w:rFonts w:hint="eastAsia"/>
          <w:color w:val="auto"/>
          <w:lang w:val="en-US" w:eastAsia="zh-CN"/>
        </w:rPr>
      </w:pPr>
      <w:r>
        <w:rPr>
          <w:rFonts w:hint="eastAsia"/>
          <w:color w:val="auto"/>
          <w:lang w:val="en-US" w:eastAsia="zh-CN"/>
        </w:rPr>
        <w:t>12、企业供配电、电力装置的过电压保护、电气设备的保护接地以及建筑物的防雷接地等，设计严格按照国家标准有关设计规范规定执行，确保设备及人身安全，供电可靠。</w:t>
      </w:r>
    </w:p>
    <w:p w14:paraId="26ED82C4">
      <w:pPr>
        <w:bidi w:val="0"/>
        <w:rPr>
          <w:rFonts w:hint="eastAsia"/>
          <w:color w:val="auto"/>
          <w:lang w:val="en-US" w:eastAsia="zh-CN"/>
        </w:rPr>
      </w:pPr>
      <w:r>
        <w:rPr>
          <w:rFonts w:hint="eastAsia"/>
          <w:color w:val="auto"/>
          <w:lang w:val="en-US" w:eastAsia="zh-CN"/>
        </w:rPr>
        <w:t>13、供电线路在进线端设置避雷装置，防止高电位的侵入，确保供电的可靠性。</w:t>
      </w:r>
    </w:p>
    <w:p w14:paraId="25DA65D9">
      <w:pPr>
        <w:bidi w:val="0"/>
        <w:rPr>
          <w:rFonts w:hint="default"/>
          <w:color w:val="auto"/>
          <w:lang w:val="en-US" w:eastAsia="zh-CN"/>
        </w:rPr>
      </w:pPr>
      <w:r>
        <w:rPr>
          <w:rFonts w:hint="eastAsia"/>
          <w:color w:val="auto"/>
          <w:lang w:val="en-US" w:eastAsia="zh-CN"/>
        </w:rPr>
        <w:t>14、</w:t>
      </w:r>
      <w:r>
        <w:rPr>
          <w:rFonts w:hint="default"/>
          <w:color w:val="auto"/>
          <w:lang w:val="en-US" w:eastAsia="zh-CN"/>
        </w:rPr>
        <w:t>根据《选矿安全规程》（GB</w:t>
      </w:r>
      <w:r>
        <w:rPr>
          <w:rFonts w:hint="eastAsia"/>
          <w:color w:val="auto"/>
          <w:lang w:val="en-US" w:eastAsia="zh-CN"/>
        </w:rPr>
        <w:t xml:space="preserve"> </w:t>
      </w:r>
      <w:r>
        <w:rPr>
          <w:rFonts w:hint="default"/>
          <w:color w:val="auto"/>
          <w:lang w:val="en-US" w:eastAsia="zh-CN"/>
        </w:rPr>
        <w:t>18152-2000）第6.26条规定，检修设备应事先切断电源，用操作牌换电源牌，在操作箱上挂好“禁止开动”标志牌方可开始作业。</w:t>
      </w:r>
    </w:p>
    <w:p w14:paraId="7AD8D87B">
      <w:pPr>
        <w:bidi w:val="0"/>
        <w:rPr>
          <w:rFonts w:hint="eastAsia"/>
          <w:color w:val="auto"/>
          <w:lang w:val="en-US" w:eastAsia="zh-CN"/>
        </w:rPr>
      </w:pPr>
      <w:r>
        <w:rPr>
          <w:rFonts w:hint="eastAsia"/>
          <w:color w:val="auto"/>
          <w:lang w:val="en-US" w:eastAsia="zh-CN"/>
        </w:rPr>
        <w:t>15、根据《选矿安全规程》（GB 18152-2000）第10.1.2条规定，10.1，2 电气作业人员应经过专门的安全技术培训考核，持证上岗。</w:t>
      </w:r>
    </w:p>
    <w:p w14:paraId="63B72A9D">
      <w:pPr>
        <w:bidi w:val="0"/>
        <w:rPr>
          <w:rFonts w:hint="eastAsia"/>
          <w:color w:val="auto"/>
          <w:lang w:val="en-US" w:eastAsia="zh-CN"/>
        </w:rPr>
      </w:pPr>
      <w:r>
        <w:rPr>
          <w:rFonts w:hint="eastAsia"/>
          <w:color w:val="auto"/>
          <w:lang w:val="en-US" w:eastAsia="zh-CN"/>
        </w:rPr>
        <w:t>16、根据《选矿安全规程》（GB 18152-2000）第10.1.4条规定，所有电气设备和线路，应根据对人的危害程度设置明显的警示标志、防护网和安全遮栏。</w:t>
      </w:r>
    </w:p>
    <w:p w14:paraId="49B591E3">
      <w:pPr>
        <w:bidi w:val="0"/>
        <w:rPr>
          <w:rFonts w:hint="eastAsia"/>
          <w:color w:val="auto"/>
          <w:lang w:val="en-US" w:eastAsia="zh-CN"/>
        </w:rPr>
      </w:pPr>
      <w:r>
        <w:rPr>
          <w:rFonts w:hint="eastAsia"/>
          <w:color w:val="auto"/>
          <w:lang w:val="en-US" w:eastAsia="zh-CN"/>
        </w:rPr>
        <w:t>17、根据《选矿安全规程》（GB 18152-2000）第10.1.5条规定，电气作业人员作业时，应穿戴防护用品和使用防护用具。修理、调试电气设备和线路，应由电气作业人员进行。</w:t>
      </w:r>
    </w:p>
    <w:p w14:paraId="187E66BA">
      <w:pPr>
        <w:bidi w:val="0"/>
        <w:rPr>
          <w:rFonts w:hint="default"/>
          <w:color w:val="auto"/>
          <w:lang w:val="en-US" w:eastAsia="zh-CN"/>
        </w:rPr>
      </w:pPr>
      <w:r>
        <w:rPr>
          <w:rFonts w:hint="eastAsia"/>
          <w:color w:val="auto"/>
          <w:lang w:val="en-US" w:eastAsia="zh-CN"/>
        </w:rPr>
        <w:t>18、根据《选矿安全规程》（GB 18152-2000）第10.1.6条规定，电气设备可能被人触及的裸露带电部分，应设置安全防护罩或遮栏及警示牌。</w:t>
      </w:r>
    </w:p>
    <w:p w14:paraId="4158056F">
      <w:pPr>
        <w:bidi w:val="0"/>
        <w:rPr>
          <w:rFonts w:hint="default"/>
          <w:color w:val="auto"/>
          <w:lang w:val="en-US" w:eastAsia="zh-CN"/>
        </w:rPr>
      </w:pPr>
      <w:r>
        <w:rPr>
          <w:rFonts w:hint="eastAsia"/>
          <w:color w:val="auto"/>
          <w:lang w:val="en-US" w:eastAsia="zh-CN"/>
        </w:rPr>
        <w:t>19、根据《选矿安全规程》（GB 18152-2000）第</w:t>
      </w:r>
      <w:r>
        <w:rPr>
          <w:rFonts w:hint="default"/>
          <w:color w:val="auto"/>
          <w:lang w:val="en-US" w:eastAsia="zh-CN"/>
        </w:rPr>
        <w:t>10.5.4</w:t>
      </w:r>
      <w:r>
        <w:rPr>
          <w:rFonts w:hint="eastAsia"/>
          <w:color w:val="auto"/>
          <w:lang w:val="en-US" w:eastAsia="zh-CN"/>
        </w:rPr>
        <w:t>条规定，</w:t>
      </w:r>
      <w:r>
        <w:rPr>
          <w:rFonts w:hint="default"/>
          <w:color w:val="auto"/>
          <w:lang w:val="en-US" w:eastAsia="zh-CN"/>
        </w:rPr>
        <w:t>电气设备及装置的金属框架或外壳、电缆的金属包皮，应可靠接地，接地电阻应不超过2Q。</w:t>
      </w:r>
    </w:p>
    <w:p w14:paraId="657E66C5">
      <w:pPr>
        <w:bidi w:val="0"/>
        <w:rPr>
          <w:rFonts w:hint="eastAsia"/>
          <w:color w:val="auto"/>
          <w:lang w:val="en-US" w:eastAsia="zh-CN"/>
        </w:rPr>
      </w:pPr>
      <w:r>
        <w:rPr>
          <w:rFonts w:hint="eastAsia"/>
          <w:color w:val="auto"/>
          <w:lang w:val="en-US" w:eastAsia="zh-CN"/>
        </w:rPr>
        <w:t>20、根据《20kV及以下变电所设计规范》（GB 50053-2013）第2.0.1条规定，变电所的所址应根据下列要求，经技术经济等因素综合分析和比较后确定：</w:t>
      </w:r>
    </w:p>
    <w:p w14:paraId="414A8E32">
      <w:pPr>
        <w:bidi w:val="0"/>
        <w:rPr>
          <w:rFonts w:hint="eastAsia"/>
          <w:color w:val="auto"/>
          <w:lang w:val="en-US" w:eastAsia="zh-CN"/>
        </w:rPr>
      </w:pPr>
      <w:r>
        <w:rPr>
          <w:rFonts w:hint="eastAsia"/>
          <w:color w:val="auto"/>
          <w:lang w:val="en-US" w:eastAsia="zh-CN"/>
        </w:rPr>
        <w:t>（1）宜接近负荷中心；</w:t>
      </w:r>
    </w:p>
    <w:p w14:paraId="6F044AAA">
      <w:pPr>
        <w:bidi w:val="0"/>
        <w:rPr>
          <w:rFonts w:hint="eastAsia"/>
          <w:color w:val="auto"/>
          <w:lang w:val="en-US" w:eastAsia="zh-CN"/>
        </w:rPr>
      </w:pPr>
      <w:r>
        <w:rPr>
          <w:rFonts w:hint="eastAsia"/>
          <w:color w:val="auto"/>
          <w:lang w:val="en-US" w:eastAsia="zh-CN"/>
        </w:rPr>
        <w:t>（2）宜接近电源侧；</w:t>
      </w:r>
    </w:p>
    <w:p w14:paraId="150D99F6">
      <w:pPr>
        <w:bidi w:val="0"/>
        <w:rPr>
          <w:rFonts w:hint="eastAsia"/>
          <w:color w:val="auto"/>
          <w:lang w:val="en-US" w:eastAsia="zh-CN"/>
        </w:rPr>
      </w:pPr>
      <w:r>
        <w:rPr>
          <w:rFonts w:hint="eastAsia"/>
          <w:color w:val="auto"/>
          <w:lang w:val="en-US" w:eastAsia="zh-CN"/>
        </w:rPr>
        <w:t>（3）应方便进出线；</w:t>
      </w:r>
    </w:p>
    <w:p w14:paraId="3E4ACFAB">
      <w:pPr>
        <w:bidi w:val="0"/>
        <w:rPr>
          <w:rFonts w:hint="eastAsia"/>
          <w:color w:val="auto"/>
          <w:lang w:val="en-US" w:eastAsia="zh-CN"/>
        </w:rPr>
      </w:pPr>
      <w:r>
        <w:rPr>
          <w:rFonts w:hint="eastAsia"/>
          <w:color w:val="auto"/>
          <w:lang w:val="en-US" w:eastAsia="zh-CN"/>
        </w:rPr>
        <w:t>（4）应方便设备运输；</w:t>
      </w:r>
    </w:p>
    <w:p w14:paraId="570841CF">
      <w:pPr>
        <w:bidi w:val="0"/>
        <w:rPr>
          <w:rFonts w:hint="eastAsia"/>
          <w:color w:val="auto"/>
          <w:lang w:val="en-US" w:eastAsia="zh-CN"/>
        </w:rPr>
      </w:pPr>
      <w:r>
        <w:rPr>
          <w:rFonts w:hint="eastAsia"/>
          <w:color w:val="auto"/>
          <w:lang w:val="en-US" w:eastAsia="zh-CN"/>
        </w:rPr>
        <w:t>（5）不应设在有剧烈振动或高温的场所；</w:t>
      </w:r>
    </w:p>
    <w:p w14:paraId="4EA7EE71">
      <w:pPr>
        <w:bidi w:val="0"/>
        <w:rPr>
          <w:rFonts w:hint="eastAsia"/>
          <w:color w:val="auto"/>
          <w:lang w:val="en-US" w:eastAsia="zh-CN"/>
        </w:rPr>
      </w:pPr>
      <w:r>
        <w:rPr>
          <w:rFonts w:hint="eastAsia"/>
          <w:color w:val="auto"/>
          <w:lang w:val="en-US" w:eastAsia="zh-CN"/>
        </w:rPr>
        <w:t>（6）不宜设在多尘或有腐蚀性物质的场所，当无法远离时，不应设在污染源盛行风向的下风侧，或应采取有效的防护措施；</w:t>
      </w:r>
    </w:p>
    <w:p w14:paraId="5C207943">
      <w:pPr>
        <w:bidi w:val="0"/>
        <w:rPr>
          <w:rFonts w:hint="eastAsia"/>
          <w:color w:val="auto"/>
          <w:lang w:val="en-US" w:eastAsia="zh-CN"/>
        </w:rPr>
      </w:pPr>
      <w:r>
        <w:rPr>
          <w:rFonts w:hint="eastAsia"/>
          <w:color w:val="auto"/>
          <w:lang w:val="en-US" w:eastAsia="zh-CN"/>
        </w:rPr>
        <w:t>（7）不应设在厕所、浴室、厨房或其他经常积水场所的正下方处，也不宜设在与上述场所相贴邻的地方，当贴邻时，相邻的隔墙应做无渗漏、无结露的防水处理；</w:t>
      </w:r>
    </w:p>
    <w:p w14:paraId="6A7F3137">
      <w:pPr>
        <w:bidi w:val="0"/>
        <w:rPr>
          <w:rFonts w:hint="eastAsia"/>
          <w:color w:val="auto"/>
          <w:lang w:val="en-US" w:eastAsia="zh-CN"/>
        </w:rPr>
      </w:pPr>
      <w:r>
        <w:rPr>
          <w:rFonts w:hint="eastAsia"/>
          <w:color w:val="auto"/>
          <w:lang w:val="en-US" w:eastAsia="zh-CN"/>
        </w:rPr>
        <w:t>（8）当与有爆炸或火灾危险的建筑物毗连时，变电所的所址应符合现行国家标准《爆炸和火灾危险环境电力装置设计规范》（GB 50058）的有关规定；</w:t>
      </w:r>
    </w:p>
    <w:p w14:paraId="44D139CD">
      <w:pPr>
        <w:bidi w:val="0"/>
        <w:rPr>
          <w:rFonts w:hint="eastAsia"/>
          <w:color w:val="auto"/>
          <w:lang w:val="en-US" w:eastAsia="zh-CN"/>
        </w:rPr>
      </w:pPr>
      <w:r>
        <w:rPr>
          <w:rFonts w:hint="eastAsia"/>
          <w:color w:val="auto"/>
          <w:lang w:val="en-US" w:eastAsia="zh-CN"/>
        </w:rPr>
        <w:t>（9）不应设在地势低注和可能积水的场所；</w:t>
      </w:r>
    </w:p>
    <w:p w14:paraId="6814A9CE">
      <w:pPr>
        <w:bidi w:val="0"/>
        <w:rPr>
          <w:rFonts w:hint="eastAsia"/>
          <w:color w:val="auto"/>
          <w:lang w:val="en-US" w:eastAsia="zh-CN"/>
        </w:rPr>
      </w:pPr>
      <w:r>
        <w:rPr>
          <w:rFonts w:hint="eastAsia"/>
          <w:color w:val="auto"/>
          <w:lang w:val="en-US" w:eastAsia="zh-CN"/>
        </w:rPr>
        <w:t>（10）不宜设在对防电磁干扰有较高要求的设备机房的正上方、正下方或与其贴邻的场所，当需要设在上述场所时，应采取防电磁干扰的措施。</w:t>
      </w:r>
    </w:p>
    <w:p w14:paraId="7E0DFA46">
      <w:pPr>
        <w:bidi w:val="0"/>
        <w:rPr>
          <w:rFonts w:hint="default"/>
          <w:color w:val="auto"/>
          <w:lang w:val="en-US" w:eastAsia="zh-CN"/>
        </w:rPr>
      </w:pPr>
      <w:r>
        <w:rPr>
          <w:rFonts w:hint="eastAsia"/>
          <w:color w:val="auto"/>
          <w:lang w:val="en-US" w:eastAsia="zh-CN"/>
        </w:rPr>
        <w:t>21、根据《20kV及以下变电所设计规范》（GB 50053-2013）第</w:t>
      </w:r>
      <w:r>
        <w:rPr>
          <w:rFonts w:hint="default"/>
          <w:color w:val="auto"/>
          <w:lang w:val="en-US" w:eastAsia="zh-CN"/>
        </w:rPr>
        <w:t>3.1.4</w:t>
      </w:r>
      <w:r>
        <w:rPr>
          <w:rFonts w:hint="eastAsia"/>
          <w:color w:val="auto"/>
          <w:lang w:val="en-US" w:eastAsia="zh-CN"/>
        </w:rPr>
        <w:t>条规定，</w:t>
      </w:r>
      <w:r>
        <w:rPr>
          <w:rFonts w:hint="default"/>
          <w:color w:val="auto"/>
          <w:lang w:val="en-US" w:eastAsia="zh-CN"/>
        </w:rPr>
        <w:t>电气设备的接地应符合现行国家标准《交流电气装置的接地设计规范》GB/T50065和《低压电气装置》</w:t>
      </w:r>
      <w:r>
        <w:rPr>
          <w:rFonts w:hint="eastAsia"/>
          <w:color w:val="auto"/>
          <w:lang w:val="en-US" w:eastAsia="zh-CN"/>
        </w:rPr>
        <w:t>（</w:t>
      </w:r>
      <w:r>
        <w:rPr>
          <w:rFonts w:hint="default"/>
          <w:color w:val="auto"/>
          <w:lang w:val="en-US" w:eastAsia="zh-CN"/>
        </w:rPr>
        <w:t>或《建筑物电气装置》</w:t>
      </w:r>
      <w:r>
        <w:rPr>
          <w:rFonts w:hint="eastAsia"/>
          <w:color w:val="auto"/>
          <w:lang w:val="en-US" w:eastAsia="zh-CN"/>
        </w:rPr>
        <w:t>）</w:t>
      </w:r>
      <w:r>
        <w:rPr>
          <w:rFonts w:hint="default"/>
          <w:color w:val="auto"/>
          <w:lang w:val="en-US" w:eastAsia="zh-CN"/>
        </w:rPr>
        <w:t>GB/T16895系列标准的有关规定。</w:t>
      </w:r>
    </w:p>
    <w:p w14:paraId="4D5FD7B8">
      <w:pPr>
        <w:bidi w:val="0"/>
        <w:rPr>
          <w:rFonts w:hint="default"/>
          <w:color w:val="auto"/>
          <w:lang w:val="en-US" w:eastAsia="zh-CN"/>
        </w:rPr>
      </w:pPr>
      <w:r>
        <w:rPr>
          <w:rFonts w:hint="eastAsia"/>
          <w:color w:val="auto"/>
          <w:lang w:val="en-US" w:eastAsia="zh-CN"/>
        </w:rPr>
        <w:t>22、根据《20kV及以下变电所设计规范》（GB 50053-2013）第</w:t>
      </w:r>
      <w:r>
        <w:rPr>
          <w:rFonts w:hint="default"/>
          <w:color w:val="auto"/>
          <w:lang w:val="en-US" w:eastAsia="zh-CN"/>
        </w:rPr>
        <w:t>4.2.2</w:t>
      </w:r>
      <w:r>
        <w:rPr>
          <w:rFonts w:hint="eastAsia"/>
          <w:color w:val="auto"/>
          <w:lang w:val="en-US" w:eastAsia="zh-CN"/>
        </w:rPr>
        <w:t>条规定，</w:t>
      </w:r>
      <w:r>
        <w:rPr>
          <w:rFonts w:hint="default"/>
          <w:color w:val="auto"/>
          <w:lang w:val="en-US" w:eastAsia="zh-CN"/>
        </w:rPr>
        <w:t>露天或半露天变电所的变压器四周应设高度不低于1.8m的固定围栏或围墙</w:t>
      </w:r>
      <w:r>
        <w:rPr>
          <w:rFonts w:hint="eastAsia"/>
          <w:color w:val="auto"/>
          <w:lang w:val="en-US" w:eastAsia="zh-CN"/>
        </w:rPr>
        <w:t>，</w:t>
      </w:r>
      <w:r>
        <w:rPr>
          <w:rFonts w:hint="default"/>
          <w:color w:val="auto"/>
          <w:lang w:val="en-US" w:eastAsia="zh-CN"/>
        </w:rPr>
        <w:t>变压器外廓与围栏或围墙的净距不应小于0.8m</w:t>
      </w:r>
      <w:r>
        <w:rPr>
          <w:rFonts w:hint="eastAsia"/>
          <w:color w:val="auto"/>
          <w:lang w:val="en-US" w:eastAsia="zh-CN"/>
        </w:rPr>
        <w:t>，</w:t>
      </w:r>
      <w:r>
        <w:rPr>
          <w:rFonts w:hint="default"/>
          <w:color w:val="auto"/>
          <w:lang w:val="en-US" w:eastAsia="zh-CN"/>
        </w:rPr>
        <w:t>变压器底部距地面不应小于0.3m。油重小于1000kg的相邻油浸变压器外廓之间的净距不应小于1.5m</w:t>
      </w:r>
      <w:r>
        <w:rPr>
          <w:rFonts w:hint="eastAsia"/>
          <w:color w:val="auto"/>
          <w:lang w:val="en-US" w:eastAsia="zh-CN"/>
        </w:rPr>
        <w:t>；</w:t>
      </w:r>
      <w:r>
        <w:rPr>
          <w:rFonts w:hint="default"/>
          <w:color w:val="auto"/>
          <w:lang w:val="en-US" w:eastAsia="zh-CN"/>
        </w:rPr>
        <w:t>油重1000kg～2500kg的相邻油浸变压器外廓之间的净距不应小于3.0m</w:t>
      </w:r>
      <w:r>
        <w:rPr>
          <w:rFonts w:hint="eastAsia"/>
          <w:color w:val="auto"/>
          <w:lang w:val="en-US" w:eastAsia="zh-CN"/>
        </w:rPr>
        <w:t>；</w:t>
      </w:r>
      <w:r>
        <w:rPr>
          <w:rFonts w:hint="default"/>
          <w:color w:val="auto"/>
          <w:lang w:val="en-US" w:eastAsia="zh-CN"/>
        </w:rPr>
        <w:t>油重大于2500kg的相邻油浸变压器外廓之间的净距不应小于5m</w:t>
      </w:r>
      <w:r>
        <w:rPr>
          <w:rFonts w:hint="eastAsia"/>
          <w:color w:val="auto"/>
          <w:lang w:val="en-US" w:eastAsia="zh-CN"/>
        </w:rPr>
        <w:t>；</w:t>
      </w:r>
      <w:r>
        <w:rPr>
          <w:rFonts w:hint="default"/>
          <w:color w:val="auto"/>
          <w:lang w:val="en-US" w:eastAsia="zh-CN"/>
        </w:rPr>
        <w:t>当</w:t>
      </w:r>
      <w:r>
        <w:rPr>
          <w:rFonts w:hint="eastAsia"/>
          <w:color w:val="auto"/>
          <w:lang w:val="en-US" w:eastAsia="zh-CN"/>
        </w:rPr>
        <w:t>不能满足上述要求时，应设置防火墙。</w:t>
      </w:r>
    </w:p>
    <w:p w14:paraId="4A1936CD">
      <w:pPr>
        <w:bidi w:val="0"/>
        <w:rPr>
          <w:rFonts w:hint="default"/>
          <w:color w:val="auto"/>
          <w:lang w:val="en-US" w:eastAsia="zh-CN"/>
        </w:rPr>
      </w:pPr>
      <w:r>
        <w:rPr>
          <w:rFonts w:hint="eastAsia"/>
          <w:color w:val="auto"/>
          <w:lang w:val="en-US" w:eastAsia="zh-CN"/>
        </w:rPr>
        <w:t>23、根据《20kV及以下变电所设计规范》（GB 50053-2013）第</w:t>
      </w:r>
      <w:r>
        <w:rPr>
          <w:rFonts w:hint="default"/>
          <w:color w:val="auto"/>
          <w:lang w:val="en-US" w:eastAsia="zh-CN"/>
        </w:rPr>
        <w:t>4.2.3</w:t>
      </w:r>
      <w:r>
        <w:rPr>
          <w:rFonts w:hint="eastAsia"/>
          <w:color w:val="auto"/>
          <w:lang w:val="en-US" w:eastAsia="zh-CN"/>
        </w:rPr>
        <w:t>条规定，</w:t>
      </w:r>
      <w:r>
        <w:rPr>
          <w:rFonts w:hint="default"/>
          <w:color w:val="auto"/>
          <w:lang w:val="en-US" w:eastAsia="zh-CN"/>
        </w:rPr>
        <w:t>当露天或半露天变压器供给一级负荷用电时</w:t>
      </w:r>
      <w:r>
        <w:rPr>
          <w:rFonts w:hint="eastAsia"/>
          <w:color w:val="auto"/>
          <w:lang w:val="en-US" w:eastAsia="zh-CN"/>
        </w:rPr>
        <w:t>，</w:t>
      </w:r>
      <w:r>
        <w:rPr>
          <w:rFonts w:hint="default"/>
          <w:color w:val="auto"/>
          <w:lang w:val="en-US" w:eastAsia="zh-CN"/>
        </w:rPr>
        <w:t>相邻油浸变压器的净距不应小于5m</w:t>
      </w:r>
      <w:r>
        <w:rPr>
          <w:rFonts w:hint="eastAsia"/>
          <w:color w:val="auto"/>
          <w:lang w:val="en-US" w:eastAsia="zh-CN"/>
        </w:rPr>
        <w:t>；</w:t>
      </w:r>
      <w:r>
        <w:rPr>
          <w:rFonts w:hint="default"/>
          <w:color w:val="auto"/>
          <w:lang w:val="en-US" w:eastAsia="zh-CN"/>
        </w:rPr>
        <w:t>当小于5m时</w:t>
      </w:r>
      <w:r>
        <w:rPr>
          <w:rFonts w:hint="eastAsia"/>
          <w:color w:val="auto"/>
          <w:lang w:val="en-US" w:eastAsia="zh-CN"/>
        </w:rPr>
        <w:t>，</w:t>
      </w:r>
      <w:r>
        <w:rPr>
          <w:rFonts w:hint="default"/>
          <w:color w:val="auto"/>
          <w:lang w:val="en-US" w:eastAsia="zh-CN"/>
        </w:rPr>
        <w:t>应设置防火墙。</w:t>
      </w:r>
    </w:p>
    <w:p w14:paraId="1547A0A4">
      <w:pPr>
        <w:bidi w:val="0"/>
        <w:rPr>
          <w:rFonts w:hint="default"/>
          <w:color w:val="auto"/>
          <w:lang w:val="en-US" w:eastAsia="zh-CN"/>
        </w:rPr>
      </w:pPr>
      <w:r>
        <w:rPr>
          <w:rFonts w:hint="eastAsia"/>
          <w:color w:val="auto"/>
          <w:lang w:val="en-US" w:eastAsia="zh-CN"/>
        </w:rPr>
        <w:t>24、根据《20kV及以下变电所设计规范》（GB 50053-2013）第</w:t>
      </w:r>
      <w:r>
        <w:rPr>
          <w:rFonts w:hint="default"/>
          <w:color w:val="auto"/>
          <w:lang w:val="en-US" w:eastAsia="zh-CN"/>
        </w:rPr>
        <w:t>6.1.1</w:t>
      </w:r>
      <w:r>
        <w:rPr>
          <w:rFonts w:hint="eastAsia"/>
          <w:color w:val="auto"/>
          <w:lang w:val="en-US" w:eastAsia="zh-CN"/>
        </w:rPr>
        <w:t>条规定，</w:t>
      </w:r>
      <w:r>
        <w:rPr>
          <w:rFonts w:hint="default"/>
          <w:color w:val="auto"/>
          <w:lang w:val="en-US" w:eastAsia="zh-CN"/>
        </w:rPr>
        <w:t>变压器室、配电室和电容器室的耐火等级不应低于二级。</w:t>
      </w:r>
    </w:p>
    <w:p w14:paraId="4225CFF2">
      <w:pPr>
        <w:bidi w:val="0"/>
        <w:rPr>
          <w:rFonts w:hint="eastAsia"/>
          <w:color w:val="auto"/>
          <w:lang w:val="en-US" w:eastAsia="zh-CN"/>
        </w:rPr>
      </w:pPr>
      <w:r>
        <w:rPr>
          <w:rFonts w:hint="eastAsia"/>
          <w:color w:val="auto"/>
          <w:lang w:val="en-US" w:eastAsia="zh-CN"/>
        </w:rPr>
        <w:t>25、根据《20kV及以下变电所设计规范》（GB 50053-2013）第6.2.2条规定，变压器室、配电室、电容器室的门应向外开启。相邻配电室之间有门时，应采用不燃材料制作的双向弹簧门。</w:t>
      </w:r>
    </w:p>
    <w:p w14:paraId="6922BDAF">
      <w:pPr>
        <w:bidi w:val="0"/>
        <w:rPr>
          <w:rFonts w:hint="eastAsia"/>
          <w:color w:val="auto"/>
          <w:lang w:val="en-US" w:eastAsia="zh-CN"/>
        </w:rPr>
      </w:pPr>
      <w:r>
        <w:rPr>
          <w:rFonts w:hint="eastAsia"/>
          <w:color w:val="auto"/>
          <w:lang w:val="en-US" w:eastAsia="zh-CN"/>
        </w:rPr>
        <w:t>26、根据《20kV及以下变电所设计规范》（GB 50053-2013）第6.2.4条规定，变压器室、配电室、电容器室等房间应设置防止雨、雪和蛇、鼠等小动物从采光窗、通风窗、门、电缆沟等处进入室内的设施。</w:t>
      </w:r>
    </w:p>
    <w:p w14:paraId="3E7B1BD2">
      <w:pPr>
        <w:bidi w:val="0"/>
        <w:rPr>
          <w:rFonts w:hint="eastAsia"/>
          <w:color w:val="auto"/>
          <w:lang w:val="en-US" w:eastAsia="zh-CN"/>
        </w:rPr>
      </w:pPr>
      <w:r>
        <w:rPr>
          <w:rFonts w:hint="eastAsia"/>
          <w:color w:val="auto"/>
          <w:lang w:val="en-US" w:eastAsia="zh-CN"/>
        </w:rPr>
        <w:t>27、根据《20kV及以下变电所设计规范》（GB 50053-2013）第6.3.4条规定，配电室宜采用自然通风。设置在地下或地下室的变、配电所，宜装设除湿、通风换气设备；控制室和值班室宜设置空气调节设施。</w:t>
      </w:r>
    </w:p>
    <w:p w14:paraId="1E473640">
      <w:pPr>
        <w:bidi w:val="0"/>
        <w:rPr>
          <w:rFonts w:hint="eastAsia"/>
          <w:color w:val="auto"/>
          <w:lang w:val="en-US" w:eastAsia="zh-CN"/>
        </w:rPr>
      </w:pPr>
      <w:r>
        <w:rPr>
          <w:rFonts w:hint="eastAsia"/>
          <w:color w:val="auto"/>
          <w:lang w:val="en-US" w:eastAsia="zh-CN"/>
        </w:rPr>
        <w:t>28、根据《20kV及以下变电所设计规范》（GB 50053-2013）第6.4.1条规定，高、低压配电室、变压器室、电容器室、控制室内不应有无关的管道和线路通过。</w:t>
      </w:r>
    </w:p>
    <w:p w14:paraId="380A5A0E">
      <w:pPr>
        <w:bidi w:val="0"/>
        <w:rPr>
          <w:rFonts w:hint="eastAsia"/>
          <w:color w:val="auto"/>
          <w:lang w:val="en-US" w:eastAsia="zh-CN"/>
        </w:rPr>
      </w:pPr>
      <w:r>
        <w:rPr>
          <w:rFonts w:hint="eastAsia"/>
          <w:color w:val="auto"/>
          <w:lang w:val="en-US" w:eastAsia="zh-CN"/>
        </w:rPr>
        <w:t>29、根据《低压配电设计规范》（GB 50054-2011）第4.1.1条规定，配电室的位置应靠近用电负荷中心，设置在尘埃少、腐蚀介质少、周围环境干燥和无剧烈震动的场所，并宜留有发展余地。</w:t>
      </w:r>
    </w:p>
    <w:p w14:paraId="171A9324">
      <w:pPr>
        <w:bidi w:val="0"/>
        <w:rPr>
          <w:rFonts w:hint="eastAsia"/>
          <w:color w:val="auto"/>
          <w:lang w:val="en-US" w:eastAsia="zh-CN"/>
        </w:rPr>
      </w:pPr>
      <w:r>
        <w:rPr>
          <w:rFonts w:hint="eastAsia"/>
          <w:color w:val="auto"/>
          <w:lang w:val="en-US" w:eastAsia="zh-CN"/>
        </w:rPr>
        <w:t>30、根据《低压配电设计规范》（GB 50054-2011）第4.1.2条规定，配电设备的布置必须遵循安全、可靠、适用和经济等原则，应便于安装、操作、搬运、检修、试验和监测。</w:t>
      </w:r>
    </w:p>
    <w:p w14:paraId="6CA53068">
      <w:pPr>
        <w:bidi w:val="0"/>
        <w:rPr>
          <w:rFonts w:hint="default"/>
          <w:color w:val="auto"/>
          <w:lang w:val="en-US" w:eastAsia="zh-CN"/>
        </w:rPr>
      </w:pPr>
      <w:r>
        <w:rPr>
          <w:rFonts w:hint="eastAsia"/>
          <w:color w:val="auto"/>
          <w:lang w:val="en-US" w:eastAsia="zh-CN"/>
        </w:rPr>
        <w:t>31、根据《低压配电设计规范》（GB 50054-2011）第4.1.3条规定，配电室内除本室需用的管道外，不应有其它的管道通过。室内水、汽管道上不应设置阀门和中间接头；水、汽管道与散热器的连接应采用焊接，并应做等电位联结。配电屏的上、方及电缆沟内不应敷设水、汽管道。</w:t>
      </w:r>
    </w:p>
    <w:p w14:paraId="55C7EF9E">
      <w:pPr>
        <w:bidi w:val="0"/>
        <w:rPr>
          <w:rFonts w:hint="default"/>
          <w:color w:val="auto"/>
          <w:lang w:val="en-US" w:eastAsia="zh-CN"/>
        </w:rPr>
      </w:pPr>
      <w:r>
        <w:rPr>
          <w:rFonts w:hint="eastAsia"/>
          <w:color w:val="auto"/>
          <w:lang w:val="en-US" w:eastAsia="zh-CN"/>
        </w:rPr>
        <w:t>32、根据《低压配电设计规范》（GB 50054-2011）第</w:t>
      </w:r>
      <w:r>
        <w:rPr>
          <w:rFonts w:hint="default"/>
          <w:color w:val="auto"/>
          <w:lang w:val="en-US" w:eastAsia="zh-CN"/>
        </w:rPr>
        <w:t>4.3.4</w:t>
      </w:r>
      <w:r>
        <w:rPr>
          <w:rFonts w:hint="eastAsia"/>
          <w:color w:val="auto"/>
          <w:lang w:val="en-US" w:eastAsia="zh-CN"/>
        </w:rPr>
        <w:t>条规定，</w:t>
      </w:r>
      <w:r>
        <w:rPr>
          <w:rFonts w:hint="default"/>
          <w:color w:val="auto"/>
          <w:lang w:val="en-US" w:eastAsia="zh-CN"/>
        </w:rPr>
        <w:t>配电室内的电缆沟，应采取防水盒排水措施。配电室的地面宜高出本层地面50mm或设置防水门槛。</w:t>
      </w:r>
    </w:p>
    <w:p w14:paraId="7487C141">
      <w:pPr>
        <w:bidi w:val="0"/>
        <w:rPr>
          <w:rFonts w:hint="eastAsia"/>
          <w:color w:val="auto"/>
          <w:lang w:val="en-US" w:eastAsia="zh-CN"/>
        </w:rPr>
      </w:pPr>
      <w:r>
        <w:rPr>
          <w:rFonts w:hint="eastAsia"/>
          <w:color w:val="auto"/>
          <w:lang w:val="en-US" w:eastAsia="zh-CN"/>
        </w:rPr>
        <w:t>33、根据《电气装置安装工程 接地装置施工及验收规范》（GB 50169-2016）第3.0.4条规定，电气装置的下列金属部分，均必须接地：</w:t>
      </w:r>
    </w:p>
    <w:p w14:paraId="617CD95B">
      <w:pPr>
        <w:bidi w:val="0"/>
        <w:rPr>
          <w:rFonts w:hint="eastAsia"/>
          <w:color w:val="auto"/>
          <w:lang w:val="en-US" w:eastAsia="zh-CN"/>
        </w:rPr>
      </w:pPr>
      <w:r>
        <w:rPr>
          <w:rFonts w:hint="eastAsia"/>
          <w:color w:val="auto"/>
          <w:lang w:val="en-US" w:eastAsia="zh-CN"/>
        </w:rPr>
        <w:t>（1）电气设备的金属底座、框架及外壳和传动装置。</w:t>
      </w:r>
    </w:p>
    <w:p w14:paraId="4A8680FB">
      <w:pPr>
        <w:bidi w:val="0"/>
        <w:rPr>
          <w:rFonts w:hint="eastAsia"/>
          <w:color w:val="auto"/>
          <w:lang w:val="en-US" w:eastAsia="zh-CN"/>
        </w:rPr>
      </w:pPr>
      <w:r>
        <w:rPr>
          <w:rFonts w:hint="eastAsia"/>
          <w:color w:val="auto"/>
          <w:lang w:val="en-US" w:eastAsia="zh-CN"/>
        </w:rPr>
        <w:t>（2）携带式或移动式用电器具的金属底座和外壳。</w:t>
      </w:r>
    </w:p>
    <w:p w14:paraId="222BF17E">
      <w:pPr>
        <w:bidi w:val="0"/>
        <w:rPr>
          <w:rFonts w:hint="eastAsia"/>
          <w:color w:val="auto"/>
          <w:lang w:val="en-US" w:eastAsia="zh-CN"/>
        </w:rPr>
      </w:pPr>
      <w:r>
        <w:rPr>
          <w:rFonts w:hint="eastAsia"/>
          <w:color w:val="auto"/>
          <w:lang w:val="en-US" w:eastAsia="zh-CN"/>
        </w:rPr>
        <w:t>（3）箱式变电站的金属箱体。</w:t>
      </w:r>
    </w:p>
    <w:p w14:paraId="7D63C466">
      <w:pPr>
        <w:bidi w:val="0"/>
        <w:rPr>
          <w:rFonts w:hint="eastAsia"/>
          <w:color w:val="auto"/>
          <w:lang w:val="en-US" w:eastAsia="zh-CN"/>
        </w:rPr>
      </w:pPr>
      <w:r>
        <w:rPr>
          <w:rFonts w:hint="eastAsia"/>
          <w:color w:val="auto"/>
          <w:lang w:val="en-US" w:eastAsia="zh-CN"/>
        </w:rPr>
        <w:t>（4）互感器的二次绕组。</w:t>
      </w:r>
    </w:p>
    <w:p w14:paraId="7231C36F">
      <w:pPr>
        <w:bidi w:val="0"/>
        <w:rPr>
          <w:rFonts w:hint="eastAsia"/>
          <w:color w:val="auto"/>
          <w:lang w:val="en-US" w:eastAsia="zh-CN"/>
        </w:rPr>
      </w:pPr>
      <w:r>
        <w:rPr>
          <w:rFonts w:hint="eastAsia"/>
          <w:color w:val="auto"/>
          <w:lang w:val="en-US" w:eastAsia="zh-CN"/>
        </w:rPr>
        <w:t>（5）配电、控制、保护用的屏（柜、箱）及操作台的金属框架和底座。</w:t>
      </w:r>
    </w:p>
    <w:p w14:paraId="2B92DF98">
      <w:pPr>
        <w:bidi w:val="0"/>
        <w:rPr>
          <w:rFonts w:hint="eastAsia"/>
          <w:color w:val="auto"/>
          <w:lang w:val="en-US" w:eastAsia="zh-CN"/>
        </w:rPr>
      </w:pPr>
      <w:r>
        <w:rPr>
          <w:rFonts w:hint="eastAsia"/>
          <w:color w:val="auto"/>
          <w:lang w:val="en-US" w:eastAsia="zh-CN"/>
        </w:rPr>
        <w:t>（6）电力电缆的金属护层、接头盒、终端头和金属保护管及二次电缆的屏蔽层。</w:t>
      </w:r>
    </w:p>
    <w:p w14:paraId="798A92E6">
      <w:pPr>
        <w:bidi w:val="0"/>
        <w:rPr>
          <w:rFonts w:hint="eastAsia"/>
          <w:color w:val="auto"/>
          <w:lang w:val="en-US" w:eastAsia="zh-CN"/>
        </w:rPr>
      </w:pPr>
      <w:r>
        <w:rPr>
          <w:rFonts w:hint="eastAsia"/>
          <w:color w:val="auto"/>
          <w:lang w:val="en-US" w:eastAsia="zh-CN"/>
        </w:rPr>
        <w:t>（7）电缆桥架、支架和井架。</w:t>
      </w:r>
    </w:p>
    <w:p w14:paraId="03052A77">
      <w:pPr>
        <w:bidi w:val="0"/>
        <w:rPr>
          <w:rFonts w:hint="eastAsia"/>
          <w:color w:val="auto"/>
          <w:lang w:val="en-US" w:eastAsia="zh-CN"/>
        </w:rPr>
      </w:pPr>
      <w:r>
        <w:rPr>
          <w:rFonts w:hint="eastAsia"/>
          <w:color w:val="auto"/>
          <w:lang w:val="en-US" w:eastAsia="zh-CN"/>
        </w:rPr>
        <w:t>（8）变电站（换流站）构、支架。</w:t>
      </w:r>
    </w:p>
    <w:p w14:paraId="171DF78A">
      <w:pPr>
        <w:bidi w:val="0"/>
        <w:rPr>
          <w:rFonts w:hint="eastAsia"/>
          <w:color w:val="auto"/>
          <w:lang w:val="en-US" w:eastAsia="zh-CN"/>
        </w:rPr>
      </w:pPr>
      <w:r>
        <w:rPr>
          <w:rFonts w:hint="eastAsia"/>
          <w:color w:val="auto"/>
          <w:lang w:val="en-US" w:eastAsia="zh-CN"/>
        </w:rPr>
        <w:t>（9）装有架空地线或电气设备的电力线路杆塔。</w:t>
      </w:r>
    </w:p>
    <w:p w14:paraId="3E4C2EA8">
      <w:pPr>
        <w:bidi w:val="0"/>
        <w:rPr>
          <w:rFonts w:hint="eastAsia"/>
          <w:color w:val="auto"/>
          <w:lang w:val="en-US" w:eastAsia="zh-CN"/>
        </w:rPr>
      </w:pPr>
      <w:r>
        <w:rPr>
          <w:rFonts w:hint="eastAsia"/>
          <w:color w:val="auto"/>
          <w:lang w:val="en-US" w:eastAsia="zh-CN"/>
        </w:rPr>
        <w:t>（10）配电装置的金属遮栏。</w:t>
      </w:r>
    </w:p>
    <w:p w14:paraId="5DD60D5B">
      <w:pPr>
        <w:bidi w:val="0"/>
        <w:rPr>
          <w:rFonts w:hint="eastAsia"/>
          <w:color w:val="auto"/>
          <w:lang w:val="en-US" w:eastAsia="zh-CN"/>
        </w:rPr>
      </w:pPr>
      <w:r>
        <w:rPr>
          <w:rFonts w:hint="eastAsia"/>
          <w:color w:val="auto"/>
          <w:lang w:val="en-US" w:eastAsia="zh-CN"/>
        </w:rPr>
        <w:t>（11）电热设备的金属外壳。</w:t>
      </w:r>
    </w:p>
    <w:p w14:paraId="1AF15CC2">
      <w:pPr>
        <w:bidi w:val="0"/>
        <w:rPr>
          <w:rFonts w:hint="eastAsia"/>
          <w:color w:val="auto"/>
          <w:lang w:val="en-US" w:eastAsia="zh-CN"/>
        </w:rPr>
      </w:pPr>
      <w:r>
        <w:rPr>
          <w:rFonts w:hint="eastAsia"/>
          <w:color w:val="auto"/>
          <w:lang w:val="en-US" w:eastAsia="zh-CN"/>
        </w:rPr>
        <w:t>34、根据《电气装置安装工程 接地装置施工及验收规范》（GB 50169-2016）第4.2.9条规定，电气装置的接地必须单独与接地母线或接地网相连接，严禁在一条接地线中串接两个及两个以上需要接地的电气装置。</w:t>
      </w:r>
    </w:p>
    <w:p w14:paraId="3B0C8CA1">
      <w:pPr>
        <w:bidi w:val="0"/>
        <w:rPr>
          <w:rFonts w:hint="eastAsia"/>
          <w:color w:val="auto"/>
          <w:lang w:val="en-US" w:eastAsia="zh-CN"/>
        </w:rPr>
      </w:pPr>
      <w:r>
        <w:rPr>
          <w:rFonts w:hint="eastAsia"/>
          <w:color w:val="auto"/>
          <w:lang w:val="en-US" w:eastAsia="zh-CN"/>
        </w:rPr>
        <w:t>35、根据《电气装置安装工程 接地装置施工及验收规范》（GB 50169-2016）第4.11.3条规定，接地线与变压器中性点的连接应牢固，且防松垫圈等零件应齐全。</w:t>
      </w:r>
    </w:p>
    <w:p w14:paraId="0EE53B3B">
      <w:pPr>
        <w:bidi w:val="0"/>
        <w:rPr>
          <w:rFonts w:hint="default"/>
          <w:color w:val="auto"/>
          <w:lang w:val="en-US" w:eastAsia="zh-CN"/>
        </w:rPr>
      </w:pPr>
      <w:r>
        <w:rPr>
          <w:rFonts w:hint="eastAsia"/>
          <w:color w:val="auto"/>
          <w:lang w:val="en-US" w:eastAsia="zh-CN"/>
        </w:rPr>
        <w:t>36、根据《电气装置安装工程 接地装置施工及验收规范》（GB 50169-2016）第</w:t>
      </w:r>
      <w:r>
        <w:rPr>
          <w:rFonts w:hint="default"/>
          <w:color w:val="auto"/>
          <w:lang w:val="en-US" w:eastAsia="zh-CN"/>
        </w:rPr>
        <w:t>4.12.1</w:t>
      </w:r>
      <w:r>
        <w:rPr>
          <w:rFonts w:hint="eastAsia"/>
          <w:color w:val="auto"/>
          <w:lang w:val="en-US" w:eastAsia="zh-CN"/>
        </w:rPr>
        <w:t>条规定，</w:t>
      </w:r>
      <w:r>
        <w:rPr>
          <w:rFonts w:hint="default"/>
          <w:color w:val="auto"/>
          <w:lang w:val="en-US" w:eastAsia="zh-CN"/>
        </w:rPr>
        <w:t>接地装置的设置应符合设计要求。</w:t>
      </w:r>
    </w:p>
    <w:p w14:paraId="284A3D9A">
      <w:pPr>
        <w:bidi w:val="0"/>
        <w:rPr>
          <w:rFonts w:hint="default"/>
          <w:color w:val="auto"/>
          <w:lang w:val="en-US" w:eastAsia="zh-CN"/>
        </w:rPr>
      </w:pPr>
      <w:r>
        <w:rPr>
          <w:rFonts w:hint="eastAsia"/>
          <w:color w:val="auto"/>
          <w:lang w:val="en-US" w:eastAsia="zh-CN"/>
        </w:rPr>
        <w:t>37、根据《电气装置安装工程 接地装置施工及验收规范》（GB 50169-2016）第</w:t>
      </w:r>
      <w:r>
        <w:rPr>
          <w:rFonts w:hint="default"/>
          <w:color w:val="auto"/>
          <w:lang w:val="en-US" w:eastAsia="zh-CN"/>
        </w:rPr>
        <w:t>4.12.2</w:t>
      </w:r>
      <w:r>
        <w:rPr>
          <w:rFonts w:hint="eastAsia"/>
          <w:color w:val="auto"/>
          <w:lang w:val="en-US" w:eastAsia="zh-CN"/>
        </w:rPr>
        <w:t>条规定，</w:t>
      </w:r>
      <w:r>
        <w:rPr>
          <w:rFonts w:hint="default"/>
          <w:color w:val="auto"/>
          <w:lang w:val="en-US" w:eastAsia="zh-CN"/>
        </w:rPr>
        <w:t>电气装置的系统接地、保护接地及建筑物的防雷接地等采用同一接地装置</w:t>
      </w:r>
      <w:r>
        <w:rPr>
          <w:rFonts w:hint="eastAsia"/>
          <w:color w:val="auto"/>
          <w:lang w:val="en-US" w:eastAsia="zh-CN"/>
        </w:rPr>
        <w:t>，</w:t>
      </w:r>
      <w:r>
        <w:rPr>
          <w:rFonts w:hint="default"/>
          <w:color w:val="auto"/>
          <w:lang w:val="en-US" w:eastAsia="zh-CN"/>
        </w:rPr>
        <w:t>接地装置的接地电阻值应符合其中最小值的要求。</w:t>
      </w:r>
    </w:p>
    <w:p w14:paraId="47F20794">
      <w:pPr>
        <w:bidi w:val="0"/>
        <w:rPr>
          <w:rFonts w:hint="default"/>
          <w:color w:val="auto"/>
          <w:lang w:val="en-US" w:eastAsia="zh-CN"/>
        </w:rPr>
      </w:pPr>
      <w:r>
        <w:rPr>
          <w:rFonts w:hint="eastAsia"/>
          <w:color w:val="auto"/>
          <w:lang w:val="en-US" w:eastAsia="zh-CN"/>
        </w:rPr>
        <w:t>38、根据《电气装置安装工程 接地装置施工及验收规范》（GB 50169-2016）第</w:t>
      </w:r>
      <w:r>
        <w:rPr>
          <w:rFonts w:hint="default"/>
          <w:color w:val="auto"/>
          <w:lang w:val="en-US" w:eastAsia="zh-CN"/>
        </w:rPr>
        <w:t>4.13.1</w:t>
      </w:r>
      <w:r>
        <w:rPr>
          <w:rFonts w:hint="eastAsia"/>
          <w:color w:val="auto"/>
          <w:lang w:val="en-US" w:eastAsia="zh-CN"/>
        </w:rPr>
        <w:t>条规定，</w:t>
      </w:r>
      <w:r>
        <w:rPr>
          <w:rFonts w:hint="default"/>
          <w:color w:val="auto"/>
          <w:lang w:val="en-US" w:eastAsia="zh-CN"/>
        </w:rPr>
        <w:t>携带式和移动式用电设备应用专用的绿/黄双色绝缘多股软铜绞线接地。移动式用电设备的接地线截面积不应小于2.5mm²</w:t>
      </w:r>
      <w:r>
        <w:rPr>
          <w:rFonts w:hint="eastAsia"/>
          <w:color w:val="auto"/>
          <w:lang w:val="en-US" w:eastAsia="zh-CN"/>
        </w:rPr>
        <w:t>，</w:t>
      </w:r>
      <w:r>
        <w:rPr>
          <w:rFonts w:hint="default"/>
          <w:color w:val="auto"/>
          <w:lang w:val="en-US" w:eastAsia="zh-CN"/>
        </w:rPr>
        <w:t>携带式用电设备的接地线截面积不应小于1.5mm²。</w:t>
      </w:r>
    </w:p>
    <w:p w14:paraId="1ED90E38">
      <w:pPr>
        <w:bidi w:val="0"/>
        <w:rPr>
          <w:rFonts w:hint="eastAsia"/>
          <w:color w:val="auto"/>
          <w:lang w:val="en-US" w:eastAsia="zh-CN"/>
        </w:rPr>
      </w:pPr>
      <w:r>
        <w:rPr>
          <w:rFonts w:hint="eastAsia"/>
          <w:color w:val="auto"/>
          <w:lang w:val="en-US" w:eastAsia="zh-CN"/>
        </w:rPr>
        <w:t>39、根据《建筑物防雷设计规范》（GB 50057-2010）第4.1.2条规定，各类防雷建筑物应设内部防雷装置，并应符合下列规定：</w:t>
      </w:r>
    </w:p>
    <w:p w14:paraId="122AA9C3">
      <w:pPr>
        <w:bidi w:val="0"/>
        <w:rPr>
          <w:rFonts w:hint="eastAsia"/>
          <w:color w:val="auto"/>
          <w:lang w:val="en-US" w:eastAsia="zh-CN"/>
        </w:rPr>
      </w:pPr>
      <w:r>
        <w:rPr>
          <w:rFonts w:hint="eastAsia"/>
          <w:color w:val="auto"/>
          <w:lang w:val="en-US" w:eastAsia="zh-CN"/>
        </w:rPr>
        <w:t>（1）在建筑物的地下室或地面层处，下列物体应与防雷装置做防雷等电位连接：</w:t>
      </w:r>
    </w:p>
    <w:p w14:paraId="50BD626B">
      <w:pPr>
        <w:bidi w:val="0"/>
        <w:rPr>
          <w:rFonts w:hint="eastAsia"/>
          <w:color w:val="auto"/>
          <w:lang w:val="en-US" w:eastAsia="zh-CN"/>
        </w:rPr>
      </w:pPr>
      <w:r>
        <w:rPr>
          <w:rFonts w:hint="eastAsia"/>
          <w:color w:val="auto"/>
          <w:lang w:val="en-US" w:eastAsia="zh-CN"/>
        </w:rPr>
        <w:t>1）建筑物金属体。</w:t>
      </w:r>
    </w:p>
    <w:p w14:paraId="4AD7E532">
      <w:pPr>
        <w:bidi w:val="0"/>
        <w:rPr>
          <w:rFonts w:hint="eastAsia"/>
          <w:color w:val="auto"/>
          <w:lang w:val="en-US" w:eastAsia="zh-CN"/>
        </w:rPr>
      </w:pPr>
      <w:r>
        <w:rPr>
          <w:rFonts w:hint="eastAsia"/>
          <w:color w:val="auto"/>
          <w:lang w:val="en-US" w:eastAsia="zh-CN"/>
        </w:rPr>
        <w:t>2）金属装置。</w:t>
      </w:r>
    </w:p>
    <w:p w14:paraId="3C8C5EAF">
      <w:pPr>
        <w:bidi w:val="0"/>
        <w:rPr>
          <w:rFonts w:hint="eastAsia"/>
          <w:color w:val="auto"/>
          <w:lang w:val="en-US" w:eastAsia="zh-CN"/>
        </w:rPr>
      </w:pPr>
      <w:r>
        <w:rPr>
          <w:rFonts w:hint="eastAsia"/>
          <w:color w:val="auto"/>
          <w:lang w:val="en-US" w:eastAsia="zh-CN"/>
        </w:rPr>
        <w:t>3）建筑物内系统。</w:t>
      </w:r>
    </w:p>
    <w:p w14:paraId="023B96EE">
      <w:pPr>
        <w:bidi w:val="0"/>
        <w:rPr>
          <w:rFonts w:hint="eastAsia"/>
          <w:color w:val="auto"/>
          <w:lang w:val="en-US" w:eastAsia="zh-CN"/>
        </w:rPr>
      </w:pPr>
      <w:r>
        <w:rPr>
          <w:rFonts w:hint="eastAsia"/>
          <w:color w:val="auto"/>
          <w:lang w:val="en-US" w:eastAsia="zh-CN"/>
        </w:rPr>
        <w:t>4）进出建筑物的金属管线。</w:t>
      </w:r>
    </w:p>
    <w:p w14:paraId="2E200F59">
      <w:pPr>
        <w:bidi w:val="0"/>
        <w:rPr>
          <w:rFonts w:hint="default"/>
          <w:color w:val="auto"/>
          <w:lang w:val="en-US" w:eastAsia="zh-CN"/>
        </w:rPr>
      </w:pPr>
      <w:r>
        <w:rPr>
          <w:rFonts w:hint="eastAsia"/>
          <w:color w:val="auto"/>
          <w:lang w:val="en-US" w:eastAsia="zh-CN"/>
        </w:rPr>
        <w:t>（2）除本条第1款的措施外，外部防雷装置与建筑物金属体、金属装置、建筑物内系统之间，尚应满足间隔距离的要求。</w:t>
      </w:r>
    </w:p>
    <w:p w14:paraId="562349C4">
      <w:pPr>
        <w:pStyle w:val="5"/>
        <w:bidi w:val="0"/>
        <w:rPr>
          <w:rFonts w:hint="default"/>
          <w:color w:val="auto"/>
          <w:lang w:val="en-US" w:eastAsia="zh-CN"/>
        </w:rPr>
      </w:pPr>
      <w:bookmarkStart w:id="41" w:name="_Toc25262"/>
      <w:r>
        <w:rPr>
          <w:rFonts w:hint="default"/>
          <w:color w:val="auto"/>
          <w:lang w:val="en-US" w:eastAsia="zh-CN"/>
        </w:rPr>
        <w:t>6.5 安全管理单元安全对策措施建议</w:t>
      </w:r>
      <w:bookmarkEnd w:id="41"/>
    </w:p>
    <w:p w14:paraId="5EC7153E">
      <w:pPr>
        <w:bidi w:val="0"/>
        <w:rPr>
          <w:rFonts w:hint="eastAsia"/>
          <w:color w:val="auto"/>
          <w:lang w:val="en-US" w:eastAsia="zh-CN"/>
        </w:rPr>
      </w:pPr>
      <w:r>
        <w:rPr>
          <w:rFonts w:hint="eastAsia"/>
          <w:color w:val="auto"/>
          <w:lang w:val="en-US" w:eastAsia="zh-CN"/>
        </w:rPr>
        <w:t>1、应认真加强工艺操作管理，严格控制好各种工艺指标。</w:t>
      </w:r>
    </w:p>
    <w:p w14:paraId="69D26C5E">
      <w:pPr>
        <w:bidi w:val="0"/>
        <w:rPr>
          <w:rFonts w:hint="eastAsia"/>
          <w:color w:val="auto"/>
          <w:lang w:val="en-US" w:eastAsia="zh-CN"/>
        </w:rPr>
      </w:pPr>
      <w:r>
        <w:rPr>
          <w:rFonts w:hint="eastAsia"/>
          <w:color w:val="auto"/>
          <w:lang w:val="en-US" w:eastAsia="zh-CN"/>
        </w:rPr>
        <w:t>2、企业应定期检维修设备设施，并完善各生产工段的安全防护设施，定期检查维护纯水系统和污水系统，保障供、排水的稳定。</w:t>
      </w:r>
    </w:p>
    <w:p w14:paraId="06443A55">
      <w:pPr>
        <w:bidi w:val="0"/>
        <w:rPr>
          <w:rFonts w:hint="eastAsia"/>
          <w:color w:val="auto"/>
          <w:lang w:val="en-US" w:eastAsia="zh-CN"/>
        </w:rPr>
      </w:pPr>
      <w:r>
        <w:rPr>
          <w:rFonts w:hint="eastAsia"/>
          <w:color w:val="auto"/>
          <w:lang w:val="en-US" w:eastAsia="zh-CN"/>
        </w:rPr>
        <w:t>3、企业应建立健全各安全管理台帐并如实记录。</w:t>
      </w:r>
    </w:p>
    <w:p w14:paraId="09C005F7">
      <w:pPr>
        <w:bidi w:val="0"/>
        <w:rPr>
          <w:rFonts w:hint="default"/>
          <w:color w:val="auto"/>
          <w:lang w:val="en-US" w:eastAsia="zh-CN"/>
        </w:rPr>
      </w:pPr>
      <w:r>
        <w:rPr>
          <w:rFonts w:hint="eastAsia"/>
          <w:color w:val="auto"/>
          <w:lang w:val="en-US" w:eastAsia="zh-CN"/>
        </w:rPr>
        <w:t>4、根据《中华人民共和国安全生产法》（中华人民共和国主席令第88号）</w:t>
      </w:r>
      <w:r>
        <w:rPr>
          <w:rFonts w:hint="default"/>
          <w:color w:val="auto"/>
          <w:lang w:val="en-US" w:eastAsia="zh-CN"/>
        </w:rPr>
        <w:t>第四条</w:t>
      </w:r>
      <w:r>
        <w:rPr>
          <w:rFonts w:hint="eastAsia"/>
          <w:color w:val="auto"/>
          <w:lang w:val="en-US" w:eastAsia="zh-CN"/>
        </w:rPr>
        <w:t>规定，</w:t>
      </w:r>
      <w:r>
        <w:rPr>
          <w:rFonts w:hint="default"/>
          <w:color w:val="auto"/>
          <w:lang w:val="en-US" w:eastAsia="zh-CN"/>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2358DABB">
      <w:pPr>
        <w:bidi w:val="0"/>
        <w:rPr>
          <w:rFonts w:hint="eastAsia"/>
          <w:color w:val="auto"/>
          <w:lang w:val="en-US" w:eastAsia="zh-CN"/>
        </w:rPr>
      </w:pPr>
      <w:r>
        <w:rPr>
          <w:rFonts w:hint="eastAsia"/>
          <w:color w:val="auto"/>
          <w:lang w:val="en-US" w:eastAsia="zh-CN"/>
        </w:rPr>
        <w:t>5、根据《中华人民共和国安全生产法》（中华人民共和国主席令第88号）第二十一条规定，生产经营单位的主要负责人对本单位安全生产工作负有下列职责：</w:t>
      </w:r>
    </w:p>
    <w:p w14:paraId="461AEA8B">
      <w:pPr>
        <w:bidi w:val="0"/>
        <w:rPr>
          <w:rFonts w:hint="eastAsia"/>
          <w:color w:val="auto"/>
          <w:lang w:val="en-US" w:eastAsia="zh-CN"/>
        </w:rPr>
      </w:pPr>
      <w:r>
        <w:rPr>
          <w:rFonts w:hint="eastAsia"/>
          <w:color w:val="auto"/>
          <w:lang w:val="en-US" w:eastAsia="zh-CN"/>
        </w:rPr>
        <w:t>（一）建立健全并落实本单位全员安全生产责任制，加强安全生产标准化建设；</w:t>
      </w:r>
    </w:p>
    <w:p w14:paraId="76365420">
      <w:pPr>
        <w:bidi w:val="0"/>
        <w:rPr>
          <w:rFonts w:hint="eastAsia"/>
          <w:color w:val="auto"/>
          <w:lang w:val="en-US" w:eastAsia="zh-CN"/>
        </w:rPr>
      </w:pPr>
      <w:r>
        <w:rPr>
          <w:rFonts w:hint="eastAsia"/>
          <w:color w:val="auto"/>
          <w:lang w:val="en-US" w:eastAsia="zh-CN"/>
        </w:rPr>
        <w:t>（二）组织制定并实施本单位安全生产规章制度和操作规程；</w:t>
      </w:r>
    </w:p>
    <w:p w14:paraId="0DCB865B">
      <w:pPr>
        <w:bidi w:val="0"/>
        <w:rPr>
          <w:rFonts w:hint="eastAsia"/>
          <w:color w:val="auto"/>
          <w:lang w:val="en-US" w:eastAsia="zh-CN"/>
        </w:rPr>
      </w:pPr>
      <w:r>
        <w:rPr>
          <w:rFonts w:hint="eastAsia"/>
          <w:color w:val="auto"/>
          <w:lang w:val="en-US" w:eastAsia="zh-CN"/>
        </w:rPr>
        <w:t>（三）组织制定并实施本单位安全生产教育和培训计划；</w:t>
      </w:r>
    </w:p>
    <w:p w14:paraId="03D7D4A8">
      <w:pPr>
        <w:bidi w:val="0"/>
        <w:rPr>
          <w:rFonts w:hint="eastAsia"/>
          <w:color w:val="auto"/>
          <w:lang w:val="en-US" w:eastAsia="zh-CN"/>
        </w:rPr>
      </w:pPr>
      <w:r>
        <w:rPr>
          <w:rFonts w:hint="eastAsia"/>
          <w:color w:val="auto"/>
          <w:lang w:val="en-US" w:eastAsia="zh-CN"/>
        </w:rPr>
        <w:t>（四）保证本单位安全生产投入的有效实施；</w:t>
      </w:r>
    </w:p>
    <w:p w14:paraId="61FD6596">
      <w:pPr>
        <w:bidi w:val="0"/>
        <w:rPr>
          <w:rFonts w:hint="eastAsia"/>
          <w:color w:val="auto"/>
          <w:lang w:val="en-US" w:eastAsia="zh-CN"/>
        </w:rPr>
      </w:pPr>
      <w:r>
        <w:rPr>
          <w:rFonts w:hint="eastAsia"/>
          <w:color w:val="auto"/>
          <w:lang w:val="en-US" w:eastAsia="zh-CN"/>
        </w:rPr>
        <w:t>（五）组织建立并落实安全风险分级管控和隐患排查治理双重预防工作机制，督促、检查本单位的安全生产工作，及时消除生产安全事故隐患；</w:t>
      </w:r>
    </w:p>
    <w:p w14:paraId="50248A56">
      <w:pPr>
        <w:bidi w:val="0"/>
        <w:rPr>
          <w:rFonts w:hint="eastAsia"/>
          <w:color w:val="auto"/>
          <w:lang w:val="en-US" w:eastAsia="zh-CN"/>
        </w:rPr>
      </w:pPr>
      <w:r>
        <w:rPr>
          <w:rFonts w:hint="eastAsia"/>
          <w:color w:val="auto"/>
          <w:lang w:val="en-US" w:eastAsia="zh-CN"/>
        </w:rPr>
        <w:t>（六）组织制定并实施本单位的生产安全事故应急救援预案；</w:t>
      </w:r>
    </w:p>
    <w:p w14:paraId="7FEFEFC3">
      <w:pPr>
        <w:bidi w:val="0"/>
        <w:rPr>
          <w:rFonts w:hint="default"/>
          <w:color w:val="auto"/>
          <w:lang w:val="en-US" w:eastAsia="zh-CN"/>
        </w:rPr>
      </w:pPr>
      <w:r>
        <w:rPr>
          <w:rFonts w:hint="eastAsia"/>
          <w:color w:val="auto"/>
          <w:lang w:val="en-US" w:eastAsia="zh-CN"/>
        </w:rPr>
        <w:t>（七）及时、如实报告生产安全事故。</w:t>
      </w:r>
    </w:p>
    <w:p w14:paraId="7D11AFB7">
      <w:pPr>
        <w:bidi w:val="0"/>
        <w:rPr>
          <w:rFonts w:hint="eastAsia"/>
          <w:color w:val="auto"/>
          <w:lang w:val="en-US" w:eastAsia="zh-CN"/>
        </w:rPr>
      </w:pPr>
      <w:r>
        <w:rPr>
          <w:rFonts w:hint="eastAsia"/>
          <w:color w:val="auto"/>
          <w:lang w:val="en-US" w:eastAsia="zh-CN"/>
        </w:rPr>
        <w:t>6、根据《中华人民共和国安全生产法》（中华人民共和国主席令第88号）第二十二条规定，生产经营单位的全员安全生产责任制应当明确各岗位的责任人员、责任范围和考核标准等内容。</w:t>
      </w:r>
    </w:p>
    <w:p w14:paraId="09780E95">
      <w:pPr>
        <w:bidi w:val="0"/>
        <w:rPr>
          <w:rFonts w:hint="default"/>
          <w:color w:val="auto"/>
          <w:lang w:val="en-US" w:eastAsia="zh-CN"/>
        </w:rPr>
      </w:pPr>
      <w:r>
        <w:rPr>
          <w:rFonts w:hint="eastAsia"/>
          <w:color w:val="auto"/>
          <w:lang w:val="en-US" w:eastAsia="zh-CN"/>
        </w:rPr>
        <w:t>生产经营单位应当建立相应的机制，加强对全员安全生产责任制落实情况的监督考核，保证全员安全生产责任制的落实。</w:t>
      </w:r>
    </w:p>
    <w:p w14:paraId="6A2BB335">
      <w:pPr>
        <w:bidi w:val="0"/>
        <w:rPr>
          <w:rFonts w:hint="eastAsia"/>
          <w:color w:val="auto"/>
          <w:lang w:val="en-US" w:eastAsia="zh-CN"/>
        </w:rPr>
      </w:pPr>
      <w:r>
        <w:rPr>
          <w:rFonts w:hint="eastAsia"/>
          <w:color w:val="auto"/>
          <w:lang w:val="en-US" w:eastAsia="zh-CN"/>
        </w:rPr>
        <w:t>7、根据《中华人民共和国安全生产法》（中华人民共和国主席令第88号）第二十四条规定，矿山、金属冶炼、建筑施工、运输单位和危险物品的生产、经营、储存、装卸单位，应当设置安全生产管理机构或者配备专职安全生产管理人员。</w:t>
      </w:r>
    </w:p>
    <w:p w14:paraId="30728D53">
      <w:pPr>
        <w:bidi w:val="0"/>
        <w:rPr>
          <w:rFonts w:hint="default"/>
          <w:color w:val="auto"/>
          <w:lang w:val="en-US" w:eastAsia="zh-CN"/>
        </w:rPr>
      </w:pPr>
      <w:r>
        <w:rPr>
          <w:rFonts w:hint="eastAsia"/>
          <w:color w:val="auto"/>
          <w:lang w:val="en-US" w:eastAsia="zh-CN"/>
        </w:rPr>
        <w:t>前款规定以外的其他生产经营单位，从业人员超过一百人的，应当设置安全生产管理机构或者配备专职安全生产管理人员；从业人员在一百人以下的，应当配备专职或者兼职的安全生产管理人员。</w:t>
      </w:r>
    </w:p>
    <w:p w14:paraId="40BA9A5F">
      <w:pPr>
        <w:bidi w:val="0"/>
        <w:rPr>
          <w:rFonts w:hint="eastAsia"/>
          <w:color w:val="auto"/>
          <w:lang w:val="en-US" w:eastAsia="zh-CN"/>
        </w:rPr>
      </w:pPr>
      <w:r>
        <w:rPr>
          <w:rFonts w:hint="eastAsia"/>
          <w:color w:val="auto"/>
          <w:lang w:val="en-US" w:eastAsia="zh-CN"/>
        </w:rPr>
        <w:t>8、根据《中华人民共和国安全生产法》（中华人民共和国主席令第88号）第二十八条规定，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14808BA3">
      <w:pPr>
        <w:bidi w:val="0"/>
        <w:rPr>
          <w:rFonts w:hint="eastAsia"/>
          <w:color w:val="auto"/>
          <w:lang w:val="en-US" w:eastAsia="zh-CN"/>
        </w:rPr>
      </w:pPr>
      <w:r>
        <w:rPr>
          <w:rFonts w:hint="eastAsia"/>
          <w:color w:val="auto"/>
          <w:lang w:val="en-US" w:eastAsia="zh-CN"/>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5EA27A06">
      <w:pPr>
        <w:bidi w:val="0"/>
        <w:rPr>
          <w:rFonts w:hint="eastAsia"/>
          <w:color w:val="auto"/>
          <w:lang w:val="en-US" w:eastAsia="zh-CN"/>
        </w:rPr>
      </w:pPr>
      <w:r>
        <w:rPr>
          <w:rFonts w:hint="eastAsia"/>
          <w:color w:val="auto"/>
          <w:lang w:val="en-US" w:eastAsia="zh-CN"/>
        </w:rPr>
        <w:t>生产经营单位接收中等职业学校、高等学校学生实习的，应当对实习学生进行相应的安全生产教育和培训，提供必要的劳动防护用品。学校应当协助生产经营单位对实习学生进行安全生产教育和培训。</w:t>
      </w:r>
    </w:p>
    <w:p w14:paraId="53FD9929">
      <w:pPr>
        <w:bidi w:val="0"/>
        <w:rPr>
          <w:rFonts w:hint="default"/>
          <w:color w:val="auto"/>
          <w:lang w:val="en-US" w:eastAsia="zh-CN"/>
        </w:rPr>
      </w:pPr>
      <w:r>
        <w:rPr>
          <w:rFonts w:hint="eastAsia"/>
          <w:color w:val="auto"/>
          <w:lang w:val="en-US" w:eastAsia="zh-CN"/>
        </w:rPr>
        <w:t>生产经营单位应当建立安全生产教育和培训档案，如实记录安全生产教育和培训的时间、内容、参加人员以及考核结果等情况。</w:t>
      </w:r>
    </w:p>
    <w:p w14:paraId="63ECA298">
      <w:pPr>
        <w:bidi w:val="0"/>
        <w:rPr>
          <w:rFonts w:hint="eastAsia"/>
          <w:color w:val="auto"/>
          <w:lang w:val="en-US" w:eastAsia="zh-CN"/>
        </w:rPr>
      </w:pPr>
      <w:r>
        <w:rPr>
          <w:rFonts w:hint="eastAsia"/>
          <w:color w:val="auto"/>
          <w:lang w:val="en-US" w:eastAsia="zh-CN"/>
        </w:rPr>
        <w:t>9、根据《中华人民共和国安全生产法》（中华人民共和国主席令第88号）第三十条规定，生产经营单位的特种作业人员必须按照国家有关规定经专门的安全作业培训，取得相应资格，方可上岗作业。</w:t>
      </w:r>
    </w:p>
    <w:p w14:paraId="074AB075">
      <w:pPr>
        <w:bidi w:val="0"/>
        <w:rPr>
          <w:rFonts w:hint="default"/>
          <w:color w:val="auto"/>
          <w:lang w:val="en-US" w:eastAsia="zh-CN"/>
        </w:rPr>
      </w:pPr>
      <w:r>
        <w:rPr>
          <w:rFonts w:hint="eastAsia"/>
          <w:color w:val="auto"/>
          <w:lang w:val="en-US" w:eastAsia="zh-CN"/>
        </w:rPr>
        <w:t>特种作业人员的范围由国务院应急管理部门会同国务院有关部门确定。</w:t>
      </w:r>
    </w:p>
    <w:p w14:paraId="78136C84">
      <w:pPr>
        <w:bidi w:val="0"/>
        <w:rPr>
          <w:rFonts w:hint="default"/>
          <w:color w:val="auto"/>
          <w:lang w:val="en-US" w:eastAsia="zh-CN"/>
        </w:rPr>
      </w:pPr>
      <w:r>
        <w:rPr>
          <w:rFonts w:hint="eastAsia"/>
          <w:color w:val="auto"/>
          <w:lang w:val="en-US" w:eastAsia="zh-CN"/>
        </w:rPr>
        <w:t>10、根据《中华人民共和国安全生产法》（中华人民共和国主席令第88号）第三十一条规定，生产经营单位新建、改建、扩建工程项目的安全设施，必须与主体工程同时设计、同时施工、同时投入生产和使用。安全设施投资应当纳入建设项目概算。</w:t>
      </w:r>
    </w:p>
    <w:p w14:paraId="4970FDED">
      <w:pPr>
        <w:bidi w:val="0"/>
        <w:rPr>
          <w:rFonts w:hint="default"/>
          <w:color w:val="auto"/>
          <w:lang w:val="en-US" w:eastAsia="zh-CN"/>
        </w:rPr>
      </w:pPr>
      <w:r>
        <w:rPr>
          <w:rFonts w:hint="eastAsia"/>
          <w:color w:val="auto"/>
          <w:lang w:val="en-US" w:eastAsia="zh-CN"/>
        </w:rPr>
        <w:t>11、根据《中华人民共和国安全生产法》（中华人民共和国主席令第88号）第三十五条规定，生产经营单位应当在有较大危险因素的生产经营场所和有关设施、设备上，设置明显的安全警示标志。</w:t>
      </w:r>
    </w:p>
    <w:p w14:paraId="055FE18A">
      <w:pPr>
        <w:bidi w:val="0"/>
        <w:rPr>
          <w:rFonts w:hint="eastAsia"/>
          <w:color w:val="auto"/>
          <w:lang w:val="en-US" w:eastAsia="zh-CN"/>
        </w:rPr>
      </w:pPr>
      <w:r>
        <w:rPr>
          <w:rFonts w:hint="eastAsia"/>
          <w:color w:val="auto"/>
          <w:lang w:val="en-US" w:eastAsia="zh-CN"/>
        </w:rPr>
        <w:t>12、根据《中华人民共和国安全生产法》（中华人民共和国主席令第88号）第四十条规定，生产经营单位对重大危险源应当登记建档，进行定期检测、评估、监控，并制定应急预案，告知从业人员和相关人员在紧急情况下应当采取的应急措施。</w:t>
      </w:r>
    </w:p>
    <w:p w14:paraId="7A6EACA4">
      <w:pPr>
        <w:bidi w:val="0"/>
        <w:rPr>
          <w:rFonts w:hint="default"/>
          <w:color w:val="auto"/>
          <w:lang w:val="en-US" w:eastAsia="zh-CN"/>
        </w:rPr>
      </w:pPr>
      <w:r>
        <w:rPr>
          <w:rFonts w:hint="eastAsia"/>
          <w:color w:val="auto"/>
          <w:lang w:val="en-US" w:eastAsia="zh-CN"/>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14:paraId="2C7CFDCC">
      <w:pPr>
        <w:bidi w:val="0"/>
        <w:rPr>
          <w:rFonts w:hint="eastAsia"/>
          <w:color w:val="auto"/>
          <w:lang w:val="en-US" w:eastAsia="zh-CN"/>
        </w:rPr>
      </w:pPr>
      <w:r>
        <w:rPr>
          <w:rFonts w:hint="eastAsia"/>
          <w:color w:val="auto"/>
          <w:lang w:val="en-US" w:eastAsia="zh-CN"/>
        </w:rPr>
        <w:t>13、根据《中华人民共和国安全生产法》（中华人民共和国主席令第88号）第四十一条规定，生产经营单位应当建立安全风险分级管控制度，按照安全风险分级采取相应的管控措施。</w:t>
      </w:r>
    </w:p>
    <w:p w14:paraId="5FD280ED">
      <w:pPr>
        <w:bidi w:val="0"/>
        <w:rPr>
          <w:rFonts w:hint="default"/>
          <w:color w:val="auto"/>
          <w:lang w:val="en-US" w:eastAsia="zh-CN"/>
        </w:rPr>
      </w:pPr>
      <w:r>
        <w:rPr>
          <w:rFonts w:hint="eastAsia"/>
          <w:color w:val="auto"/>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20A00F0C">
      <w:pPr>
        <w:bidi w:val="0"/>
        <w:rPr>
          <w:rFonts w:hint="eastAsia"/>
          <w:color w:val="auto"/>
          <w:lang w:val="en-US" w:eastAsia="zh-CN"/>
        </w:rPr>
      </w:pPr>
      <w:r>
        <w:rPr>
          <w:rFonts w:hint="eastAsia"/>
          <w:color w:val="auto"/>
          <w:lang w:val="en-US" w:eastAsia="zh-CN"/>
        </w:rPr>
        <w:t>14、根据《中华人民共和国安全生产法》（中华人民共和国主席令第88号）第四十四条规定，生产经营单位应当教育和督促从业人员严格执行本单位的安全生产规章制度和安全操作规程；并向从业人员如实告知作业场所和工作岗位存在的危险因素、防范措施以及事故应急措施。</w:t>
      </w:r>
    </w:p>
    <w:p w14:paraId="39DAC05A">
      <w:pPr>
        <w:bidi w:val="0"/>
        <w:rPr>
          <w:rFonts w:hint="default"/>
          <w:color w:val="auto"/>
          <w:lang w:val="en-US" w:eastAsia="zh-CN"/>
        </w:rPr>
      </w:pPr>
      <w:r>
        <w:rPr>
          <w:rFonts w:hint="eastAsia"/>
          <w:color w:val="auto"/>
          <w:lang w:val="en-US" w:eastAsia="zh-CN"/>
        </w:rPr>
        <w:t>生产经营单位应当关注从业人员的身体、心理状况和行为习惯，加强对从业人员的心理疏导、精神慰藉，严格落实岗位安全生产责任，防范从业人员行为异常导致事故发生。</w:t>
      </w:r>
    </w:p>
    <w:p w14:paraId="0F93D7DE">
      <w:pPr>
        <w:bidi w:val="0"/>
        <w:rPr>
          <w:rFonts w:hint="default"/>
          <w:color w:val="auto"/>
          <w:lang w:val="en-US" w:eastAsia="zh-CN"/>
        </w:rPr>
      </w:pPr>
      <w:r>
        <w:rPr>
          <w:rFonts w:hint="eastAsia"/>
          <w:color w:val="auto"/>
          <w:lang w:val="en-US" w:eastAsia="zh-CN"/>
        </w:rPr>
        <w:t>15、根据《中华人民共和国安全生产法》（中华人民共和国主席令第88号）第四十五条规定，生产经营单位必须为从业人员提供符合国家标准或者行业标准的劳动防护用品，并监督、教育从业人员按照使用规则佩戴、使用。</w:t>
      </w:r>
    </w:p>
    <w:p w14:paraId="5B5B477D">
      <w:pPr>
        <w:bidi w:val="0"/>
        <w:rPr>
          <w:rFonts w:hint="eastAsia"/>
          <w:color w:val="auto"/>
          <w:lang w:val="en-US" w:eastAsia="zh-CN"/>
        </w:rPr>
      </w:pPr>
      <w:r>
        <w:rPr>
          <w:rFonts w:hint="eastAsia"/>
          <w:color w:val="auto"/>
          <w:lang w:val="en-US" w:eastAsia="zh-CN"/>
        </w:rPr>
        <w:t>16、根据《中华人民共和国安全生产法》（中华人民共和国主席令第88号）第四十六条规定，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14:paraId="51DD0249">
      <w:pPr>
        <w:bidi w:val="0"/>
        <w:rPr>
          <w:rFonts w:hint="default"/>
          <w:color w:val="auto"/>
          <w:lang w:val="en-US" w:eastAsia="zh-CN"/>
        </w:rPr>
      </w:pPr>
      <w:r>
        <w:rPr>
          <w:rFonts w:hint="eastAsia"/>
          <w:color w:val="auto"/>
          <w:lang w:val="en-US" w:eastAsia="zh-CN"/>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14:paraId="5813B9D8">
      <w:pPr>
        <w:bidi w:val="0"/>
        <w:rPr>
          <w:rFonts w:hint="eastAsia"/>
          <w:color w:val="auto"/>
          <w:lang w:val="en-US" w:eastAsia="zh-CN"/>
        </w:rPr>
      </w:pPr>
      <w:r>
        <w:rPr>
          <w:rFonts w:hint="eastAsia"/>
          <w:color w:val="auto"/>
          <w:lang w:val="en-US" w:eastAsia="zh-CN"/>
        </w:rPr>
        <w:t>17、根据《中华人民共和国安全生产法》（中华人民共和国主席令第88号）第五十一条规定，生产经营单位必须依法参加工伤保险，为从业人员缴纳保险费。</w:t>
      </w:r>
    </w:p>
    <w:p w14:paraId="0F903DD0">
      <w:pPr>
        <w:bidi w:val="0"/>
        <w:rPr>
          <w:rFonts w:hint="default"/>
          <w:color w:val="auto"/>
          <w:lang w:val="en-US" w:eastAsia="zh-CN"/>
        </w:rPr>
      </w:pPr>
      <w:r>
        <w:rPr>
          <w:rFonts w:hint="eastAsia"/>
          <w:color w:val="auto"/>
          <w:lang w:val="en-US" w:eastAsia="zh-CN"/>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219905F9">
      <w:pPr>
        <w:bidi w:val="0"/>
        <w:rPr>
          <w:rFonts w:hint="default"/>
          <w:color w:val="auto"/>
          <w:lang w:val="en-US" w:eastAsia="zh-CN"/>
        </w:rPr>
      </w:pPr>
      <w:r>
        <w:rPr>
          <w:rFonts w:hint="eastAsia"/>
          <w:color w:val="auto"/>
          <w:lang w:val="en-US" w:eastAsia="zh-CN"/>
        </w:rPr>
        <w:t>18、根据《中华人民共和国安全生产法》（中华人民共和国主席令第88号）第五十七条规定，从业人员在作业过程中，应当严格落实岗位安全责任，遵守本单位的安全生产规章制度和操作规程，服从管理，正确佩戴和使用劳动防护用品。</w:t>
      </w:r>
    </w:p>
    <w:p w14:paraId="2CCC4289">
      <w:pPr>
        <w:bidi w:val="0"/>
        <w:rPr>
          <w:rFonts w:hint="default"/>
          <w:color w:val="auto"/>
          <w:lang w:val="en-US" w:eastAsia="zh-CN"/>
        </w:rPr>
      </w:pPr>
      <w:r>
        <w:rPr>
          <w:rFonts w:hint="eastAsia"/>
          <w:color w:val="auto"/>
          <w:lang w:val="en-US" w:eastAsia="zh-CN"/>
        </w:rPr>
        <w:t>19、根据《中华人民共和国安全生产法》（中华人民共和国主席令第88号）第八十一条规定，生产经营单位应当制定本单位生产安全事故应急救援预案，与所在地县级以上地方人民政府组织制定的生产安全事故应急救援预案相衔接，并定期组织演练。</w:t>
      </w:r>
    </w:p>
    <w:p w14:paraId="4EEBAA2C">
      <w:pPr>
        <w:bidi w:val="0"/>
        <w:rPr>
          <w:rFonts w:hint="default"/>
          <w:color w:val="auto"/>
          <w:lang w:val="en-US" w:eastAsia="zh-CN"/>
        </w:rPr>
      </w:pPr>
      <w:r>
        <w:rPr>
          <w:rFonts w:hint="eastAsia"/>
          <w:color w:val="auto"/>
          <w:lang w:val="en-US" w:eastAsia="zh-CN"/>
        </w:rPr>
        <w:t>20、根据《云南省安全生产条例》（云南省第十二届人民代表大会常务委员会第63号）第十三条生产经营单位应当保证安全生产所必需的资金投入。有关生产经营单位应当按照规定提取、使用安全生产费用，在成本中据实列支，专门用于改善安全生产条件。</w:t>
      </w:r>
    </w:p>
    <w:p w14:paraId="2071579F">
      <w:pPr>
        <w:bidi w:val="0"/>
        <w:rPr>
          <w:rFonts w:hint="eastAsia"/>
          <w:color w:val="auto"/>
          <w:lang w:val="en-US" w:eastAsia="zh-CN"/>
        </w:rPr>
      </w:pPr>
      <w:r>
        <w:rPr>
          <w:rFonts w:hint="eastAsia"/>
          <w:color w:val="auto"/>
          <w:lang w:val="en-US" w:eastAsia="zh-CN"/>
        </w:rPr>
        <w:t>21、根据《云南省安全生产条例》（云南省第十二届人民代表大会常务委员会第63号）第十八条规定，生产经营单位应当建立健全下列制度：</w:t>
      </w:r>
    </w:p>
    <w:p w14:paraId="20BDE92C">
      <w:pPr>
        <w:bidi w:val="0"/>
        <w:rPr>
          <w:rFonts w:hint="eastAsia"/>
          <w:color w:val="auto"/>
          <w:lang w:val="en-US" w:eastAsia="zh-CN"/>
        </w:rPr>
      </w:pPr>
      <w:r>
        <w:rPr>
          <w:rFonts w:hint="eastAsia"/>
          <w:color w:val="auto"/>
          <w:lang w:val="en-US" w:eastAsia="zh-CN"/>
        </w:rPr>
        <w:t>（一）安全生产责任制度；</w:t>
      </w:r>
    </w:p>
    <w:p w14:paraId="64B873ED">
      <w:pPr>
        <w:bidi w:val="0"/>
        <w:rPr>
          <w:rFonts w:hint="eastAsia"/>
          <w:color w:val="auto"/>
          <w:lang w:val="en-US" w:eastAsia="zh-CN"/>
        </w:rPr>
      </w:pPr>
      <w:r>
        <w:rPr>
          <w:rFonts w:hint="eastAsia"/>
          <w:color w:val="auto"/>
          <w:lang w:val="en-US" w:eastAsia="zh-CN"/>
        </w:rPr>
        <w:t>（二）安全生产例会制度；</w:t>
      </w:r>
    </w:p>
    <w:p w14:paraId="1413626E">
      <w:pPr>
        <w:bidi w:val="0"/>
        <w:rPr>
          <w:rFonts w:hint="eastAsia"/>
          <w:color w:val="auto"/>
          <w:lang w:val="en-US" w:eastAsia="zh-CN"/>
        </w:rPr>
      </w:pPr>
      <w:r>
        <w:rPr>
          <w:rFonts w:hint="eastAsia"/>
          <w:color w:val="auto"/>
          <w:lang w:val="en-US" w:eastAsia="zh-CN"/>
        </w:rPr>
        <w:t>（三）安全生产奖惩制度；</w:t>
      </w:r>
    </w:p>
    <w:p w14:paraId="1E9DFF22">
      <w:pPr>
        <w:bidi w:val="0"/>
        <w:rPr>
          <w:rFonts w:hint="eastAsia"/>
          <w:color w:val="auto"/>
          <w:lang w:val="en-US" w:eastAsia="zh-CN"/>
        </w:rPr>
      </w:pPr>
      <w:r>
        <w:rPr>
          <w:rFonts w:hint="eastAsia"/>
          <w:color w:val="auto"/>
          <w:lang w:val="en-US" w:eastAsia="zh-CN"/>
        </w:rPr>
        <w:t>（四）安全生产教育培训制度；</w:t>
      </w:r>
    </w:p>
    <w:p w14:paraId="069B2857">
      <w:pPr>
        <w:bidi w:val="0"/>
        <w:rPr>
          <w:rFonts w:hint="eastAsia"/>
          <w:color w:val="auto"/>
          <w:lang w:val="en-US" w:eastAsia="zh-CN"/>
        </w:rPr>
      </w:pPr>
      <w:r>
        <w:rPr>
          <w:rFonts w:hint="eastAsia"/>
          <w:color w:val="auto"/>
          <w:lang w:val="en-US" w:eastAsia="zh-CN"/>
        </w:rPr>
        <w:t>（五）安全生产检查制度；</w:t>
      </w:r>
    </w:p>
    <w:p w14:paraId="530CFB72">
      <w:pPr>
        <w:bidi w:val="0"/>
        <w:rPr>
          <w:rFonts w:hint="eastAsia"/>
          <w:color w:val="auto"/>
          <w:lang w:val="en-US" w:eastAsia="zh-CN"/>
        </w:rPr>
      </w:pPr>
      <w:r>
        <w:rPr>
          <w:rFonts w:hint="eastAsia"/>
          <w:color w:val="auto"/>
          <w:lang w:val="en-US" w:eastAsia="zh-CN"/>
        </w:rPr>
        <w:t>（六）生产经营场所、设备、设施安全管理制度；</w:t>
      </w:r>
    </w:p>
    <w:p w14:paraId="204A1468">
      <w:pPr>
        <w:bidi w:val="0"/>
        <w:rPr>
          <w:rFonts w:hint="eastAsia"/>
          <w:color w:val="auto"/>
          <w:lang w:val="en-US" w:eastAsia="zh-CN"/>
        </w:rPr>
      </w:pPr>
      <w:r>
        <w:rPr>
          <w:rFonts w:hint="eastAsia"/>
          <w:color w:val="auto"/>
          <w:lang w:val="en-US" w:eastAsia="zh-CN"/>
        </w:rPr>
        <w:t>（七）安全生产风险分级管理控制制度；</w:t>
      </w:r>
    </w:p>
    <w:p w14:paraId="3C4AAE8A">
      <w:pPr>
        <w:bidi w:val="0"/>
        <w:rPr>
          <w:rFonts w:hint="eastAsia"/>
          <w:color w:val="auto"/>
          <w:lang w:val="en-US" w:eastAsia="zh-CN"/>
        </w:rPr>
      </w:pPr>
      <w:r>
        <w:rPr>
          <w:rFonts w:hint="eastAsia"/>
          <w:color w:val="auto"/>
          <w:lang w:val="en-US" w:eastAsia="zh-CN"/>
        </w:rPr>
        <w:t>（八）危险源管理制度；</w:t>
      </w:r>
    </w:p>
    <w:p w14:paraId="1A336EB9">
      <w:pPr>
        <w:bidi w:val="0"/>
        <w:rPr>
          <w:rFonts w:hint="eastAsia"/>
          <w:color w:val="auto"/>
          <w:lang w:val="en-US" w:eastAsia="zh-CN"/>
        </w:rPr>
      </w:pPr>
      <w:r>
        <w:rPr>
          <w:rFonts w:hint="eastAsia"/>
          <w:color w:val="auto"/>
          <w:lang w:val="en-US" w:eastAsia="zh-CN"/>
        </w:rPr>
        <w:t>（九）安全生产应急管理和事故报告处理制度；</w:t>
      </w:r>
    </w:p>
    <w:p w14:paraId="09A1FA97">
      <w:pPr>
        <w:bidi w:val="0"/>
        <w:rPr>
          <w:rFonts w:hint="eastAsia"/>
          <w:color w:val="auto"/>
          <w:lang w:val="en-US" w:eastAsia="zh-CN"/>
        </w:rPr>
      </w:pPr>
      <w:r>
        <w:rPr>
          <w:rFonts w:hint="eastAsia"/>
          <w:color w:val="auto"/>
          <w:lang w:val="en-US" w:eastAsia="zh-CN"/>
        </w:rPr>
        <w:t>（十）危险作业、特种作业人员、劳动防护用品管理制度；</w:t>
      </w:r>
    </w:p>
    <w:p w14:paraId="7DE1BB27">
      <w:pPr>
        <w:bidi w:val="0"/>
        <w:rPr>
          <w:rFonts w:hint="default"/>
          <w:color w:val="auto"/>
          <w:lang w:val="en-US" w:eastAsia="zh-CN"/>
        </w:rPr>
      </w:pPr>
      <w:r>
        <w:rPr>
          <w:rFonts w:hint="eastAsia"/>
          <w:color w:val="auto"/>
          <w:lang w:val="en-US" w:eastAsia="zh-CN"/>
        </w:rPr>
        <w:t>（十一）法律法规规定的其他安全生产制度。</w:t>
      </w:r>
    </w:p>
    <w:p w14:paraId="768F3DBF">
      <w:pPr>
        <w:bidi w:val="0"/>
        <w:rPr>
          <w:rFonts w:hint="default"/>
          <w:color w:val="auto"/>
          <w:lang w:val="en-US" w:eastAsia="zh-CN"/>
        </w:rPr>
      </w:pPr>
      <w:r>
        <w:rPr>
          <w:rFonts w:hint="eastAsia"/>
          <w:color w:val="auto"/>
          <w:lang w:val="en-US" w:eastAsia="zh-CN"/>
        </w:rPr>
        <w:t>22、根据《云南省安全生产条例》（云南省第十二届人民代表大会常务委员会第63号）</w:t>
      </w:r>
      <w:r>
        <w:rPr>
          <w:rFonts w:hint="default"/>
          <w:color w:val="auto"/>
          <w:lang w:val="en-US" w:eastAsia="zh-CN"/>
        </w:rPr>
        <w:t>第二十一条</w:t>
      </w:r>
      <w:r>
        <w:rPr>
          <w:rFonts w:hint="eastAsia"/>
          <w:color w:val="auto"/>
          <w:lang w:val="en-US" w:eastAsia="zh-CN"/>
        </w:rPr>
        <w:t>规定，</w:t>
      </w:r>
      <w:r>
        <w:rPr>
          <w:rFonts w:hint="default"/>
          <w:color w:val="auto"/>
          <w:lang w:val="en-US" w:eastAsia="zh-CN"/>
        </w:rPr>
        <w:t>生产经营单位进行高处作业、有限空间作业、危险物品充装和接卸作业、危险场所动火作业等危险作业，应当严格执行操作规程，落实安全措施，加强现场安全管理。</w:t>
      </w:r>
    </w:p>
    <w:p w14:paraId="673B3FDF">
      <w:pPr>
        <w:bidi w:val="0"/>
        <w:rPr>
          <w:rFonts w:hint="default"/>
          <w:color w:val="auto"/>
          <w:lang w:val="en-US" w:eastAsia="zh-CN"/>
        </w:rPr>
      </w:pPr>
      <w:r>
        <w:rPr>
          <w:rFonts w:hint="eastAsia"/>
          <w:color w:val="auto"/>
          <w:lang w:val="en-US" w:eastAsia="zh-CN"/>
        </w:rPr>
        <w:t>23、根据《云南省安全生产条例》（云南省第十二届人民代表大会常务委员会第63号）第二十二条规定，生产经营单位应当按照有关规定对从业人员、被派遣劳动者和实习人员，以及离岗后重新上岗、换岗和采用新工艺、新技术、新材料或者使用新设备人员进行安全生产教育和培训。未经安全生产教育和培训合格的，不得安排上岗作业。</w:t>
      </w:r>
    </w:p>
    <w:p w14:paraId="56433364">
      <w:pPr>
        <w:bidi w:val="0"/>
        <w:rPr>
          <w:rFonts w:hint="default"/>
          <w:color w:val="auto"/>
          <w:lang w:val="en-US" w:eastAsia="zh-CN"/>
        </w:rPr>
      </w:pPr>
      <w:r>
        <w:rPr>
          <w:rFonts w:hint="default"/>
          <w:color w:val="auto"/>
          <w:lang w:val="en-US" w:eastAsia="zh-CN"/>
        </w:rPr>
        <w:t>生产经营单位应当建立安全生产教育和培训档案，如实记录安全生产教育和培训的时间、地点、内容、师资、参加人员、考核结果等情况。</w:t>
      </w:r>
    </w:p>
    <w:p w14:paraId="647B7273">
      <w:pPr>
        <w:pStyle w:val="5"/>
        <w:bidi w:val="0"/>
        <w:rPr>
          <w:rFonts w:hint="default"/>
          <w:color w:val="auto"/>
          <w:lang w:val="en-US" w:eastAsia="zh-CN"/>
        </w:rPr>
      </w:pPr>
      <w:bookmarkStart w:id="42" w:name="_Toc17936"/>
      <w:r>
        <w:rPr>
          <w:rFonts w:hint="default"/>
          <w:color w:val="auto"/>
          <w:lang w:val="en-US" w:eastAsia="zh-CN"/>
        </w:rPr>
        <w:t>6.6 其他安全对策措施与建议</w:t>
      </w:r>
      <w:bookmarkEnd w:id="42"/>
    </w:p>
    <w:p w14:paraId="689DEE98">
      <w:pPr>
        <w:bidi w:val="0"/>
        <w:rPr>
          <w:rFonts w:hint="default"/>
          <w:color w:val="auto"/>
          <w:lang w:val="en-US" w:eastAsia="zh-CN"/>
        </w:rPr>
      </w:pPr>
      <w:r>
        <w:rPr>
          <w:rFonts w:hint="eastAsia"/>
          <w:color w:val="auto"/>
          <w:lang w:val="en-US" w:eastAsia="zh-CN"/>
        </w:rPr>
        <w:t>1、</w:t>
      </w:r>
      <w:r>
        <w:rPr>
          <w:rFonts w:hint="default"/>
          <w:color w:val="auto"/>
          <w:lang w:val="en-US" w:eastAsia="zh-CN"/>
        </w:rPr>
        <w:t>根据《选矿安全规程》（GB</w:t>
      </w:r>
      <w:r>
        <w:rPr>
          <w:rFonts w:hint="eastAsia"/>
          <w:color w:val="auto"/>
          <w:lang w:val="en-US" w:eastAsia="zh-CN"/>
        </w:rPr>
        <w:t xml:space="preserve"> </w:t>
      </w:r>
      <w:r>
        <w:rPr>
          <w:rFonts w:hint="default"/>
          <w:color w:val="auto"/>
          <w:lang w:val="en-US" w:eastAsia="zh-CN"/>
        </w:rPr>
        <w:t>18152-2000）第6</w:t>
      </w:r>
      <w:r>
        <w:rPr>
          <w:rFonts w:hint="eastAsia"/>
          <w:color w:val="auto"/>
          <w:lang w:val="en-US" w:eastAsia="zh-CN"/>
        </w:rPr>
        <w:t>.</w:t>
      </w:r>
      <w:r>
        <w:rPr>
          <w:rFonts w:hint="default"/>
          <w:color w:val="auto"/>
          <w:lang w:val="en-US" w:eastAsia="zh-CN"/>
        </w:rPr>
        <w:t>30条规定，进行高处作业</w:t>
      </w:r>
      <w:r>
        <w:rPr>
          <w:rFonts w:hint="eastAsia"/>
          <w:color w:val="auto"/>
          <w:lang w:val="en-US" w:eastAsia="zh-CN"/>
        </w:rPr>
        <w:t>（</w:t>
      </w:r>
      <w:r>
        <w:rPr>
          <w:rFonts w:hint="default"/>
          <w:color w:val="auto"/>
          <w:lang w:val="en-US" w:eastAsia="zh-CN"/>
        </w:rPr>
        <w:t>包括45°以上的斜坡</w:t>
      </w:r>
      <w:r>
        <w:rPr>
          <w:rFonts w:hint="eastAsia"/>
          <w:color w:val="auto"/>
          <w:lang w:val="en-US" w:eastAsia="zh-CN"/>
        </w:rPr>
        <w:t>），</w:t>
      </w:r>
      <w:r>
        <w:rPr>
          <w:rFonts w:hint="default"/>
          <w:color w:val="auto"/>
          <w:lang w:val="en-US" w:eastAsia="zh-CN"/>
        </w:rPr>
        <w:t>应系安全带。</w:t>
      </w:r>
    </w:p>
    <w:p w14:paraId="52441BAE">
      <w:pPr>
        <w:bidi w:val="0"/>
        <w:rPr>
          <w:rFonts w:hint="default"/>
          <w:color w:val="auto"/>
          <w:lang w:val="en-US" w:eastAsia="zh-CN"/>
        </w:rPr>
      </w:pPr>
      <w:r>
        <w:rPr>
          <w:rFonts w:hint="eastAsia"/>
          <w:color w:val="auto"/>
          <w:lang w:val="en-US" w:eastAsia="zh-CN"/>
        </w:rPr>
        <w:t>2、</w:t>
      </w:r>
      <w:r>
        <w:rPr>
          <w:rFonts w:hint="default"/>
          <w:color w:val="auto"/>
          <w:lang w:val="en-US" w:eastAsia="zh-CN"/>
        </w:rPr>
        <w:t>根据《选矿安全规程》（GB</w:t>
      </w:r>
      <w:r>
        <w:rPr>
          <w:rFonts w:hint="eastAsia"/>
          <w:color w:val="auto"/>
          <w:lang w:val="en-US" w:eastAsia="zh-CN"/>
        </w:rPr>
        <w:t xml:space="preserve"> </w:t>
      </w:r>
      <w:r>
        <w:rPr>
          <w:rFonts w:hint="default"/>
          <w:color w:val="auto"/>
          <w:lang w:val="en-US" w:eastAsia="zh-CN"/>
        </w:rPr>
        <w:t>18152-2000）第12</w:t>
      </w:r>
      <w:r>
        <w:rPr>
          <w:rFonts w:hint="eastAsia"/>
          <w:color w:val="auto"/>
          <w:lang w:val="en-US" w:eastAsia="zh-CN"/>
        </w:rPr>
        <w:t>.</w:t>
      </w:r>
      <w:r>
        <w:rPr>
          <w:rFonts w:hint="default"/>
          <w:color w:val="auto"/>
          <w:lang w:val="en-US" w:eastAsia="zh-CN"/>
        </w:rPr>
        <w:t>1条规定，招收新职工应经过健康检查</w:t>
      </w:r>
      <w:r>
        <w:rPr>
          <w:rFonts w:hint="eastAsia"/>
          <w:color w:val="auto"/>
          <w:lang w:val="en-US" w:eastAsia="zh-CN"/>
        </w:rPr>
        <w:t>，</w:t>
      </w:r>
      <w:r>
        <w:rPr>
          <w:rFonts w:hint="default"/>
          <w:color w:val="auto"/>
          <w:lang w:val="en-US" w:eastAsia="zh-CN"/>
        </w:rPr>
        <w:t>按国家有关规定不适合从事选矿生产的人员不应录用。</w:t>
      </w:r>
    </w:p>
    <w:p w14:paraId="42B23091">
      <w:pPr>
        <w:bidi w:val="0"/>
        <w:rPr>
          <w:rFonts w:hint="default"/>
          <w:color w:val="auto"/>
          <w:lang w:val="en-US" w:eastAsia="zh-CN"/>
        </w:rPr>
      </w:pPr>
      <w:r>
        <w:rPr>
          <w:rFonts w:hint="eastAsia"/>
          <w:color w:val="auto"/>
          <w:lang w:val="en-US" w:eastAsia="zh-CN"/>
        </w:rPr>
        <w:t>3、</w:t>
      </w:r>
      <w:r>
        <w:rPr>
          <w:rFonts w:hint="default"/>
          <w:color w:val="auto"/>
          <w:lang w:val="en-US" w:eastAsia="zh-CN"/>
        </w:rPr>
        <w:t>根据《选矿安全规程》（GB</w:t>
      </w:r>
      <w:r>
        <w:rPr>
          <w:rFonts w:hint="eastAsia"/>
          <w:color w:val="auto"/>
          <w:lang w:val="en-US" w:eastAsia="zh-CN"/>
        </w:rPr>
        <w:t xml:space="preserve"> </w:t>
      </w:r>
      <w:r>
        <w:rPr>
          <w:rFonts w:hint="default"/>
          <w:color w:val="auto"/>
          <w:lang w:val="en-US" w:eastAsia="zh-CN"/>
        </w:rPr>
        <w:t>18152-2000）第12</w:t>
      </w:r>
      <w:r>
        <w:rPr>
          <w:rFonts w:hint="eastAsia"/>
          <w:color w:val="auto"/>
          <w:lang w:val="en-US" w:eastAsia="zh-CN"/>
        </w:rPr>
        <w:t>.</w:t>
      </w:r>
      <w:r>
        <w:rPr>
          <w:rFonts w:hint="default"/>
          <w:color w:val="auto"/>
          <w:lang w:val="en-US" w:eastAsia="zh-CN"/>
        </w:rPr>
        <w:t>7条规定，作业场所的噪声不应超过85dB</w:t>
      </w:r>
      <w:r>
        <w:rPr>
          <w:rFonts w:hint="eastAsia"/>
          <w:color w:val="auto"/>
          <w:lang w:val="en-US" w:eastAsia="zh-CN"/>
        </w:rPr>
        <w:t>（</w:t>
      </w:r>
      <w:r>
        <w:rPr>
          <w:rFonts w:hint="default"/>
          <w:color w:val="auto"/>
          <w:lang w:val="en-US" w:eastAsia="zh-CN"/>
        </w:rPr>
        <w:t>A</w:t>
      </w:r>
      <w:r>
        <w:rPr>
          <w:rFonts w:hint="eastAsia"/>
          <w:color w:val="auto"/>
          <w:lang w:val="en-US" w:eastAsia="zh-CN"/>
        </w:rPr>
        <w:t>），</w:t>
      </w:r>
      <w:r>
        <w:rPr>
          <w:rFonts w:hint="default"/>
          <w:color w:val="auto"/>
          <w:lang w:val="en-US" w:eastAsia="zh-CN"/>
        </w:rPr>
        <w:t>否则应采取综合防噪措施。</w:t>
      </w:r>
    </w:p>
    <w:p w14:paraId="25E7F291">
      <w:pPr>
        <w:bidi w:val="0"/>
        <w:rPr>
          <w:rFonts w:hint="default"/>
          <w:color w:val="auto"/>
          <w:lang w:val="en-US" w:eastAsia="zh-CN"/>
        </w:rPr>
      </w:pPr>
      <w:r>
        <w:rPr>
          <w:rFonts w:hint="eastAsia"/>
          <w:color w:val="auto"/>
          <w:lang w:val="en-US" w:eastAsia="zh-CN"/>
        </w:rPr>
        <w:t>4、</w:t>
      </w:r>
      <w:r>
        <w:rPr>
          <w:rFonts w:hint="default"/>
          <w:color w:val="auto"/>
          <w:lang w:val="en-US" w:eastAsia="zh-CN"/>
        </w:rPr>
        <w:t>根据《选矿安全规程》（GB</w:t>
      </w:r>
      <w:r>
        <w:rPr>
          <w:rFonts w:hint="eastAsia"/>
          <w:color w:val="auto"/>
          <w:lang w:val="en-US" w:eastAsia="zh-CN"/>
        </w:rPr>
        <w:t xml:space="preserve"> </w:t>
      </w:r>
      <w:r>
        <w:rPr>
          <w:rFonts w:hint="default"/>
          <w:color w:val="auto"/>
          <w:lang w:val="en-US" w:eastAsia="zh-CN"/>
        </w:rPr>
        <w:t>18152-2000）第12</w:t>
      </w:r>
      <w:r>
        <w:rPr>
          <w:rFonts w:hint="eastAsia"/>
          <w:color w:val="auto"/>
          <w:lang w:val="en-US" w:eastAsia="zh-CN"/>
        </w:rPr>
        <w:t>.</w:t>
      </w:r>
      <w:r>
        <w:rPr>
          <w:rFonts w:hint="default"/>
          <w:color w:val="auto"/>
          <w:lang w:val="en-US" w:eastAsia="zh-CN"/>
        </w:rPr>
        <w:t>11条规定，应根据气候特点采取防暑降温或防冻避寒措施。</w:t>
      </w:r>
    </w:p>
    <w:p w14:paraId="2269F075">
      <w:pPr>
        <w:bidi w:val="0"/>
        <w:rPr>
          <w:rFonts w:hint="eastAsia"/>
          <w:color w:val="auto"/>
          <w:lang w:val="en-US" w:eastAsia="zh-CN"/>
        </w:rPr>
      </w:pPr>
      <w:r>
        <w:rPr>
          <w:rFonts w:hint="eastAsia"/>
          <w:color w:val="auto"/>
          <w:lang w:val="en-US" w:eastAsia="zh-CN"/>
        </w:rPr>
        <w:t>5、根据《安全标志及其使用导则》（GB 2894-2008）第9.1条规定，标志牌应设在与安全有关的醒目地方，并使大家看见后，有足够的时间来注意它所表示的内容。环境信息标志宜设在有关场所的入口处和醒目处；局部信息标志应设在所涉及的相应危险地点或设备（部件）附近的醒目处。</w:t>
      </w:r>
    </w:p>
    <w:p w14:paraId="1EED98FE">
      <w:pPr>
        <w:bidi w:val="0"/>
        <w:rPr>
          <w:rFonts w:hint="default"/>
          <w:color w:val="auto"/>
          <w:lang w:val="en-US" w:eastAsia="zh-CN"/>
        </w:rPr>
      </w:pPr>
      <w:r>
        <w:rPr>
          <w:rFonts w:hint="eastAsia"/>
          <w:color w:val="auto"/>
          <w:lang w:val="en-US" w:eastAsia="zh-CN"/>
        </w:rPr>
        <w:t>6、根据《安全标志及其使用导则》（GB 2894-2008）第9.2条规定，标志牌不应设在门、窗、架等可移动的物体上，以免标志牌随母体物体相应移动，影响认读。标志牌前不得放置妨碍认读的障碍物。</w:t>
      </w:r>
    </w:p>
    <w:p w14:paraId="772CBCC7">
      <w:pPr>
        <w:bidi w:val="0"/>
        <w:rPr>
          <w:rFonts w:hint="default"/>
          <w:color w:val="auto"/>
          <w:lang w:val="en-US" w:eastAsia="zh-CN"/>
        </w:rPr>
      </w:pPr>
      <w:r>
        <w:rPr>
          <w:rFonts w:hint="eastAsia"/>
          <w:color w:val="auto"/>
          <w:lang w:val="en-US" w:eastAsia="zh-CN"/>
        </w:rPr>
        <w:t>7、根据《安全标志及其使用导则》（GB 2894-2008）第</w:t>
      </w:r>
      <w:r>
        <w:rPr>
          <w:rFonts w:hint="default"/>
          <w:color w:val="auto"/>
          <w:lang w:val="en-US" w:eastAsia="zh-CN"/>
        </w:rPr>
        <w:t>9.3</w:t>
      </w:r>
      <w:r>
        <w:rPr>
          <w:rFonts w:hint="eastAsia"/>
          <w:color w:val="auto"/>
          <w:lang w:val="en-US" w:eastAsia="zh-CN"/>
        </w:rPr>
        <w:t>条规定，</w:t>
      </w:r>
      <w:r>
        <w:rPr>
          <w:rFonts w:hint="default"/>
          <w:color w:val="auto"/>
          <w:lang w:val="en-US" w:eastAsia="zh-CN"/>
        </w:rPr>
        <w:t>标志牌的平面与视线夹角应接近90°，观察者位于最大观察距离时，最小夹角不低于75°。</w:t>
      </w:r>
    </w:p>
    <w:p w14:paraId="3E752BC0">
      <w:pPr>
        <w:bidi w:val="0"/>
        <w:rPr>
          <w:rFonts w:hint="default"/>
          <w:color w:val="auto"/>
          <w:lang w:val="en-US" w:eastAsia="zh-CN"/>
        </w:rPr>
      </w:pPr>
      <w:r>
        <w:rPr>
          <w:rFonts w:hint="eastAsia"/>
          <w:color w:val="auto"/>
          <w:lang w:val="en-US" w:eastAsia="zh-CN"/>
        </w:rPr>
        <w:t>8、根据《安全标志及其使用导则》（GB 2894-2008）第</w:t>
      </w:r>
      <w:r>
        <w:rPr>
          <w:rFonts w:hint="default"/>
          <w:color w:val="auto"/>
          <w:lang w:val="en-US" w:eastAsia="zh-CN"/>
        </w:rPr>
        <w:t>9.4</w:t>
      </w:r>
      <w:r>
        <w:rPr>
          <w:rFonts w:hint="eastAsia"/>
          <w:color w:val="auto"/>
          <w:lang w:val="en-US" w:eastAsia="zh-CN"/>
        </w:rPr>
        <w:t>条规定，</w:t>
      </w:r>
      <w:r>
        <w:rPr>
          <w:rFonts w:hint="default"/>
          <w:color w:val="auto"/>
          <w:lang w:val="en-US" w:eastAsia="zh-CN"/>
        </w:rPr>
        <w:t>标志牌应设置在明亮的环境中，</w:t>
      </w:r>
    </w:p>
    <w:p w14:paraId="4E19B6B0">
      <w:pPr>
        <w:bidi w:val="0"/>
        <w:rPr>
          <w:rFonts w:hint="default"/>
          <w:color w:val="auto"/>
          <w:lang w:val="en-US" w:eastAsia="zh-CN"/>
        </w:rPr>
      </w:pPr>
      <w:r>
        <w:rPr>
          <w:rFonts w:hint="eastAsia"/>
          <w:color w:val="auto"/>
          <w:lang w:val="en-US" w:eastAsia="zh-CN"/>
        </w:rPr>
        <w:t>9、根据《安全标志及其使用导则》（GB 2894-2008）第</w:t>
      </w:r>
      <w:r>
        <w:rPr>
          <w:rFonts w:hint="default"/>
          <w:color w:val="auto"/>
          <w:lang w:val="en-US" w:eastAsia="zh-CN"/>
        </w:rPr>
        <w:t>9.5</w:t>
      </w:r>
      <w:r>
        <w:rPr>
          <w:rFonts w:hint="eastAsia"/>
          <w:color w:val="auto"/>
          <w:lang w:val="en-US" w:eastAsia="zh-CN"/>
        </w:rPr>
        <w:t>条规定，</w:t>
      </w:r>
      <w:r>
        <w:rPr>
          <w:rFonts w:hint="default"/>
          <w:color w:val="auto"/>
          <w:lang w:val="en-US" w:eastAsia="zh-CN"/>
        </w:rPr>
        <w:t>多个标志牌在一起设置时，应按警告、禁止、指令、提示类型的顺序，先左后右、先上后下地排列。</w:t>
      </w:r>
    </w:p>
    <w:p w14:paraId="06DB8ABC">
      <w:pPr>
        <w:bidi w:val="0"/>
        <w:rPr>
          <w:rFonts w:hint="default"/>
          <w:color w:val="auto"/>
          <w:lang w:val="en-US" w:eastAsia="zh-CN"/>
        </w:rPr>
      </w:pPr>
      <w:r>
        <w:rPr>
          <w:rFonts w:hint="eastAsia"/>
          <w:color w:val="auto"/>
          <w:lang w:val="en-US" w:eastAsia="zh-CN"/>
        </w:rPr>
        <w:t>10、根据《安全标志及其使用导则》（GB 2894-2008）第</w:t>
      </w:r>
      <w:r>
        <w:rPr>
          <w:rFonts w:hint="default"/>
          <w:color w:val="auto"/>
          <w:lang w:val="en-US" w:eastAsia="zh-CN"/>
        </w:rPr>
        <w:t>9.6</w:t>
      </w:r>
      <w:r>
        <w:rPr>
          <w:rFonts w:hint="eastAsia"/>
          <w:color w:val="auto"/>
          <w:lang w:val="en-US" w:eastAsia="zh-CN"/>
        </w:rPr>
        <w:t>条规定，</w:t>
      </w:r>
      <w:r>
        <w:rPr>
          <w:rFonts w:hint="default"/>
          <w:color w:val="auto"/>
          <w:lang w:val="en-US" w:eastAsia="zh-CN"/>
        </w:rPr>
        <w:t>标志牌的固定方式分附着式、悬挂式和柱式三种。悬挂式和附着式的固定应稳固不倾斜，柱式的标志牌和支架应牢固地联接在一起。</w:t>
      </w:r>
    </w:p>
    <w:p w14:paraId="74FAAC26">
      <w:pPr>
        <w:bidi w:val="0"/>
        <w:rPr>
          <w:rFonts w:hint="default"/>
          <w:color w:val="auto"/>
          <w:lang w:val="en-US" w:eastAsia="zh-CN"/>
        </w:rPr>
      </w:pPr>
      <w:r>
        <w:rPr>
          <w:rFonts w:hint="eastAsia"/>
          <w:color w:val="auto"/>
          <w:lang w:val="en-US" w:eastAsia="zh-CN"/>
        </w:rPr>
        <w:t>11、根据《安全标志及其使用导则》（GB 2894-2008）第</w:t>
      </w:r>
      <w:r>
        <w:rPr>
          <w:rFonts w:hint="default"/>
          <w:color w:val="auto"/>
          <w:lang w:val="en-US" w:eastAsia="zh-CN"/>
        </w:rPr>
        <w:t>10.1</w:t>
      </w:r>
      <w:r>
        <w:rPr>
          <w:rFonts w:hint="eastAsia"/>
          <w:color w:val="auto"/>
          <w:lang w:val="en-US" w:eastAsia="zh-CN"/>
        </w:rPr>
        <w:t>条规定，</w:t>
      </w:r>
      <w:r>
        <w:rPr>
          <w:rFonts w:hint="default"/>
          <w:color w:val="auto"/>
          <w:lang w:val="en-US" w:eastAsia="zh-CN"/>
        </w:rPr>
        <w:t>安全标志牌至少每半年检查一次，如发现有破损、变形、褪色等不符合要求时应及时修整或更换。</w:t>
      </w:r>
    </w:p>
    <w:p w14:paraId="7AD06688">
      <w:pPr>
        <w:bidi w:val="0"/>
        <w:rPr>
          <w:rFonts w:hint="default"/>
          <w:color w:val="auto"/>
          <w:lang w:val="en-US" w:eastAsia="zh-CN"/>
        </w:rPr>
      </w:pPr>
      <w:r>
        <w:rPr>
          <w:rFonts w:hint="eastAsia"/>
          <w:color w:val="auto"/>
          <w:lang w:val="en-US" w:eastAsia="zh-CN"/>
        </w:rPr>
        <w:t>12、根据《安全标志及其使用导则》（GB 2894-2008）第</w:t>
      </w:r>
      <w:r>
        <w:rPr>
          <w:rFonts w:hint="default"/>
          <w:color w:val="auto"/>
          <w:lang w:val="en-US" w:eastAsia="zh-CN"/>
        </w:rPr>
        <w:t>10.2</w:t>
      </w:r>
      <w:r>
        <w:rPr>
          <w:rFonts w:hint="eastAsia"/>
          <w:color w:val="auto"/>
          <w:lang w:val="en-US" w:eastAsia="zh-CN"/>
        </w:rPr>
        <w:t>条规定，</w:t>
      </w:r>
      <w:r>
        <w:rPr>
          <w:rFonts w:hint="default"/>
          <w:color w:val="auto"/>
          <w:lang w:val="en-US" w:eastAsia="zh-CN"/>
        </w:rPr>
        <w:t>在修整或更换激光安全标志时应有临时的标志替换，以避免发生意外的伤害。</w:t>
      </w:r>
    </w:p>
    <w:p w14:paraId="0F0CB5D7">
      <w:pPr>
        <w:bidi w:val="0"/>
        <w:rPr>
          <w:rFonts w:hint="default"/>
          <w:color w:val="auto"/>
          <w:lang w:val="en-US" w:eastAsia="zh-CN"/>
        </w:rPr>
      </w:pPr>
      <w:r>
        <w:rPr>
          <w:rFonts w:hint="eastAsia"/>
          <w:color w:val="auto"/>
          <w:lang w:val="en-US" w:eastAsia="zh-CN"/>
        </w:rPr>
        <w:t>13、根据《安全标志及其使用导则》（GB 2894-2008）第A.4条规定，检查与维修：凡涂有安全色的部位，每半年应检查一次，应保持整洁、明亮，如有变色、褪色等不符合安全色范围，逆反射系数低于70%或安全色的使用环境改变时，应及时重涂或更换，以保证安全色正确、醒目，达到安全警示的目的。</w:t>
      </w:r>
    </w:p>
    <w:p w14:paraId="22C9460E">
      <w:pPr>
        <w:bidi w:val="0"/>
        <w:rPr>
          <w:rFonts w:hint="default"/>
          <w:color w:val="auto"/>
          <w:lang w:val="en-US" w:eastAsia="zh-CN"/>
        </w:rPr>
      </w:pPr>
      <w:r>
        <w:rPr>
          <w:rFonts w:hint="eastAsia"/>
          <w:color w:val="auto"/>
          <w:lang w:val="en-US" w:eastAsia="zh-CN"/>
        </w:rPr>
        <w:t>14、根据《个体防护装备配备规范第1部分：总则》（GB39800.1-2020）第</w:t>
      </w:r>
      <w:r>
        <w:rPr>
          <w:rFonts w:hint="default"/>
          <w:color w:val="auto"/>
          <w:lang w:val="en-US" w:eastAsia="zh-CN"/>
        </w:rPr>
        <w:t>5.1.1</w:t>
      </w:r>
      <w:r>
        <w:rPr>
          <w:rFonts w:hint="eastAsia"/>
          <w:color w:val="auto"/>
          <w:lang w:val="en-US" w:eastAsia="zh-CN"/>
        </w:rPr>
        <w:t>条规定，</w:t>
      </w:r>
      <w:r>
        <w:rPr>
          <w:rFonts w:hint="default"/>
          <w:color w:val="auto"/>
          <w:lang w:val="en-US" w:eastAsia="zh-CN"/>
        </w:rPr>
        <w:t>用人单位应建立健全个体防护装备管理制度</w:t>
      </w:r>
      <w:r>
        <w:rPr>
          <w:rFonts w:hint="eastAsia"/>
          <w:color w:val="auto"/>
          <w:lang w:val="en-US" w:eastAsia="zh-CN"/>
        </w:rPr>
        <w:t>，</w:t>
      </w:r>
      <w:r>
        <w:rPr>
          <w:rFonts w:hint="default"/>
          <w:color w:val="auto"/>
          <w:lang w:val="en-US" w:eastAsia="zh-CN"/>
        </w:rPr>
        <w:t>至少应包括采购,验收、保管、选择、发放、使用、报废、培训等内容</w:t>
      </w:r>
      <w:r>
        <w:rPr>
          <w:rFonts w:hint="eastAsia"/>
          <w:color w:val="auto"/>
          <w:lang w:val="en-US" w:eastAsia="zh-CN"/>
        </w:rPr>
        <w:t>，</w:t>
      </w:r>
      <w:r>
        <w:rPr>
          <w:rFonts w:hint="default"/>
          <w:color w:val="auto"/>
          <w:lang w:val="en-US" w:eastAsia="zh-CN"/>
        </w:rPr>
        <w:t>并应建立健全个体防护装备管理档案。</w:t>
      </w:r>
    </w:p>
    <w:p w14:paraId="3A7AEBC1">
      <w:pPr>
        <w:bidi w:val="0"/>
        <w:rPr>
          <w:rFonts w:hint="default"/>
          <w:color w:val="auto"/>
          <w:lang w:val="en-US" w:eastAsia="zh-CN"/>
        </w:rPr>
      </w:pPr>
      <w:r>
        <w:rPr>
          <w:rFonts w:hint="eastAsia"/>
          <w:color w:val="auto"/>
          <w:lang w:val="en-US" w:eastAsia="zh-CN"/>
        </w:rPr>
        <w:t>15、根据《个体防护装备配备规范第1部分：总则》（GB39800.1-2020）第</w:t>
      </w:r>
      <w:r>
        <w:rPr>
          <w:rFonts w:hint="default"/>
          <w:color w:val="auto"/>
          <w:lang w:val="en-US" w:eastAsia="zh-CN"/>
        </w:rPr>
        <w:t>5.1.2</w:t>
      </w:r>
      <w:r>
        <w:rPr>
          <w:rFonts w:hint="eastAsia"/>
          <w:color w:val="auto"/>
          <w:lang w:val="en-US" w:eastAsia="zh-CN"/>
        </w:rPr>
        <w:t>条规定，</w:t>
      </w:r>
      <w:r>
        <w:rPr>
          <w:rFonts w:hint="default"/>
          <w:color w:val="auto"/>
          <w:lang w:val="en-US" w:eastAsia="zh-CN"/>
        </w:rPr>
        <w:t>用人单位应在入库前对个体防护装备进行进货验收</w:t>
      </w:r>
      <w:r>
        <w:rPr>
          <w:rFonts w:hint="eastAsia"/>
          <w:color w:val="auto"/>
          <w:lang w:val="en-US" w:eastAsia="zh-CN"/>
        </w:rPr>
        <w:t>，</w:t>
      </w:r>
      <w:r>
        <w:rPr>
          <w:rFonts w:hint="default"/>
          <w:color w:val="auto"/>
          <w:lang w:val="en-US" w:eastAsia="zh-CN"/>
        </w:rPr>
        <w:t>确定产品是否符合国家或行业标准</w:t>
      </w:r>
      <w:r>
        <w:rPr>
          <w:rFonts w:hint="eastAsia"/>
          <w:color w:val="auto"/>
          <w:lang w:val="en-US" w:eastAsia="zh-CN"/>
        </w:rPr>
        <w:t>；</w:t>
      </w:r>
      <w:r>
        <w:rPr>
          <w:rFonts w:hint="default"/>
          <w:color w:val="auto"/>
          <w:lang w:val="en-US" w:eastAsia="zh-CN"/>
        </w:rPr>
        <w:t>对国家规定应进行定期强检的个体防护装备</w:t>
      </w:r>
      <w:r>
        <w:rPr>
          <w:rFonts w:hint="eastAsia"/>
          <w:color w:val="auto"/>
          <w:lang w:val="en-US" w:eastAsia="zh-CN"/>
        </w:rPr>
        <w:t>，</w:t>
      </w:r>
      <w:r>
        <w:rPr>
          <w:rFonts w:hint="default"/>
          <w:color w:val="auto"/>
          <w:lang w:val="en-US" w:eastAsia="zh-CN"/>
        </w:rPr>
        <w:t>用人单位应按相关规定,委托具有检测资质的检验检测机构进行定期检验。</w:t>
      </w:r>
    </w:p>
    <w:p w14:paraId="5EC11AAD">
      <w:pPr>
        <w:bidi w:val="0"/>
        <w:rPr>
          <w:rFonts w:hint="default"/>
          <w:color w:val="auto"/>
          <w:lang w:val="en-US" w:eastAsia="zh-CN"/>
        </w:rPr>
      </w:pPr>
      <w:r>
        <w:rPr>
          <w:rFonts w:hint="eastAsia"/>
          <w:color w:val="auto"/>
          <w:lang w:val="en-US" w:eastAsia="zh-CN"/>
        </w:rPr>
        <w:t>16、根据《个体防护装备配备规范第1部分：总则》（GB39800.1-2020）第</w:t>
      </w:r>
      <w:r>
        <w:rPr>
          <w:rFonts w:hint="default"/>
          <w:color w:val="auto"/>
          <w:lang w:val="en-US" w:eastAsia="zh-CN"/>
        </w:rPr>
        <w:t>5.1.3</w:t>
      </w:r>
      <w:r>
        <w:rPr>
          <w:rFonts w:hint="eastAsia"/>
          <w:color w:val="auto"/>
          <w:lang w:val="en-US" w:eastAsia="zh-CN"/>
        </w:rPr>
        <w:t>条规定，</w:t>
      </w:r>
      <w:r>
        <w:rPr>
          <w:rFonts w:hint="default"/>
          <w:color w:val="auto"/>
          <w:lang w:val="en-US" w:eastAsia="zh-CN"/>
        </w:rPr>
        <w:t>在作业过程中发现存在其他危害因素</w:t>
      </w:r>
      <w:r>
        <w:rPr>
          <w:rFonts w:hint="eastAsia"/>
          <w:color w:val="auto"/>
          <w:lang w:val="en-US" w:eastAsia="zh-CN"/>
        </w:rPr>
        <w:t>，</w:t>
      </w:r>
      <w:r>
        <w:rPr>
          <w:rFonts w:hint="default"/>
          <w:color w:val="auto"/>
          <w:lang w:val="en-US" w:eastAsia="zh-CN"/>
        </w:rPr>
        <w:t>现有个体防护装备不能满足作业安全要求</w:t>
      </w:r>
      <w:r>
        <w:rPr>
          <w:rFonts w:hint="eastAsia"/>
          <w:color w:val="auto"/>
          <w:lang w:val="en-US" w:eastAsia="zh-CN"/>
        </w:rPr>
        <w:t>，</w:t>
      </w:r>
      <w:r>
        <w:rPr>
          <w:rFonts w:hint="default"/>
          <w:color w:val="auto"/>
          <w:lang w:val="en-US" w:eastAsia="zh-CN"/>
        </w:rPr>
        <w:t>需要另外配备时</w:t>
      </w:r>
      <w:r>
        <w:rPr>
          <w:rFonts w:hint="eastAsia"/>
          <w:color w:val="auto"/>
          <w:lang w:val="en-US" w:eastAsia="zh-CN"/>
        </w:rPr>
        <w:t>，</w:t>
      </w:r>
      <w:r>
        <w:rPr>
          <w:rFonts w:hint="default"/>
          <w:color w:val="auto"/>
          <w:lang w:val="en-US" w:eastAsia="zh-CN"/>
        </w:rPr>
        <w:t>应立即停止相关作业</w:t>
      </w:r>
      <w:r>
        <w:rPr>
          <w:rFonts w:hint="eastAsia"/>
          <w:color w:val="auto"/>
          <w:lang w:val="en-US" w:eastAsia="zh-CN"/>
        </w:rPr>
        <w:t>，</w:t>
      </w:r>
      <w:r>
        <w:rPr>
          <w:rFonts w:hint="default"/>
          <w:color w:val="auto"/>
          <w:lang w:val="en-US" w:eastAsia="zh-CN"/>
        </w:rPr>
        <w:t>按照本部分的要求配备相应的个体防护装备后</w:t>
      </w:r>
      <w:r>
        <w:rPr>
          <w:rFonts w:hint="eastAsia"/>
          <w:color w:val="auto"/>
          <w:lang w:val="en-US" w:eastAsia="zh-CN"/>
        </w:rPr>
        <w:t>，</w:t>
      </w:r>
      <w:r>
        <w:rPr>
          <w:rFonts w:hint="default"/>
          <w:color w:val="auto"/>
          <w:lang w:val="en-US" w:eastAsia="zh-CN"/>
        </w:rPr>
        <w:t>方可继续作业</w:t>
      </w:r>
      <w:r>
        <w:rPr>
          <w:rFonts w:hint="eastAsia"/>
          <w:color w:val="auto"/>
          <w:lang w:val="en-US" w:eastAsia="zh-CN"/>
        </w:rPr>
        <w:t>。</w:t>
      </w:r>
    </w:p>
    <w:p w14:paraId="4B7E13EB">
      <w:pPr>
        <w:bidi w:val="0"/>
        <w:rPr>
          <w:rFonts w:hint="default"/>
          <w:color w:val="auto"/>
          <w:lang w:val="en-US" w:eastAsia="zh-CN"/>
        </w:rPr>
      </w:pPr>
      <w:r>
        <w:rPr>
          <w:rFonts w:hint="eastAsia"/>
          <w:color w:val="auto"/>
          <w:lang w:val="en-US" w:eastAsia="zh-CN"/>
        </w:rPr>
        <w:t>17、根据《个体防护装备配备规范第1部分：总则》（GB39800.1-2020）第</w:t>
      </w:r>
      <w:r>
        <w:rPr>
          <w:rFonts w:hint="default"/>
          <w:color w:val="auto"/>
          <w:lang w:val="en-US" w:eastAsia="zh-CN"/>
        </w:rPr>
        <w:t>5.3.1</w:t>
      </w:r>
      <w:r>
        <w:rPr>
          <w:rFonts w:hint="eastAsia"/>
          <w:color w:val="auto"/>
          <w:lang w:val="en-US" w:eastAsia="zh-CN"/>
        </w:rPr>
        <w:t>条规定，</w:t>
      </w:r>
      <w:r>
        <w:rPr>
          <w:rFonts w:hint="default"/>
          <w:color w:val="auto"/>
          <w:lang w:val="en-US" w:eastAsia="zh-CN"/>
        </w:rPr>
        <w:t>出现以下情况之一</w:t>
      </w:r>
      <w:r>
        <w:rPr>
          <w:rFonts w:hint="eastAsia"/>
          <w:color w:val="auto"/>
          <w:lang w:val="en-US" w:eastAsia="zh-CN"/>
        </w:rPr>
        <w:t>，</w:t>
      </w:r>
      <w:r>
        <w:rPr>
          <w:rFonts w:hint="default"/>
          <w:color w:val="auto"/>
          <w:lang w:val="en-US" w:eastAsia="zh-CN"/>
        </w:rPr>
        <w:t>用人单位应给子判废和更换新品</w:t>
      </w:r>
      <w:r>
        <w:rPr>
          <w:rFonts w:hint="eastAsia"/>
          <w:color w:val="auto"/>
          <w:lang w:val="en-US" w:eastAsia="zh-CN"/>
        </w:rPr>
        <w:t>：</w:t>
      </w:r>
    </w:p>
    <w:p w14:paraId="77A046A2">
      <w:pPr>
        <w:bidi w:val="0"/>
        <w:rPr>
          <w:rFonts w:hint="default"/>
          <w:color w:val="auto"/>
          <w:lang w:val="en-US" w:eastAsia="zh-CN"/>
        </w:rPr>
      </w:pPr>
      <w:r>
        <w:rPr>
          <w:rFonts w:hint="eastAsia"/>
          <w:color w:val="auto"/>
          <w:lang w:val="en-US" w:eastAsia="zh-CN"/>
        </w:rPr>
        <w:t>（1）</w:t>
      </w:r>
      <w:r>
        <w:rPr>
          <w:rFonts w:hint="default"/>
          <w:color w:val="auto"/>
          <w:lang w:val="en-US" w:eastAsia="zh-CN"/>
        </w:rPr>
        <w:t>个体防护装备经检验或检查被判定不合格</w:t>
      </w:r>
      <w:r>
        <w:rPr>
          <w:rFonts w:hint="eastAsia"/>
          <w:color w:val="auto"/>
          <w:lang w:val="en-US" w:eastAsia="zh-CN"/>
        </w:rPr>
        <w:t>；</w:t>
      </w:r>
    </w:p>
    <w:p w14:paraId="4E35B197">
      <w:pPr>
        <w:bidi w:val="0"/>
        <w:rPr>
          <w:rFonts w:hint="default"/>
          <w:color w:val="auto"/>
          <w:lang w:val="en-US" w:eastAsia="zh-CN"/>
        </w:rPr>
      </w:pPr>
      <w:r>
        <w:rPr>
          <w:rFonts w:hint="eastAsia"/>
          <w:color w:val="auto"/>
          <w:lang w:val="en-US" w:eastAsia="zh-CN"/>
        </w:rPr>
        <w:t>（2）</w:t>
      </w:r>
      <w:r>
        <w:rPr>
          <w:rFonts w:hint="default"/>
          <w:color w:val="auto"/>
          <w:lang w:val="en-US" w:eastAsia="zh-CN"/>
        </w:rPr>
        <w:t>个体防护装备超过有效期</w:t>
      </w:r>
      <w:r>
        <w:rPr>
          <w:rFonts w:hint="eastAsia"/>
          <w:color w:val="auto"/>
          <w:lang w:val="en-US" w:eastAsia="zh-CN"/>
        </w:rPr>
        <w:t>；</w:t>
      </w:r>
    </w:p>
    <w:p w14:paraId="08E0B45E">
      <w:pPr>
        <w:bidi w:val="0"/>
        <w:rPr>
          <w:rFonts w:hint="default"/>
          <w:color w:val="auto"/>
          <w:lang w:val="en-US" w:eastAsia="zh-CN"/>
        </w:rPr>
      </w:pPr>
      <w:r>
        <w:rPr>
          <w:rFonts w:hint="eastAsia"/>
          <w:color w:val="auto"/>
          <w:lang w:val="en-US" w:eastAsia="zh-CN"/>
        </w:rPr>
        <w:t>（3）</w:t>
      </w:r>
      <w:r>
        <w:rPr>
          <w:rFonts w:hint="default"/>
          <w:color w:val="auto"/>
          <w:lang w:val="en-US" w:eastAsia="zh-CN"/>
        </w:rPr>
        <w:t>个体防护装备功能已经失效</w:t>
      </w:r>
      <w:r>
        <w:rPr>
          <w:rFonts w:hint="eastAsia"/>
          <w:color w:val="auto"/>
          <w:lang w:val="en-US" w:eastAsia="zh-CN"/>
        </w:rPr>
        <w:t>；</w:t>
      </w:r>
    </w:p>
    <w:p w14:paraId="7E6D3C57">
      <w:pPr>
        <w:bidi w:val="0"/>
        <w:rPr>
          <w:rFonts w:hint="default"/>
          <w:color w:val="auto"/>
          <w:lang w:val="en-US" w:eastAsia="zh-CN"/>
        </w:rPr>
      </w:pPr>
      <w:r>
        <w:rPr>
          <w:rFonts w:hint="eastAsia"/>
          <w:color w:val="auto"/>
          <w:lang w:val="en-US" w:eastAsia="zh-CN"/>
        </w:rPr>
        <w:t>（4）</w:t>
      </w:r>
      <w:r>
        <w:rPr>
          <w:rFonts w:hint="default"/>
          <w:color w:val="auto"/>
          <w:lang w:val="en-US" w:eastAsia="zh-CN"/>
        </w:rPr>
        <w:t>个体防护装备的使用说明书中规定的其他判废或更换条件</w:t>
      </w:r>
      <w:r>
        <w:rPr>
          <w:rFonts w:hint="eastAsia"/>
          <w:color w:val="auto"/>
          <w:lang w:val="en-US" w:eastAsia="zh-CN"/>
        </w:rPr>
        <w:t>。</w:t>
      </w:r>
    </w:p>
    <w:p w14:paraId="5B8546C2">
      <w:pPr>
        <w:bidi w:val="0"/>
        <w:rPr>
          <w:rFonts w:hint="default"/>
          <w:color w:val="auto"/>
          <w:lang w:val="en-US" w:eastAsia="zh-CN"/>
        </w:rPr>
      </w:pPr>
      <w:r>
        <w:rPr>
          <w:rFonts w:hint="eastAsia"/>
          <w:color w:val="auto"/>
          <w:lang w:val="en-US" w:eastAsia="zh-CN"/>
        </w:rPr>
        <w:t>18、根据《个体防护装备配备规范第1部分：总则》（GB39800.1-2020）第</w:t>
      </w:r>
      <w:r>
        <w:rPr>
          <w:rFonts w:hint="default"/>
          <w:color w:val="auto"/>
          <w:lang w:val="en-US" w:eastAsia="zh-CN"/>
        </w:rPr>
        <w:t>5.3.2</w:t>
      </w:r>
      <w:r>
        <w:rPr>
          <w:rFonts w:hint="eastAsia"/>
          <w:color w:val="auto"/>
          <w:lang w:val="en-US" w:eastAsia="zh-CN"/>
        </w:rPr>
        <w:t>条规定，</w:t>
      </w:r>
      <w:r>
        <w:rPr>
          <w:rFonts w:hint="default"/>
          <w:color w:val="auto"/>
          <w:lang w:val="en-US" w:eastAsia="zh-CN"/>
        </w:rPr>
        <w:t>被判废或被更换后的个体防护装备不得再次使用。</w:t>
      </w:r>
    </w:p>
    <w:p w14:paraId="731446D0">
      <w:pPr>
        <w:bidi w:val="0"/>
        <w:rPr>
          <w:rFonts w:hint="default"/>
          <w:color w:val="auto"/>
          <w:lang w:val="en-US" w:eastAsia="zh-CN"/>
        </w:rPr>
      </w:pPr>
      <w:r>
        <w:rPr>
          <w:rFonts w:hint="eastAsia"/>
          <w:color w:val="auto"/>
          <w:lang w:val="en-US" w:eastAsia="zh-CN"/>
        </w:rPr>
        <w:t>19、根据《个体防护装备配备规范第1部分：总则》（GB39800.1-2020）第</w:t>
      </w:r>
      <w:r>
        <w:rPr>
          <w:rFonts w:hint="default"/>
          <w:color w:val="auto"/>
          <w:lang w:val="en-US" w:eastAsia="zh-CN"/>
        </w:rPr>
        <w:t>5.4.2</w:t>
      </w:r>
      <w:r>
        <w:rPr>
          <w:rFonts w:hint="eastAsia"/>
          <w:color w:val="auto"/>
          <w:lang w:val="en-US" w:eastAsia="zh-CN"/>
        </w:rPr>
        <w:t>条规定，</w:t>
      </w:r>
      <w:r>
        <w:rPr>
          <w:rFonts w:hint="default"/>
          <w:color w:val="auto"/>
          <w:lang w:val="en-US" w:eastAsia="zh-CN"/>
        </w:rPr>
        <w:t>用人单位应按计划定期对作业人员进行培训,培训内容至少应包括工作中存在的危害种类和法律法规,标准等规定的防护要求,本单位采取的控制措施,以及个体防护装备的选择,防护效果,使用方法及维护、保养方法、检查方法等。</w:t>
      </w:r>
    </w:p>
    <w:p w14:paraId="5820368F">
      <w:pPr>
        <w:bidi w:val="0"/>
        <w:rPr>
          <w:rFonts w:hint="default"/>
          <w:color w:val="auto"/>
          <w:lang w:val="en-US" w:eastAsia="zh-CN"/>
        </w:rPr>
      </w:pPr>
      <w:r>
        <w:rPr>
          <w:rFonts w:hint="eastAsia"/>
          <w:color w:val="auto"/>
          <w:lang w:val="en-US" w:eastAsia="zh-CN"/>
        </w:rPr>
        <w:t>20、根据《个体防护装备配备规范第1部分：总则》（GB39800.1-2020）第</w:t>
      </w:r>
      <w:r>
        <w:rPr>
          <w:rFonts w:hint="default"/>
          <w:color w:val="auto"/>
          <w:lang w:val="en-US" w:eastAsia="zh-CN"/>
        </w:rPr>
        <w:t>5.4.3</w:t>
      </w:r>
      <w:r>
        <w:rPr>
          <w:rFonts w:hint="eastAsia"/>
          <w:color w:val="auto"/>
          <w:lang w:val="en-US" w:eastAsia="zh-CN"/>
        </w:rPr>
        <w:t>条规定，</w:t>
      </w:r>
      <w:r>
        <w:rPr>
          <w:rFonts w:hint="default"/>
          <w:color w:val="auto"/>
          <w:lang w:val="en-US" w:eastAsia="zh-CN"/>
        </w:rPr>
        <w:t>当有新员工人职、员工转岗、个体防护装备配备发生变化</w:t>
      </w:r>
      <w:r>
        <w:rPr>
          <w:rFonts w:hint="eastAsia"/>
          <w:color w:val="auto"/>
          <w:lang w:val="en-US" w:eastAsia="zh-CN"/>
        </w:rPr>
        <w:t>，</w:t>
      </w:r>
      <w:r>
        <w:rPr>
          <w:rFonts w:hint="default"/>
          <w:color w:val="auto"/>
          <w:lang w:val="en-US" w:eastAsia="zh-CN"/>
        </w:rPr>
        <w:t>法律法规及标准发生变化等情况</w:t>
      </w:r>
      <w:r>
        <w:rPr>
          <w:rFonts w:hint="eastAsia"/>
          <w:color w:val="auto"/>
          <w:lang w:val="en-US" w:eastAsia="zh-CN"/>
        </w:rPr>
        <w:t>，</w:t>
      </w:r>
      <w:r>
        <w:rPr>
          <w:rFonts w:hint="default"/>
          <w:color w:val="auto"/>
          <w:lang w:val="en-US" w:eastAsia="zh-CN"/>
        </w:rPr>
        <w:t>需要培训时用人单位应及时进行培训。</w:t>
      </w:r>
    </w:p>
    <w:p w14:paraId="5C405957">
      <w:pPr>
        <w:bidi w:val="0"/>
        <w:rPr>
          <w:rFonts w:hint="default"/>
          <w:color w:val="auto"/>
          <w:lang w:val="en-US" w:eastAsia="zh-CN"/>
        </w:rPr>
      </w:pPr>
      <w:r>
        <w:rPr>
          <w:rFonts w:hint="eastAsia"/>
          <w:color w:val="auto"/>
          <w:lang w:val="en-US" w:eastAsia="zh-CN"/>
        </w:rPr>
        <w:t>21、根据《个体防护装备配备规范第1部分：总则》（GB39800.1-2020）第</w:t>
      </w:r>
      <w:r>
        <w:rPr>
          <w:rFonts w:hint="default"/>
          <w:color w:val="auto"/>
          <w:lang w:val="en-US" w:eastAsia="zh-CN"/>
        </w:rPr>
        <w:t>5.4.4</w:t>
      </w:r>
      <w:r>
        <w:rPr>
          <w:rFonts w:hint="eastAsia"/>
          <w:color w:val="auto"/>
          <w:lang w:val="en-US" w:eastAsia="zh-CN"/>
        </w:rPr>
        <w:t>条规定，</w:t>
      </w:r>
      <w:r>
        <w:rPr>
          <w:rFonts w:hint="default"/>
          <w:color w:val="auto"/>
          <w:lang w:val="en-US" w:eastAsia="zh-CN"/>
        </w:rPr>
        <w:t>未按规定佩戴和使用个体防护装备的作业人员</w:t>
      </w:r>
      <w:r>
        <w:rPr>
          <w:rFonts w:hint="eastAsia"/>
          <w:color w:val="auto"/>
          <w:lang w:val="en-US" w:eastAsia="zh-CN"/>
        </w:rPr>
        <w:t>，</w:t>
      </w:r>
      <w:r>
        <w:rPr>
          <w:rFonts w:hint="default"/>
          <w:color w:val="auto"/>
          <w:lang w:val="en-US" w:eastAsia="zh-CN"/>
        </w:rPr>
        <w:t>不得上岗作业。</w:t>
      </w:r>
    </w:p>
    <w:p w14:paraId="644F7902">
      <w:pPr>
        <w:bidi w:val="0"/>
        <w:rPr>
          <w:rFonts w:hint="default"/>
          <w:color w:val="auto"/>
          <w:lang w:val="en-US" w:eastAsia="zh-CN"/>
        </w:rPr>
      </w:pPr>
      <w:r>
        <w:rPr>
          <w:rFonts w:hint="eastAsia"/>
          <w:color w:val="auto"/>
          <w:lang w:val="en-US" w:eastAsia="zh-CN"/>
        </w:rPr>
        <w:t>22、根据《个体防护装备配备规范第1部分：总则》（GB39800.1-2020）第</w:t>
      </w:r>
      <w:r>
        <w:rPr>
          <w:rFonts w:hint="default"/>
          <w:color w:val="auto"/>
          <w:lang w:val="en-US" w:eastAsia="zh-CN"/>
        </w:rPr>
        <w:t>5.4.5</w:t>
      </w:r>
      <w:r>
        <w:rPr>
          <w:rFonts w:hint="eastAsia"/>
          <w:color w:val="auto"/>
          <w:lang w:val="en-US" w:eastAsia="zh-CN"/>
        </w:rPr>
        <w:t>条规定，</w:t>
      </w:r>
      <w:r>
        <w:rPr>
          <w:rFonts w:hint="default"/>
          <w:color w:val="auto"/>
          <w:lang w:val="en-US" w:eastAsia="zh-CN"/>
        </w:rPr>
        <w:t>作业人员应熟练掌握个体防护装备正确佩戴和使用方法</w:t>
      </w:r>
      <w:r>
        <w:rPr>
          <w:rFonts w:hint="eastAsia"/>
          <w:color w:val="auto"/>
          <w:lang w:val="en-US" w:eastAsia="zh-CN"/>
        </w:rPr>
        <w:t>，</w:t>
      </w:r>
      <w:r>
        <w:rPr>
          <w:rFonts w:hint="default"/>
          <w:color w:val="auto"/>
          <w:lang w:val="en-US" w:eastAsia="zh-CN"/>
        </w:rPr>
        <w:t>用人单位应监督作业人员个体防护装备的使用情况。</w:t>
      </w:r>
    </w:p>
    <w:p w14:paraId="1C76D8D4">
      <w:pPr>
        <w:pStyle w:val="5"/>
        <w:bidi w:val="0"/>
        <w:rPr>
          <w:rFonts w:hint="default"/>
          <w:color w:val="auto"/>
          <w:lang w:val="en-US" w:eastAsia="zh-CN"/>
        </w:rPr>
      </w:pPr>
      <w:bookmarkStart w:id="43" w:name="_Toc19831"/>
      <w:r>
        <w:rPr>
          <w:rFonts w:hint="default"/>
          <w:color w:val="auto"/>
          <w:lang w:val="en-US" w:eastAsia="zh-CN"/>
        </w:rPr>
        <w:t>6.7 安全设施设计中应补充的安全对策措施及建议</w:t>
      </w:r>
      <w:bookmarkEnd w:id="43"/>
    </w:p>
    <w:p w14:paraId="05878C3E">
      <w:pPr>
        <w:bidi w:val="0"/>
        <w:rPr>
          <w:rFonts w:hint="default"/>
          <w:color w:val="auto"/>
          <w:lang w:val="en-US" w:eastAsia="zh-CN"/>
        </w:rPr>
      </w:pPr>
      <w:r>
        <w:rPr>
          <w:rFonts w:hint="eastAsia"/>
          <w:color w:val="auto"/>
          <w:lang w:val="en-US" w:eastAsia="zh-CN"/>
        </w:rPr>
        <w:t>1、</w:t>
      </w:r>
      <w:r>
        <w:rPr>
          <w:rFonts w:hint="default"/>
          <w:color w:val="auto"/>
          <w:lang w:val="en-US" w:eastAsia="zh-CN"/>
        </w:rPr>
        <w:t>建议安全设施设计中应明确安全设施投入情况</w:t>
      </w:r>
      <w:r>
        <w:rPr>
          <w:rFonts w:hint="eastAsia"/>
          <w:color w:val="auto"/>
          <w:lang w:val="en-US" w:eastAsia="zh-CN"/>
        </w:rPr>
        <w:t>。</w:t>
      </w:r>
    </w:p>
    <w:p w14:paraId="2D873ED1">
      <w:pPr>
        <w:bidi w:val="0"/>
        <w:rPr>
          <w:rFonts w:hint="default"/>
          <w:color w:val="auto"/>
          <w:lang w:val="en-US" w:eastAsia="zh-CN"/>
        </w:rPr>
      </w:pPr>
      <w:r>
        <w:rPr>
          <w:rFonts w:hint="eastAsia"/>
          <w:color w:val="auto"/>
          <w:lang w:val="en-US" w:eastAsia="zh-CN"/>
        </w:rPr>
        <w:t>2、</w:t>
      </w:r>
      <w:r>
        <w:rPr>
          <w:rFonts w:hint="default"/>
          <w:color w:val="auto"/>
          <w:lang w:val="en-US" w:eastAsia="zh-CN"/>
        </w:rPr>
        <w:t>建议安全设施设计中补充厂区内和厂区四周的防排水措施。</w:t>
      </w:r>
    </w:p>
    <w:p w14:paraId="28816E4D">
      <w:pPr>
        <w:bidi w:val="0"/>
        <w:rPr>
          <w:rFonts w:hint="default"/>
          <w:color w:val="auto"/>
          <w:lang w:val="en-US" w:eastAsia="zh-CN"/>
        </w:rPr>
      </w:pPr>
      <w:r>
        <w:rPr>
          <w:rFonts w:hint="eastAsia"/>
          <w:color w:val="auto"/>
          <w:lang w:val="en-US" w:eastAsia="zh-CN"/>
        </w:rPr>
        <w:t>3、建议安全设施设计中明确变压器室、配电室、电容器室等房间设置防止雨、雪和蛇、鼠等小动物从采光窗、通风窗、门、电缆沟等处进入室内的设施。</w:t>
      </w:r>
    </w:p>
    <w:p w14:paraId="642B47EE">
      <w:pPr>
        <w:bidi w:val="0"/>
        <w:rPr>
          <w:rFonts w:hint="default"/>
          <w:color w:val="auto"/>
          <w:lang w:val="en-US" w:eastAsia="zh-CN"/>
        </w:rPr>
      </w:pPr>
      <w:r>
        <w:rPr>
          <w:rFonts w:hint="eastAsia"/>
          <w:color w:val="auto"/>
          <w:lang w:val="en-US" w:eastAsia="zh-CN"/>
        </w:rPr>
        <w:t>4、建议安全设施设计中明确利旧工程内容。</w:t>
      </w:r>
    </w:p>
    <w:p w14:paraId="61FDCCBC">
      <w:pPr>
        <w:bidi w:val="0"/>
        <w:rPr>
          <w:rFonts w:hint="default"/>
          <w:color w:val="auto"/>
          <w:lang w:val="en-US" w:eastAsia="zh-CN"/>
        </w:rPr>
      </w:pPr>
      <w:r>
        <w:rPr>
          <w:rFonts w:hint="eastAsia"/>
          <w:color w:val="auto"/>
          <w:lang w:val="en-US" w:eastAsia="zh-CN"/>
        </w:rPr>
        <w:t>5、建议安全设施设计中明确备用电源、备用水泵设计内容。</w:t>
      </w:r>
    </w:p>
    <w:p w14:paraId="596796E8">
      <w:pPr>
        <w:bidi w:val="0"/>
        <w:rPr>
          <w:rFonts w:hint="default"/>
          <w:color w:val="auto"/>
          <w:lang w:val="en-US" w:eastAsia="zh-CN"/>
        </w:rPr>
      </w:pPr>
      <w:r>
        <w:rPr>
          <w:rFonts w:hint="eastAsia"/>
          <w:color w:val="auto"/>
          <w:lang w:val="en-US" w:eastAsia="zh-CN"/>
        </w:rPr>
        <w:t>6、建议安全设施设计中补充输送管道的安全对策措施。</w:t>
      </w:r>
    </w:p>
    <w:p w14:paraId="26A2D481">
      <w:pPr>
        <w:rPr>
          <w:rFonts w:hint="default"/>
          <w:color w:val="auto"/>
          <w:lang w:val="en-US" w:eastAsia="zh-CN"/>
        </w:rPr>
      </w:pPr>
      <w:r>
        <w:rPr>
          <w:rFonts w:hint="default"/>
          <w:color w:val="auto"/>
          <w:lang w:val="en-US" w:eastAsia="zh-CN"/>
        </w:rPr>
        <w:br w:type="page"/>
      </w:r>
    </w:p>
    <w:p w14:paraId="68BB4BAA">
      <w:pPr>
        <w:pStyle w:val="4"/>
        <w:bidi w:val="0"/>
        <w:rPr>
          <w:rFonts w:hint="default"/>
          <w:color w:val="auto"/>
          <w:lang w:val="en-US" w:eastAsia="zh-CN"/>
        </w:rPr>
      </w:pPr>
      <w:bookmarkStart w:id="44" w:name="_Toc8459"/>
      <w:r>
        <w:rPr>
          <w:rFonts w:hint="default"/>
          <w:color w:val="auto"/>
          <w:lang w:val="en-US" w:eastAsia="zh-CN"/>
        </w:rPr>
        <w:t>7 评价结论</w:t>
      </w:r>
      <w:bookmarkEnd w:id="44"/>
    </w:p>
    <w:p w14:paraId="798675C7">
      <w:pPr>
        <w:pStyle w:val="5"/>
        <w:bidi w:val="0"/>
        <w:rPr>
          <w:rFonts w:hint="default"/>
          <w:color w:val="auto"/>
          <w:lang w:val="en-US" w:eastAsia="zh-CN"/>
        </w:rPr>
      </w:pPr>
      <w:bookmarkStart w:id="45" w:name="_Toc11683"/>
      <w:r>
        <w:rPr>
          <w:rFonts w:hint="default"/>
          <w:color w:val="auto"/>
          <w:lang w:val="en-US" w:eastAsia="zh-CN"/>
        </w:rPr>
        <w:t>7.1 主要危险、有害因素及重大危险源辨识结果</w:t>
      </w:r>
      <w:bookmarkEnd w:id="45"/>
    </w:p>
    <w:p w14:paraId="6C15C04E">
      <w:pPr>
        <w:pStyle w:val="6"/>
        <w:bidi w:val="0"/>
        <w:rPr>
          <w:rFonts w:hint="default"/>
          <w:color w:val="auto"/>
          <w:lang w:val="en-US" w:eastAsia="zh-CN"/>
        </w:rPr>
      </w:pPr>
      <w:r>
        <w:rPr>
          <w:rFonts w:hint="default"/>
          <w:color w:val="auto"/>
          <w:lang w:val="en-US" w:eastAsia="zh-CN"/>
        </w:rPr>
        <w:t>7.1.1 项目存在的主要危险、有害因素</w:t>
      </w:r>
    </w:p>
    <w:p w14:paraId="594796AD">
      <w:pPr>
        <w:bidi w:val="0"/>
        <w:rPr>
          <w:rFonts w:hint="default"/>
          <w:color w:val="auto"/>
          <w:lang w:val="en-US" w:eastAsia="zh-CN"/>
        </w:rPr>
      </w:pPr>
      <w:r>
        <w:rPr>
          <w:rFonts w:hint="default"/>
          <w:color w:val="auto"/>
          <w:lang w:val="en-US" w:eastAsia="zh-CN"/>
        </w:rPr>
        <w:t>建设项目在建设和生产过程中主要危险因素有：坍塌、物体打击、机械伤害、触电、高处坠落、车辆伤害、火灾、爆炸、起重伤害、其他伤害、中毒</w:t>
      </w:r>
      <w:r>
        <w:rPr>
          <w:rFonts w:hint="eastAsia"/>
          <w:color w:val="auto"/>
          <w:lang w:val="en-US" w:eastAsia="zh-CN"/>
        </w:rPr>
        <w:t>和</w:t>
      </w:r>
      <w:r>
        <w:rPr>
          <w:rFonts w:hint="default"/>
          <w:color w:val="auto"/>
          <w:lang w:val="en-US" w:eastAsia="zh-CN"/>
        </w:rPr>
        <w:t>窒息及淹溺等危险因素。</w:t>
      </w:r>
    </w:p>
    <w:p w14:paraId="02AB222B">
      <w:pPr>
        <w:bidi w:val="0"/>
        <w:rPr>
          <w:rFonts w:hint="default"/>
          <w:color w:val="auto"/>
          <w:lang w:val="en-US" w:eastAsia="zh-CN"/>
        </w:rPr>
      </w:pPr>
      <w:r>
        <w:rPr>
          <w:rFonts w:hint="default"/>
          <w:color w:val="auto"/>
          <w:lang w:val="en-US" w:eastAsia="zh-CN"/>
        </w:rPr>
        <w:t>主要有害因素有：</w:t>
      </w:r>
      <w:r>
        <w:rPr>
          <w:rFonts w:hint="eastAsia"/>
          <w:color w:val="auto"/>
          <w:lang w:val="en-US" w:eastAsia="zh-CN"/>
        </w:rPr>
        <w:t>粉尘、</w:t>
      </w:r>
      <w:r>
        <w:rPr>
          <w:rFonts w:hint="default"/>
          <w:color w:val="auto"/>
          <w:lang w:val="en-US" w:eastAsia="zh-CN"/>
        </w:rPr>
        <w:t>噪声、振动等。</w:t>
      </w:r>
    </w:p>
    <w:p w14:paraId="084110AD">
      <w:pPr>
        <w:pStyle w:val="6"/>
        <w:bidi w:val="0"/>
        <w:rPr>
          <w:rFonts w:hint="default"/>
          <w:color w:val="auto"/>
          <w:lang w:val="en-US" w:eastAsia="zh-CN"/>
        </w:rPr>
      </w:pPr>
      <w:r>
        <w:rPr>
          <w:rFonts w:hint="default"/>
          <w:color w:val="auto"/>
          <w:lang w:val="en-US" w:eastAsia="zh-CN"/>
        </w:rPr>
        <w:t>7.1.2 项目存在的重大危险源</w:t>
      </w:r>
    </w:p>
    <w:p w14:paraId="7E5F1CB5">
      <w:pPr>
        <w:bidi w:val="0"/>
        <w:rPr>
          <w:rFonts w:hint="default"/>
          <w:color w:val="auto"/>
          <w:lang w:val="en-US" w:eastAsia="zh-CN"/>
        </w:rPr>
      </w:pPr>
      <w:r>
        <w:rPr>
          <w:rFonts w:hint="default"/>
          <w:color w:val="auto"/>
          <w:lang w:val="en-US" w:eastAsia="zh-CN"/>
        </w:rPr>
        <w:t>根据《危险化学品重大危险源辨识》（GB18218-2018）进行辨识，该项目未构成重大危险源。</w:t>
      </w:r>
    </w:p>
    <w:p w14:paraId="13118286">
      <w:pPr>
        <w:pStyle w:val="6"/>
        <w:bidi w:val="0"/>
        <w:rPr>
          <w:rFonts w:hint="default"/>
          <w:color w:val="auto"/>
          <w:lang w:val="en-US" w:eastAsia="zh-CN"/>
        </w:rPr>
      </w:pPr>
      <w:r>
        <w:rPr>
          <w:rFonts w:hint="default"/>
          <w:color w:val="auto"/>
          <w:lang w:val="en-US" w:eastAsia="zh-CN"/>
        </w:rPr>
        <w:t>7.1.3 需要重点防范的危险、有害因素</w:t>
      </w:r>
    </w:p>
    <w:p w14:paraId="1D656CDC">
      <w:pPr>
        <w:bidi w:val="0"/>
        <w:rPr>
          <w:rFonts w:hint="default"/>
          <w:color w:val="auto"/>
          <w:lang w:val="en-US" w:eastAsia="zh-CN"/>
        </w:rPr>
      </w:pPr>
      <w:r>
        <w:rPr>
          <w:rFonts w:hint="default"/>
          <w:color w:val="auto"/>
          <w:lang w:val="en-US" w:eastAsia="zh-CN"/>
        </w:rPr>
        <w:t>重点防范的危险因素有：坍塌、火灾、车辆伤害、物体打击、高处坠落、机械伤害及触电等危险因素。</w:t>
      </w:r>
    </w:p>
    <w:p w14:paraId="5593D748">
      <w:pPr>
        <w:bidi w:val="0"/>
        <w:rPr>
          <w:rFonts w:hint="default"/>
          <w:color w:val="auto"/>
          <w:lang w:val="en-US" w:eastAsia="zh-CN"/>
        </w:rPr>
      </w:pPr>
      <w:r>
        <w:rPr>
          <w:rFonts w:hint="default"/>
          <w:color w:val="auto"/>
          <w:lang w:val="en-US" w:eastAsia="zh-CN"/>
        </w:rPr>
        <w:t>重点防范的有害因素主要有：</w:t>
      </w:r>
      <w:r>
        <w:rPr>
          <w:rFonts w:hint="eastAsia"/>
          <w:color w:val="auto"/>
          <w:lang w:val="en-US" w:eastAsia="zh-CN"/>
        </w:rPr>
        <w:t>粉尘、</w:t>
      </w:r>
      <w:r>
        <w:rPr>
          <w:rFonts w:hint="default"/>
          <w:color w:val="auto"/>
          <w:lang w:val="en-US" w:eastAsia="zh-CN"/>
        </w:rPr>
        <w:t>噪声及振动。</w:t>
      </w:r>
    </w:p>
    <w:p w14:paraId="5F30E258">
      <w:pPr>
        <w:pStyle w:val="5"/>
        <w:bidi w:val="0"/>
        <w:rPr>
          <w:rFonts w:hint="default"/>
          <w:color w:val="auto"/>
          <w:lang w:val="en-US" w:eastAsia="zh-CN"/>
        </w:rPr>
      </w:pPr>
      <w:bookmarkStart w:id="46" w:name="_Toc25552"/>
      <w:r>
        <w:rPr>
          <w:rFonts w:hint="default"/>
          <w:color w:val="auto"/>
          <w:lang w:val="en-US" w:eastAsia="zh-CN"/>
        </w:rPr>
        <w:t>7.2 应重视的安全对策措施建议</w:t>
      </w:r>
      <w:bookmarkEnd w:id="46"/>
    </w:p>
    <w:p w14:paraId="2AA5F0A7">
      <w:pPr>
        <w:bidi w:val="0"/>
        <w:rPr>
          <w:rFonts w:hint="default"/>
          <w:color w:val="auto"/>
          <w:lang w:val="en-US" w:eastAsia="zh-CN"/>
        </w:rPr>
      </w:pPr>
      <w:r>
        <w:rPr>
          <w:rFonts w:hint="default"/>
          <w:color w:val="auto"/>
          <w:lang w:val="en-US" w:eastAsia="zh-CN"/>
        </w:rPr>
        <w:t>1、拟建场地属于区域地壳稳定性属次稳定区，场地土类型为中软，建筑物易产生不均匀沉降变形，建、构筑物基础型式的选用不当或建构筑物强度不满足要求，会导致建构筑物变形甚至发生坍塌事故。</w:t>
      </w:r>
    </w:p>
    <w:p w14:paraId="349F6F80">
      <w:pPr>
        <w:bidi w:val="0"/>
        <w:rPr>
          <w:rFonts w:hint="default"/>
          <w:color w:val="auto"/>
          <w:lang w:val="en-US" w:eastAsia="zh-CN"/>
        </w:rPr>
      </w:pPr>
      <w:r>
        <w:rPr>
          <w:rFonts w:hint="default"/>
          <w:color w:val="auto"/>
          <w:lang w:val="en-US" w:eastAsia="zh-CN"/>
        </w:rPr>
        <w:t>2、拟建场地场地土对混凝土结构具微腐蚀性，对混凝土结构中的钢筋具微腐蚀性，对钢结构具微腐蚀性，如基础未采取相应的防腐措施，可能导致坍塌。破碎机械、球磨机械振动较大，若不采取适当措施，亦会引起坍塌。</w:t>
      </w:r>
    </w:p>
    <w:p w14:paraId="438EBE31">
      <w:pPr>
        <w:bidi w:val="0"/>
        <w:rPr>
          <w:rFonts w:hint="default"/>
          <w:color w:val="auto"/>
          <w:lang w:val="en-US" w:eastAsia="zh-CN"/>
        </w:rPr>
      </w:pPr>
      <w:r>
        <w:rPr>
          <w:rFonts w:hint="default"/>
          <w:color w:val="auto"/>
          <w:lang w:val="en-US" w:eastAsia="zh-CN"/>
        </w:rPr>
        <w:t>3、拟建场地所在区域场地抗震设防烈度为</w:t>
      </w:r>
      <w:r>
        <w:rPr>
          <w:rFonts w:hint="eastAsia"/>
          <w:color w:val="auto"/>
          <w:lang w:val="en-US" w:eastAsia="zh-CN"/>
        </w:rPr>
        <w:t>8</w:t>
      </w:r>
      <w:r>
        <w:rPr>
          <w:rFonts w:hint="default"/>
          <w:color w:val="auto"/>
          <w:lang w:val="en-US" w:eastAsia="zh-CN"/>
        </w:rPr>
        <w:t>度，须进行抗震设防。</w:t>
      </w:r>
    </w:p>
    <w:p w14:paraId="100C14C6">
      <w:pPr>
        <w:bidi w:val="0"/>
        <w:rPr>
          <w:rFonts w:hint="default"/>
          <w:color w:val="auto"/>
          <w:lang w:val="en-US" w:eastAsia="zh-CN"/>
        </w:rPr>
      </w:pPr>
      <w:r>
        <w:rPr>
          <w:rFonts w:hint="default"/>
          <w:color w:val="auto"/>
          <w:lang w:val="en-US" w:eastAsia="zh-CN"/>
        </w:rPr>
        <w:t>4、大型建筑物、构筑物，重型设备和生产装置等，应布置在土质均匀、地基承载力较大的地段；对较大、较深的地下建筑物、构筑物，宜布置在地下水位较低的填方地段。建议按照《选矿安全规程》（GB18152-2000）中5.1.7的规定：</w:t>
      </w:r>
      <w:r>
        <w:rPr>
          <w:rFonts w:hint="eastAsia"/>
          <w:color w:val="auto"/>
          <w:lang w:val="en-US" w:eastAsia="zh-CN"/>
        </w:rPr>
        <w:t>“</w:t>
      </w:r>
      <w:r>
        <w:rPr>
          <w:rFonts w:hint="default"/>
          <w:color w:val="auto"/>
          <w:lang w:val="en-US" w:eastAsia="zh-CN"/>
        </w:rPr>
        <w:t>选厂一般建构筑物地基土的承载力标准值，应大于150kPa；主要建构筑物地基土的承载力标准值，应大于50kPa。如地基土承载力不满足要求，应对地基进行妥善处理</w:t>
      </w:r>
      <w:r>
        <w:rPr>
          <w:rFonts w:hint="eastAsia"/>
          <w:color w:val="auto"/>
          <w:lang w:val="en-US" w:eastAsia="zh-CN"/>
        </w:rPr>
        <w:t>”</w:t>
      </w:r>
      <w:r>
        <w:rPr>
          <w:rFonts w:hint="default"/>
          <w:color w:val="auto"/>
          <w:lang w:val="en-US" w:eastAsia="zh-CN"/>
        </w:rPr>
        <w:t>执行。</w:t>
      </w:r>
    </w:p>
    <w:p w14:paraId="23455FE2">
      <w:pPr>
        <w:bidi w:val="0"/>
        <w:rPr>
          <w:rFonts w:hint="default"/>
          <w:color w:val="auto"/>
          <w:lang w:val="en-US" w:eastAsia="zh-CN"/>
        </w:rPr>
      </w:pPr>
      <w:r>
        <w:rPr>
          <w:rFonts w:hint="default"/>
          <w:color w:val="auto"/>
          <w:lang w:val="en-US" w:eastAsia="zh-CN"/>
        </w:rPr>
        <w:t>5、按工艺流程合理布置厂房，做到功能分区明确、道路通畅、物流高效，厂区建筑物之间符合《建筑设计防火规范》（GB50016-2014，2018年版）的表3.4.1规定。</w:t>
      </w:r>
    </w:p>
    <w:p w14:paraId="6875E5D5">
      <w:pPr>
        <w:bidi w:val="0"/>
        <w:rPr>
          <w:rFonts w:hint="default"/>
          <w:color w:val="auto"/>
          <w:lang w:val="en-US" w:eastAsia="zh-CN"/>
        </w:rPr>
      </w:pPr>
      <w:r>
        <w:rPr>
          <w:rFonts w:hint="default"/>
          <w:color w:val="auto"/>
          <w:lang w:val="en-US" w:eastAsia="zh-CN"/>
        </w:rPr>
        <w:t>6、在进行厂房设计时，应重视对钢结构的防护设计。在生产企业，钢结构的防护应符合《工业建筑防腐蚀设计规范》和《钢结构设计规范》的有关规定。</w:t>
      </w:r>
    </w:p>
    <w:p w14:paraId="4FDC0986">
      <w:pPr>
        <w:bidi w:val="0"/>
        <w:rPr>
          <w:rFonts w:hint="default"/>
          <w:color w:val="auto"/>
          <w:lang w:val="en-US" w:eastAsia="zh-CN"/>
        </w:rPr>
      </w:pPr>
      <w:r>
        <w:rPr>
          <w:rFonts w:hint="default"/>
          <w:color w:val="auto"/>
          <w:lang w:val="en-US" w:eastAsia="zh-CN"/>
        </w:rPr>
        <w:t>7、厂房、库房等应按国家有关规定设置相应数量的安全出口，楼梯、走道及门的宽度应符合防火规范，安全疏散门应向外开启。</w:t>
      </w:r>
    </w:p>
    <w:p w14:paraId="4D96B6CE">
      <w:pPr>
        <w:bidi w:val="0"/>
        <w:rPr>
          <w:rFonts w:hint="default"/>
          <w:color w:val="auto"/>
          <w:lang w:val="en-US" w:eastAsia="zh-CN"/>
        </w:rPr>
      </w:pPr>
      <w:r>
        <w:rPr>
          <w:rFonts w:hint="default"/>
          <w:color w:val="auto"/>
          <w:lang w:val="en-US" w:eastAsia="zh-CN"/>
        </w:rPr>
        <w:t>8、厂房内主要操作通道宽度应不小于1.5m，一般设备维护通道宽度应不小于1.0m，通道净空高度应小于2.0m；走梯、通道的出入口，不应设于铁路和车辆通行频繁的地段；否则，应设置防护装置，并悬挂醒目的警告标志。</w:t>
      </w:r>
    </w:p>
    <w:p w14:paraId="01222C8C">
      <w:pPr>
        <w:bidi w:val="0"/>
        <w:rPr>
          <w:rFonts w:hint="default"/>
          <w:color w:val="auto"/>
          <w:lang w:val="en-US" w:eastAsia="zh-CN"/>
        </w:rPr>
      </w:pPr>
      <w:r>
        <w:rPr>
          <w:rFonts w:hint="default"/>
          <w:color w:val="auto"/>
          <w:lang w:val="en-US" w:eastAsia="zh-CN"/>
        </w:rPr>
        <w:t>9、荷载较重和振动较大的设备，其基础不应坐落在平台上，而应坐落在地基上。操作平台有集中荷载时，应采取特殊加固措施。</w:t>
      </w:r>
    </w:p>
    <w:p w14:paraId="4A9E8237">
      <w:pPr>
        <w:bidi w:val="0"/>
        <w:rPr>
          <w:rFonts w:hint="default"/>
          <w:color w:val="auto"/>
          <w:lang w:val="en-US" w:eastAsia="zh-CN"/>
        </w:rPr>
      </w:pPr>
      <w:r>
        <w:rPr>
          <w:rFonts w:hint="default"/>
          <w:color w:val="auto"/>
          <w:lang w:val="en-US" w:eastAsia="zh-CN"/>
        </w:rPr>
        <w:t>10、以操作人员所站立的平面为基准，凡高度在2m以上，有物料传输装置、皮带传动装置以及施工机械施工处的下方，应设置防护。凡在基准面2m以上的作业位置，应设置防护栏杆。</w:t>
      </w:r>
    </w:p>
    <w:p w14:paraId="03F24A32">
      <w:pPr>
        <w:bidi w:val="0"/>
        <w:rPr>
          <w:rFonts w:hint="default"/>
          <w:color w:val="auto"/>
          <w:lang w:val="en-US" w:eastAsia="zh-CN"/>
        </w:rPr>
      </w:pPr>
      <w:r>
        <w:rPr>
          <w:rFonts w:hint="default"/>
          <w:color w:val="auto"/>
          <w:lang w:val="en-US" w:eastAsia="zh-CN"/>
        </w:rPr>
        <w:t>11、原矿堆场应根据运输车辆的要求设置足够的回车坪。采用自卸汽车卸矿时，应设坚固的挡墙，挡墙高度不应小于轮胎直径的五分之二。</w:t>
      </w:r>
    </w:p>
    <w:p w14:paraId="648CD594">
      <w:pPr>
        <w:bidi w:val="0"/>
        <w:rPr>
          <w:rFonts w:hint="default"/>
          <w:color w:val="auto"/>
          <w:lang w:val="en-US" w:eastAsia="zh-CN"/>
        </w:rPr>
      </w:pPr>
      <w:r>
        <w:rPr>
          <w:rFonts w:hint="default"/>
          <w:color w:val="auto"/>
          <w:lang w:val="en-US" w:eastAsia="zh-CN"/>
        </w:rPr>
        <w:t>12、</w:t>
      </w:r>
      <w:r>
        <w:rPr>
          <w:rFonts w:hint="eastAsia"/>
          <w:color w:val="auto"/>
          <w:lang w:val="en-US" w:eastAsia="zh-CN"/>
        </w:rPr>
        <w:t>项目</w:t>
      </w:r>
      <w:r>
        <w:rPr>
          <w:rFonts w:hint="default"/>
          <w:color w:val="auto"/>
          <w:lang w:val="en-US" w:eastAsia="zh-CN"/>
        </w:rPr>
        <w:t>施工建设及运行中，应根据相关规定编制相应事故应急预案，并保障演练制度得到有效执行。</w:t>
      </w:r>
    </w:p>
    <w:p w14:paraId="6441709C">
      <w:pPr>
        <w:bidi w:val="0"/>
        <w:rPr>
          <w:rFonts w:hint="default"/>
          <w:color w:val="auto"/>
          <w:lang w:val="en-US" w:eastAsia="zh-CN"/>
        </w:rPr>
      </w:pPr>
      <w:r>
        <w:rPr>
          <w:rFonts w:hint="default"/>
          <w:color w:val="auto"/>
          <w:lang w:val="en-US" w:eastAsia="zh-CN"/>
        </w:rPr>
        <w:t>13、建议主要负责人及安全生产管理人员在应急管理局重新培训取证。</w:t>
      </w:r>
    </w:p>
    <w:p w14:paraId="6CFC9973">
      <w:pPr>
        <w:pStyle w:val="5"/>
        <w:bidi w:val="0"/>
        <w:rPr>
          <w:rFonts w:hint="default"/>
          <w:color w:val="auto"/>
          <w:lang w:val="en-US" w:eastAsia="zh-CN"/>
        </w:rPr>
      </w:pPr>
      <w:bookmarkStart w:id="47" w:name="_Toc6043"/>
      <w:r>
        <w:rPr>
          <w:rFonts w:hint="default"/>
          <w:color w:val="auto"/>
          <w:lang w:val="en-US" w:eastAsia="zh-CN"/>
        </w:rPr>
        <w:t>7.3 评价结论</w:t>
      </w:r>
      <w:bookmarkEnd w:id="47"/>
    </w:p>
    <w:p w14:paraId="16964CA9">
      <w:pPr>
        <w:bidi w:val="0"/>
        <w:rPr>
          <w:rFonts w:hint="default"/>
          <w:color w:val="auto"/>
          <w:lang w:val="en-US" w:eastAsia="zh-CN"/>
        </w:rPr>
      </w:pPr>
      <w:r>
        <w:rPr>
          <w:rFonts w:hint="default"/>
          <w:color w:val="auto"/>
          <w:lang w:val="en-US" w:eastAsia="zh-CN"/>
        </w:rPr>
        <w:t>根据对评价项目的现场调查和相关资料的分析，完成了该项目主要危险有害因素的辨识和分析，对评价系统进行了科学合理的单元划分。通过划分把评价对象更细节化，更具统一性，并运用各种安全系统工程的分析方法，对这些个子系统进行了危险有害因素的辨识和分析，并在此基础上提出了合理可行的对策措施，形成以下预评价结论：</w:t>
      </w:r>
    </w:p>
    <w:p w14:paraId="7DE5ECA4">
      <w:pPr>
        <w:bidi w:val="0"/>
        <w:rPr>
          <w:rFonts w:hint="default"/>
          <w:color w:val="auto"/>
          <w:lang w:val="en-US" w:eastAsia="zh-CN"/>
        </w:rPr>
      </w:pPr>
      <w:r>
        <w:rPr>
          <w:rFonts w:hint="default"/>
          <w:color w:val="auto"/>
          <w:lang w:val="en-US" w:eastAsia="zh-CN"/>
        </w:rPr>
        <w:t>1、企业证照齐全、有效、合法。立项批复、建设程序合法，项目初步设计、工程地质勘察单位资质有效、合法。</w:t>
      </w:r>
    </w:p>
    <w:p w14:paraId="7950CD85">
      <w:pPr>
        <w:bidi w:val="0"/>
        <w:rPr>
          <w:rFonts w:hint="default"/>
          <w:color w:val="auto"/>
          <w:lang w:val="en-US" w:eastAsia="zh-CN"/>
        </w:rPr>
      </w:pPr>
      <w:r>
        <w:rPr>
          <w:rFonts w:hint="default"/>
          <w:color w:val="auto"/>
          <w:lang w:val="en-US" w:eastAsia="zh-CN"/>
        </w:rPr>
        <w:t>2、该</w:t>
      </w:r>
      <w:r>
        <w:rPr>
          <w:rFonts w:hint="eastAsia"/>
          <w:color w:val="auto"/>
          <w:lang w:val="en-US" w:eastAsia="zh-CN"/>
        </w:rPr>
        <w:t>项目</w:t>
      </w:r>
      <w:r>
        <w:rPr>
          <w:rFonts w:hint="default"/>
          <w:color w:val="auto"/>
          <w:lang w:val="en-US" w:eastAsia="zh-CN"/>
        </w:rPr>
        <w:t>拟建场地位于区域地壳稳定性属次稳定区，地土对混凝土结构具微腐蚀性，地势平缓，无高边坡，采取合理的地基处理方式，选择适当的基础型式，基本能满足安全生产的需要。</w:t>
      </w:r>
    </w:p>
    <w:p w14:paraId="2B35DEAC">
      <w:pPr>
        <w:bidi w:val="0"/>
        <w:rPr>
          <w:rFonts w:hint="default"/>
          <w:color w:val="auto"/>
          <w:lang w:val="en-US" w:eastAsia="zh-CN"/>
        </w:rPr>
      </w:pPr>
      <w:r>
        <w:rPr>
          <w:rFonts w:hint="default"/>
          <w:color w:val="auto"/>
          <w:lang w:val="en-US" w:eastAsia="zh-CN"/>
        </w:rPr>
        <w:t>3、项目工艺方案、主要和辅助生产设施安全技术措施的设置，符合国家安全生产法规、标准和规范的要求。</w:t>
      </w:r>
    </w:p>
    <w:p w14:paraId="26C9EC6B">
      <w:pPr>
        <w:bidi w:val="0"/>
        <w:rPr>
          <w:rFonts w:hint="default"/>
          <w:color w:val="auto"/>
          <w:lang w:val="en-US" w:eastAsia="zh-CN"/>
        </w:rPr>
      </w:pPr>
      <w:r>
        <w:rPr>
          <w:rFonts w:hint="default"/>
          <w:color w:val="auto"/>
          <w:lang w:val="en-US" w:eastAsia="zh-CN"/>
        </w:rPr>
        <w:t>4、建设项目在建设和生产过程中存在的主要危险因素有：坍塌、物体打击、机械伤害、触电、高处坠落、车辆伤害、</w:t>
      </w:r>
      <w:r>
        <w:rPr>
          <w:rFonts w:hint="eastAsia"/>
          <w:color w:val="auto"/>
          <w:lang w:val="en-US" w:eastAsia="zh-CN"/>
        </w:rPr>
        <w:t>起重伤害、</w:t>
      </w:r>
      <w:r>
        <w:rPr>
          <w:rFonts w:hint="default"/>
          <w:color w:val="auto"/>
          <w:lang w:val="en-US" w:eastAsia="zh-CN"/>
        </w:rPr>
        <w:t>火灾、爆炸、中毒与窒息及淹溺等危险因素；主要有害因素有：粉尘、噪声、振动等。</w:t>
      </w:r>
    </w:p>
    <w:p w14:paraId="15F9CC99">
      <w:pPr>
        <w:bidi w:val="0"/>
        <w:rPr>
          <w:rFonts w:hint="default"/>
          <w:color w:val="auto"/>
          <w:lang w:val="en-US" w:eastAsia="zh-CN"/>
        </w:rPr>
      </w:pPr>
      <w:r>
        <w:rPr>
          <w:rFonts w:hint="default"/>
          <w:color w:val="auto"/>
          <w:lang w:val="en-US" w:eastAsia="zh-CN"/>
        </w:rPr>
        <w:t>在项目建设施工和生产过程中，通过落实初步设计方案和本次安全预评价报告安全对策措施，进一步优化和完善设计和生产设施，消除、减少项目中危险、有害因素，认真落实国家相关安全生产的法规、标准、规程、规范，加强事故预防和安全管理工作，为该项目安全生产的要求奠定基础，该项目潜在的危险、有害因素能得到控制，在可接受的范围内。</w:t>
      </w:r>
    </w:p>
    <w:p w14:paraId="1B4D04E1">
      <w:pPr>
        <w:bidi w:val="0"/>
        <w:rPr>
          <w:rFonts w:hint="default"/>
          <w:b/>
          <w:bCs/>
          <w:color w:val="auto"/>
          <w:lang w:val="en-US" w:eastAsia="zh-CN"/>
        </w:rPr>
      </w:pPr>
      <w:r>
        <w:rPr>
          <w:rFonts w:hint="default"/>
          <w:b/>
          <w:bCs/>
          <w:color w:val="auto"/>
          <w:lang w:val="en-US" w:eastAsia="zh-CN"/>
        </w:rPr>
        <w:t>安全预评价结论：寻甸金林钛矿有限公司尾矿处理技改升级建设项目从安全生产角度符合国家有关法律、法规、标准和规范的要求。</w:t>
      </w:r>
    </w:p>
    <w:p w14:paraId="677DBE5B">
      <w:pPr>
        <w:bidi w:val="0"/>
        <w:rPr>
          <w:rFonts w:hint="default"/>
          <w:color w:val="auto"/>
          <w:lang w:val="en-US" w:eastAsia="zh-CN"/>
        </w:rPr>
      </w:pPr>
      <w:r>
        <w:rPr>
          <w:rFonts w:hint="default"/>
          <w:color w:val="auto"/>
          <w:lang w:val="en-US" w:eastAsia="zh-CN"/>
        </w:rPr>
        <w:t>在今后的设计、施工、监理及生产过程中，建设单位应按上述提出的安全对策措施及有关法规和标准的要求，认真落实各项安全对策措施建议和预防手段，确保该建设项目的安全设施与主体工程同时设计、同时施工、同时投入生产和使用。根据本安全预评价报告中提出的安全对策措施，该建设项目应在安全设施设计中进行完善与补充，以确保该建设项目建成后能安全运行。</w:t>
      </w:r>
    </w:p>
    <w:p w14:paraId="5416620F">
      <w:pPr>
        <w:bidi w:val="0"/>
        <w:rPr>
          <w:rFonts w:hint="default"/>
          <w:color w:val="auto"/>
          <w:lang w:val="en-US" w:eastAsia="zh-CN"/>
        </w:rPr>
      </w:pPr>
    </w:p>
    <w:p w14:paraId="4E4023A0">
      <w:pPr>
        <w:rPr>
          <w:rFonts w:hint="default"/>
          <w:color w:val="auto"/>
          <w:lang w:val="en-US" w:eastAsia="zh-CN"/>
        </w:rPr>
      </w:pPr>
      <w:r>
        <w:rPr>
          <w:rFonts w:hint="default"/>
          <w:color w:val="auto"/>
          <w:lang w:val="en-US" w:eastAsia="zh-CN"/>
        </w:rPr>
        <w:br w:type="page"/>
      </w:r>
    </w:p>
    <w:p w14:paraId="1C077884">
      <w:pPr>
        <w:pStyle w:val="4"/>
        <w:bidi w:val="0"/>
        <w:rPr>
          <w:rFonts w:hint="default"/>
          <w:color w:val="auto"/>
          <w:lang w:val="en-US" w:eastAsia="zh-CN"/>
        </w:rPr>
      </w:pPr>
      <w:bookmarkStart w:id="48" w:name="_Toc31413"/>
      <w:r>
        <w:rPr>
          <w:rFonts w:hint="default"/>
          <w:color w:val="auto"/>
          <w:lang w:val="en-US" w:eastAsia="zh-CN"/>
        </w:rPr>
        <w:t>8 附件和附图</w:t>
      </w:r>
      <w:bookmarkEnd w:id="48"/>
    </w:p>
    <w:p w14:paraId="4AE1ED08">
      <w:pPr>
        <w:pStyle w:val="5"/>
        <w:bidi w:val="0"/>
        <w:rPr>
          <w:rFonts w:hint="default"/>
          <w:color w:val="auto"/>
          <w:lang w:val="en-US" w:eastAsia="zh-CN"/>
        </w:rPr>
      </w:pPr>
      <w:bookmarkStart w:id="49" w:name="_Toc4518"/>
      <w:r>
        <w:rPr>
          <w:rFonts w:hint="default"/>
          <w:color w:val="auto"/>
          <w:lang w:val="en-US" w:eastAsia="zh-CN"/>
        </w:rPr>
        <w:t>8.1 附件</w:t>
      </w:r>
      <w:bookmarkEnd w:id="49"/>
    </w:p>
    <w:p w14:paraId="47008BAB">
      <w:pPr>
        <w:bidi w:val="0"/>
        <w:rPr>
          <w:rFonts w:hint="default"/>
          <w:color w:val="auto"/>
          <w:lang w:val="en-US" w:eastAsia="zh-CN"/>
        </w:rPr>
      </w:pPr>
      <w:r>
        <w:rPr>
          <w:rFonts w:hint="default"/>
          <w:color w:val="auto"/>
          <w:lang w:val="en-US" w:eastAsia="zh-CN"/>
        </w:rPr>
        <w:t>1、安全预评价委托书；</w:t>
      </w:r>
    </w:p>
    <w:p w14:paraId="23C5F90D">
      <w:pPr>
        <w:bidi w:val="0"/>
        <w:rPr>
          <w:rFonts w:hint="default"/>
          <w:color w:val="auto"/>
          <w:lang w:val="en-US" w:eastAsia="zh-CN"/>
        </w:rPr>
      </w:pPr>
      <w:r>
        <w:rPr>
          <w:rFonts w:hint="eastAsia"/>
          <w:color w:val="auto"/>
          <w:lang w:val="en-US" w:eastAsia="zh-CN"/>
        </w:rPr>
        <w:t>2、</w:t>
      </w:r>
      <w:r>
        <w:rPr>
          <w:rFonts w:hint="default"/>
          <w:color w:val="auto"/>
          <w:lang w:val="en-US" w:eastAsia="zh-CN"/>
        </w:rPr>
        <w:t>材料真实性承诺书</w:t>
      </w:r>
      <w:r>
        <w:rPr>
          <w:rFonts w:hint="eastAsia"/>
          <w:color w:val="auto"/>
          <w:lang w:val="en-US" w:eastAsia="zh-CN"/>
        </w:rPr>
        <w:t>；</w:t>
      </w:r>
    </w:p>
    <w:p w14:paraId="63F360D6">
      <w:pPr>
        <w:bidi w:val="0"/>
        <w:rPr>
          <w:rFonts w:hint="default"/>
          <w:color w:val="auto"/>
          <w:lang w:val="en-US" w:eastAsia="zh-CN"/>
        </w:rPr>
      </w:pPr>
      <w:r>
        <w:rPr>
          <w:rFonts w:hint="eastAsia"/>
          <w:color w:val="auto"/>
          <w:lang w:val="en-US" w:eastAsia="zh-CN"/>
        </w:rPr>
        <w:t>3</w:t>
      </w:r>
      <w:r>
        <w:rPr>
          <w:rFonts w:hint="default"/>
          <w:color w:val="auto"/>
          <w:lang w:val="en-US" w:eastAsia="zh-CN"/>
        </w:rPr>
        <w:t>、营业执照；</w:t>
      </w:r>
    </w:p>
    <w:p w14:paraId="7641F6E8">
      <w:pPr>
        <w:bidi w:val="0"/>
        <w:rPr>
          <w:rFonts w:hint="default"/>
          <w:color w:val="auto"/>
          <w:lang w:val="en-US" w:eastAsia="zh-CN"/>
        </w:rPr>
      </w:pPr>
      <w:r>
        <w:rPr>
          <w:rFonts w:hint="eastAsia"/>
          <w:color w:val="auto"/>
          <w:lang w:val="en-US" w:eastAsia="zh-CN"/>
        </w:rPr>
        <w:t>4</w:t>
      </w:r>
      <w:r>
        <w:rPr>
          <w:rFonts w:hint="default"/>
          <w:color w:val="auto"/>
          <w:lang w:val="en-US" w:eastAsia="zh-CN"/>
        </w:rPr>
        <w:t>、项目投资备案证；</w:t>
      </w:r>
    </w:p>
    <w:p w14:paraId="04B3D9F2">
      <w:pPr>
        <w:bidi w:val="0"/>
        <w:rPr>
          <w:rFonts w:hint="default"/>
          <w:color w:val="auto"/>
          <w:lang w:val="en-US" w:eastAsia="zh-CN"/>
        </w:rPr>
      </w:pPr>
      <w:r>
        <w:rPr>
          <w:rFonts w:hint="eastAsia"/>
          <w:color w:val="auto"/>
          <w:lang w:val="en-US" w:eastAsia="zh-CN"/>
        </w:rPr>
        <w:t>5</w:t>
      </w:r>
      <w:r>
        <w:rPr>
          <w:rFonts w:hint="default"/>
          <w:color w:val="auto"/>
          <w:lang w:val="en-US" w:eastAsia="zh-CN"/>
        </w:rPr>
        <w:t>、</w:t>
      </w:r>
      <w:r>
        <w:rPr>
          <w:rFonts w:hint="eastAsia"/>
          <w:color w:val="auto"/>
          <w:lang w:val="en-US" w:eastAsia="zh-CN"/>
        </w:rPr>
        <w:t>《</w:t>
      </w:r>
      <w:r>
        <w:rPr>
          <w:rFonts w:hint="default"/>
          <w:color w:val="auto"/>
          <w:lang w:val="en-US" w:eastAsia="zh-CN"/>
        </w:rPr>
        <w:t>寻甸金林钛矿有限公司尾矿处理技改升级建设项目初步设计</w:t>
      </w:r>
      <w:r>
        <w:rPr>
          <w:rFonts w:hint="eastAsia"/>
          <w:color w:val="auto"/>
          <w:lang w:val="en-US" w:eastAsia="zh-CN"/>
        </w:rPr>
        <w:t>》；</w:t>
      </w:r>
    </w:p>
    <w:p w14:paraId="35F5A0C6">
      <w:pPr>
        <w:bidi w:val="0"/>
        <w:rPr>
          <w:rFonts w:hint="eastAsia"/>
          <w:color w:val="auto"/>
          <w:lang w:val="en-US" w:eastAsia="zh-CN"/>
        </w:rPr>
      </w:pPr>
      <w:r>
        <w:rPr>
          <w:rFonts w:hint="eastAsia"/>
          <w:color w:val="auto"/>
          <w:lang w:val="en-US" w:eastAsia="zh-CN"/>
        </w:rPr>
        <w:t>6、《浓密机基础岩土工程详细勘察报告》；</w:t>
      </w:r>
    </w:p>
    <w:p w14:paraId="56FFAB91">
      <w:pPr>
        <w:bidi w:val="0"/>
        <w:rPr>
          <w:rFonts w:hint="eastAsia"/>
          <w:color w:val="auto"/>
          <w:lang w:val="en-US" w:eastAsia="zh-CN"/>
        </w:rPr>
      </w:pPr>
      <w:r>
        <w:rPr>
          <w:rFonts w:hint="eastAsia"/>
          <w:color w:val="auto"/>
          <w:lang w:val="en-US" w:eastAsia="zh-CN"/>
        </w:rPr>
        <w:t>7、《寻甸金林钛矿有限公司尾矿处理技改升级建设项目详细勘察报告》；</w:t>
      </w:r>
    </w:p>
    <w:p w14:paraId="2CB51497">
      <w:pPr>
        <w:pStyle w:val="5"/>
        <w:bidi w:val="0"/>
        <w:rPr>
          <w:rFonts w:hint="default"/>
          <w:color w:val="auto"/>
          <w:lang w:val="en-US" w:eastAsia="zh-CN"/>
        </w:rPr>
      </w:pPr>
      <w:bookmarkStart w:id="50" w:name="_Toc6406"/>
      <w:r>
        <w:rPr>
          <w:rFonts w:hint="default"/>
          <w:color w:val="auto"/>
          <w:lang w:val="en-US" w:eastAsia="zh-CN"/>
        </w:rPr>
        <w:t>8.2 附图</w:t>
      </w:r>
      <w:bookmarkEnd w:id="50"/>
    </w:p>
    <w:p w14:paraId="668B134F">
      <w:pPr>
        <w:bidi w:val="0"/>
        <w:rPr>
          <w:rFonts w:hint="default"/>
          <w:color w:val="auto"/>
          <w:lang w:val="en-US" w:eastAsia="zh-CN"/>
        </w:rPr>
      </w:pPr>
      <w:r>
        <w:rPr>
          <w:rFonts w:hint="default"/>
          <w:color w:val="auto"/>
          <w:lang w:val="en-US" w:eastAsia="zh-CN"/>
        </w:rPr>
        <w:t>1、总平面布置图</w:t>
      </w:r>
      <w:r>
        <w:rPr>
          <w:rFonts w:hint="eastAsia"/>
          <w:color w:val="auto"/>
          <w:lang w:val="en-US" w:eastAsia="zh-CN"/>
        </w:rPr>
        <w:t>。</w:t>
      </w:r>
    </w:p>
    <w:p w14:paraId="51E0B6F1">
      <w:pPr>
        <w:ind w:left="0" w:leftChars="0" w:firstLine="0" w:firstLineChars="0"/>
        <w:jc w:val="center"/>
        <w:rPr>
          <w:rFonts w:hint="default"/>
          <w:color w:val="auto"/>
          <w:lang w:val="en-US" w:eastAsia="zh-CN"/>
        </w:rPr>
      </w:pPr>
    </w:p>
    <w:sectPr>
      <w:footerReference r:id="rId13" w:type="default"/>
      <w:pgSz w:w="11905" w:h="16838"/>
      <w:pgMar w:top="1417" w:right="1134" w:bottom="1134" w:left="1587" w:header="850" w:footer="992" w:gutter="0"/>
      <w:pgBorders>
        <w:top w:val="thinThickSmallGap" w:color="auto" w:sz="12" w:space="1"/>
        <w:left w:val="none" w:sz="0" w:space="0"/>
        <w:bottom w:val="thickThinSmallGap" w:color="auto" w:sz="12" w:space="1"/>
        <w:right w:val="none" w:sz="0" w:space="0"/>
      </w:pgBorders>
      <w:pgNumType w:fmt="decimal" w:start="1"/>
      <w:cols w:space="0" w:num="1"/>
      <w:rtlGutter w:val="0"/>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8736">
    <w:pPr>
      <w:pStyle w:val="14"/>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A6333">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rPr>
        <w:rFonts w:hint="eastAsia" w:ascii="Times New Roman" w:hAnsi="Times New Roman" w:eastAsia="宋体" w:cs="Times New Roman"/>
        <w:sz w:val="21"/>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AF61A">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rPr>
        <w:rFonts w:hint="eastAsia" w:ascii="Times New Roman" w:hAnsi="Times New Roman" w:eastAsia="宋体" w:cs="Times New Roman"/>
        <w:sz w:val="21"/>
        <w:lang w:eastAsia="zh-CN"/>
      </w:rPr>
    </w:pPr>
    <w:r>
      <w:rPr>
        <w:rFonts w:hint="eastAsia" w:ascii="Times New Roman" w:hAnsi="Times New Roman" w:eastAsia="宋体" w:cs="Times New Roman"/>
        <w:sz w:val="21"/>
        <w:lang w:eastAsia="zh-CN"/>
      </w:rPr>
      <w:drawing>
        <wp:inline distT="0" distB="0" distL="114300" distR="114300">
          <wp:extent cx="337820" cy="127635"/>
          <wp:effectExtent l="0" t="0" r="5080" b="5715"/>
          <wp:docPr id="38"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Times New Roman" w:hAnsi="Times New Roman" w:eastAsia="宋体" w:cs="Times New Roman"/>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6782CA5F">
                          <w:pPr>
                            <w:pStyle w:val="14"/>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In3a/TAAAABQEAAA8A&#10;AAAAAAAAAQAgAAAAIgAAAGRycy9kb3ducmV2LnhtbFBLAQIUABQAAAAIAIdO4kDYr1l24wEAAMUD&#10;AAAOAAAAAAAAAAEAIAAAACIBAABkcnMvZTJvRG9jLnhtbFBLBQYAAAAABgAGAFkBAAB3BQAAAAA=&#10;">
              <v:fill on="f" focussize="0,0"/>
              <v:stroke on="f" weight="1pt"/>
              <v:imagedata o:title=""/>
              <o:lock v:ext="edit" aspectratio="f"/>
              <v:textbox inset="0mm,0mm,0mm,0mm" style="mso-fit-shape-to-text:t;">
                <w:txbxContent>
                  <w:p w14:paraId="6782CA5F">
                    <w:pPr>
                      <w:pStyle w:val="14"/>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I</w:t>
                    </w:r>
                    <w:r>
                      <w:rPr>
                        <w:sz w:val="21"/>
                        <w:szCs w:val="21"/>
                      </w:rPr>
                      <w:fldChar w:fldCharType="end"/>
                    </w:r>
                  </w:p>
                </w:txbxContent>
              </v:textbox>
            </v:shape>
          </w:pict>
        </mc:Fallback>
      </mc:AlternateContent>
    </w:r>
    <w:r>
      <w:rPr>
        <w:rFonts w:hint="eastAsia" w:ascii="Times New Roman" w:hAnsi="Times New Roman" w:eastAsia="宋体" w:cs="Times New Roman"/>
        <w:sz w:val="21"/>
        <w:szCs w:val="21"/>
        <w:lang w:eastAsia="zh-CN"/>
      </w:rPr>
      <w:t>辽宁诺诚安全科技有限公司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49414">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rPr>
        <w:rFonts w:hint="eastAsia" w:ascii="Times New Roman" w:hAnsi="Times New Roman" w:eastAsia="宋体" w:cs="Times New Roman"/>
        <w:sz w:val="21"/>
        <w:lang w:eastAsia="zh-CN"/>
      </w:rPr>
    </w:pPr>
    <w:r>
      <w:rPr>
        <w:rFonts w:hint="eastAsia" w:ascii="Times New Roman" w:hAnsi="Times New Roman" w:eastAsia="宋体" w:cs="Times New Roman"/>
        <w:sz w:val="21"/>
        <w:lang w:eastAsia="zh-CN"/>
      </w:rPr>
      <w:drawing>
        <wp:inline distT="0" distB="0" distL="114300" distR="114300">
          <wp:extent cx="337820" cy="127635"/>
          <wp:effectExtent l="0" t="0" r="5080" b="5715"/>
          <wp:docPr id="42"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Times New Roman" w:hAnsi="Times New Roman" w:eastAsia="宋体" w:cs="Times New Roman"/>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5E688F8D">
                          <w:pPr>
                            <w:pStyle w:val="14"/>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w:t>
                          </w: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In3a/TAAAABQEAAA8A&#10;AAAAAAAAAQAgAAAAIgAAAGRycy9kb3ducmV2LnhtbFBLAQIUABQAAAAIAIdO4kA4IEjs4wEAAMUD&#10;AAAOAAAAAAAAAAEAIAAAACIBAABkcnMvZTJvRG9jLnhtbFBLBQYAAAAABgAGAFkBAAB3BQAAAAA=&#10;">
              <v:fill on="f" focussize="0,0"/>
              <v:stroke on="f" weight="1pt"/>
              <v:imagedata o:title=""/>
              <o:lock v:ext="edit" aspectratio="f"/>
              <v:textbox inset="0mm,0mm,0mm,0mm" style="mso-fit-shape-to-text:t;">
                <w:txbxContent>
                  <w:p w14:paraId="5E688F8D">
                    <w:pPr>
                      <w:pStyle w:val="14"/>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w:t>
                    </w:r>
                  </w:p>
                </w:txbxContent>
              </v:textbox>
            </v:shape>
          </w:pict>
        </mc:Fallback>
      </mc:AlternateContent>
    </w:r>
    <w:r>
      <w:rPr>
        <w:rFonts w:hint="eastAsia" w:ascii="Times New Roman" w:hAnsi="Times New Roman" w:eastAsia="宋体" w:cs="Times New Roman"/>
        <w:sz w:val="21"/>
        <w:szCs w:val="21"/>
        <w:lang w:eastAsia="zh-CN"/>
      </w:rPr>
      <w:t>辽宁诺诚安全科技有限公司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C2782">
    <w:pPr>
      <w:keepNext w:val="0"/>
      <w:keepLines w:val="0"/>
      <w:pageBreakBefore w:val="0"/>
      <w:widowControl w:val="0"/>
      <w:pBdr>
        <w:top w:val="none" w:color="auto" w:sz="0" w:space="1"/>
        <w:left w:val="none" w:color="auto" w:sz="0" w:space="0"/>
        <w:bottom w:val="none" w:color="auto" w:sz="0" w:space="0"/>
        <w:right w:val="none" w:color="auto" w:sz="0" w:space="0"/>
        <w:between w:val="none" w:color="auto" w:sz="0" w:space="0"/>
      </w:pBdr>
      <w:tabs>
        <w:tab w:val="center" w:pos="4153"/>
      </w:tabs>
      <w:kinsoku/>
      <w:wordWrap/>
      <w:overflowPunct/>
      <w:topLinePunct w:val="0"/>
      <w:bidi w:val="0"/>
      <w:adjustRightInd/>
      <w:snapToGrid w:val="0"/>
      <w:spacing w:line="500" w:lineRule="exact"/>
      <w:ind w:firstLine="0" w:firstLineChars="0"/>
      <w:rPr>
        <w:rFonts w:hint="eastAsia" w:ascii="Times New Roman" w:hAnsi="Times New Roman" w:eastAsia="宋体" w:cs="Times New Roman"/>
        <w:sz w:val="21"/>
        <w:lang w:eastAsia="zh-CN"/>
      </w:rPr>
    </w:pPr>
    <w:r>
      <w:rPr>
        <w:rFonts w:hint="eastAsia" w:ascii="Times New Roman" w:hAnsi="Times New Roman" w:eastAsia="宋体" w:cs="Times New Roman"/>
        <w:sz w:val="21"/>
        <w:lang w:eastAsia="zh-CN"/>
      </w:rPr>
      <w:drawing>
        <wp:inline distT="0" distB="0" distL="114300" distR="114300">
          <wp:extent cx="337820" cy="127635"/>
          <wp:effectExtent l="0" t="0" r="5080" b="5715"/>
          <wp:docPr id="44"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ascii="Times New Roman" w:hAnsi="Times New Roman" w:eastAsia="宋体" w:cs="Times New Roman"/>
        <w:sz w:val="21"/>
        <w:szCs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6B9C2719">
                          <w:pPr>
                            <w:pStyle w:val="14"/>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In3a/TAAAABQEAAA8A&#10;AAAAAAAAAQAgAAAAIgAAAGRycy9kb3ducmV2LnhtbFBLAQIUABQAAAAIAIdO4kAH3WlT4wEAAMUD&#10;AAAOAAAAAAAAAAEAIAAAACIBAABkcnMvZTJvRG9jLnhtbFBLBQYAAAAABgAGAFkBAAB3BQAAAAA=&#10;">
              <v:fill on="f" focussize="0,0"/>
              <v:stroke on="f" weight="1pt"/>
              <v:imagedata o:title=""/>
              <o:lock v:ext="edit" aspectratio="f"/>
              <v:textbox inset="0mm,0mm,0mm,0mm" style="mso-fit-shape-to-text:t;">
                <w:txbxContent>
                  <w:p w14:paraId="6B9C2719">
                    <w:pPr>
                      <w:pStyle w:val="14"/>
                      <w:keepNext w:val="0"/>
                      <w:keepLines w:val="0"/>
                      <w:pageBreakBefore w:val="0"/>
                      <w:widowControl w:val="0"/>
                      <w:kinsoku/>
                      <w:wordWrap/>
                      <w:overflowPunct/>
                      <w:topLinePunct w:val="0"/>
                      <w:bidi w:val="0"/>
                      <w:adjustRightInd/>
                      <w:snapToGrid w:val="0"/>
                      <w:spacing w:line="500" w:lineRule="exact"/>
                      <w:ind w:firstLine="0" w:firstLineChars="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w:rPr>
        <w:rFonts w:hint="eastAsia" w:ascii="Times New Roman" w:hAnsi="Times New Roman" w:eastAsia="宋体" w:cs="Times New Roman"/>
        <w:sz w:val="21"/>
        <w:szCs w:val="21"/>
        <w:lang w:eastAsia="zh-CN"/>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B37CE">
    <w:pPr>
      <w:pStyle w:val="15"/>
      <w:pBdr>
        <w:bottom w:val="none" w:color="auto" w:sz="0" w:space="1"/>
      </w:pBdr>
      <w:rPr>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B4D9D">
    <w:pPr>
      <w:pStyle w:val="1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946AF">
    <w:pPr>
      <w:pStyle w:val="15"/>
      <w:keepNext w:val="0"/>
      <w:keepLines w:val="0"/>
      <w:pageBreakBefore w:val="0"/>
      <w:widowControl w:val="0"/>
      <w:pBdr>
        <w:bottom w:val="none" w:color="auto" w:sz="0" w:space="0"/>
      </w:pBdr>
      <w:kinsoku/>
      <w:wordWrap/>
      <w:overflowPunct/>
      <w:topLinePunct w:val="0"/>
      <w:bidi w:val="0"/>
      <w:adjustRightInd/>
      <w:snapToGrid w:val="0"/>
      <w:spacing w:line="500" w:lineRule="exact"/>
      <w:ind w:firstLine="0" w:firstLineChars="0"/>
      <w:rPr>
        <w:rFonts w:hint="eastAsia" w:eastAsia="宋体"/>
        <w:sz w:val="21"/>
        <w:szCs w:val="21"/>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3DD09">
    <w:pPr>
      <w:pStyle w:val="15"/>
      <w:keepNext w:val="0"/>
      <w:keepLines w:val="0"/>
      <w:pageBreakBefore w:val="0"/>
      <w:widowControl w:val="0"/>
      <w:pBdr>
        <w:bottom w:val="none" w:color="auto" w:sz="0" w:space="0"/>
      </w:pBdr>
      <w:kinsoku/>
      <w:wordWrap/>
      <w:overflowPunct/>
      <w:topLinePunct w:val="0"/>
      <w:bidi w:val="0"/>
      <w:adjustRightInd/>
      <w:snapToGrid w:val="0"/>
      <w:spacing w:line="500" w:lineRule="exact"/>
      <w:ind w:firstLine="0" w:firstLineChars="0"/>
      <w:rPr>
        <w:rFonts w:hint="eastAsia" w:eastAsia="宋体"/>
        <w:sz w:val="21"/>
        <w:szCs w:val="21"/>
        <w:lang w:eastAsia="zh-CN"/>
      </w:rPr>
    </w:pPr>
    <w:r>
      <w:rPr>
        <w:rFonts w:hint="eastAsia"/>
        <w:sz w:val="21"/>
        <w:szCs w:val="21"/>
      </w:rPr>
      <w:t>寻甸金林钛矿有限公司尾矿处理技改升级建设项目安全预评价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2"/>
  <w:bordersDoNotSurroundHeader w:val="1"/>
  <w:bordersDoNotSurroundFooter w:val="1"/>
  <w:documentProtection w:enforcement="0"/>
  <w:defaultTabStop w:val="420"/>
  <w:drawingGridVerticalSpacing w:val="193"/>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ODNjYTQ2NjZmNzFhMjU5MjAzN2EzZjFmMjE3YWMifQ=="/>
  </w:docVars>
  <w:rsids>
    <w:rsidRoot w:val="00000000"/>
    <w:rsid w:val="00385F1D"/>
    <w:rsid w:val="016B1A28"/>
    <w:rsid w:val="02E132C9"/>
    <w:rsid w:val="03B7329F"/>
    <w:rsid w:val="05B60A3D"/>
    <w:rsid w:val="05D71EEB"/>
    <w:rsid w:val="0671108B"/>
    <w:rsid w:val="072E5802"/>
    <w:rsid w:val="07346633"/>
    <w:rsid w:val="07436B8E"/>
    <w:rsid w:val="07503447"/>
    <w:rsid w:val="08D166A6"/>
    <w:rsid w:val="09367AE5"/>
    <w:rsid w:val="09844071"/>
    <w:rsid w:val="0B025CD1"/>
    <w:rsid w:val="0E3B220B"/>
    <w:rsid w:val="0EAD0922"/>
    <w:rsid w:val="11264BF2"/>
    <w:rsid w:val="114F1D45"/>
    <w:rsid w:val="11B75603"/>
    <w:rsid w:val="12BA23F3"/>
    <w:rsid w:val="156A3D94"/>
    <w:rsid w:val="175A24A7"/>
    <w:rsid w:val="197A6EBA"/>
    <w:rsid w:val="19FB0CBC"/>
    <w:rsid w:val="1B657390"/>
    <w:rsid w:val="1BF07327"/>
    <w:rsid w:val="1D7E4E25"/>
    <w:rsid w:val="1FD04734"/>
    <w:rsid w:val="20AB587A"/>
    <w:rsid w:val="21231C36"/>
    <w:rsid w:val="2141349A"/>
    <w:rsid w:val="2179628D"/>
    <w:rsid w:val="25C4708F"/>
    <w:rsid w:val="26FA738F"/>
    <w:rsid w:val="277E4858"/>
    <w:rsid w:val="29D17528"/>
    <w:rsid w:val="2B9B40AD"/>
    <w:rsid w:val="2C052340"/>
    <w:rsid w:val="2C5A1AC6"/>
    <w:rsid w:val="2C957209"/>
    <w:rsid w:val="2ECE350C"/>
    <w:rsid w:val="324D6841"/>
    <w:rsid w:val="32705361"/>
    <w:rsid w:val="34E13CCF"/>
    <w:rsid w:val="36F2131A"/>
    <w:rsid w:val="3766714A"/>
    <w:rsid w:val="37C50933"/>
    <w:rsid w:val="37F0752F"/>
    <w:rsid w:val="38831F72"/>
    <w:rsid w:val="3918306B"/>
    <w:rsid w:val="39AC1B0B"/>
    <w:rsid w:val="40162FCA"/>
    <w:rsid w:val="408369FC"/>
    <w:rsid w:val="453753D9"/>
    <w:rsid w:val="45991206"/>
    <w:rsid w:val="45FA4487"/>
    <w:rsid w:val="464C601D"/>
    <w:rsid w:val="469F45FA"/>
    <w:rsid w:val="46CF38D0"/>
    <w:rsid w:val="4A065877"/>
    <w:rsid w:val="4B4947E5"/>
    <w:rsid w:val="4B4D6D6A"/>
    <w:rsid w:val="4B50282F"/>
    <w:rsid w:val="4D7E10C5"/>
    <w:rsid w:val="4E0D54D9"/>
    <w:rsid w:val="50E04F12"/>
    <w:rsid w:val="52AD009F"/>
    <w:rsid w:val="558A6636"/>
    <w:rsid w:val="56A33C92"/>
    <w:rsid w:val="57A25A73"/>
    <w:rsid w:val="587A604A"/>
    <w:rsid w:val="5A3873F2"/>
    <w:rsid w:val="602E6BEB"/>
    <w:rsid w:val="60F42988"/>
    <w:rsid w:val="621D353D"/>
    <w:rsid w:val="6469095E"/>
    <w:rsid w:val="66974509"/>
    <w:rsid w:val="671B1BE9"/>
    <w:rsid w:val="67A10743"/>
    <w:rsid w:val="6A077D43"/>
    <w:rsid w:val="6A687275"/>
    <w:rsid w:val="6B074190"/>
    <w:rsid w:val="6C9A700B"/>
    <w:rsid w:val="6D26380D"/>
    <w:rsid w:val="6D33063E"/>
    <w:rsid w:val="6D731089"/>
    <w:rsid w:val="706D1367"/>
    <w:rsid w:val="71E74128"/>
    <w:rsid w:val="73243F55"/>
    <w:rsid w:val="75FD23B8"/>
    <w:rsid w:val="76A449B0"/>
    <w:rsid w:val="778A34C6"/>
    <w:rsid w:val="79FD52FC"/>
    <w:rsid w:val="7D807667"/>
    <w:rsid w:val="7EEF18BB"/>
    <w:rsid w:val="7F415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9" w:semiHidden="0" w:name="heading 5"/>
    <w:lsdException w:uiPriority="99" w:name="heading 6"/>
    <w:lsdException w:uiPriority="99" w:name="heading 7"/>
    <w:lsdException w:uiPriority="99" w:name="heading 8"/>
    <w:lsdException w:uiPriority="99" w:name="heading 9"/>
    <w:lsdException w:qFormat="1" w:unhideWhenUsed="0" w:uiPriority="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qFormat="1"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99" w:semiHidden="0" w:name="Hyperlink"/>
    <w:lsdException w:unhideWhenUsed="0" w:uiPriority="99" w:semiHidden="0" w:name="FollowedHyperlink"/>
    <w:lsdException w:qFormat="1"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both"/>
    </w:pPr>
    <w:rPr>
      <w:rFonts w:ascii="Times New Roman" w:hAnsi="Times New Roman" w:eastAsia="宋体" w:cstheme="minorBidi"/>
      <w:kern w:val="2"/>
      <w:sz w:val="28"/>
      <w:szCs w:val="24"/>
      <w:lang w:val="en-US" w:eastAsia="zh-CN" w:bidi="ar-SA"/>
    </w:rPr>
  </w:style>
  <w:style w:type="paragraph" w:styleId="4">
    <w:name w:val="heading 1"/>
    <w:basedOn w:val="1"/>
    <w:qFormat/>
    <w:uiPriority w:val="0"/>
    <w:pPr>
      <w:keepNext/>
      <w:keepLines/>
      <w:spacing w:beforeLines="0" w:beforeAutospacing="0" w:afterLines="0" w:afterAutospacing="0" w:line="360" w:lineRule="auto"/>
      <w:ind w:firstLine="0" w:firstLineChars="0"/>
      <w:jc w:val="center"/>
      <w:outlineLvl w:val="0"/>
    </w:pPr>
    <w:rPr>
      <w:rFonts w:eastAsia="黑体"/>
      <w:kern w:val="44"/>
      <w:sz w:val="32"/>
    </w:rPr>
  </w:style>
  <w:style w:type="paragraph" w:styleId="5">
    <w:name w:val="heading 2"/>
    <w:basedOn w:val="1"/>
    <w:unhideWhenUsed/>
    <w:qFormat/>
    <w:uiPriority w:val="0"/>
    <w:pPr>
      <w:keepNext/>
      <w:keepLines/>
      <w:spacing w:beforeLines="0" w:beforeAutospacing="0" w:afterLines="0" w:afterAutospacing="0" w:line="360" w:lineRule="auto"/>
      <w:ind w:firstLine="0" w:firstLineChars="0"/>
      <w:jc w:val="center"/>
      <w:outlineLvl w:val="1"/>
    </w:pPr>
    <w:rPr>
      <w:rFonts w:ascii="Times New Roman" w:hAnsi="Times New Roman" w:eastAsia="黑体"/>
      <w:sz w:val="30"/>
    </w:rPr>
  </w:style>
  <w:style w:type="paragraph" w:styleId="6">
    <w:name w:val="heading 3"/>
    <w:basedOn w:val="1"/>
    <w:link w:val="31"/>
    <w:unhideWhenUsed/>
    <w:qFormat/>
    <w:uiPriority w:val="0"/>
    <w:pPr>
      <w:keepNext/>
      <w:keepLines/>
      <w:spacing w:beforeLines="0" w:beforeAutospacing="0" w:afterLines="0" w:afterAutospacing="0" w:line="360" w:lineRule="auto"/>
      <w:ind w:firstLine="0" w:firstLineChars="0"/>
      <w:outlineLvl w:val="2"/>
    </w:pPr>
    <w:rPr>
      <w:b/>
      <w:sz w:val="28"/>
    </w:rPr>
  </w:style>
  <w:style w:type="paragraph" w:styleId="7">
    <w:name w:val="heading 4"/>
    <w:basedOn w:val="1"/>
    <w:unhideWhenUsed/>
    <w:qFormat/>
    <w:uiPriority w:val="0"/>
    <w:pPr>
      <w:keepNext/>
      <w:keepLines/>
      <w:spacing w:beforeLines="0" w:beforeAutospacing="0" w:afterLines="0" w:afterAutospacing="0" w:line="360" w:lineRule="auto"/>
      <w:ind w:firstLine="0" w:firstLineChars="0"/>
      <w:outlineLvl w:val="3"/>
    </w:pPr>
    <w:rPr>
      <w:rFonts w:ascii="Times New Roman" w:hAnsi="Times New Roman" w:eastAsia="宋体"/>
      <w:b/>
    </w:rPr>
  </w:style>
  <w:style w:type="paragraph" w:styleId="8">
    <w:name w:val="heading 5"/>
    <w:basedOn w:val="1"/>
    <w:unhideWhenUsed/>
    <w:qFormat/>
    <w:uiPriority w:val="99"/>
    <w:pPr>
      <w:keepNext/>
      <w:keepLines/>
      <w:spacing w:before="280" w:beforeLines="0" w:beforeAutospacing="0" w:after="290" w:afterLines="0" w:afterAutospacing="0" w:line="372" w:lineRule="auto"/>
      <w:outlineLvl w:val="4"/>
    </w:pPr>
    <w:rPr>
      <w:b/>
      <w:sz w:val="28"/>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after="120"/>
    </w:pPr>
  </w:style>
  <w:style w:type="paragraph" w:styleId="9">
    <w:name w:val="table of authorities"/>
    <w:basedOn w:val="1"/>
    <w:unhideWhenUsed/>
    <w:qFormat/>
    <w:uiPriority w:val="99"/>
    <w:pPr>
      <w:widowControl/>
      <w:adjustRightInd w:val="0"/>
      <w:ind w:left="420" w:leftChars="200"/>
    </w:pPr>
    <w:rPr>
      <w:rFonts w:eastAsia="Times New Roman"/>
      <w:sz w:val="24"/>
    </w:rPr>
  </w:style>
  <w:style w:type="paragraph" w:styleId="10">
    <w:name w:val="Normal Indent"/>
    <w:basedOn w:val="1"/>
    <w:qFormat/>
    <w:uiPriority w:val="0"/>
    <w:pPr>
      <w:ind w:firstLine="420" w:firstLineChars="200"/>
    </w:pPr>
  </w:style>
  <w:style w:type="paragraph" w:styleId="11">
    <w:name w:val="annotation text"/>
    <w:basedOn w:val="1"/>
    <w:qFormat/>
    <w:uiPriority w:val="0"/>
    <w:pPr>
      <w:jc w:val="left"/>
    </w:pPr>
  </w:style>
  <w:style w:type="paragraph" w:styleId="12">
    <w:name w:val="Body Text Indent"/>
    <w:basedOn w:val="1"/>
    <w:next w:val="3"/>
    <w:qFormat/>
    <w:uiPriority w:val="0"/>
    <w:pPr>
      <w:ind w:leftChars="85" w:firstLine="540" w:firstLineChars="193"/>
    </w:pPr>
    <w:rPr>
      <w:sz w:val="28"/>
      <w:szCs w:val="24"/>
    </w:rPr>
  </w:style>
  <w:style w:type="paragraph" w:styleId="13">
    <w:name w:val="toc 3"/>
    <w:basedOn w:val="1"/>
    <w:qFormat/>
    <w:uiPriority w:val="0"/>
    <w:pPr>
      <w:ind w:left="840" w:leftChars="400"/>
    </w:pPr>
  </w:style>
  <w:style w:type="paragraph" w:styleId="14">
    <w:name w:val="footer"/>
    <w:basedOn w:val="1"/>
    <w:unhideWhenUsed/>
    <w:qFormat/>
    <w:uiPriority w:val="0"/>
    <w:pPr>
      <w:tabs>
        <w:tab w:val="center" w:pos="4153"/>
        <w:tab w:val="right" w:pos="8306"/>
      </w:tabs>
      <w:snapToGrid w:val="0"/>
      <w:jc w:val="left"/>
    </w:pPr>
    <w:rPr>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qFormat/>
    <w:uiPriority w:val="0"/>
  </w:style>
  <w:style w:type="paragraph" w:styleId="17">
    <w:name w:val="index heading"/>
    <w:basedOn w:val="1"/>
    <w:semiHidden/>
    <w:qFormat/>
    <w:uiPriority w:val="0"/>
    <w:rPr>
      <w:szCs w:val="21"/>
    </w:rPr>
  </w:style>
  <w:style w:type="paragraph" w:styleId="18">
    <w:name w:val="toc 2"/>
    <w:basedOn w:val="1"/>
    <w:qFormat/>
    <w:uiPriority w:val="0"/>
    <w:pPr>
      <w:ind w:left="420" w:leftChars="200"/>
    </w:pPr>
  </w:style>
  <w:style w:type="paragraph" w:styleId="19">
    <w:name w:val="index 1"/>
    <w:basedOn w:val="1"/>
    <w:semiHidden/>
    <w:qFormat/>
    <w:uiPriority w:val="0"/>
  </w:style>
  <w:style w:type="paragraph" w:styleId="20">
    <w:name w:val="Body Text First Indent 2"/>
    <w:basedOn w:val="12"/>
    <w:next w:val="1"/>
    <w:qFormat/>
    <w:uiPriority w:val="0"/>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99"/>
    <w:rPr>
      <w:b/>
    </w:rPr>
  </w:style>
  <w:style w:type="character" w:styleId="25">
    <w:name w:val="Hyperlink"/>
    <w:basedOn w:val="23"/>
    <w:qFormat/>
    <w:uiPriority w:val="99"/>
    <w:rPr>
      <w:color w:val="0000FF"/>
      <w:u w:val="single"/>
    </w:rPr>
  </w:style>
  <w:style w:type="paragraph" w:customStyle="1" w:styleId="26">
    <w:name w:val="样式5"/>
    <w:basedOn w:val="10"/>
    <w:qFormat/>
    <w:uiPriority w:val="0"/>
    <w:pPr>
      <w:tabs>
        <w:tab w:val="left" w:pos="720"/>
      </w:tabs>
      <w:spacing w:before="12" w:after="12" w:line="300" w:lineRule="auto"/>
      <w:ind w:left="1075" w:leftChars="285" w:hanging="477" w:hangingChars="198"/>
    </w:pPr>
    <w:rPr>
      <w:rFonts w:ascii="Cambria" w:hAnsi="Cambria"/>
      <w:kern w:val="28"/>
      <w:sz w:val="26"/>
      <w:szCs w:val="20"/>
    </w:rPr>
  </w:style>
  <w:style w:type="paragraph" w:customStyle="1" w:styleId="27">
    <w:name w:val="Default"/>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paragraph" w:customStyle="1" w:styleId="28">
    <w:name w:val="首行缩进"/>
    <w:basedOn w:val="1"/>
    <w:qFormat/>
    <w:uiPriority w:val="0"/>
    <w:pPr>
      <w:snapToGrid w:val="0"/>
      <w:spacing w:line="360" w:lineRule="auto"/>
      <w:ind w:firstLine="561"/>
    </w:pPr>
    <w:rPr>
      <w:rFonts w:cs="宋体"/>
      <w:color w:val="000000"/>
      <w:sz w:val="28"/>
      <w:szCs w:val="20"/>
    </w:rPr>
  </w:style>
  <w:style w:type="paragraph" w:customStyle="1" w:styleId="29">
    <w:name w:val="图、表名称"/>
    <w:basedOn w:val="1"/>
    <w:qFormat/>
    <w:uiPriority w:val="0"/>
    <w:pPr>
      <w:ind w:firstLine="0" w:firstLineChars="0"/>
      <w:jc w:val="center"/>
    </w:pPr>
    <w:rPr>
      <w:rFonts w:hint="eastAsia"/>
      <w:sz w:val="24"/>
    </w:rPr>
  </w:style>
  <w:style w:type="paragraph" w:customStyle="1" w:styleId="30">
    <w:name w:val="表格内容"/>
    <w:basedOn w:val="1"/>
    <w:qFormat/>
    <w:uiPriority w:val="0"/>
    <w:pPr>
      <w:spacing w:line="240" w:lineRule="auto"/>
      <w:ind w:firstLine="0" w:firstLineChars="0"/>
      <w:jc w:val="center"/>
    </w:pPr>
    <w:rPr>
      <w:rFonts w:hint="eastAsia"/>
      <w:sz w:val="21"/>
    </w:rPr>
  </w:style>
  <w:style w:type="character" w:customStyle="1" w:styleId="31">
    <w:name w:val="标题 3 Char"/>
    <w:link w:val="6"/>
    <w:qFormat/>
    <w:uiPriority w:val="0"/>
    <w:rPr>
      <w:b/>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8.emf"/><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wmf"/><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142</Pages>
  <Words>11394</Words>
  <Characters>13801</Characters>
  <Lines>0</Lines>
  <Paragraphs>0</Paragraphs>
  <TotalTime>30</TotalTime>
  <ScaleCrop>false</ScaleCrop>
  <LinksUpToDate>false</LinksUpToDate>
  <CharactersWithSpaces>14028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2024-06-28T01:37:00Z</dcterms:created>
  <dc:creator>Administrator</dc:creator>
  <cp:lastModifiedBy>Lemon</cp:lastModifiedBy>
  <dcterms:modified xsi:type="dcterms:W3CDTF">2026-08-03T08:51:39Z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8B2548DC804845BAA511D4EF5B649043_12</vt:lpwstr>
  </property>
  <property fmtid="{D5CDD505-2E9C-101B-9397-08002B2CF9AE}" pid="4" name="KSOTemplateDocerSaveRecord">
    <vt:lpwstr>eyJoZGlkIjoiYWM2ODNjYTQ2NjZmNzFhMjU5MjAzN2EzZjFmMjE3YWMiLCJ1c2VySWQiOiIzOTk0MDY5NTMifQ==</vt:lpwstr>
  </property>
</Properties>
</file>